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Default Extension="png" ContentType="image/png"/>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00"/>
        <w:rPr>
          <w:sz w:val="20"/>
        </w:rPr>
      </w:pPr>
      <w:r>
        <w:rPr>
          <w:sz w:val="20"/>
        </w:rPr>
        <w:pict>
          <v:group style="width:457.1pt;height:73.6pt;mso-position-horizontal-relative:char;mso-position-vertical-relative:line" coordorigin="0,0" coordsize="9142,1472">
            <v:line style="position:absolute" from="1403,1421" to="7883,1421" stroked="true" strokeweight="1pt" strokecolor="#000000"/>
            <v:line style="position:absolute" from="1403,1461" to="7883,1461" stroked="true" strokeweight="1pt" strokecolor="#000000"/>
            <v:shape style="position:absolute;left:7913;top:0;width:1229;height:1440" type="#_x0000_t75" stroked="false">
              <v:imagedata r:id="rId5" o:title=""/>
            </v:shape>
            <v:shape style="position:absolute;left:0;top:0;width:1582;height:1267" type="#_x0000_t75" stroked="false">
              <v:imagedata r:id="rId6" o:title=""/>
            </v:shape>
            <v:shapetype id="_x0000_t202" o:spt="202" coordsize="21600,21600" path="m,l,21600r21600,l21600,xe">
              <v:stroke joinstyle="miter"/>
              <v:path gradientshapeok="t" o:connecttype="rect"/>
            </v:shapetype>
            <v:shape style="position:absolute;left:0;top:0;width:9142;height:1472" type="#_x0000_t202" filled="false" stroked="false">
              <v:textbox inset="0,0,0,0">
                <w:txbxContent>
                  <w:p>
                    <w:pPr>
                      <w:spacing w:line="240" w:lineRule="auto" w:before="10"/>
                      <w:rPr>
                        <w:sz w:val="30"/>
                      </w:rPr>
                    </w:pPr>
                  </w:p>
                  <w:p>
                    <w:pPr>
                      <w:spacing w:before="0"/>
                      <w:ind w:left="3224" w:right="877" w:hanging="790"/>
                      <w:jc w:val="left"/>
                      <w:rPr>
                        <w:rFonts w:ascii="Arial" w:hAnsi="Arial"/>
                        <w:b/>
                        <w:sz w:val="30"/>
                      </w:rPr>
                    </w:pPr>
                    <w:r>
                      <w:rPr>
                        <w:rFonts w:ascii="Arial" w:hAnsi="Arial"/>
                        <w:b/>
                        <w:sz w:val="30"/>
                      </w:rPr>
                      <w:t>UNIVERSIDAD AUTÓNOMA DEL ESTADO DE MÉXICO</w:t>
                    </w:r>
                  </w:p>
                </w:txbxContent>
              </v:textbox>
              <w10:wrap type="none"/>
            </v:shape>
          </v:group>
        </w:pict>
      </w:r>
      <w:r>
        <w:rPr>
          <w:sz w:val="20"/>
        </w:rPr>
      </w:r>
    </w:p>
    <w:p>
      <w:pPr>
        <w:pStyle w:val="BodyText"/>
        <w:spacing w:before="7"/>
        <w:rPr>
          <w:sz w:val="14"/>
        </w:rPr>
      </w:pPr>
    </w:p>
    <w:p>
      <w:pPr>
        <w:spacing w:before="65"/>
        <w:ind w:left="309" w:right="700" w:firstLine="0"/>
        <w:jc w:val="center"/>
        <w:rPr>
          <w:rFonts w:ascii="Arial" w:hAnsi="Arial"/>
          <w:b/>
          <w:sz w:val="28"/>
        </w:rPr>
      </w:pPr>
      <w:r>
        <w:rPr>
          <w:rFonts w:ascii="Arial" w:hAnsi="Arial"/>
          <w:b/>
          <w:sz w:val="28"/>
        </w:rPr>
        <w:t>FACULTAD DE ECONOMÍA</w:t>
      </w:r>
    </w:p>
    <w:p>
      <w:pPr>
        <w:pStyle w:val="BodyText"/>
        <w:rPr>
          <w:rFonts w:ascii="Arial"/>
          <w:b/>
          <w:sz w:val="28"/>
        </w:rPr>
      </w:pPr>
    </w:p>
    <w:p>
      <w:pPr>
        <w:pStyle w:val="BodyText"/>
        <w:spacing w:before="10"/>
        <w:rPr>
          <w:rFonts w:ascii="Arial"/>
          <w:b/>
          <w:sz w:val="31"/>
        </w:rPr>
      </w:pPr>
    </w:p>
    <w:p>
      <w:pPr>
        <w:spacing w:before="1"/>
        <w:ind w:left="309" w:right="707" w:firstLine="0"/>
        <w:jc w:val="center"/>
        <w:rPr>
          <w:rFonts w:ascii="Arial" w:hAnsi="Arial"/>
          <w:b/>
          <w:i/>
          <w:sz w:val="28"/>
        </w:rPr>
      </w:pPr>
      <w:r>
        <w:rPr>
          <w:rFonts w:ascii="Arial" w:hAnsi="Arial"/>
          <w:b/>
          <w:i/>
          <w:sz w:val="32"/>
        </w:rPr>
        <w:t>“</w:t>
      </w:r>
      <w:r>
        <w:rPr>
          <w:rFonts w:ascii="Arial" w:hAnsi="Arial"/>
          <w:b/>
          <w:i/>
          <w:sz w:val="28"/>
        </w:rPr>
        <w:t>EFECTOS DE LA INDUSTRIA AUTOMOTRIZ EN LA DINÁMICA </w:t>
      </w:r>
      <w:r>
        <w:rPr>
          <w:rFonts w:ascii="Arial" w:hAnsi="Arial"/>
          <w:b/>
          <w:i/>
          <w:sz w:val="28"/>
        </w:rPr>
        <w:t>PRODUCTIVA MANUFACTURERA EN CUATRO REGIONES DE MÉXICO, 1980-2014”</w:t>
      </w:r>
    </w:p>
    <w:p>
      <w:pPr>
        <w:pStyle w:val="BodyText"/>
        <w:rPr>
          <w:rFonts w:ascii="Arial"/>
          <w:b/>
          <w:i/>
          <w:sz w:val="28"/>
        </w:rPr>
      </w:pPr>
    </w:p>
    <w:p>
      <w:pPr>
        <w:pStyle w:val="BodyText"/>
        <w:rPr>
          <w:rFonts w:ascii="Arial"/>
          <w:b/>
          <w:i/>
          <w:sz w:val="36"/>
        </w:rPr>
      </w:pPr>
    </w:p>
    <w:p>
      <w:pPr>
        <w:spacing w:before="0"/>
        <w:ind w:left="308" w:right="707" w:firstLine="0"/>
        <w:jc w:val="center"/>
        <w:rPr>
          <w:rFonts w:ascii="Arial"/>
          <w:b/>
          <w:sz w:val="40"/>
        </w:rPr>
      </w:pPr>
      <w:r>
        <w:rPr>
          <w:rFonts w:ascii="Arial"/>
          <w:b/>
          <w:sz w:val="40"/>
        </w:rPr>
        <w:t>T E S I S</w:t>
      </w:r>
    </w:p>
    <w:p>
      <w:pPr>
        <w:pStyle w:val="BodyText"/>
        <w:rPr>
          <w:rFonts w:ascii="Arial"/>
          <w:b/>
          <w:sz w:val="40"/>
        </w:rPr>
      </w:pPr>
    </w:p>
    <w:p>
      <w:pPr>
        <w:pStyle w:val="Heading1"/>
        <w:spacing w:before="276"/>
        <w:ind w:left="307" w:right="707"/>
        <w:jc w:val="center"/>
        <w:rPr>
          <w:rFonts w:ascii="Arial"/>
        </w:rPr>
      </w:pPr>
      <w:r>
        <w:rPr>
          <w:rFonts w:ascii="Arial"/>
        </w:rPr>
        <w:t>QUE  PARA OBTENER EL GRADO DE:</w:t>
      </w:r>
    </w:p>
    <w:p>
      <w:pPr>
        <w:pStyle w:val="BodyText"/>
        <w:rPr>
          <w:rFonts w:ascii="Arial"/>
          <w:b/>
          <w:sz w:val="28"/>
        </w:rPr>
      </w:pPr>
    </w:p>
    <w:p>
      <w:pPr>
        <w:spacing w:before="1"/>
        <w:ind w:left="309" w:right="707" w:firstLine="0"/>
        <w:jc w:val="center"/>
        <w:rPr>
          <w:rFonts w:ascii="Arial" w:hAnsi="Arial"/>
          <w:b/>
          <w:sz w:val="28"/>
        </w:rPr>
      </w:pPr>
      <w:r>
        <w:rPr>
          <w:rFonts w:ascii="Arial" w:hAnsi="Arial"/>
          <w:b/>
          <w:sz w:val="28"/>
        </w:rPr>
        <w:t>MAESTRA EN ECONOMÍA APLICADA</w:t>
      </w:r>
    </w:p>
    <w:p>
      <w:pPr>
        <w:pStyle w:val="BodyText"/>
        <w:rPr>
          <w:rFonts w:ascii="Arial"/>
          <w:b/>
          <w:sz w:val="28"/>
        </w:rPr>
      </w:pPr>
    </w:p>
    <w:p>
      <w:pPr>
        <w:pStyle w:val="Heading1"/>
        <w:spacing w:before="228"/>
        <w:ind w:left="306" w:right="707"/>
        <w:jc w:val="center"/>
        <w:rPr>
          <w:rFonts w:ascii="Arial"/>
        </w:rPr>
      </w:pPr>
      <w:r>
        <w:rPr>
          <w:rFonts w:ascii="Arial"/>
        </w:rPr>
        <w:t>PRESENTA:</w:t>
      </w:r>
    </w:p>
    <w:p>
      <w:pPr>
        <w:pStyle w:val="BodyText"/>
        <w:rPr>
          <w:rFonts w:ascii="Arial"/>
          <w:b/>
        </w:rPr>
      </w:pPr>
    </w:p>
    <w:p>
      <w:pPr>
        <w:spacing w:before="1"/>
        <w:ind w:left="1718" w:right="0" w:firstLine="0"/>
        <w:jc w:val="left"/>
        <w:rPr>
          <w:rFonts w:ascii="Arial" w:hAnsi="Arial"/>
          <w:b/>
          <w:sz w:val="28"/>
        </w:rPr>
      </w:pPr>
      <w:r>
        <w:rPr>
          <w:rFonts w:ascii="Arial" w:hAnsi="Arial"/>
          <w:b/>
          <w:sz w:val="28"/>
        </w:rPr>
        <w:t>L. EN E. FLOR CECILIA GUTIÉRREZ DÍAZ</w:t>
      </w:r>
    </w:p>
    <w:p>
      <w:pPr>
        <w:pStyle w:val="BodyText"/>
        <w:rPr>
          <w:rFonts w:ascii="Arial"/>
          <w:b/>
          <w:sz w:val="28"/>
        </w:rPr>
      </w:pPr>
    </w:p>
    <w:p>
      <w:pPr>
        <w:pStyle w:val="BodyText"/>
        <w:rPr>
          <w:rFonts w:ascii="Arial"/>
          <w:b/>
          <w:sz w:val="28"/>
        </w:rPr>
      </w:pPr>
    </w:p>
    <w:p>
      <w:pPr>
        <w:pStyle w:val="Heading1"/>
        <w:spacing w:before="228"/>
        <w:ind w:left="309" w:right="707"/>
        <w:jc w:val="center"/>
        <w:rPr>
          <w:rFonts w:ascii="Arial"/>
        </w:rPr>
      </w:pPr>
      <w:r>
        <w:rPr>
          <w:rFonts w:ascii="Arial"/>
        </w:rPr>
        <w:t>ASESOR:</w:t>
      </w:r>
    </w:p>
    <w:p>
      <w:pPr>
        <w:pStyle w:val="BodyText"/>
        <w:rPr>
          <w:rFonts w:ascii="Arial"/>
          <w:b/>
        </w:rPr>
      </w:pPr>
    </w:p>
    <w:p>
      <w:pPr>
        <w:spacing w:before="0"/>
        <w:ind w:left="308" w:right="707" w:firstLine="0"/>
        <w:jc w:val="center"/>
        <w:rPr>
          <w:rFonts w:ascii="Arial" w:hAnsi="Arial"/>
          <w:b/>
          <w:sz w:val="24"/>
        </w:rPr>
      </w:pPr>
      <w:r>
        <w:rPr>
          <w:rFonts w:ascii="Arial" w:hAnsi="Arial"/>
          <w:b/>
          <w:sz w:val="24"/>
        </w:rPr>
        <w:t>DRA. EN E. YOLANDA CARBAJAL SUÁREZ</w:t>
      </w:r>
    </w:p>
    <w:p>
      <w:pPr>
        <w:pStyle w:val="BodyText"/>
        <w:rPr>
          <w:rFonts w:ascii="Arial"/>
          <w:b/>
        </w:rPr>
      </w:pPr>
    </w:p>
    <w:p>
      <w:pPr>
        <w:pStyle w:val="BodyText"/>
        <w:rPr>
          <w:rFonts w:ascii="Arial"/>
          <w:b/>
        </w:rPr>
      </w:pPr>
    </w:p>
    <w:p>
      <w:pPr>
        <w:spacing w:before="0"/>
        <w:ind w:left="309" w:right="707" w:firstLine="0"/>
        <w:jc w:val="center"/>
        <w:rPr>
          <w:rFonts w:ascii="Arial"/>
          <w:b/>
          <w:sz w:val="24"/>
        </w:rPr>
      </w:pPr>
      <w:r>
        <w:rPr>
          <w:rFonts w:ascii="Arial"/>
          <w:b/>
          <w:sz w:val="24"/>
        </w:rPr>
        <w:t>REVISORES:</w:t>
      </w:r>
    </w:p>
    <w:p>
      <w:pPr>
        <w:pStyle w:val="BodyText"/>
        <w:rPr>
          <w:rFonts w:ascii="Arial"/>
          <w:b/>
        </w:rPr>
      </w:pPr>
    </w:p>
    <w:p>
      <w:pPr>
        <w:spacing w:line="480" w:lineRule="auto" w:before="0"/>
        <w:ind w:left="1526" w:right="1929" w:firstLine="3"/>
        <w:jc w:val="center"/>
        <w:rPr>
          <w:rFonts w:ascii="Arial" w:hAnsi="Arial"/>
          <w:b/>
          <w:sz w:val="24"/>
        </w:rPr>
      </w:pPr>
      <w:r>
        <w:rPr>
          <w:rFonts w:ascii="Arial" w:hAnsi="Arial"/>
          <w:b/>
          <w:sz w:val="24"/>
        </w:rPr>
        <w:t>MTRO. EN E. LEOBARDO DE JESÚS ALMONTE DRA. EN C.S. MARÍA ESTHER MORALES</w:t>
      </w:r>
      <w:r>
        <w:rPr>
          <w:rFonts w:ascii="Arial" w:hAnsi="Arial"/>
          <w:b/>
          <w:spacing w:val="-16"/>
          <w:sz w:val="24"/>
        </w:rPr>
        <w:t> </w:t>
      </w:r>
      <w:r>
        <w:rPr>
          <w:rFonts w:ascii="Arial" w:hAnsi="Arial"/>
          <w:b/>
          <w:sz w:val="24"/>
        </w:rPr>
        <w:t>FAJARDO</w:t>
      </w:r>
    </w:p>
    <w:p>
      <w:pPr>
        <w:pStyle w:val="BodyText"/>
        <w:rPr>
          <w:rFonts w:ascii="Arial"/>
          <w:b/>
        </w:rPr>
      </w:pPr>
    </w:p>
    <w:p>
      <w:pPr>
        <w:pStyle w:val="BodyText"/>
        <w:rPr>
          <w:rFonts w:ascii="Arial"/>
          <w:b/>
        </w:rPr>
      </w:pPr>
    </w:p>
    <w:p>
      <w:pPr>
        <w:pStyle w:val="BodyText"/>
        <w:rPr>
          <w:rFonts w:ascii="Arial"/>
          <w:b/>
        </w:rPr>
      </w:pPr>
    </w:p>
    <w:p>
      <w:pPr>
        <w:pStyle w:val="BodyText"/>
        <w:spacing w:before="8"/>
        <w:rPr>
          <w:rFonts w:ascii="Arial"/>
          <w:b/>
        </w:rPr>
      </w:pPr>
    </w:p>
    <w:p>
      <w:pPr>
        <w:tabs>
          <w:tab w:pos="6740" w:val="left" w:leader="none"/>
        </w:tabs>
        <w:spacing w:before="0"/>
        <w:ind w:left="1588" w:right="0" w:firstLine="0"/>
        <w:jc w:val="left"/>
        <w:rPr>
          <w:rFonts w:ascii="Arial" w:hAnsi="Arial"/>
          <w:b/>
          <w:sz w:val="24"/>
        </w:rPr>
      </w:pPr>
      <w:r>
        <w:rPr>
          <w:rFonts w:ascii="Arial" w:hAnsi="Arial"/>
          <w:b/>
          <w:sz w:val="24"/>
        </w:rPr>
        <w:t>TOLUCA, ESTADO</w:t>
      </w:r>
      <w:r>
        <w:rPr>
          <w:rFonts w:ascii="Arial" w:hAnsi="Arial"/>
          <w:b/>
          <w:spacing w:val="-3"/>
          <w:sz w:val="24"/>
        </w:rPr>
        <w:t> </w:t>
      </w:r>
      <w:r>
        <w:rPr>
          <w:rFonts w:ascii="Arial" w:hAnsi="Arial"/>
          <w:b/>
          <w:sz w:val="24"/>
        </w:rPr>
        <w:t>DE</w:t>
      </w:r>
      <w:r>
        <w:rPr>
          <w:rFonts w:ascii="Arial" w:hAnsi="Arial"/>
          <w:b/>
          <w:spacing w:val="-2"/>
          <w:sz w:val="24"/>
        </w:rPr>
        <w:t> </w:t>
      </w:r>
      <w:r>
        <w:rPr>
          <w:rFonts w:ascii="Arial" w:hAnsi="Arial"/>
          <w:b/>
          <w:sz w:val="24"/>
        </w:rPr>
        <w:t>MÉXICO</w:t>
        <w:tab/>
        <w:t>SEPTIEMBRE</w:t>
      </w:r>
      <w:r>
        <w:rPr>
          <w:rFonts w:ascii="Arial" w:hAnsi="Arial"/>
          <w:b/>
          <w:spacing w:val="-8"/>
          <w:sz w:val="24"/>
        </w:rPr>
        <w:t> </w:t>
      </w:r>
      <w:r>
        <w:rPr>
          <w:rFonts w:ascii="Arial" w:hAnsi="Arial"/>
          <w:b/>
          <w:sz w:val="24"/>
        </w:rPr>
        <w:t>2015</w:t>
      </w:r>
    </w:p>
    <w:p>
      <w:pPr>
        <w:spacing w:after="0"/>
        <w:jc w:val="left"/>
        <w:rPr>
          <w:rFonts w:ascii="Arial" w:hAnsi="Arial"/>
          <w:sz w:val="24"/>
        </w:rPr>
        <w:sectPr>
          <w:type w:val="continuous"/>
          <w:pgSz w:w="12240" w:h="15840"/>
          <w:pgMar w:top="1060" w:bottom="280" w:left="1640" w:right="1240"/>
        </w:sect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spacing w:before="185"/>
        <w:ind w:left="0" w:right="119" w:firstLine="0"/>
        <w:jc w:val="right"/>
        <w:rPr>
          <w:i/>
          <w:sz w:val="24"/>
        </w:rPr>
      </w:pPr>
      <w:r>
        <w:rPr>
          <w:i/>
          <w:sz w:val="24"/>
        </w:rPr>
        <w:t>Porque siempre estás en mi mente y corazón, para ti Ángel que desde el cielo me sonríes,</w:t>
      </w:r>
    </w:p>
    <w:p>
      <w:pPr>
        <w:spacing w:before="0"/>
        <w:ind w:left="0" w:right="117" w:firstLine="0"/>
        <w:jc w:val="right"/>
        <w:rPr>
          <w:i/>
          <w:sz w:val="24"/>
        </w:rPr>
      </w:pPr>
      <w:r>
        <w:rPr>
          <w:i/>
          <w:sz w:val="24"/>
        </w:rPr>
        <w:t>¡lo sé!</w:t>
      </w:r>
    </w:p>
    <w:p>
      <w:pPr>
        <w:spacing w:after="0"/>
        <w:jc w:val="right"/>
        <w:rPr>
          <w:sz w:val="24"/>
        </w:rPr>
        <w:sectPr>
          <w:pgSz w:w="12240" w:h="15840"/>
          <w:pgMar w:top="1500" w:bottom="280" w:left="1720" w:right="1580"/>
        </w:sectPr>
      </w:pPr>
    </w:p>
    <w:p>
      <w:pPr>
        <w:pStyle w:val="Heading1"/>
        <w:spacing w:before="155"/>
        <w:ind w:left="3160" w:right="3299"/>
        <w:jc w:val="center"/>
      </w:pPr>
      <w:r>
        <w:rPr/>
        <w:t>AGRADECIMIENTOS</w:t>
      </w:r>
    </w:p>
    <w:p>
      <w:pPr>
        <w:pStyle w:val="BodyText"/>
        <w:spacing w:before="6"/>
        <w:rPr>
          <w:b/>
          <w:sz w:val="32"/>
        </w:rPr>
      </w:pPr>
    </w:p>
    <w:p>
      <w:pPr>
        <w:spacing w:line="360" w:lineRule="auto" w:before="0"/>
        <w:ind w:left="1732" w:right="118" w:hanging="1110"/>
        <w:jc w:val="right"/>
        <w:rPr>
          <w:i/>
          <w:sz w:val="24"/>
        </w:rPr>
      </w:pPr>
      <w:r>
        <w:rPr>
          <w:i/>
          <w:sz w:val="24"/>
        </w:rPr>
        <w:t>Quiero agradecer a Dios, por estar conmigo en cada paso que doy, por fortalecer mi</w:t>
      </w:r>
      <w:r>
        <w:rPr>
          <w:i/>
          <w:w w:val="99"/>
          <w:sz w:val="24"/>
        </w:rPr>
        <w:t> </w:t>
      </w:r>
      <w:r>
        <w:rPr>
          <w:i/>
          <w:sz w:val="24"/>
        </w:rPr>
        <w:t>corazón e iluminar mi mente y por ser mi consuelo en momentos difíciles.</w:t>
      </w:r>
    </w:p>
    <w:p>
      <w:pPr>
        <w:pStyle w:val="BodyText"/>
        <w:spacing w:before="4"/>
        <w:rPr>
          <w:i/>
          <w:sz w:val="21"/>
        </w:rPr>
      </w:pPr>
    </w:p>
    <w:p>
      <w:pPr>
        <w:spacing w:line="360" w:lineRule="auto" w:before="1"/>
        <w:ind w:left="534" w:right="118" w:firstLine="350"/>
        <w:jc w:val="right"/>
        <w:rPr>
          <w:i/>
          <w:sz w:val="24"/>
        </w:rPr>
      </w:pPr>
      <w:r>
        <w:rPr>
          <w:i/>
          <w:sz w:val="24"/>
        </w:rPr>
        <w:t>A mis padres, hermanos y abuelos por ser el pilar más importante de mi vida, por</w:t>
      </w:r>
      <w:r>
        <w:rPr>
          <w:i/>
          <w:w w:val="99"/>
          <w:sz w:val="24"/>
        </w:rPr>
        <w:t> </w:t>
      </w:r>
      <w:r>
        <w:rPr>
          <w:i/>
          <w:sz w:val="24"/>
        </w:rPr>
        <w:t>demostrarme siempre su cariño y apoyo incondicional, gracias por sus consejos y por</w:t>
      </w:r>
    </w:p>
    <w:p>
      <w:pPr>
        <w:spacing w:before="7"/>
        <w:ind w:left="0" w:right="116" w:firstLine="0"/>
        <w:jc w:val="right"/>
        <w:rPr>
          <w:i/>
          <w:sz w:val="24"/>
        </w:rPr>
      </w:pPr>
      <w:r>
        <w:rPr>
          <w:i/>
          <w:sz w:val="24"/>
        </w:rPr>
        <w:t>inculcar ese sabio don de la responsabilidad, ¡los quiero!</w:t>
      </w:r>
    </w:p>
    <w:p>
      <w:pPr>
        <w:pStyle w:val="BodyText"/>
        <w:spacing w:before="8"/>
        <w:rPr>
          <w:i/>
          <w:sz w:val="32"/>
        </w:rPr>
      </w:pPr>
    </w:p>
    <w:p>
      <w:pPr>
        <w:spacing w:before="1"/>
        <w:ind w:left="0" w:right="119" w:firstLine="0"/>
        <w:jc w:val="right"/>
        <w:rPr>
          <w:i/>
          <w:sz w:val="24"/>
        </w:rPr>
      </w:pPr>
      <w:r>
        <w:rPr>
          <w:i/>
          <w:sz w:val="24"/>
        </w:rPr>
        <w:t>A ti Iván por tu paciencia, por no soltarme de tu mano y por buscar siempre la forma de</w:t>
      </w:r>
    </w:p>
    <w:p>
      <w:pPr>
        <w:spacing w:before="139"/>
        <w:ind w:left="0" w:right="117" w:firstLine="0"/>
        <w:jc w:val="right"/>
        <w:rPr>
          <w:i/>
          <w:sz w:val="24"/>
        </w:rPr>
      </w:pPr>
      <w:r>
        <w:rPr>
          <w:i/>
          <w:sz w:val="24"/>
        </w:rPr>
        <w:t>sacarme una sonrisa.</w:t>
      </w:r>
    </w:p>
    <w:p>
      <w:pPr>
        <w:pStyle w:val="BodyText"/>
        <w:spacing w:before="8"/>
        <w:rPr>
          <w:i/>
          <w:sz w:val="32"/>
        </w:rPr>
      </w:pPr>
    </w:p>
    <w:p>
      <w:pPr>
        <w:spacing w:line="360" w:lineRule="auto" w:before="1"/>
        <w:ind w:left="375" w:right="117" w:hanging="159"/>
        <w:jc w:val="right"/>
        <w:rPr>
          <w:i/>
          <w:sz w:val="24"/>
        </w:rPr>
      </w:pPr>
      <w:r>
        <w:rPr>
          <w:i/>
          <w:sz w:val="24"/>
        </w:rPr>
        <w:t>A la Dra. Yolanda y Dr. Leobardo, por la confianza depositada en mí desde el principio,</w:t>
      </w:r>
      <w:r>
        <w:rPr>
          <w:i/>
          <w:sz w:val="24"/>
        </w:rPr>
        <w:t> por permitirme aprender de ustedes y sobre todo por su apoyo y tiempo dedicado a este</w:t>
      </w:r>
    </w:p>
    <w:p>
      <w:pPr>
        <w:spacing w:before="4"/>
        <w:ind w:left="0" w:right="118" w:firstLine="0"/>
        <w:jc w:val="right"/>
        <w:rPr>
          <w:i/>
          <w:sz w:val="24"/>
        </w:rPr>
      </w:pPr>
      <w:r>
        <w:rPr>
          <w:i/>
          <w:sz w:val="24"/>
        </w:rPr>
        <w:t>trabajo, lo aprecio mucho.</w:t>
      </w:r>
    </w:p>
    <w:p>
      <w:pPr>
        <w:spacing w:line="650" w:lineRule="atLeast" w:before="5"/>
        <w:ind w:left="771" w:right="119" w:firstLine="199"/>
        <w:jc w:val="right"/>
        <w:rPr>
          <w:i/>
          <w:sz w:val="24"/>
        </w:rPr>
      </w:pPr>
      <w:r>
        <w:rPr>
          <w:i/>
          <w:sz w:val="24"/>
        </w:rPr>
        <w:t>A la Dra. Esther por sus valiosas recomendaciones en la revisión de este trabajo.</w:t>
      </w:r>
      <w:r>
        <w:rPr>
          <w:i/>
          <w:sz w:val="24"/>
        </w:rPr>
        <w:t> A mis compañeros y ahora amigos Daff, Judith, Elva y Eloir, por los momentos que</w:t>
      </w:r>
    </w:p>
    <w:p>
      <w:pPr>
        <w:spacing w:before="139"/>
        <w:ind w:left="0" w:right="119" w:firstLine="0"/>
        <w:jc w:val="right"/>
        <w:rPr>
          <w:i/>
          <w:sz w:val="24"/>
        </w:rPr>
      </w:pPr>
      <w:r>
        <w:rPr>
          <w:i/>
          <w:sz w:val="24"/>
        </w:rPr>
        <w:t>pasamos juntos y por el gran equipo que formamos.</w:t>
      </w:r>
    </w:p>
    <w:p>
      <w:pPr>
        <w:pStyle w:val="BodyText"/>
        <w:rPr>
          <w:i/>
        </w:rPr>
      </w:pPr>
    </w:p>
    <w:p>
      <w:pPr>
        <w:pStyle w:val="BodyText"/>
        <w:rPr>
          <w:i/>
        </w:rPr>
      </w:pPr>
    </w:p>
    <w:p>
      <w:pPr>
        <w:pStyle w:val="BodyText"/>
        <w:rPr>
          <w:i/>
        </w:rPr>
      </w:pPr>
    </w:p>
    <w:p>
      <w:pPr>
        <w:spacing w:before="204"/>
        <w:ind w:left="0" w:right="114" w:firstLine="0"/>
        <w:jc w:val="right"/>
        <w:rPr>
          <w:i/>
          <w:sz w:val="24"/>
        </w:rPr>
      </w:pPr>
      <w:r>
        <w:rPr>
          <w:i/>
          <w:sz w:val="24"/>
        </w:rPr>
        <w:t>A todos ustedes, gracias infinitas.</w:t>
      </w:r>
    </w:p>
    <w:p>
      <w:pPr>
        <w:spacing w:before="135"/>
        <w:ind w:left="0" w:right="118" w:firstLine="0"/>
        <w:jc w:val="right"/>
        <w:rPr>
          <w:i/>
          <w:sz w:val="24"/>
        </w:rPr>
      </w:pPr>
      <w:r>
        <w:rPr>
          <w:i/>
          <w:sz w:val="24"/>
        </w:rPr>
        <w:t>Flor Cecilia</w:t>
      </w:r>
    </w:p>
    <w:p>
      <w:pPr>
        <w:spacing w:after="0"/>
        <w:jc w:val="right"/>
        <w:rPr>
          <w:sz w:val="24"/>
        </w:rPr>
        <w:sectPr>
          <w:pgSz w:w="12240" w:h="15840"/>
          <w:pgMar w:top="1500" w:bottom="280" w:left="1720" w:right="1580"/>
        </w:sectPr>
      </w:pPr>
    </w:p>
    <w:p>
      <w:pPr>
        <w:pStyle w:val="BodyText"/>
        <w:spacing w:before="7"/>
        <w:rPr>
          <w:i/>
          <w:sz w:val="10"/>
        </w:rPr>
      </w:pPr>
    </w:p>
    <w:p>
      <w:pPr>
        <w:spacing w:after="0"/>
        <w:rPr>
          <w:sz w:val="10"/>
        </w:rPr>
        <w:sectPr>
          <w:pgSz w:w="12240" w:h="15840"/>
          <w:pgMar w:top="1500" w:bottom="2131" w:left="1600" w:right="1580"/>
        </w:sectPr>
      </w:pPr>
    </w:p>
    <w:sdt>
      <w:sdtPr>
        <w:docPartObj>
          <w:docPartGallery w:val="Table of Contents"/>
          <w:docPartUnique/>
        </w:docPartObj>
      </w:sdtPr>
      <w:sdtEndPr/>
      <w:sdtContent>
        <w:p>
          <w:pPr>
            <w:pStyle w:val="TOC6"/>
            <w:tabs>
              <w:tab w:pos="8938" w:val="right" w:leader="dot"/>
            </w:tabs>
            <w:spacing w:line="566" w:lineRule="auto"/>
            <w:rPr>
              <w:b w:val="0"/>
            </w:rPr>
          </w:pPr>
          <w:r>
            <w:rPr/>
            <w:t>Índice                                               Introducción</w:t>
          </w:r>
          <w:r>
            <w:rPr>
              <w:b w:val="0"/>
            </w:rPr>
            <w:tab/>
            <w:t>3</w:t>
          </w:r>
        </w:p>
        <w:p>
          <w:pPr>
            <w:pStyle w:val="TOC1"/>
            <w:tabs>
              <w:tab w:pos="8911" w:val="right" w:leader="dot"/>
            </w:tabs>
            <w:spacing w:line="357" w:lineRule="auto" w:before="20"/>
            <w:ind w:left="810" w:right="121" w:hanging="708"/>
            <w:rPr>
              <w:b w:val="0"/>
            </w:rPr>
          </w:pPr>
          <w:hyperlink w:history="true" w:anchor="_TOC_250034">
            <w:r>
              <w:rPr/>
              <w:t>Capítulo 1. Las leyes de Kaldor en el contexto de la  teoría  del  crecimiento  económico</w:t>
            </w:r>
            <w:r>
              <w:rPr>
                <w:b w:val="0"/>
              </w:rPr>
              <w:tab/>
              <w:t>9</w:t>
            </w:r>
          </w:hyperlink>
        </w:p>
        <w:p>
          <w:pPr>
            <w:pStyle w:val="TOC2"/>
            <w:numPr>
              <w:ilvl w:val="1"/>
              <w:numId w:val="1"/>
            </w:numPr>
            <w:tabs>
              <w:tab w:pos="522" w:val="left" w:leader="none"/>
              <w:tab w:pos="8942" w:val="right" w:leader="dot"/>
            </w:tabs>
            <w:spacing w:line="240" w:lineRule="auto" w:before="6" w:after="0"/>
            <w:ind w:left="522" w:right="0" w:hanging="420"/>
            <w:jc w:val="left"/>
          </w:pPr>
          <w:hyperlink w:history="true" w:anchor="_TOC_250033">
            <w:r>
              <w:rPr/>
              <w:t>De</w:t>
            </w:r>
            <w:r>
              <w:rPr>
                <w:spacing w:val="-12"/>
              </w:rPr>
              <w:t> </w:t>
            </w:r>
            <w:r>
              <w:rPr/>
              <w:t>los</w:t>
            </w:r>
            <w:r>
              <w:rPr>
                <w:spacing w:val="-10"/>
              </w:rPr>
              <w:t> </w:t>
            </w:r>
            <w:r>
              <w:rPr/>
              <w:t>clásicos</w:t>
            </w:r>
            <w:r>
              <w:rPr>
                <w:spacing w:val="-11"/>
              </w:rPr>
              <w:t> </w:t>
            </w:r>
            <w:r>
              <w:rPr/>
              <w:t>a</w:t>
            </w:r>
            <w:r>
              <w:rPr>
                <w:spacing w:val="-12"/>
              </w:rPr>
              <w:t> </w:t>
            </w:r>
            <w:r>
              <w:rPr/>
              <w:t>la</w:t>
            </w:r>
            <w:r>
              <w:rPr>
                <w:spacing w:val="-11"/>
              </w:rPr>
              <w:t> </w:t>
            </w:r>
            <w:r>
              <w:rPr/>
              <w:t>teoría</w:t>
            </w:r>
            <w:r>
              <w:rPr>
                <w:spacing w:val="-12"/>
              </w:rPr>
              <w:t> </w:t>
            </w:r>
            <w:r>
              <w:rPr/>
              <w:t>moderna</w:t>
            </w:r>
            <w:r>
              <w:rPr>
                <w:spacing w:val="-12"/>
              </w:rPr>
              <w:t> </w:t>
            </w:r>
            <w:r>
              <w:rPr/>
              <w:t>del</w:t>
            </w:r>
            <w:r>
              <w:rPr>
                <w:spacing w:val="-11"/>
              </w:rPr>
              <w:t> </w:t>
            </w:r>
            <w:r>
              <w:rPr/>
              <w:t>crecimiento</w:t>
            </w:r>
            <w:r>
              <w:rPr>
                <w:spacing w:val="-9"/>
              </w:rPr>
              <w:t> </w:t>
            </w:r>
            <w:r>
              <w:rPr/>
              <w:t>económico</w:t>
              <w:tab/>
              <w:t>10</w:t>
            </w:r>
          </w:hyperlink>
        </w:p>
        <w:p>
          <w:pPr>
            <w:pStyle w:val="TOC2"/>
            <w:numPr>
              <w:ilvl w:val="1"/>
              <w:numId w:val="1"/>
            </w:numPr>
            <w:tabs>
              <w:tab w:pos="525" w:val="left" w:leader="none"/>
              <w:tab w:pos="8940" w:val="right" w:leader="dot"/>
            </w:tabs>
            <w:spacing w:line="240" w:lineRule="auto" w:before="140" w:after="0"/>
            <w:ind w:left="524" w:right="0" w:hanging="422"/>
            <w:jc w:val="left"/>
          </w:pPr>
          <w:hyperlink w:history="true" w:anchor="_TOC_250032">
            <w:r>
              <w:rPr/>
              <w:t>Las tres leyes</w:t>
            </w:r>
            <w:r>
              <w:rPr>
                <w:spacing w:val="-14"/>
              </w:rPr>
              <w:t> </w:t>
            </w:r>
            <w:r>
              <w:rPr/>
              <w:t>de</w:t>
            </w:r>
            <w:r>
              <w:rPr>
                <w:spacing w:val="-5"/>
              </w:rPr>
              <w:t> </w:t>
            </w:r>
            <w:r>
              <w:rPr/>
              <w:t>Kaldor</w:t>
              <w:tab/>
              <w:t>17</w:t>
            </w:r>
          </w:hyperlink>
        </w:p>
        <w:p>
          <w:pPr>
            <w:pStyle w:val="TOC1"/>
            <w:tabs>
              <w:tab w:pos="8931" w:val="right" w:leader="dot"/>
            </w:tabs>
            <w:spacing w:line="357" w:lineRule="auto"/>
            <w:rPr>
              <w:b w:val="0"/>
            </w:rPr>
          </w:pPr>
          <w:hyperlink w:history="true" w:anchor="_TOC_250031">
            <w:r>
              <w:rPr/>
              <w:t>Capítulo 2. La industria automotriz en el contexto global: su evolución tecnológica y distribución</w:t>
            </w:r>
            <w:r>
              <w:rPr>
                <w:spacing w:val="1"/>
              </w:rPr>
              <w:t> </w:t>
            </w:r>
            <w:r>
              <w:rPr/>
              <w:t>actual</w:t>
            </w:r>
            <w:r>
              <w:rPr>
                <w:b w:val="0"/>
              </w:rPr>
              <w:tab/>
              <w:t>23</w:t>
            </w:r>
          </w:hyperlink>
        </w:p>
        <w:p>
          <w:pPr>
            <w:pStyle w:val="TOC2"/>
            <w:numPr>
              <w:ilvl w:val="1"/>
              <w:numId w:val="2"/>
            </w:numPr>
            <w:tabs>
              <w:tab w:pos="515" w:val="left" w:leader="none"/>
              <w:tab w:pos="8940" w:val="right" w:leader="dot"/>
            </w:tabs>
            <w:spacing w:line="240" w:lineRule="auto" w:before="6" w:after="0"/>
            <w:ind w:left="514" w:right="0" w:hanging="412"/>
            <w:jc w:val="left"/>
          </w:pPr>
          <w:hyperlink w:history="true" w:anchor="_TOC_250030">
            <w:r>
              <w:rPr/>
              <w:t>Evolución</w:t>
            </w:r>
            <w:r>
              <w:rPr>
                <w:spacing w:val="-7"/>
              </w:rPr>
              <w:t> </w:t>
            </w:r>
            <w:r>
              <w:rPr/>
              <w:t>de</w:t>
            </w:r>
            <w:r>
              <w:rPr>
                <w:spacing w:val="-9"/>
              </w:rPr>
              <w:t> </w:t>
            </w:r>
            <w:r>
              <w:rPr/>
              <w:t>la</w:t>
            </w:r>
            <w:r>
              <w:rPr>
                <w:spacing w:val="-8"/>
              </w:rPr>
              <w:t> </w:t>
            </w:r>
            <w:r>
              <w:rPr/>
              <w:t>industria</w:t>
            </w:r>
            <w:r>
              <w:rPr>
                <w:spacing w:val="-8"/>
              </w:rPr>
              <w:t> </w:t>
            </w:r>
            <w:r>
              <w:rPr/>
              <w:t>automotriz</w:t>
            </w:r>
            <w:r>
              <w:rPr>
                <w:spacing w:val="-6"/>
              </w:rPr>
              <w:t> </w:t>
            </w:r>
            <w:r>
              <w:rPr/>
              <w:t>a</w:t>
            </w:r>
            <w:r>
              <w:rPr>
                <w:spacing w:val="-9"/>
              </w:rPr>
              <w:t> </w:t>
            </w:r>
            <w:r>
              <w:rPr/>
              <w:t>nivel</w:t>
            </w:r>
            <w:r>
              <w:rPr>
                <w:spacing w:val="-6"/>
              </w:rPr>
              <w:t> </w:t>
            </w:r>
            <w:r>
              <w:rPr/>
              <w:t>mundial…</w:t>
              <w:tab/>
              <w:t>24</w:t>
            </w:r>
          </w:hyperlink>
        </w:p>
        <w:p>
          <w:pPr>
            <w:pStyle w:val="TOC5"/>
            <w:numPr>
              <w:ilvl w:val="2"/>
              <w:numId w:val="2"/>
            </w:numPr>
            <w:tabs>
              <w:tab w:pos="1401" w:val="left" w:leader="none"/>
              <w:tab w:pos="8940" w:val="right" w:leader="dot"/>
            </w:tabs>
            <w:spacing w:line="240" w:lineRule="auto" w:before="139" w:after="0"/>
            <w:ind w:left="1400" w:right="0" w:hanging="590"/>
            <w:jc w:val="left"/>
          </w:pPr>
          <w:hyperlink w:history="true" w:anchor="_TOC_250029">
            <w:r>
              <w:rPr/>
              <w:t>Del Fordismo</w:t>
            </w:r>
            <w:r>
              <w:rPr>
                <w:spacing w:val="-21"/>
              </w:rPr>
              <w:t> </w:t>
            </w:r>
            <w:r>
              <w:rPr/>
              <w:t>al</w:t>
            </w:r>
            <w:r>
              <w:rPr>
                <w:spacing w:val="-11"/>
              </w:rPr>
              <w:t> </w:t>
            </w:r>
            <w:r>
              <w:rPr/>
              <w:t>Toyotismo</w:t>
              <w:tab/>
              <w:t>24</w:t>
            </w:r>
          </w:hyperlink>
        </w:p>
        <w:p>
          <w:pPr>
            <w:pStyle w:val="TOC5"/>
            <w:numPr>
              <w:ilvl w:val="2"/>
              <w:numId w:val="2"/>
            </w:numPr>
            <w:tabs>
              <w:tab w:pos="1398" w:val="left" w:leader="none"/>
              <w:tab w:pos="8940" w:val="right" w:leader="dot"/>
            </w:tabs>
            <w:spacing w:line="240" w:lineRule="auto" w:before="137" w:after="0"/>
            <w:ind w:left="1398" w:right="0" w:hanging="588"/>
            <w:jc w:val="left"/>
          </w:pPr>
          <w:hyperlink w:history="true" w:anchor="_TOC_250028">
            <w:r>
              <w:rPr/>
              <w:t>El sistema de</w:t>
            </w:r>
            <w:r>
              <w:rPr>
                <w:spacing w:val="-39"/>
              </w:rPr>
              <w:t> </w:t>
            </w:r>
            <w:r>
              <w:rPr/>
              <w:t>producción</w:t>
            </w:r>
            <w:r>
              <w:rPr>
                <w:spacing w:val="-12"/>
              </w:rPr>
              <w:t> </w:t>
            </w:r>
            <w:r>
              <w:rPr/>
              <w:t>modular</w:t>
              <w:tab/>
              <w:t>28</w:t>
            </w:r>
          </w:hyperlink>
        </w:p>
        <w:p>
          <w:pPr>
            <w:pStyle w:val="TOC5"/>
            <w:numPr>
              <w:ilvl w:val="2"/>
              <w:numId w:val="2"/>
            </w:numPr>
            <w:tabs>
              <w:tab w:pos="1401" w:val="left" w:leader="none"/>
              <w:tab w:pos="8943" w:val="right" w:leader="dot"/>
            </w:tabs>
            <w:spacing w:line="240" w:lineRule="auto" w:before="139" w:after="0"/>
            <w:ind w:left="1400" w:right="0" w:hanging="590"/>
            <w:jc w:val="left"/>
          </w:pPr>
          <w:hyperlink w:history="true" w:anchor="_TOC_250027">
            <w:r>
              <w:rPr/>
              <w:t>Tendencias</w:t>
            </w:r>
            <w:r>
              <w:rPr>
                <w:spacing w:val="-11"/>
              </w:rPr>
              <w:t> </w:t>
            </w:r>
            <w:r>
              <w:rPr/>
              <w:t>recientes</w:t>
            </w:r>
            <w:r>
              <w:rPr>
                <w:spacing w:val="-11"/>
              </w:rPr>
              <w:t> </w:t>
            </w:r>
            <w:r>
              <w:rPr/>
              <w:t>de</w:t>
            </w:r>
            <w:r>
              <w:rPr>
                <w:spacing w:val="-12"/>
              </w:rPr>
              <w:t> </w:t>
            </w:r>
            <w:r>
              <w:rPr/>
              <w:t>la</w:t>
            </w:r>
            <w:r>
              <w:rPr>
                <w:spacing w:val="-12"/>
              </w:rPr>
              <w:t> </w:t>
            </w:r>
            <w:r>
              <w:rPr/>
              <w:t>industria</w:t>
            </w:r>
            <w:r>
              <w:rPr>
                <w:spacing w:val="-12"/>
              </w:rPr>
              <w:t> </w:t>
            </w:r>
            <w:r>
              <w:rPr/>
              <w:t>automotriz</w:t>
            </w:r>
            <w:r>
              <w:rPr>
                <w:spacing w:val="-10"/>
              </w:rPr>
              <w:t> </w:t>
            </w:r>
            <w:r>
              <w:rPr/>
              <w:t>en</w:t>
            </w:r>
            <w:r>
              <w:rPr>
                <w:spacing w:val="-11"/>
              </w:rPr>
              <w:t> </w:t>
            </w:r>
            <w:r>
              <w:rPr/>
              <w:t>el</w:t>
            </w:r>
            <w:r>
              <w:rPr>
                <w:spacing w:val="-8"/>
              </w:rPr>
              <w:t> </w:t>
            </w:r>
            <w:r>
              <w:rPr/>
              <w:t>mundo</w:t>
              <w:tab/>
              <w:t>32</w:t>
            </w:r>
          </w:hyperlink>
        </w:p>
        <w:p>
          <w:pPr>
            <w:pStyle w:val="TOC5"/>
            <w:numPr>
              <w:ilvl w:val="2"/>
              <w:numId w:val="2"/>
            </w:numPr>
            <w:tabs>
              <w:tab w:pos="1408" w:val="left" w:leader="none"/>
              <w:tab w:pos="8943" w:val="right" w:leader="dot"/>
            </w:tabs>
            <w:spacing w:line="240" w:lineRule="auto" w:before="137" w:after="0"/>
            <w:ind w:left="1407" w:right="0" w:hanging="597"/>
            <w:jc w:val="left"/>
          </w:pPr>
          <w:hyperlink w:history="true" w:anchor="_TOC_250026">
            <w:r>
              <w:rPr/>
              <w:t>Las nuevas</w:t>
            </w:r>
            <w:r>
              <w:rPr>
                <w:spacing w:val="-11"/>
              </w:rPr>
              <w:t> </w:t>
            </w:r>
            <w:r>
              <w:rPr/>
              <w:t>tecnologías</w:t>
            </w:r>
            <w:r>
              <w:rPr>
                <w:spacing w:val="-6"/>
              </w:rPr>
              <w:t> </w:t>
            </w:r>
            <w:r>
              <w:rPr/>
              <w:t>híbridas</w:t>
              <w:tab/>
              <w:t>34</w:t>
            </w:r>
          </w:hyperlink>
        </w:p>
        <w:p>
          <w:pPr>
            <w:pStyle w:val="TOC2"/>
            <w:numPr>
              <w:ilvl w:val="1"/>
              <w:numId w:val="2"/>
            </w:numPr>
            <w:tabs>
              <w:tab w:pos="515" w:val="left" w:leader="none"/>
              <w:tab w:pos="8940" w:val="right" w:leader="dot"/>
            </w:tabs>
            <w:spacing w:line="240" w:lineRule="auto" w:before="139" w:after="0"/>
            <w:ind w:left="514" w:right="0" w:hanging="412"/>
            <w:jc w:val="left"/>
          </w:pPr>
          <w:hyperlink w:history="true" w:anchor="_TOC_250025">
            <w:r>
              <w:rPr/>
              <w:t>Distribución</w:t>
            </w:r>
            <w:r>
              <w:rPr>
                <w:spacing w:val="-8"/>
              </w:rPr>
              <w:t> </w:t>
            </w:r>
            <w:r>
              <w:rPr/>
              <w:t>actual</w:t>
            </w:r>
            <w:r>
              <w:rPr>
                <w:spacing w:val="-9"/>
              </w:rPr>
              <w:t> </w:t>
            </w:r>
            <w:r>
              <w:rPr/>
              <w:t>de</w:t>
            </w:r>
            <w:r>
              <w:rPr>
                <w:spacing w:val="-10"/>
              </w:rPr>
              <w:t> </w:t>
            </w:r>
            <w:r>
              <w:rPr/>
              <w:t>la</w:t>
            </w:r>
            <w:r>
              <w:rPr>
                <w:spacing w:val="-7"/>
              </w:rPr>
              <w:t> </w:t>
            </w:r>
            <w:r>
              <w:rPr/>
              <w:t>industria</w:t>
            </w:r>
            <w:r>
              <w:rPr>
                <w:spacing w:val="-9"/>
              </w:rPr>
              <w:t> </w:t>
            </w:r>
            <w:r>
              <w:rPr/>
              <w:t>automotriz</w:t>
            </w:r>
            <w:r>
              <w:rPr>
                <w:spacing w:val="-5"/>
              </w:rPr>
              <w:t> </w:t>
            </w:r>
            <w:r>
              <w:rPr/>
              <w:t>en</w:t>
            </w:r>
            <w:r>
              <w:rPr>
                <w:spacing w:val="-9"/>
              </w:rPr>
              <w:t> </w:t>
            </w:r>
            <w:r>
              <w:rPr/>
              <w:t>el</w:t>
            </w:r>
            <w:r>
              <w:rPr>
                <w:spacing w:val="-6"/>
              </w:rPr>
              <w:t> </w:t>
            </w:r>
            <w:r>
              <w:rPr/>
              <w:t>mundo…</w:t>
              <w:tab/>
              <w:t>37</w:t>
            </w:r>
          </w:hyperlink>
        </w:p>
        <w:p>
          <w:pPr>
            <w:pStyle w:val="TOC5"/>
            <w:numPr>
              <w:ilvl w:val="2"/>
              <w:numId w:val="2"/>
            </w:numPr>
            <w:tabs>
              <w:tab w:pos="1406" w:val="left" w:leader="none"/>
              <w:tab w:pos="8943" w:val="right" w:leader="dot"/>
            </w:tabs>
            <w:spacing w:line="240" w:lineRule="auto" w:before="137" w:after="0"/>
            <w:ind w:left="1405" w:right="0" w:hanging="595"/>
            <w:jc w:val="left"/>
          </w:pPr>
          <w:hyperlink w:history="true" w:anchor="_TOC_250024">
            <w:r>
              <w:rPr/>
              <w:t>La producción de automóviles a</w:t>
            </w:r>
            <w:r>
              <w:rPr>
                <w:spacing w:val="-39"/>
              </w:rPr>
              <w:t> </w:t>
            </w:r>
            <w:r>
              <w:rPr/>
              <w:t>nivel</w:t>
            </w:r>
            <w:r>
              <w:rPr>
                <w:spacing w:val="-9"/>
              </w:rPr>
              <w:t> </w:t>
            </w:r>
            <w:r>
              <w:rPr/>
              <w:t>mundial</w:t>
              <w:tab/>
              <w:t>38</w:t>
            </w:r>
          </w:hyperlink>
        </w:p>
        <w:p>
          <w:pPr>
            <w:pStyle w:val="TOC5"/>
            <w:numPr>
              <w:ilvl w:val="2"/>
              <w:numId w:val="2"/>
            </w:numPr>
            <w:tabs>
              <w:tab w:pos="1403" w:val="left" w:leader="none"/>
              <w:tab w:pos="8943" w:val="right" w:leader="dot"/>
            </w:tabs>
            <w:spacing w:line="240" w:lineRule="auto" w:before="139" w:after="0"/>
            <w:ind w:left="1402" w:right="0" w:hanging="592"/>
            <w:jc w:val="left"/>
          </w:pPr>
          <w:hyperlink w:history="true" w:anchor="_TOC_250023">
            <w:r>
              <w:rPr>
                <w:spacing w:val="-3"/>
              </w:rPr>
              <w:t>La </w:t>
            </w:r>
            <w:r>
              <w:rPr/>
              <w:t>industria mundial</w:t>
            </w:r>
            <w:r>
              <w:rPr>
                <w:spacing w:val="-29"/>
              </w:rPr>
              <w:t> </w:t>
            </w:r>
            <w:r>
              <w:rPr/>
              <w:t>de</w:t>
            </w:r>
            <w:r>
              <w:rPr>
                <w:spacing w:val="-12"/>
              </w:rPr>
              <w:t> </w:t>
            </w:r>
            <w:r>
              <w:rPr/>
              <w:t>autopartes</w:t>
              <w:tab/>
              <w:t>43</w:t>
            </w:r>
          </w:hyperlink>
        </w:p>
        <w:p>
          <w:pPr>
            <w:pStyle w:val="TOC1"/>
            <w:tabs>
              <w:tab w:pos="8943" w:val="right" w:leader="dot"/>
            </w:tabs>
            <w:spacing w:line="357" w:lineRule="auto"/>
            <w:ind w:right="114"/>
            <w:rPr>
              <w:b w:val="0"/>
            </w:rPr>
          </w:pPr>
          <w:hyperlink w:history="true" w:anchor="_TOC_250022">
            <w:r>
              <w:rPr/>
              <w:t>Capítulo     3.     La     manufactura     y      la      industria      automotriz      en   México</w:t>
            </w:r>
            <w:r>
              <w:rPr>
                <w:b w:val="0"/>
              </w:rPr>
              <w:tab/>
              <w:t>53</w:t>
            </w:r>
          </w:hyperlink>
        </w:p>
        <w:p>
          <w:pPr>
            <w:pStyle w:val="TOC2"/>
            <w:numPr>
              <w:ilvl w:val="1"/>
              <w:numId w:val="3"/>
            </w:numPr>
            <w:tabs>
              <w:tab w:pos="510" w:val="left" w:leader="none"/>
              <w:tab w:pos="8940" w:val="right" w:leader="dot"/>
            </w:tabs>
            <w:spacing w:line="240" w:lineRule="auto" w:before="7" w:after="0"/>
            <w:ind w:left="510" w:right="0" w:hanging="408"/>
            <w:jc w:val="left"/>
          </w:pPr>
          <w:hyperlink w:history="true" w:anchor="_TOC_250021">
            <w:r>
              <w:rPr/>
              <w:t>Desarrollo</w:t>
            </w:r>
            <w:r>
              <w:rPr>
                <w:spacing w:val="-13"/>
              </w:rPr>
              <w:t> </w:t>
            </w:r>
            <w:r>
              <w:rPr/>
              <w:t>del</w:t>
            </w:r>
            <w:r>
              <w:rPr>
                <w:spacing w:val="-13"/>
              </w:rPr>
              <w:t> </w:t>
            </w:r>
            <w:r>
              <w:rPr/>
              <w:t>sector</w:t>
            </w:r>
            <w:r>
              <w:rPr>
                <w:spacing w:val="-11"/>
              </w:rPr>
              <w:t> </w:t>
            </w:r>
            <w:r>
              <w:rPr/>
              <w:t>manufacturero</w:t>
            </w:r>
            <w:r>
              <w:rPr>
                <w:spacing w:val="-12"/>
              </w:rPr>
              <w:t> </w:t>
            </w:r>
            <w:r>
              <w:rPr/>
              <w:t>en</w:t>
            </w:r>
            <w:r>
              <w:rPr>
                <w:spacing w:val="-13"/>
              </w:rPr>
              <w:t> </w:t>
            </w:r>
            <w:r>
              <w:rPr/>
              <w:t>México</w:t>
              <w:tab/>
              <w:t>53</w:t>
            </w:r>
          </w:hyperlink>
        </w:p>
        <w:p>
          <w:pPr>
            <w:pStyle w:val="TOC2"/>
            <w:numPr>
              <w:ilvl w:val="1"/>
              <w:numId w:val="3"/>
            </w:numPr>
            <w:tabs>
              <w:tab w:pos="515" w:val="left" w:leader="none"/>
              <w:tab w:pos="8943" w:val="right" w:leader="dot"/>
            </w:tabs>
            <w:spacing w:line="240" w:lineRule="auto" w:before="139" w:after="0"/>
            <w:ind w:left="514" w:right="0" w:hanging="412"/>
            <w:jc w:val="left"/>
          </w:pPr>
          <w:hyperlink w:history="true" w:anchor="_TOC_250020">
            <w:r>
              <w:rPr>
                <w:spacing w:val="-3"/>
              </w:rPr>
              <w:t>La</w:t>
            </w:r>
            <w:r>
              <w:rPr>
                <w:spacing w:val="-11"/>
              </w:rPr>
              <w:t> </w:t>
            </w:r>
            <w:r>
              <w:rPr/>
              <w:t>dinámica</w:t>
            </w:r>
            <w:r>
              <w:rPr>
                <w:spacing w:val="-11"/>
              </w:rPr>
              <w:t> </w:t>
            </w:r>
            <w:r>
              <w:rPr/>
              <w:t>del</w:t>
            </w:r>
            <w:r>
              <w:rPr>
                <w:spacing w:val="-10"/>
              </w:rPr>
              <w:t> </w:t>
            </w:r>
            <w:r>
              <w:rPr/>
              <w:t>sector</w:t>
            </w:r>
            <w:r>
              <w:rPr>
                <w:spacing w:val="-11"/>
              </w:rPr>
              <w:t> </w:t>
            </w:r>
            <w:r>
              <w:rPr/>
              <w:t>manufacturero</w:t>
            </w:r>
            <w:r>
              <w:rPr>
                <w:spacing w:val="-11"/>
              </w:rPr>
              <w:t> </w:t>
            </w:r>
            <w:r>
              <w:rPr/>
              <w:t>en</w:t>
            </w:r>
            <w:r>
              <w:rPr>
                <w:spacing w:val="-10"/>
              </w:rPr>
              <w:t> </w:t>
            </w:r>
            <w:r>
              <w:rPr/>
              <w:t>México…</w:t>
              <w:tab/>
              <w:t>57</w:t>
            </w:r>
          </w:hyperlink>
        </w:p>
        <w:p>
          <w:pPr>
            <w:pStyle w:val="TOC2"/>
            <w:numPr>
              <w:ilvl w:val="1"/>
              <w:numId w:val="3"/>
            </w:numPr>
            <w:tabs>
              <w:tab w:pos="510" w:val="left" w:leader="none"/>
              <w:tab w:pos="8943" w:val="right" w:leader="dot"/>
            </w:tabs>
            <w:spacing w:line="240" w:lineRule="auto" w:before="137" w:after="0"/>
            <w:ind w:left="510" w:right="0" w:hanging="408"/>
            <w:jc w:val="left"/>
          </w:pPr>
          <w:hyperlink w:history="true" w:anchor="_TOC_250019">
            <w:r>
              <w:rPr/>
              <w:t>Desarrollo</w:t>
            </w:r>
            <w:r>
              <w:rPr>
                <w:spacing w:val="-13"/>
              </w:rPr>
              <w:t> </w:t>
            </w:r>
            <w:r>
              <w:rPr/>
              <w:t>de</w:t>
            </w:r>
            <w:r>
              <w:rPr>
                <w:spacing w:val="-13"/>
              </w:rPr>
              <w:t> </w:t>
            </w:r>
            <w:r>
              <w:rPr/>
              <w:t>la</w:t>
            </w:r>
            <w:r>
              <w:rPr>
                <w:spacing w:val="-13"/>
              </w:rPr>
              <w:t> </w:t>
            </w:r>
            <w:r>
              <w:rPr/>
              <w:t>industria</w:t>
            </w:r>
            <w:r>
              <w:rPr>
                <w:spacing w:val="-13"/>
              </w:rPr>
              <w:t> </w:t>
            </w:r>
            <w:r>
              <w:rPr/>
              <w:t>automotriz</w:t>
            </w:r>
            <w:r>
              <w:rPr>
                <w:spacing w:val="-12"/>
              </w:rPr>
              <w:t> </w:t>
            </w:r>
            <w:r>
              <w:rPr/>
              <w:t>en</w:t>
            </w:r>
            <w:r>
              <w:rPr>
                <w:spacing w:val="-12"/>
              </w:rPr>
              <w:t> </w:t>
            </w:r>
            <w:r>
              <w:rPr/>
              <w:t>México</w:t>
              <w:tab/>
              <w:t>63</w:t>
            </w:r>
          </w:hyperlink>
        </w:p>
        <w:p>
          <w:pPr>
            <w:pStyle w:val="TOC5"/>
            <w:numPr>
              <w:ilvl w:val="2"/>
              <w:numId w:val="3"/>
            </w:numPr>
            <w:tabs>
              <w:tab w:pos="1401" w:val="left" w:leader="none"/>
              <w:tab w:pos="8940" w:val="right" w:leader="dot"/>
            </w:tabs>
            <w:spacing w:line="240" w:lineRule="auto" w:before="139" w:after="0"/>
            <w:ind w:left="1400" w:right="0" w:hanging="590"/>
            <w:jc w:val="left"/>
          </w:pPr>
          <w:hyperlink w:history="true" w:anchor="_TOC_250018">
            <w:r>
              <w:rPr/>
              <w:t>Nacimiento</w:t>
            </w:r>
            <w:r>
              <w:rPr>
                <w:spacing w:val="-9"/>
              </w:rPr>
              <w:t> </w:t>
            </w:r>
            <w:r>
              <w:rPr/>
              <w:t>de</w:t>
            </w:r>
            <w:r>
              <w:rPr>
                <w:spacing w:val="-11"/>
              </w:rPr>
              <w:t> </w:t>
            </w:r>
            <w:r>
              <w:rPr/>
              <w:t>la</w:t>
            </w:r>
            <w:r>
              <w:rPr>
                <w:spacing w:val="-8"/>
              </w:rPr>
              <w:t> </w:t>
            </w:r>
            <w:r>
              <w:rPr/>
              <w:t>industria</w:t>
            </w:r>
            <w:r>
              <w:rPr>
                <w:spacing w:val="-11"/>
              </w:rPr>
              <w:t> </w:t>
            </w:r>
            <w:r>
              <w:rPr/>
              <w:t>automotriz</w:t>
            </w:r>
            <w:r>
              <w:rPr>
                <w:spacing w:val="-9"/>
              </w:rPr>
              <w:t> </w:t>
            </w:r>
            <w:r>
              <w:rPr/>
              <w:t>en</w:t>
            </w:r>
            <w:r>
              <w:rPr>
                <w:spacing w:val="-10"/>
              </w:rPr>
              <w:t> </w:t>
            </w:r>
            <w:r>
              <w:rPr/>
              <w:t>México</w:t>
              <w:tab/>
              <w:t>64</w:t>
            </w:r>
          </w:hyperlink>
        </w:p>
        <w:p>
          <w:pPr>
            <w:pStyle w:val="TOC2"/>
            <w:numPr>
              <w:ilvl w:val="1"/>
              <w:numId w:val="3"/>
            </w:numPr>
            <w:tabs>
              <w:tab w:pos="510" w:val="left" w:leader="none"/>
              <w:tab w:pos="8940" w:val="right" w:leader="dot"/>
            </w:tabs>
            <w:spacing w:line="240" w:lineRule="auto" w:before="137" w:after="0"/>
            <w:ind w:left="510" w:right="0" w:hanging="408"/>
            <w:jc w:val="left"/>
          </w:pPr>
          <w:hyperlink w:history="true" w:anchor="_TOC_250017">
            <w:r>
              <w:rPr/>
              <w:t>Estructura</w:t>
            </w:r>
            <w:r>
              <w:rPr>
                <w:spacing w:val="-13"/>
              </w:rPr>
              <w:t> </w:t>
            </w:r>
            <w:r>
              <w:rPr/>
              <w:t>actual</w:t>
            </w:r>
            <w:r>
              <w:rPr>
                <w:spacing w:val="-13"/>
              </w:rPr>
              <w:t> </w:t>
            </w:r>
            <w:r>
              <w:rPr/>
              <w:t>de</w:t>
            </w:r>
            <w:r>
              <w:rPr>
                <w:spacing w:val="-12"/>
              </w:rPr>
              <w:t> </w:t>
            </w:r>
            <w:r>
              <w:rPr/>
              <w:t>la</w:t>
            </w:r>
            <w:r>
              <w:rPr>
                <w:spacing w:val="-14"/>
              </w:rPr>
              <w:t> </w:t>
            </w:r>
            <w:r>
              <w:rPr/>
              <w:t>industria</w:t>
            </w:r>
            <w:r>
              <w:rPr>
                <w:spacing w:val="-14"/>
              </w:rPr>
              <w:t> </w:t>
            </w:r>
            <w:r>
              <w:rPr/>
              <w:t>automotriz</w:t>
            </w:r>
            <w:r>
              <w:rPr>
                <w:spacing w:val="-9"/>
              </w:rPr>
              <w:t> </w:t>
            </w:r>
            <w:r>
              <w:rPr/>
              <w:t>en</w:t>
            </w:r>
            <w:r>
              <w:rPr>
                <w:spacing w:val="-11"/>
              </w:rPr>
              <w:t> </w:t>
            </w:r>
            <w:r>
              <w:rPr/>
              <w:t>México</w:t>
              <w:tab/>
              <w:t>69</w:t>
            </w:r>
          </w:hyperlink>
        </w:p>
        <w:p>
          <w:pPr>
            <w:pStyle w:val="TOC4"/>
            <w:numPr>
              <w:ilvl w:val="2"/>
              <w:numId w:val="3"/>
            </w:numPr>
            <w:tabs>
              <w:tab w:pos="1722" w:val="left" w:leader="none"/>
              <w:tab w:pos="8938" w:val="right" w:leader="dot"/>
            </w:tabs>
            <w:spacing w:line="360" w:lineRule="auto" w:before="139" w:after="0"/>
            <w:ind w:left="102" w:right="119" w:firstLine="660"/>
            <w:jc w:val="left"/>
          </w:pPr>
          <w:hyperlink w:history="true" w:anchor="_TOC_250016">
            <w:r>
              <w:rPr/>
              <w:t>Relocalización    espacial    de    la    industria    automotriz    en     México.</w:t>
              <w:tab/>
              <w:t>72</w:t>
            </w:r>
          </w:hyperlink>
        </w:p>
        <w:p>
          <w:pPr>
            <w:pStyle w:val="TOC2"/>
            <w:numPr>
              <w:ilvl w:val="1"/>
              <w:numId w:val="3"/>
            </w:numPr>
            <w:tabs>
              <w:tab w:pos="518" w:val="left" w:leader="none"/>
              <w:tab w:pos="8943" w:val="right" w:leader="dot"/>
            </w:tabs>
            <w:spacing w:line="240" w:lineRule="auto" w:before="6" w:after="0"/>
            <w:ind w:left="517" w:right="0" w:hanging="415"/>
            <w:jc w:val="left"/>
          </w:pPr>
          <w:hyperlink w:history="true" w:anchor="_TOC_250015">
            <w:r>
              <w:rPr/>
              <w:t>Importancia de la industria automotriz</w:t>
            </w:r>
            <w:r>
              <w:rPr>
                <w:spacing w:val="-40"/>
              </w:rPr>
              <w:t> </w:t>
            </w:r>
            <w:r>
              <w:rPr/>
              <w:t>en</w:t>
            </w:r>
            <w:r>
              <w:rPr>
                <w:spacing w:val="-9"/>
              </w:rPr>
              <w:t> </w:t>
            </w:r>
            <w:r>
              <w:rPr/>
              <w:t>México…</w:t>
              <w:tab/>
              <w:t>76</w:t>
            </w:r>
          </w:hyperlink>
        </w:p>
        <w:p>
          <w:pPr>
            <w:pStyle w:val="TOC5"/>
            <w:numPr>
              <w:ilvl w:val="2"/>
              <w:numId w:val="3"/>
            </w:numPr>
            <w:tabs>
              <w:tab w:pos="1403" w:val="left" w:leader="none"/>
              <w:tab w:pos="8940" w:val="right" w:leader="dot"/>
            </w:tabs>
            <w:spacing w:line="240" w:lineRule="auto" w:before="137" w:after="0"/>
            <w:ind w:left="1402" w:right="0" w:hanging="592"/>
            <w:jc w:val="left"/>
          </w:pPr>
          <w:r>
            <w:rPr/>
            <w:t>Dinámica de la industria automotriz</w:t>
          </w:r>
          <w:r>
            <w:rPr>
              <w:spacing w:val="-41"/>
            </w:rPr>
            <w:t> </w:t>
          </w:r>
          <w:r>
            <w:rPr/>
            <w:t>en</w:t>
          </w:r>
          <w:r>
            <w:rPr>
              <w:spacing w:val="-7"/>
            </w:rPr>
            <w:t> </w:t>
          </w:r>
          <w:r>
            <w:rPr/>
            <w:t>México…</w:t>
            <w:tab/>
            <w:t>78</w:t>
          </w:r>
        </w:p>
        <w:p>
          <w:pPr>
            <w:pStyle w:val="TOC1"/>
            <w:tabs>
              <w:tab w:pos="8700" w:val="left" w:leader="dot"/>
            </w:tabs>
            <w:spacing w:before="50"/>
            <w:ind w:right="0"/>
            <w:rPr>
              <w:b w:val="0"/>
            </w:rPr>
          </w:pPr>
          <w:hyperlink w:history="true" w:anchor="_TOC_250014">
            <w:r>
              <w:rPr/>
              <w:t>Capítulo 4. El sector automotriz en cuatro regiones</w:t>
            </w:r>
            <w:r>
              <w:rPr>
                <w:spacing w:val="-12"/>
              </w:rPr>
              <w:t> </w:t>
            </w:r>
            <w:r>
              <w:rPr/>
              <w:t>de</w:t>
            </w:r>
            <w:r>
              <w:rPr>
                <w:spacing w:val="-10"/>
              </w:rPr>
              <w:t> </w:t>
            </w:r>
            <w:r>
              <w:rPr/>
              <w:t>México</w:t>
            </w:r>
            <w:r>
              <w:rPr>
                <w:b w:val="0"/>
              </w:rPr>
              <w:tab/>
              <w:t>83</w:t>
            </w:r>
          </w:hyperlink>
        </w:p>
        <w:p>
          <w:pPr>
            <w:pStyle w:val="TOC2"/>
            <w:numPr>
              <w:ilvl w:val="1"/>
              <w:numId w:val="4"/>
            </w:numPr>
            <w:tabs>
              <w:tab w:pos="518" w:val="left" w:leader="none"/>
              <w:tab w:pos="8700" w:val="left" w:leader="dot"/>
            </w:tabs>
            <w:spacing w:line="240" w:lineRule="auto" w:before="139" w:after="0"/>
            <w:ind w:left="102" w:right="0" w:firstLine="0"/>
            <w:jc w:val="left"/>
          </w:pPr>
          <w:hyperlink w:history="true" w:anchor="_TOC_250013">
            <w:r>
              <w:rPr/>
              <w:t>Desempeño</w:t>
            </w:r>
            <w:r>
              <w:rPr>
                <w:spacing w:val="-8"/>
              </w:rPr>
              <w:t> </w:t>
            </w:r>
            <w:r>
              <w:rPr/>
              <w:t>de</w:t>
            </w:r>
            <w:r>
              <w:rPr>
                <w:spacing w:val="-8"/>
              </w:rPr>
              <w:t> </w:t>
            </w:r>
            <w:r>
              <w:rPr/>
              <w:t>la</w:t>
            </w:r>
            <w:r>
              <w:rPr>
                <w:spacing w:val="-8"/>
              </w:rPr>
              <w:t> </w:t>
            </w:r>
            <w:r>
              <w:rPr/>
              <w:t>industria</w:t>
            </w:r>
            <w:r>
              <w:rPr>
                <w:spacing w:val="-8"/>
              </w:rPr>
              <w:t> </w:t>
            </w:r>
            <w:r>
              <w:rPr/>
              <w:t>automotriz</w:t>
            </w:r>
            <w:r>
              <w:rPr>
                <w:spacing w:val="-6"/>
              </w:rPr>
              <w:t> </w:t>
            </w:r>
            <w:r>
              <w:rPr/>
              <w:t>en</w:t>
            </w:r>
            <w:r>
              <w:rPr>
                <w:spacing w:val="-7"/>
              </w:rPr>
              <w:t> </w:t>
            </w:r>
            <w:r>
              <w:rPr/>
              <w:t>el</w:t>
            </w:r>
            <w:r>
              <w:rPr>
                <w:spacing w:val="-7"/>
              </w:rPr>
              <w:t> </w:t>
            </w:r>
            <w:r>
              <w:rPr/>
              <w:t>sector</w:t>
            </w:r>
            <w:r>
              <w:rPr>
                <w:spacing w:val="-8"/>
              </w:rPr>
              <w:t> </w:t>
            </w:r>
            <w:r>
              <w:rPr/>
              <w:t>manufacturero</w:t>
            </w:r>
            <w:r>
              <w:rPr>
                <w:spacing w:val="-8"/>
              </w:rPr>
              <w:t> </w:t>
            </w:r>
            <w:r>
              <w:rPr/>
              <w:t>de</w:t>
            </w:r>
            <w:r>
              <w:rPr>
                <w:spacing w:val="-8"/>
              </w:rPr>
              <w:t> </w:t>
            </w:r>
            <w:r>
              <w:rPr/>
              <w:t>México</w:t>
              <w:tab/>
              <w:t>83</w:t>
            </w:r>
          </w:hyperlink>
        </w:p>
        <w:p>
          <w:pPr>
            <w:pStyle w:val="TOC2"/>
            <w:numPr>
              <w:ilvl w:val="1"/>
              <w:numId w:val="4"/>
            </w:numPr>
            <w:tabs>
              <w:tab w:pos="518" w:val="left" w:leader="none"/>
              <w:tab w:pos="8700" w:val="left" w:leader="dot"/>
            </w:tabs>
            <w:spacing w:line="240" w:lineRule="auto" w:before="137" w:after="0"/>
            <w:ind w:left="517" w:right="0" w:hanging="415"/>
            <w:jc w:val="left"/>
          </w:pPr>
          <w:hyperlink w:history="true" w:anchor="_TOC_250012">
            <w:r>
              <w:rPr/>
              <w:t>Las</w:t>
            </w:r>
            <w:r>
              <w:rPr>
                <w:spacing w:val="-6"/>
              </w:rPr>
              <w:t> </w:t>
            </w:r>
            <w:r>
              <w:rPr/>
              <w:t>cuatro</w:t>
            </w:r>
            <w:r>
              <w:rPr>
                <w:spacing w:val="-7"/>
              </w:rPr>
              <w:t> </w:t>
            </w:r>
            <w:r>
              <w:rPr/>
              <w:t>regiones</w:t>
            </w:r>
            <w:r>
              <w:rPr>
                <w:spacing w:val="-8"/>
              </w:rPr>
              <w:t> </w:t>
            </w:r>
            <w:r>
              <w:rPr/>
              <w:t>de</w:t>
            </w:r>
            <w:r>
              <w:rPr>
                <w:spacing w:val="-10"/>
              </w:rPr>
              <w:t> </w:t>
            </w:r>
            <w:r>
              <w:rPr/>
              <w:t>la</w:t>
            </w:r>
            <w:r>
              <w:rPr>
                <w:spacing w:val="-7"/>
              </w:rPr>
              <w:t> </w:t>
            </w:r>
            <w:r>
              <w:rPr/>
              <w:t>industria</w:t>
            </w:r>
            <w:r>
              <w:rPr>
                <w:spacing w:val="-9"/>
              </w:rPr>
              <w:t> </w:t>
            </w:r>
            <w:r>
              <w:rPr/>
              <w:t>automotriz</w:t>
            </w:r>
            <w:r>
              <w:rPr>
                <w:spacing w:val="-5"/>
              </w:rPr>
              <w:t> </w:t>
            </w:r>
            <w:r>
              <w:rPr/>
              <w:t>en</w:t>
            </w:r>
            <w:r>
              <w:rPr>
                <w:spacing w:val="-9"/>
              </w:rPr>
              <w:t> </w:t>
            </w:r>
            <w:r>
              <w:rPr/>
              <w:t>México</w:t>
              <w:tab/>
              <w:t>90</w:t>
            </w:r>
          </w:hyperlink>
        </w:p>
        <w:p>
          <w:pPr>
            <w:pStyle w:val="TOC2"/>
            <w:numPr>
              <w:ilvl w:val="1"/>
              <w:numId w:val="4"/>
            </w:numPr>
            <w:tabs>
              <w:tab w:pos="515" w:val="left" w:leader="none"/>
              <w:tab w:pos="8683" w:val="left" w:leader="dot"/>
            </w:tabs>
            <w:spacing w:line="360" w:lineRule="auto" w:before="139" w:after="0"/>
            <w:ind w:left="102" w:right="117" w:firstLine="0"/>
            <w:jc w:val="left"/>
          </w:pPr>
          <w:hyperlink w:history="true" w:anchor="_TOC_250011">
            <w:r>
              <w:rPr>
                <w:spacing w:val="-3"/>
              </w:rPr>
              <w:t>La</w:t>
            </w:r>
            <w:r>
              <w:rPr>
                <w:spacing w:val="-13"/>
              </w:rPr>
              <w:t> </w:t>
            </w:r>
            <w:r>
              <w:rPr/>
              <w:t>industria</w:t>
            </w:r>
            <w:r>
              <w:rPr>
                <w:spacing w:val="-13"/>
              </w:rPr>
              <w:t> </w:t>
            </w:r>
            <w:r>
              <w:rPr/>
              <w:t>automotriz</w:t>
            </w:r>
            <w:r>
              <w:rPr>
                <w:spacing w:val="-11"/>
              </w:rPr>
              <w:t> </w:t>
            </w:r>
            <w:r>
              <w:rPr/>
              <w:t>como</w:t>
            </w:r>
            <w:r>
              <w:rPr>
                <w:spacing w:val="-12"/>
              </w:rPr>
              <w:t> </w:t>
            </w:r>
            <w:r>
              <w:rPr/>
              <w:t>motor</w:t>
            </w:r>
            <w:r>
              <w:rPr>
                <w:spacing w:val="-12"/>
              </w:rPr>
              <w:t> </w:t>
            </w:r>
            <w:r>
              <w:rPr/>
              <w:t>de</w:t>
            </w:r>
            <w:r>
              <w:rPr>
                <w:spacing w:val="-13"/>
              </w:rPr>
              <w:t> </w:t>
            </w:r>
            <w:r>
              <w:rPr/>
              <w:t>crecimiento</w:t>
            </w:r>
            <w:r>
              <w:rPr>
                <w:spacing w:val="-12"/>
              </w:rPr>
              <w:t> </w:t>
            </w:r>
            <w:r>
              <w:rPr/>
              <w:t>de</w:t>
            </w:r>
            <w:r>
              <w:rPr>
                <w:spacing w:val="-13"/>
              </w:rPr>
              <w:t> </w:t>
            </w:r>
            <w:r>
              <w:rPr/>
              <w:t>la</w:t>
            </w:r>
            <w:r>
              <w:rPr>
                <w:spacing w:val="-13"/>
              </w:rPr>
              <w:t> </w:t>
            </w:r>
            <w:r>
              <w:rPr/>
              <w:t>manufactura</w:t>
            </w:r>
            <w:r>
              <w:rPr>
                <w:spacing w:val="-11"/>
              </w:rPr>
              <w:t> </w:t>
            </w:r>
            <w:r>
              <w:rPr/>
              <w:t>en</w:t>
            </w:r>
            <w:r>
              <w:rPr>
                <w:spacing w:val="-12"/>
              </w:rPr>
              <w:t> </w:t>
            </w:r>
            <w:r>
              <w:rPr/>
              <w:t>cuatro</w:t>
            </w:r>
            <w:r>
              <w:rPr>
                <w:spacing w:val="-12"/>
              </w:rPr>
              <w:t> </w:t>
            </w:r>
            <w:r>
              <w:rPr/>
              <w:t>regiones de</w:t>
            </w:r>
            <w:r>
              <w:rPr>
                <w:spacing w:val="-2"/>
              </w:rPr>
              <w:t> </w:t>
            </w:r>
            <w:r>
              <w:rPr/>
              <w:t>México</w:t>
              <w:tab/>
              <w:t>93</w:t>
            </w:r>
          </w:hyperlink>
        </w:p>
        <w:p>
          <w:pPr>
            <w:pStyle w:val="TOC5"/>
            <w:numPr>
              <w:ilvl w:val="2"/>
              <w:numId w:val="4"/>
            </w:numPr>
            <w:tabs>
              <w:tab w:pos="1413" w:val="left" w:leader="none"/>
              <w:tab w:pos="8676" w:val="left" w:leader="dot"/>
            </w:tabs>
            <w:spacing w:line="360" w:lineRule="auto" w:before="6" w:after="0"/>
            <w:ind w:left="102" w:right="116" w:firstLine="708"/>
            <w:jc w:val="left"/>
          </w:pPr>
          <w:r>
            <w:rPr/>
            <w:t>Desempeño de la industria automotriz y el sector manufacturero en la Región Centro…</w:t>
            <w:tab/>
            <w:t>94</w:t>
          </w:r>
        </w:p>
        <w:p>
          <w:pPr>
            <w:pStyle w:val="TOC5"/>
            <w:numPr>
              <w:ilvl w:val="2"/>
              <w:numId w:val="4"/>
            </w:numPr>
            <w:tabs>
              <w:tab w:pos="1413" w:val="left" w:leader="none"/>
              <w:tab w:pos="8570" w:val="left" w:leader="dot"/>
            </w:tabs>
            <w:spacing w:line="360" w:lineRule="auto" w:before="7" w:after="0"/>
            <w:ind w:left="102" w:right="116" w:firstLine="708"/>
            <w:jc w:val="left"/>
          </w:pPr>
          <w:r>
            <w:rPr/>
            <w:t>Desempeño de la industria automotriz y el sector manufacturero en la Región Norte</w:t>
            <w:tab/>
            <w:t>107</w:t>
          </w:r>
        </w:p>
        <w:p>
          <w:pPr>
            <w:pStyle w:val="TOC5"/>
            <w:numPr>
              <w:ilvl w:val="2"/>
              <w:numId w:val="4"/>
            </w:numPr>
            <w:tabs>
              <w:tab w:pos="1413" w:val="left" w:leader="none"/>
              <w:tab w:pos="8582" w:val="left" w:leader="dot"/>
            </w:tabs>
            <w:spacing w:line="360" w:lineRule="auto" w:before="6" w:after="0"/>
            <w:ind w:left="102" w:right="114" w:firstLine="708"/>
            <w:jc w:val="left"/>
          </w:pPr>
          <w:r>
            <w:rPr/>
            <w:t>Desempeño de la industria automotriz y el sector manufacturero en la Región Centro-</w:t>
          </w:r>
          <w:r>
            <w:rPr>
              <w:spacing w:val="-3"/>
            </w:rPr>
            <w:t> </w:t>
          </w:r>
          <w:r>
            <w:rPr/>
            <w:t>Norte.</w:t>
            <w:tab/>
            <w:t>121</w:t>
          </w:r>
        </w:p>
        <w:p>
          <w:pPr>
            <w:pStyle w:val="TOC5"/>
            <w:numPr>
              <w:ilvl w:val="2"/>
              <w:numId w:val="4"/>
            </w:numPr>
            <w:tabs>
              <w:tab w:pos="1413" w:val="left" w:leader="none"/>
              <w:tab w:pos="8575" w:val="left" w:leader="dot"/>
            </w:tabs>
            <w:spacing w:line="360" w:lineRule="auto" w:before="6" w:after="0"/>
            <w:ind w:left="102" w:right="116" w:firstLine="708"/>
            <w:jc w:val="left"/>
          </w:pPr>
          <w:r>
            <w:rPr/>
            <w:t>Desempeño de la industria automotriz y el sector manufacturero en la Región Occidente</w:t>
            <w:tab/>
            <w:t>132</w:t>
          </w:r>
        </w:p>
        <w:p>
          <w:pPr>
            <w:pStyle w:val="TOC1"/>
            <w:tabs>
              <w:tab w:pos="8580" w:val="left" w:leader="dot"/>
            </w:tabs>
            <w:spacing w:line="357" w:lineRule="auto" w:before="424"/>
            <w:rPr>
              <w:b w:val="0"/>
            </w:rPr>
          </w:pPr>
          <w:hyperlink w:history="true" w:anchor="_TOC_250010">
            <w:r>
              <w:rPr/>
              <w:t>Capítulo 5. Una estimación de Vectores Autorregresivos para la Manufactura de México,</w:t>
            </w:r>
            <w:r>
              <w:rPr>
                <w:spacing w:val="-16"/>
              </w:rPr>
              <w:t> </w:t>
            </w:r>
            <w:r>
              <w:rPr/>
              <w:t>1993-2014</w:t>
            </w:r>
            <w:r>
              <w:rPr>
                <w:b w:val="0"/>
              </w:rPr>
              <w:tab/>
              <w:t>144</w:t>
            </w:r>
          </w:hyperlink>
        </w:p>
        <w:p>
          <w:pPr>
            <w:pStyle w:val="TOC2"/>
            <w:numPr>
              <w:ilvl w:val="1"/>
              <w:numId w:val="5"/>
            </w:numPr>
            <w:tabs>
              <w:tab w:pos="513" w:val="left" w:leader="none"/>
              <w:tab w:pos="8582" w:val="left" w:leader="dot"/>
            </w:tabs>
            <w:spacing w:line="240" w:lineRule="auto" w:before="6" w:after="0"/>
            <w:ind w:left="512" w:right="0" w:hanging="410"/>
            <w:jc w:val="left"/>
          </w:pPr>
          <w:hyperlink w:history="true" w:anchor="_TOC_250009">
            <w:r>
              <w:rPr/>
              <w:t>Análisis estadístico de</w:t>
            </w:r>
            <w:r>
              <w:rPr>
                <w:spacing w:val="-35"/>
              </w:rPr>
              <w:t> </w:t>
            </w:r>
            <w:r>
              <w:rPr/>
              <w:t>las</w:t>
            </w:r>
            <w:r>
              <w:rPr>
                <w:spacing w:val="-12"/>
              </w:rPr>
              <w:t> </w:t>
            </w:r>
            <w:r>
              <w:rPr/>
              <w:t>series…</w:t>
              <w:tab/>
              <w:t>144</w:t>
            </w:r>
          </w:hyperlink>
        </w:p>
        <w:p>
          <w:pPr>
            <w:pStyle w:val="TOC5"/>
            <w:numPr>
              <w:ilvl w:val="2"/>
              <w:numId w:val="5"/>
            </w:numPr>
            <w:tabs>
              <w:tab w:pos="1410" w:val="left" w:leader="none"/>
              <w:tab w:pos="8580" w:val="left" w:leader="dot"/>
            </w:tabs>
            <w:spacing w:line="240" w:lineRule="auto" w:before="139" w:after="0"/>
            <w:ind w:left="1410" w:right="0" w:hanging="600"/>
            <w:jc w:val="left"/>
          </w:pPr>
          <w:hyperlink w:history="true" w:anchor="_TOC_250008">
            <w:r>
              <w:rPr/>
              <w:t>Pruebas de</w:t>
            </w:r>
            <w:r>
              <w:rPr>
                <w:spacing w:val="-4"/>
              </w:rPr>
              <w:t> </w:t>
            </w:r>
            <w:r>
              <w:rPr/>
              <w:t>raíces</w:t>
            </w:r>
            <w:r>
              <w:rPr>
                <w:spacing w:val="-2"/>
              </w:rPr>
              <w:t> </w:t>
            </w:r>
            <w:r>
              <w:rPr/>
              <w:t>unitarias</w:t>
              <w:tab/>
              <w:t>146</w:t>
            </w:r>
          </w:hyperlink>
        </w:p>
        <w:p>
          <w:pPr>
            <w:pStyle w:val="TOC2"/>
            <w:numPr>
              <w:ilvl w:val="1"/>
              <w:numId w:val="5"/>
            </w:numPr>
            <w:tabs>
              <w:tab w:pos="525" w:val="left" w:leader="none"/>
              <w:tab w:pos="8555" w:val="left" w:leader="dot"/>
            </w:tabs>
            <w:spacing w:line="240" w:lineRule="auto" w:before="137" w:after="0"/>
            <w:ind w:left="524" w:right="0" w:hanging="422"/>
            <w:jc w:val="left"/>
          </w:pPr>
          <w:hyperlink w:history="true" w:anchor="_TOC_250007">
            <w:r>
              <w:rPr>
                <w:spacing w:val="-3"/>
              </w:rPr>
              <w:t>La </w:t>
            </w:r>
            <w:r>
              <w:rPr/>
              <w:t>noción de causalidad en el sentido de</w:t>
            </w:r>
            <w:r>
              <w:rPr>
                <w:spacing w:val="-1"/>
              </w:rPr>
              <w:t> </w:t>
            </w:r>
            <w:r>
              <w:rPr/>
              <w:t>Granger</w:t>
              <w:tab/>
              <w:t>147</w:t>
            </w:r>
          </w:hyperlink>
        </w:p>
        <w:p>
          <w:pPr>
            <w:pStyle w:val="TOC2"/>
            <w:numPr>
              <w:ilvl w:val="1"/>
              <w:numId w:val="5"/>
            </w:numPr>
            <w:tabs>
              <w:tab w:pos="508" w:val="left" w:leader="none"/>
              <w:tab w:pos="8582" w:val="left" w:leader="dot"/>
            </w:tabs>
            <w:spacing w:line="240" w:lineRule="auto" w:before="139" w:after="0"/>
            <w:ind w:left="507" w:right="0" w:hanging="405"/>
            <w:jc w:val="left"/>
          </w:pPr>
          <w:hyperlink w:history="true" w:anchor="_TOC_250006">
            <w:r>
              <w:rPr/>
              <w:t>Metodología</w:t>
            </w:r>
            <w:r>
              <w:rPr>
                <w:spacing w:val="-16"/>
              </w:rPr>
              <w:t> </w:t>
            </w:r>
            <w:r>
              <w:rPr/>
              <w:t>de</w:t>
            </w:r>
            <w:r>
              <w:rPr>
                <w:spacing w:val="-15"/>
              </w:rPr>
              <w:t> </w:t>
            </w:r>
            <w:r>
              <w:rPr/>
              <w:t>los</w:t>
            </w:r>
            <w:r>
              <w:rPr>
                <w:spacing w:val="-13"/>
              </w:rPr>
              <w:t> </w:t>
            </w:r>
            <w:r>
              <w:rPr/>
              <w:t>modelos</w:t>
            </w:r>
            <w:r>
              <w:rPr>
                <w:spacing w:val="-16"/>
              </w:rPr>
              <w:t> </w:t>
            </w:r>
            <w:r>
              <w:rPr/>
              <w:t>de</w:t>
            </w:r>
            <w:r>
              <w:rPr>
                <w:spacing w:val="-17"/>
              </w:rPr>
              <w:t> </w:t>
            </w:r>
            <w:r>
              <w:rPr/>
              <w:t>vectores</w:t>
            </w:r>
            <w:r>
              <w:rPr>
                <w:spacing w:val="-13"/>
              </w:rPr>
              <w:t> </w:t>
            </w:r>
            <w:r>
              <w:rPr/>
              <w:t>autorregresivos</w:t>
            </w:r>
            <w:r>
              <w:rPr>
                <w:spacing w:val="-15"/>
              </w:rPr>
              <w:t> </w:t>
            </w:r>
            <w:r>
              <w:rPr/>
              <w:t>(VAR)</w:t>
              <w:tab/>
              <w:t>150</w:t>
            </w:r>
          </w:hyperlink>
        </w:p>
        <w:p>
          <w:pPr>
            <w:pStyle w:val="TOC5"/>
            <w:numPr>
              <w:ilvl w:val="2"/>
              <w:numId w:val="5"/>
            </w:numPr>
            <w:tabs>
              <w:tab w:pos="1439" w:val="left" w:leader="none"/>
              <w:tab w:pos="8566" w:val="left" w:leader="dot"/>
            </w:tabs>
            <w:spacing w:line="362" w:lineRule="auto" w:before="137" w:after="0"/>
            <w:ind w:left="102" w:right="123" w:firstLine="708"/>
            <w:jc w:val="left"/>
          </w:pPr>
          <w:hyperlink w:history="true" w:anchor="_TOC_250005">
            <w:r>
              <w:rPr/>
              <w:t>Estimación del modelo de vectores autorregresivos (VAR) para la industria manufacturera</w:t>
              <w:tab/>
              <w:t>153</w:t>
            </w:r>
          </w:hyperlink>
        </w:p>
        <w:p>
          <w:pPr>
            <w:pStyle w:val="TOC5"/>
            <w:numPr>
              <w:ilvl w:val="2"/>
              <w:numId w:val="5"/>
            </w:numPr>
            <w:tabs>
              <w:tab w:pos="1415" w:val="left" w:leader="none"/>
              <w:tab w:pos="8580" w:val="left" w:leader="dot"/>
            </w:tabs>
            <w:spacing w:line="360" w:lineRule="auto" w:before="1" w:after="0"/>
            <w:ind w:left="102" w:right="117" w:firstLine="708"/>
            <w:jc w:val="left"/>
          </w:pPr>
          <w:hyperlink w:history="true" w:anchor="_TOC_250004">
            <w:r>
              <w:rPr/>
              <w:t>Pruebas de diagnóstico del modelo de vectores autorregresivos (VAR) para la manufactura</w:t>
            </w:r>
            <w:r>
              <w:rPr>
                <w:spacing w:val="-17"/>
              </w:rPr>
              <w:t> </w:t>
            </w:r>
            <w:r>
              <w:rPr/>
              <w:t>de</w:t>
            </w:r>
            <w:r>
              <w:rPr>
                <w:spacing w:val="-15"/>
              </w:rPr>
              <w:t> </w:t>
            </w:r>
            <w:r>
              <w:rPr/>
              <w:t>México</w:t>
              <w:tab/>
              <w:t>159</w:t>
            </w:r>
          </w:hyperlink>
        </w:p>
        <w:p>
          <w:pPr>
            <w:pStyle w:val="TOC5"/>
            <w:numPr>
              <w:ilvl w:val="2"/>
              <w:numId w:val="5"/>
            </w:numPr>
            <w:tabs>
              <w:tab w:pos="1398" w:val="left" w:leader="none"/>
              <w:tab w:pos="8580" w:val="left" w:leader="dot"/>
            </w:tabs>
            <w:spacing w:line="240" w:lineRule="auto" w:before="4" w:after="0"/>
            <w:ind w:left="1398" w:right="0" w:hanging="588"/>
            <w:jc w:val="left"/>
          </w:pPr>
          <w:hyperlink w:history="true" w:anchor="_TOC_250003">
            <w:r>
              <w:rPr/>
              <w:t>Análisis</w:t>
            </w:r>
            <w:r>
              <w:rPr>
                <w:spacing w:val="-13"/>
              </w:rPr>
              <w:t> </w:t>
            </w:r>
            <w:r>
              <w:rPr/>
              <w:t>de</w:t>
            </w:r>
            <w:r>
              <w:rPr>
                <w:spacing w:val="-12"/>
              </w:rPr>
              <w:t> </w:t>
            </w:r>
            <w:r>
              <w:rPr/>
              <w:t>impulso</w:t>
            </w:r>
            <w:r>
              <w:rPr>
                <w:spacing w:val="-13"/>
              </w:rPr>
              <w:t> </w:t>
            </w:r>
            <w:r>
              <w:rPr/>
              <w:t>respuesta</w:t>
            </w:r>
            <w:r>
              <w:rPr>
                <w:spacing w:val="-14"/>
              </w:rPr>
              <w:t> </w:t>
            </w:r>
            <w:r>
              <w:rPr/>
              <w:t>de</w:t>
            </w:r>
            <w:r>
              <w:rPr>
                <w:spacing w:val="-12"/>
              </w:rPr>
              <w:t> </w:t>
            </w:r>
            <w:r>
              <w:rPr/>
              <w:t>la</w:t>
            </w:r>
            <w:r>
              <w:rPr>
                <w:spacing w:val="-12"/>
              </w:rPr>
              <w:t> </w:t>
            </w:r>
            <w:r>
              <w:rPr/>
              <w:t>manufactura</w:t>
            </w:r>
            <w:r>
              <w:rPr>
                <w:spacing w:val="-15"/>
              </w:rPr>
              <w:t> </w:t>
            </w:r>
            <w:r>
              <w:rPr/>
              <w:t>de</w:t>
            </w:r>
            <w:r>
              <w:rPr>
                <w:spacing w:val="-12"/>
              </w:rPr>
              <w:t> </w:t>
            </w:r>
            <w:r>
              <w:rPr/>
              <w:t>México</w:t>
              <w:tab/>
              <w:t>160</w:t>
            </w:r>
          </w:hyperlink>
        </w:p>
        <w:p>
          <w:pPr>
            <w:pStyle w:val="TOC5"/>
            <w:numPr>
              <w:ilvl w:val="2"/>
              <w:numId w:val="5"/>
            </w:numPr>
            <w:tabs>
              <w:tab w:pos="1396" w:val="left" w:leader="none"/>
              <w:tab w:pos="8582" w:val="left" w:leader="dot"/>
            </w:tabs>
            <w:spacing w:line="240" w:lineRule="auto" w:before="139" w:after="0"/>
            <w:ind w:left="1395" w:right="0" w:hanging="585"/>
            <w:jc w:val="left"/>
          </w:pPr>
          <w:hyperlink w:history="true" w:anchor="_TOC_250002">
            <w:r>
              <w:rPr/>
              <w:t>Análisis</w:t>
            </w:r>
            <w:r>
              <w:rPr>
                <w:spacing w:val="-15"/>
              </w:rPr>
              <w:t> </w:t>
            </w:r>
            <w:r>
              <w:rPr/>
              <w:t>de</w:t>
            </w:r>
            <w:r>
              <w:rPr>
                <w:spacing w:val="-17"/>
              </w:rPr>
              <w:t> </w:t>
            </w:r>
            <w:r>
              <w:rPr/>
              <w:t>descomposición</w:t>
            </w:r>
            <w:r>
              <w:rPr>
                <w:spacing w:val="-16"/>
              </w:rPr>
              <w:t> </w:t>
            </w:r>
            <w:r>
              <w:rPr/>
              <w:t>de</w:t>
            </w:r>
            <w:r>
              <w:rPr>
                <w:spacing w:val="-17"/>
              </w:rPr>
              <w:t> </w:t>
            </w:r>
            <w:r>
              <w:rPr/>
              <w:t>varianza</w:t>
              <w:tab/>
              <w:t>163</w:t>
            </w:r>
          </w:hyperlink>
        </w:p>
        <w:p>
          <w:pPr>
            <w:pStyle w:val="TOC3"/>
            <w:tabs>
              <w:tab w:pos="8580" w:val="left" w:leader="dot"/>
            </w:tabs>
            <w:rPr>
              <w:b w:val="0"/>
              <w:i w:val="0"/>
              <w:sz w:val="24"/>
            </w:rPr>
          </w:pPr>
          <w:r>
            <w:rPr>
              <w:i w:val="0"/>
              <w:sz w:val="24"/>
            </w:rPr>
            <w:t>Conclusiones</w:t>
          </w:r>
          <w:r>
            <w:rPr>
              <w:b w:val="0"/>
              <w:i w:val="0"/>
              <w:sz w:val="24"/>
            </w:rPr>
            <w:tab/>
            <w:t>166</w:t>
          </w:r>
        </w:p>
        <w:p>
          <w:pPr>
            <w:pStyle w:val="TOC3"/>
            <w:tabs>
              <w:tab w:pos="8580" w:val="left" w:leader="dot"/>
            </w:tabs>
            <w:spacing w:before="139"/>
            <w:rPr>
              <w:b w:val="0"/>
              <w:i w:val="0"/>
              <w:sz w:val="24"/>
            </w:rPr>
          </w:pPr>
          <w:hyperlink w:history="true" w:anchor="_TOC_250001">
            <w:r>
              <w:rPr>
                <w:i w:val="0"/>
                <w:sz w:val="24"/>
              </w:rPr>
              <w:t>Bibliografía</w:t>
            </w:r>
            <w:r>
              <w:rPr>
                <w:b w:val="0"/>
                <w:i w:val="0"/>
                <w:sz w:val="24"/>
              </w:rPr>
              <w:tab/>
              <w:t>171</w:t>
            </w:r>
          </w:hyperlink>
        </w:p>
        <w:p>
          <w:pPr>
            <w:pStyle w:val="TOC3"/>
            <w:tabs>
              <w:tab w:pos="8580" w:val="left" w:leader="dot"/>
            </w:tabs>
            <w:rPr>
              <w:b w:val="0"/>
              <w:i w:val="0"/>
              <w:sz w:val="24"/>
            </w:rPr>
          </w:pPr>
          <w:hyperlink w:history="true" w:anchor="_TOC_250000">
            <w:r>
              <w:rPr>
                <w:i w:val="0"/>
                <w:sz w:val="24"/>
              </w:rPr>
              <w:t>Anexos</w:t>
            </w:r>
            <w:r>
              <w:rPr>
                <w:b w:val="0"/>
                <w:i w:val="0"/>
                <w:sz w:val="24"/>
              </w:rPr>
              <w:tab/>
              <w:t>180</w:t>
            </w:r>
          </w:hyperlink>
        </w:p>
      </w:sdtContent>
    </w:sdt>
    <w:p>
      <w:pPr>
        <w:spacing w:after="0"/>
        <w:rPr>
          <w:sz w:val="24"/>
        </w:rPr>
        <w:sectPr>
          <w:type w:val="continuous"/>
          <w:pgSz w:w="12240" w:h="15840"/>
          <w:pgMar w:top="1360" w:bottom="2131" w:left="1600" w:right="1580"/>
        </w:sectPr>
      </w:pPr>
    </w:p>
    <w:p>
      <w:pPr>
        <w:pStyle w:val="Heading1"/>
        <w:spacing w:before="55"/>
        <w:ind w:left="333" w:right="333"/>
        <w:jc w:val="center"/>
      </w:pPr>
      <w:r>
        <w:rPr/>
        <w:t>Introducción</w:t>
      </w:r>
    </w:p>
    <w:p>
      <w:pPr>
        <w:pStyle w:val="BodyText"/>
        <w:spacing w:before="6"/>
        <w:rPr>
          <w:b/>
          <w:sz w:val="32"/>
        </w:rPr>
      </w:pPr>
    </w:p>
    <w:p>
      <w:pPr>
        <w:pStyle w:val="BodyText"/>
        <w:spacing w:line="357" w:lineRule="auto"/>
        <w:ind w:left="122" w:right="114"/>
        <w:jc w:val="both"/>
      </w:pPr>
      <w:r>
        <w:rPr/>
        <w:t>A partir de los años cuarenta y hasta la segunda mitad de los años setenta del siglo pasado, el</w:t>
      </w:r>
      <w:r>
        <w:rPr>
          <w:spacing w:val="-7"/>
        </w:rPr>
        <w:t> </w:t>
      </w:r>
      <w:r>
        <w:rPr/>
        <w:t>desarrollo</w:t>
      </w:r>
      <w:r>
        <w:rPr>
          <w:spacing w:val="-7"/>
        </w:rPr>
        <w:t> </w:t>
      </w:r>
      <w:r>
        <w:rPr/>
        <w:t>económico</w:t>
      </w:r>
      <w:r>
        <w:rPr>
          <w:spacing w:val="-5"/>
        </w:rPr>
        <w:t> </w:t>
      </w:r>
      <w:r>
        <w:rPr/>
        <w:t>de</w:t>
      </w:r>
      <w:r>
        <w:rPr>
          <w:spacing w:val="-8"/>
        </w:rPr>
        <w:t> </w:t>
      </w:r>
      <w:r>
        <w:rPr/>
        <w:t>México</w:t>
      </w:r>
      <w:r>
        <w:rPr>
          <w:spacing w:val="-8"/>
        </w:rPr>
        <w:t> </w:t>
      </w:r>
      <w:r>
        <w:rPr/>
        <w:t>estuvo</w:t>
      </w:r>
      <w:r>
        <w:rPr>
          <w:spacing w:val="-7"/>
        </w:rPr>
        <w:t> </w:t>
      </w:r>
      <w:r>
        <w:rPr/>
        <w:t>basado</w:t>
      </w:r>
      <w:r>
        <w:rPr>
          <w:spacing w:val="-5"/>
        </w:rPr>
        <w:t> </w:t>
      </w:r>
      <w:r>
        <w:rPr/>
        <w:t>en</w:t>
      </w:r>
      <w:r>
        <w:rPr>
          <w:spacing w:val="-7"/>
        </w:rPr>
        <w:t> </w:t>
      </w:r>
      <w:r>
        <w:rPr/>
        <w:t>la</w:t>
      </w:r>
      <w:r>
        <w:rPr>
          <w:spacing w:val="-8"/>
        </w:rPr>
        <w:t> </w:t>
      </w:r>
      <w:r>
        <w:rPr/>
        <w:t>participación</w:t>
      </w:r>
      <w:r>
        <w:rPr>
          <w:spacing w:val="-7"/>
        </w:rPr>
        <w:t> </w:t>
      </w:r>
      <w:r>
        <w:rPr/>
        <w:t>de</w:t>
      </w:r>
      <w:r>
        <w:rPr>
          <w:spacing w:val="-8"/>
        </w:rPr>
        <w:t> </w:t>
      </w:r>
      <w:r>
        <w:rPr/>
        <w:t>un</w:t>
      </w:r>
      <w:r>
        <w:rPr>
          <w:spacing w:val="-7"/>
        </w:rPr>
        <w:t> </w:t>
      </w:r>
      <w:r>
        <w:rPr/>
        <w:t>estado</w:t>
      </w:r>
      <w:r>
        <w:rPr>
          <w:spacing w:val="-7"/>
        </w:rPr>
        <w:t> </w:t>
      </w:r>
      <w:r>
        <w:rPr/>
        <w:t>fuerte</w:t>
      </w:r>
      <w:r>
        <w:rPr>
          <w:spacing w:val="-8"/>
        </w:rPr>
        <w:t> </w:t>
      </w:r>
      <w:r>
        <w:rPr/>
        <w:t>que fomentó la industrialización a través de una política de sustitución de importaciones</w:t>
      </w:r>
      <w:r>
        <w:rPr>
          <w:position w:val="9"/>
          <w:sz w:val="16"/>
        </w:rPr>
        <w:t>1</w:t>
      </w:r>
      <w:r>
        <w:rPr/>
        <w:t>. Durante este periodo, la proporción de la manufactura en el producto interno bruto (PIB) alcanzó  el 25% (Moreno-Brid, </w:t>
      </w:r>
      <w:r>
        <w:rPr>
          <w:i/>
        </w:rPr>
        <w:t>et al</w:t>
      </w:r>
      <w:r>
        <w:rPr/>
        <w:t>.,</w:t>
      </w:r>
      <w:r>
        <w:rPr>
          <w:spacing w:val="-4"/>
        </w:rPr>
        <w:t> </w:t>
      </w:r>
      <w:r>
        <w:rPr/>
        <w:t>2006).</w:t>
      </w:r>
    </w:p>
    <w:p>
      <w:pPr>
        <w:pStyle w:val="BodyText"/>
        <w:spacing w:before="5"/>
        <w:rPr>
          <w:sz w:val="21"/>
        </w:rPr>
      </w:pPr>
    </w:p>
    <w:p>
      <w:pPr>
        <w:pStyle w:val="BodyText"/>
        <w:spacing w:line="360" w:lineRule="auto"/>
        <w:ind w:left="122" w:right="116"/>
        <w:jc w:val="both"/>
      </w:pPr>
      <w:r>
        <w:rPr/>
        <w:t>Sin embargo, en la segunda mitad de los años setenta, la expansión económica de México perdió ímpetu; hubo dificultades serias para sustituir las importaciones de bienes de capital de alta tecnología y el gasto público se convirtió en el motor del crecimiento (Moreno-Brid, </w:t>
      </w:r>
      <w:r>
        <w:rPr>
          <w:i/>
        </w:rPr>
        <w:t>et al</w:t>
      </w:r>
      <w:r>
        <w:rPr/>
        <w:t>., 2006). De acuerdo con Carrillo y Ramírez (1997), a partir de la década de los ochenta se inició con una transición hacia lo que se ha definido como la modernización del aparato productivo, esto es, la transformación de una industria protegida hacia otra con capacidad para competir en el mercado mundial. Con ello, se dan cambios relevantes en la estructura comercial, productiva, de inversión y empleo en el sector industrial.</w:t>
      </w:r>
    </w:p>
    <w:p>
      <w:pPr>
        <w:pStyle w:val="BodyText"/>
        <w:spacing w:before="2"/>
        <w:rPr>
          <w:sz w:val="21"/>
        </w:rPr>
      </w:pPr>
    </w:p>
    <w:p>
      <w:pPr>
        <w:pStyle w:val="BodyText"/>
        <w:spacing w:line="360" w:lineRule="auto"/>
        <w:ind w:left="122" w:right="115"/>
        <w:jc w:val="both"/>
      </w:pPr>
      <w:r>
        <w:rPr/>
        <w:t>En este sentido, la liberalización comercial permitió la entrada de México en los mercados globales y provocó que las exportaciones manufactureras tomaran un papel protagónico en la economía de nuestro país. Así, las exportaciones petroleras dejaron de ser el grupo más significativo</w:t>
      </w:r>
      <w:r>
        <w:rPr>
          <w:spacing w:val="-11"/>
        </w:rPr>
        <w:t> </w:t>
      </w:r>
      <w:r>
        <w:rPr/>
        <w:t>en</w:t>
      </w:r>
      <w:r>
        <w:rPr>
          <w:spacing w:val="-11"/>
        </w:rPr>
        <w:t> </w:t>
      </w:r>
      <w:r>
        <w:rPr/>
        <w:t>el</w:t>
      </w:r>
      <w:r>
        <w:rPr>
          <w:spacing w:val="-11"/>
        </w:rPr>
        <w:t> </w:t>
      </w:r>
      <w:r>
        <w:rPr/>
        <w:t>total</w:t>
      </w:r>
      <w:r>
        <w:rPr>
          <w:spacing w:val="-11"/>
        </w:rPr>
        <w:t> </w:t>
      </w:r>
      <w:r>
        <w:rPr/>
        <w:t>de</w:t>
      </w:r>
      <w:r>
        <w:rPr>
          <w:spacing w:val="-12"/>
        </w:rPr>
        <w:t> </w:t>
      </w:r>
      <w:r>
        <w:rPr/>
        <w:t>las</w:t>
      </w:r>
      <w:r>
        <w:rPr>
          <w:spacing w:val="-11"/>
        </w:rPr>
        <w:t> </w:t>
      </w:r>
      <w:r>
        <w:rPr/>
        <w:t>ventas</w:t>
      </w:r>
      <w:r>
        <w:rPr>
          <w:spacing w:val="-11"/>
        </w:rPr>
        <w:t> </w:t>
      </w:r>
      <w:r>
        <w:rPr/>
        <w:t>externas,</w:t>
      </w:r>
      <w:r>
        <w:rPr>
          <w:spacing w:val="-6"/>
        </w:rPr>
        <w:t> </w:t>
      </w:r>
      <w:r>
        <w:rPr/>
        <w:t>y</w:t>
      </w:r>
      <w:r>
        <w:rPr>
          <w:spacing w:val="-15"/>
        </w:rPr>
        <w:t> </w:t>
      </w:r>
      <w:r>
        <w:rPr/>
        <w:t>su</w:t>
      </w:r>
      <w:r>
        <w:rPr>
          <w:spacing w:val="-11"/>
        </w:rPr>
        <w:t> </w:t>
      </w:r>
      <w:r>
        <w:rPr/>
        <w:t>papel</w:t>
      </w:r>
      <w:r>
        <w:rPr>
          <w:spacing w:val="-11"/>
        </w:rPr>
        <w:t> </w:t>
      </w:r>
      <w:r>
        <w:rPr/>
        <w:t>como</w:t>
      </w:r>
      <w:r>
        <w:rPr>
          <w:spacing w:val="-11"/>
        </w:rPr>
        <w:t> </w:t>
      </w:r>
      <w:r>
        <w:rPr/>
        <w:t>principal</w:t>
      </w:r>
      <w:r>
        <w:rPr>
          <w:spacing w:val="-11"/>
        </w:rPr>
        <w:t> </w:t>
      </w:r>
      <w:r>
        <w:rPr/>
        <w:t>generador</w:t>
      </w:r>
      <w:r>
        <w:rPr>
          <w:spacing w:val="-12"/>
        </w:rPr>
        <w:t> </w:t>
      </w:r>
      <w:r>
        <w:rPr/>
        <w:t>de</w:t>
      </w:r>
      <w:r>
        <w:rPr>
          <w:spacing w:val="-12"/>
        </w:rPr>
        <w:t> </w:t>
      </w:r>
      <w:r>
        <w:rPr/>
        <w:t>divisas fue sustituido por las exportaciones manufactureras que constituyeron el componente más dinámico de las exportaciones no petroleras; durante el 2014, el valor de las exportaciones del sector ascendió a 54,511 millones de dólares (mdd), 1.8 veces superior a la generada</w:t>
      </w:r>
      <w:r>
        <w:rPr>
          <w:spacing w:val="-22"/>
        </w:rPr>
        <w:t> </w:t>
      </w:r>
      <w:r>
        <w:rPr/>
        <w:t>por exportación de productos petroleros (AMIA,</w:t>
      </w:r>
      <w:r>
        <w:rPr>
          <w:spacing w:val="-8"/>
        </w:rPr>
        <w:t> </w:t>
      </w:r>
      <w:r>
        <w:rPr/>
        <w:t>2014).</w:t>
      </w:r>
    </w:p>
    <w:p>
      <w:pPr>
        <w:pStyle w:val="BodyText"/>
        <w:spacing w:before="2"/>
        <w:rPr>
          <w:sz w:val="21"/>
        </w:rPr>
      </w:pPr>
    </w:p>
    <w:p>
      <w:pPr>
        <w:pStyle w:val="BodyText"/>
        <w:spacing w:line="360" w:lineRule="auto"/>
        <w:ind w:left="122" w:right="117"/>
        <w:jc w:val="both"/>
      </w:pPr>
      <w:r>
        <w:rPr/>
        <w:t>El sector manufacturero se ha constituido como uno de los sectores más dinámicos de la industria mexicana, debido a los empleos que genera, al flujo considerable de inversiones que atrae y a su alto grado de productividad. Para 2014 este sector representó el16.9% del PIB total nacional (INEGI, 2014).  Al interior del sector, las principales ramas   industriales</w:t>
      </w:r>
    </w:p>
    <w:p>
      <w:pPr>
        <w:pStyle w:val="BodyText"/>
        <w:rPr>
          <w:sz w:val="20"/>
        </w:rPr>
      </w:pPr>
    </w:p>
    <w:p>
      <w:pPr>
        <w:pStyle w:val="BodyText"/>
        <w:spacing w:before="4"/>
        <w:rPr>
          <w:sz w:val="18"/>
        </w:rPr>
      </w:pPr>
      <w:r>
        <w:rPr/>
        <w:pict>
          <v:line style="position:absolute;mso-position-horizontal-relative:page;mso-position-vertical-relative:paragraph;z-index:1072;mso-wrap-distance-left:0;mso-wrap-distance-right:0" from="85.103996pt,12.820747pt" to="229.123996pt,12.820747pt" stroked="true" strokeweight=".599980pt" strokecolor="#000000">
            <w10:wrap type="topAndBottom"/>
          </v:line>
        </w:pict>
      </w:r>
    </w:p>
    <w:p>
      <w:pPr>
        <w:spacing w:before="70"/>
        <w:ind w:left="122" w:right="125" w:firstLine="0"/>
        <w:jc w:val="both"/>
        <w:rPr>
          <w:sz w:val="20"/>
        </w:rPr>
      </w:pPr>
      <w:r>
        <w:rPr>
          <w:position w:val="7"/>
          <w:sz w:val="13"/>
        </w:rPr>
        <w:t>1</w:t>
      </w:r>
      <w:r>
        <w:rPr>
          <w:spacing w:val="6"/>
          <w:position w:val="7"/>
          <w:sz w:val="13"/>
        </w:rPr>
        <w:t> </w:t>
      </w:r>
      <w:r>
        <w:rPr>
          <w:sz w:val="20"/>
        </w:rPr>
        <w:t>A</w:t>
      </w:r>
      <w:r>
        <w:rPr>
          <w:spacing w:val="-11"/>
          <w:sz w:val="20"/>
        </w:rPr>
        <w:t> </w:t>
      </w:r>
      <w:r>
        <w:rPr>
          <w:sz w:val="20"/>
        </w:rPr>
        <w:t>partir</w:t>
      </w:r>
      <w:r>
        <w:rPr>
          <w:spacing w:val="-11"/>
          <w:sz w:val="20"/>
        </w:rPr>
        <w:t> </w:t>
      </w:r>
      <w:r>
        <w:rPr>
          <w:sz w:val="20"/>
        </w:rPr>
        <w:t>de</w:t>
      </w:r>
      <w:r>
        <w:rPr>
          <w:spacing w:val="-11"/>
          <w:sz w:val="20"/>
        </w:rPr>
        <w:t> </w:t>
      </w:r>
      <w:r>
        <w:rPr>
          <w:sz w:val="20"/>
        </w:rPr>
        <w:t>los</w:t>
      </w:r>
      <w:r>
        <w:rPr>
          <w:spacing w:val="-12"/>
          <w:sz w:val="20"/>
        </w:rPr>
        <w:t> </w:t>
      </w:r>
      <w:r>
        <w:rPr>
          <w:sz w:val="20"/>
        </w:rPr>
        <w:t>años</w:t>
      </w:r>
      <w:r>
        <w:rPr>
          <w:spacing w:val="-12"/>
          <w:sz w:val="20"/>
        </w:rPr>
        <w:t> </w:t>
      </w:r>
      <w:r>
        <w:rPr>
          <w:sz w:val="20"/>
        </w:rPr>
        <w:t>cuarenta,</w:t>
      </w:r>
      <w:r>
        <w:rPr>
          <w:spacing w:val="-9"/>
          <w:sz w:val="20"/>
        </w:rPr>
        <w:t> </w:t>
      </w:r>
      <w:r>
        <w:rPr>
          <w:sz w:val="20"/>
        </w:rPr>
        <w:t>México</w:t>
      </w:r>
      <w:r>
        <w:rPr>
          <w:spacing w:val="-10"/>
          <w:sz w:val="20"/>
        </w:rPr>
        <w:t> </w:t>
      </w:r>
      <w:r>
        <w:rPr>
          <w:sz w:val="20"/>
        </w:rPr>
        <w:t>siguió</w:t>
      </w:r>
      <w:r>
        <w:rPr>
          <w:spacing w:val="-11"/>
          <w:sz w:val="20"/>
        </w:rPr>
        <w:t> </w:t>
      </w:r>
      <w:r>
        <w:rPr>
          <w:sz w:val="20"/>
        </w:rPr>
        <w:t>un</w:t>
      </w:r>
      <w:r>
        <w:rPr>
          <w:spacing w:val="-10"/>
          <w:sz w:val="20"/>
        </w:rPr>
        <w:t> </w:t>
      </w:r>
      <w:r>
        <w:rPr>
          <w:sz w:val="20"/>
        </w:rPr>
        <w:t>modelo</w:t>
      </w:r>
      <w:r>
        <w:rPr>
          <w:spacing w:val="-10"/>
          <w:sz w:val="20"/>
        </w:rPr>
        <w:t> </w:t>
      </w:r>
      <w:r>
        <w:rPr>
          <w:sz w:val="20"/>
        </w:rPr>
        <w:t>de</w:t>
      </w:r>
      <w:r>
        <w:rPr>
          <w:spacing w:val="-11"/>
          <w:sz w:val="20"/>
        </w:rPr>
        <w:t> </w:t>
      </w:r>
      <w:r>
        <w:rPr>
          <w:sz w:val="20"/>
        </w:rPr>
        <w:t>desarrollo</w:t>
      </w:r>
      <w:r>
        <w:rPr>
          <w:spacing w:val="-11"/>
          <w:sz w:val="20"/>
        </w:rPr>
        <w:t> </w:t>
      </w:r>
      <w:r>
        <w:rPr>
          <w:sz w:val="20"/>
        </w:rPr>
        <w:t>hacia</w:t>
      </w:r>
      <w:r>
        <w:rPr>
          <w:spacing w:val="-11"/>
          <w:sz w:val="20"/>
        </w:rPr>
        <w:t> </w:t>
      </w:r>
      <w:r>
        <w:rPr>
          <w:sz w:val="20"/>
        </w:rPr>
        <w:t>adentro</w:t>
      </w:r>
      <w:r>
        <w:rPr>
          <w:spacing w:val="-11"/>
          <w:sz w:val="20"/>
        </w:rPr>
        <w:t> </w:t>
      </w:r>
      <w:r>
        <w:rPr>
          <w:sz w:val="20"/>
        </w:rPr>
        <w:t>con</w:t>
      </w:r>
      <w:r>
        <w:rPr>
          <w:spacing w:val="-13"/>
          <w:sz w:val="20"/>
        </w:rPr>
        <w:t> </w:t>
      </w:r>
      <w:r>
        <w:rPr>
          <w:sz w:val="20"/>
        </w:rPr>
        <w:t>el</w:t>
      </w:r>
      <w:r>
        <w:rPr>
          <w:spacing w:val="-9"/>
          <w:sz w:val="20"/>
        </w:rPr>
        <w:t> </w:t>
      </w:r>
      <w:r>
        <w:rPr>
          <w:sz w:val="20"/>
        </w:rPr>
        <w:t>propósito</w:t>
      </w:r>
      <w:r>
        <w:rPr>
          <w:spacing w:val="-11"/>
          <w:sz w:val="20"/>
        </w:rPr>
        <w:t> </w:t>
      </w:r>
      <w:r>
        <w:rPr>
          <w:sz w:val="20"/>
        </w:rPr>
        <w:t>de</w:t>
      </w:r>
      <w:r>
        <w:rPr>
          <w:spacing w:val="-11"/>
          <w:sz w:val="20"/>
        </w:rPr>
        <w:t> </w:t>
      </w:r>
      <w:r>
        <w:rPr>
          <w:sz w:val="20"/>
        </w:rPr>
        <w:t>edificar un</w:t>
      </w:r>
      <w:r>
        <w:rPr>
          <w:spacing w:val="-7"/>
          <w:sz w:val="20"/>
        </w:rPr>
        <w:t> </w:t>
      </w:r>
      <w:r>
        <w:rPr>
          <w:sz w:val="20"/>
        </w:rPr>
        <w:t>sector</w:t>
      </w:r>
      <w:r>
        <w:rPr>
          <w:spacing w:val="-7"/>
          <w:sz w:val="20"/>
        </w:rPr>
        <w:t> </w:t>
      </w:r>
      <w:r>
        <w:rPr>
          <w:sz w:val="20"/>
        </w:rPr>
        <w:t>industrial</w:t>
      </w:r>
      <w:r>
        <w:rPr>
          <w:spacing w:val="-8"/>
          <w:sz w:val="20"/>
        </w:rPr>
        <w:t> </w:t>
      </w:r>
      <w:r>
        <w:rPr>
          <w:sz w:val="20"/>
        </w:rPr>
        <w:t>para</w:t>
      </w:r>
      <w:r>
        <w:rPr>
          <w:spacing w:val="-7"/>
          <w:sz w:val="20"/>
        </w:rPr>
        <w:t> </w:t>
      </w:r>
      <w:r>
        <w:rPr>
          <w:sz w:val="20"/>
        </w:rPr>
        <w:t>satisfacer</w:t>
      </w:r>
      <w:r>
        <w:rPr>
          <w:spacing w:val="-7"/>
          <w:sz w:val="20"/>
        </w:rPr>
        <w:t> </w:t>
      </w:r>
      <w:r>
        <w:rPr>
          <w:sz w:val="20"/>
        </w:rPr>
        <w:t>las</w:t>
      </w:r>
      <w:r>
        <w:rPr>
          <w:spacing w:val="-8"/>
          <w:sz w:val="20"/>
        </w:rPr>
        <w:t> </w:t>
      </w:r>
      <w:r>
        <w:rPr>
          <w:sz w:val="20"/>
        </w:rPr>
        <w:t>necesidades</w:t>
      </w:r>
      <w:r>
        <w:rPr>
          <w:spacing w:val="-8"/>
          <w:sz w:val="20"/>
        </w:rPr>
        <w:t> </w:t>
      </w:r>
      <w:r>
        <w:rPr>
          <w:sz w:val="20"/>
        </w:rPr>
        <w:t>del</w:t>
      </w:r>
      <w:r>
        <w:rPr>
          <w:spacing w:val="-5"/>
          <w:sz w:val="20"/>
        </w:rPr>
        <w:t> </w:t>
      </w:r>
      <w:r>
        <w:rPr>
          <w:sz w:val="20"/>
        </w:rPr>
        <w:t>mercado</w:t>
      </w:r>
      <w:r>
        <w:rPr>
          <w:spacing w:val="-7"/>
          <w:sz w:val="20"/>
        </w:rPr>
        <w:t> </w:t>
      </w:r>
      <w:r>
        <w:rPr>
          <w:sz w:val="20"/>
        </w:rPr>
        <w:t>interno,</w:t>
      </w:r>
      <w:r>
        <w:rPr>
          <w:spacing w:val="-7"/>
          <w:sz w:val="20"/>
        </w:rPr>
        <w:t> </w:t>
      </w:r>
      <w:r>
        <w:rPr>
          <w:sz w:val="20"/>
        </w:rPr>
        <w:t>cerrando</w:t>
      </w:r>
      <w:r>
        <w:rPr>
          <w:spacing w:val="-7"/>
          <w:sz w:val="20"/>
        </w:rPr>
        <w:t> </w:t>
      </w:r>
      <w:r>
        <w:rPr>
          <w:sz w:val="20"/>
        </w:rPr>
        <w:t>el</w:t>
      </w:r>
      <w:r>
        <w:rPr>
          <w:spacing w:val="-8"/>
          <w:sz w:val="20"/>
        </w:rPr>
        <w:t> </w:t>
      </w:r>
      <w:r>
        <w:rPr>
          <w:sz w:val="20"/>
        </w:rPr>
        <w:t>mercado</w:t>
      </w:r>
      <w:r>
        <w:rPr>
          <w:spacing w:val="-7"/>
          <w:sz w:val="20"/>
        </w:rPr>
        <w:t> </w:t>
      </w:r>
      <w:r>
        <w:rPr>
          <w:sz w:val="20"/>
        </w:rPr>
        <w:t>local</w:t>
      </w:r>
      <w:r>
        <w:rPr>
          <w:spacing w:val="36"/>
          <w:sz w:val="20"/>
        </w:rPr>
        <w:t> </w:t>
      </w:r>
      <w:r>
        <w:rPr>
          <w:sz w:val="20"/>
        </w:rPr>
        <w:t>proveedores extranjeros (Guillén,</w:t>
      </w:r>
      <w:r>
        <w:rPr>
          <w:spacing w:val="-5"/>
          <w:sz w:val="20"/>
        </w:rPr>
        <w:t> </w:t>
      </w:r>
      <w:r>
        <w:rPr>
          <w:sz w:val="20"/>
        </w:rPr>
        <w:t>2013).</w:t>
      </w:r>
    </w:p>
    <w:p>
      <w:pPr>
        <w:spacing w:after="0"/>
        <w:jc w:val="both"/>
        <w:rPr>
          <w:sz w:val="20"/>
        </w:rPr>
        <w:sectPr>
          <w:footerReference w:type="default" r:id="rId7"/>
          <w:pgSz w:w="12240" w:h="15840"/>
          <w:pgMar w:footer="1035" w:header="0" w:top="1360" w:bottom="1220" w:left="1580" w:right="1580"/>
          <w:pgNumType w:start="3"/>
        </w:sectPr>
      </w:pPr>
    </w:p>
    <w:p>
      <w:pPr>
        <w:pStyle w:val="BodyText"/>
        <w:spacing w:line="360" w:lineRule="auto" w:before="50"/>
        <w:ind w:left="102" w:right="115"/>
        <w:jc w:val="both"/>
      </w:pPr>
      <w:r>
        <w:rPr/>
        <w:t>que</w:t>
      </w:r>
      <w:r>
        <w:rPr>
          <w:spacing w:val="-8"/>
        </w:rPr>
        <w:t> </w:t>
      </w:r>
      <w:r>
        <w:rPr/>
        <w:t>destacan</w:t>
      </w:r>
      <w:r>
        <w:rPr>
          <w:spacing w:val="-7"/>
        </w:rPr>
        <w:t> </w:t>
      </w:r>
      <w:r>
        <w:rPr/>
        <w:t>tanto</w:t>
      </w:r>
      <w:r>
        <w:rPr>
          <w:spacing w:val="-7"/>
        </w:rPr>
        <w:t> </w:t>
      </w:r>
      <w:r>
        <w:rPr/>
        <w:t>por</w:t>
      </w:r>
      <w:r>
        <w:rPr>
          <w:spacing w:val="-8"/>
        </w:rPr>
        <w:t> </w:t>
      </w:r>
      <w:r>
        <w:rPr/>
        <w:t>su</w:t>
      </w:r>
      <w:r>
        <w:rPr>
          <w:spacing w:val="-7"/>
        </w:rPr>
        <w:t> </w:t>
      </w:r>
      <w:r>
        <w:rPr/>
        <w:t>dinamismo</w:t>
      </w:r>
      <w:r>
        <w:rPr>
          <w:spacing w:val="-7"/>
        </w:rPr>
        <w:t> </w:t>
      </w:r>
      <w:r>
        <w:rPr/>
        <w:t>como</w:t>
      </w:r>
      <w:r>
        <w:rPr>
          <w:spacing w:val="-7"/>
        </w:rPr>
        <w:t> </w:t>
      </w:r>
      <w:r>
        <w:rPr/>
        <w:t>por</w:t>
      </w:r>
      <w:r>
        <w:rPr>
          <w:spacing w:val="-10"/>
        </w:rPr>
        <w:t> </w:t>
      </w:r>
      <w:r>
        <w:rPr/>
        <w:t>su</w:t>
      </w:r>
      <w:r>
        <w:rPr>
          <w:spacing w:val="-9"/>
        </w:rPr>
        <w:t> </w:t>
      </w:r>
      <w:r>
        <w:rPr/>
        <w:t>participación</w:t>
      </w:r>
      <w:r>
        <w:rPr>
          <w:spacing w:val="-7"/>
        </w:rPr>
        <w:t> </w:t>
      </w:r>
      <w:r>
        <w:rPr/>
        <w:t>en</w:t>
      </w:r>
      <w:r>
        <w:rPr>
          <w:spacing w:val="-7"/>
        </w:rPr>
        <w:t> </w:t>
      </w:r>
      <w:r>
        <w:rPr/>
        <w:t>el</w:t>
      </w:r>
      <w:r>
        <w:rPr>
          <w:spacing w:val="-7"/>
        </w:rPr>
        <w:t> </w:t>
      </w:r>
      <w:r>
        <w:rPr/>
        <w:t>PIB</w:t>
      </w:r>
      <w:r>
        <w:rPr>
          <w:spacing w:val="-7"/>
        </w:rPr>
        <w:t> </w:t>
      </w:r>
      <w:r>
        <w:rPr/>
        <w:t>manufacturero</w:t>
      </w:r>
      <w:r>
        <w:rPr>
          <w:spacing w:val="-8"/>
        </w:rPr>
        <w:t> </w:t>
      </w:r>
      <w:r>
        <w:rPr/>
        <w:t>son aquellas</w:t>
      </w:r>
      <w:r>
        <w:rPr>
          <w:spacing w:val="-8"/>
        </w:rPr>
        <w:t> </w:t>
      </w:r>
      <w:r>
        <w:rPr/>
        <w:t>que</w:t>
      </w:r>
      <w:r>
        <w:rPr>
          <w:spacing w:val="-10"/>
        </w:rPr>
        <w:t> </w:t>
      </w:r>
      <w:r>
        <w:rPr/>
        <w:t>se</w:t>
      </w:r>
      <w:r>
        <w:rPr>
          <w:spacing w:val="-9"/>
        </w:rPr>
        <w:t> </w:t>
      </w:r>
      <w:r>
        <w:rPr/>
        <w:t>encuentran</w:t>
      </w:r>
      <w:r>
        <w:rPr>
          <w:spacing w:val="-7"/>
        </w:rPr>
        <w:t> </w:t>
      </w:r>
      <w:r>
        <w:rPr/>
        <w:t>orientadas</w:t>
      </w:r>
      <w:r>
        <w:rPr>
          <w:spacing w:val="-8"/>
        </w:rPr>
        <w:t> </w:t>
      </w:r>
      <w:r>
        <w:rPr/>
        <w:t>al</w:t>
      </w:r>
      <w:r>
        <w:rPr>
          <w:spacing w:val="-8"/>
        </w:rPr>
        <w:t> </w:t>
      </w:r>
      <w:r>
        <w:rPr/>
        <w:t>mercado</w:t>
      </w:r>
      <w:r>
        <w:rPr>
          <w:spacing w:val="-9"/>
        </w:rPr>
        <w:t> </w:t>
      </w:r>
      <w:r>
        <w:rPr/>
        <w:t>externo</w:t>
      </w:r>
      <w:r>
        <w:rPr>
          <w:spacing w:val="-6"/>
        </w:rPr>
        <w:t> </w:t>
      </w:r>
      <w:r>
        <w:rPr/>
        <w:t>y</w:t>
      </w:r>
      <w:r>
        <w:rPr>
          <w:spacing w:val="-13"/>
        </w:rPr>
        <w:t> </w:t>
      </w:r>
      <w:r>
        <w:rPr/>
        <w:t>que</w:t>
      </w:r>
      <w:r>
        <w:rPr>
          <w:spacing w:val="-10"/>
        </w:rPr>
        <w:t> </w:t>
      </w:r>
      <w:r>
        <w:rPr/>
        <w:t>producen</w:t>
      </w:r>
      <w:r>
        <w:rPr>
          <w:spacing w:val="-9"/>
        </w:rPr>
        <w:t> </w:t>
      </w:r>
      <w:r>
        <w:rPr/>
        <w:t>bienes</w:t>
      </w:r>
      <w:r>
        <w:rPr>
          <w:spacing w:val="-8"/>
        </w:rPr>
        <w:t> </w:t>
      </w:r>
      <w:r>
        <w:rPr/>
        <w:t>de</w:t>
      </w:r>
      <w:r>
        <w:rPr>
          <w:spacing w:val="-10"/>
        </w:rPr>
        <w:t> </w:t>
      </w:r>
      <w:r>
        <w:rPr/>
        <w:t>consumo final duradero, como son: vehículos automotores, equipos y aparatos electrónicos, electrodomésticos y la industria de autopartes, las cuales se encuentran dentro de la rama de fabricación de maquinaria y equipo (CEFP, 2004). De acuerdo con el Instituto Nacional de Estadística y Geografía (INEGI), para el año 2014 la fabricación de maquinaria y equipo representó 24% del PIB manufacturero</w:t>
      </w:r>
      <w:r>
        <w:rPr>
          <w:spacing w:val="-9"/>
        </w:rPr>
        <w:t> </w:t>
      </w:r>
      <w:r>
        <w:rPr/>
        <w:t>total.</w:t>
      </w:r>
    </w:p>
    <w:p>
      <w:pPr>
        <w:pStyle w:val="BodyText"/>
        <w:spacing w:before="5"/>
        <w:rPr>
          <w:sz w:val="21"/>
        </w:rPr>
      </w:pPr>
    </w:p>
    <w:p>
      <w:pPr>
        <w:pStyle w:val="BodyText"/>
        <w:spacing w:line="360" w:lineRule="auto"/>
        <w:ind w:left="102" w:right="114"/>
        <w:jc w:val="both"/>
      </w:pPr>
      <w:r>
        <w:rPr/>
        <w:t>En este sentido, una actividad que sin duda se destaca por su importancia dentro de la manufactura, y de la economía en general de México, es la industria automotriz derivado de sus</w:t>
      </w:r>
      <w:r>
        <w:rPr>
          <w:spacing w:val="-6"/>
        </w:rPr>
        <w:t> </w:t>
      </w:r>
      <w:r>
        <w:rPr/>
        <w:t>aportaciones</w:t>
      </w:r>
      <w:r>
        <w:rPr>
          <w:spacing w:val="-6"/>
        </w:rPr>
        <w:t> </w:t>
      </w:r>
      <w:r>
        <w:rPr/>
        <w:t>al</w:t>
      </w:r>
      <w:r>
        <w:rPr>
          <w:spacing w:val="-6"/>
        </w:rPr>
        <w:t> </w:t>
      </w:r>
      <w:r>
        <w:rPr/>
        <w:t>PIB</w:t>
      </w:r>
      <w:r>
        <w:rPr>
          <w:spacing w:val="-6"/>
        </w:rPr>
        <w:t> </w:t>
      </w:r>
      <w:r>
        <w:rPr/>
        <w:t>total</w:t>
      </w:r>
      <w:r>
        <w:rPr>
          <w:spacing w:val="-4"/>
        </w:rPr>
        <w:t> </w:t>
      </w:r>
      <w:r>
        <w:rPr/>
        <w:t>y</w:t>
      </w:r>
      <w:r>
        <w:rPr>
          <w:spacing w:val="-10"/>
        </w:rPr>
        <w:t> </w:t>
      </w:r>
      <w:r>
        <w:rPr/>
        <w:t>manufacturero,</w:t>
      </w:r>
      <w:r>
        <w:rPr>
          <w:spacing w:val="-6"/>
        </w:rPr>
        <w:t> </w:t>
      </w:r>
      <w:r>
        <w:rPr/>
        <w:t>a</w:t>
      </w:r>
      <w:r>
        <w:rPr>
          <w:spacing w:val="-7"/>
        </w:rPr>
        <w:t> </w:t>
      </w:r>
      <w:r>
        <w:rPr/>
        <w:t>los</w:t>
      </w:r>
      <w:r>
        <w:rPr>
          <w:spacing w:val="-6"/>
        </w:rPr>
        <w:t> </w:t>
      </w:r>
      <w:r>
        <w:rPr/>
        <w:t>empleos</w:t>
      </w:r>
      <w:r>
        <w:rPr>
          <w:spacing w:val="-6"/>
        </w:rPr>
        <w:t> </w:t>
      </w:r>
      <w:r>
        <w:rPr/>
        <w:t>directos</w:t>
      </w:r>
      <w:r>
        <w:rPr>
          <w:spacing w:val="-6"/>
        </w:rPr>
        <w:t> </w:t>
      </w:r>
      <w:r>
        <w:rPr/>
        <w:t>e</w:t>
      </w:r>
      <w:r>
        <w:rPr>
          <w:spacing w:val="-7"/>
        </w:rPr>
        <w:t> </w:t>
      </w:r>
      <w:r>
        <w:rPr/>
        <w:t>indirectos</w:t>
      </w:r>
      <w:r>
        <w:rPr>
          <w:spacing w:val="-6"/>
        </w:rPr>
        <w:t> </w:t>
      </w:r>
      <w:r>
        <w:rPr/>
        <w:t>que</w:t>
      </w:r>
      <w:r>
        <w:rPr>
          <w:spacing w:val="-7"/>
        </w:rPr>
        <w:t> </w:t>
      </w:r>
      <w:r>
        <w:rPr/>
        <w:t>genera y sus encadenamientos productivos con otras actividades (Carbajal, 2012). Desde una perspectiva cuantitativa, al primer trimestre de 2015 la industria automotriz aportó el 3.0% del PIB nacional y 18.1% del PIB manufacturero, además durante 2014 la industria automotriz empleó a más de 706 mil 968 trabajadores con remuneraciones que duplican el promedio del sector manufacturero, siendo la industria de autopartes la mayor empleadora del</w:t>
      </w:r>
      <w:r>
        <w:rPr>
          <w:spacing w:val="-14"/>
        </w:rPr>
        <w:t> </w:t>
      </w:r>
      <w:r>
        <w:rPr/>
        <w:t>sector,</w:t>
      </w:r>
      <w:r>
        <w:rPr>
          <w:spacing w:val="-15"/>
        </w:rPr>
        <w:t> </w:t>
      </w:r>
      <w:r>
        <w:rPr/>
        <w:t>al</w:t>
      </w:r>
      <w:r>
        <w:rPr>
          <w:spacing w:val="-14"/>
        </w:rPr>
        <w:t> </w:t>
      </w:r>
      <w:r>
        <w:rPr/>
        <w:t>contar</w:t>
      </w:r>
      <w:r>
        <w:rPr>
          <w:spacing w:val="-16"/>
        </w:rPr>
        <w:t> </w:t>
      </w:r>
      <w:r>
        <w:rPr/>
        <w:t>con</w:t>
      </w:r>
      <w:r>
        <w:rPr>
          <w:spacing w:val="-14"/>
        </w:rPr>
        <w:t> </w:t>
      </w:r>
      <w:r>
        <w:rPr/>
        <w:t>un</w:t>
      </w:r>
      <w:r>
        <w:rPr>
          <w:spacing w:val="-14"/>
        </w:rPr>
        <w:t> </w:t>
      </w:r>
      <w:r>
        <w:rPr/>
        <w:t>registro</w:t>
      </w:r>
      <w:r>
        <w:rPr>
          <w:spacing w:val="-15"/>
        </w:rPr>
        <w:t> </w:t>
      </w:r>
      <w:r>
        <w:rPr/>
        <w:t>de</w:t>
      </w:r>
      <w:r>
        <w:rPr>
          <w:spacing w:val="-14"/>
        </w:rPr>
        <w:t> </w:t>
      </w:r>
      <w:r>
        <w:rPr/>
        <w:t>más</w:t>
      </w:r>
      <w:r>
        <w:rPr>
          <w:spacing w:val="-15"/>
        </w:rPr>
        <w:t> </w:t>
      </w:r>
      <w:r>
        <w:rPr/>
        <w:t>de</w:t>
      </w:r>
      <w:r>
        <w:rPr>
          <w:spacing w:val="-15"/>
        </w:rPr>
        <w:t> </w:t>
      </w:r>
      <w:r>
        <w:rPr/>
        <w:t>500</w:t>
      </w:r>
      <w:r>
        <w:rPr>
          <w:spacing w:val="-17"/>
        </w:rPr>
        <w:t> </w:t>
      </w:r>
      <w:r>
        <w:rPr/>
        <w:t>mil</w:t>
      </w:r>
      <w:r>
        <w:rPr>
          <w:spacing w:val="-14"/>
        </w:rPr>
        <w:t> </w:t>
      </w:r>
      <w:r>
        <w:rPr/>
        <w:t>personas</w:t>
      </w:r>
      <w:r>
        <w:rPr>
          <w:spacing w:val="-14"/>
        </w:rPr>
        <w:t> </w:t>
      </w:r>
      <w:r>
        <w:rPr/>
        <w:t>contratadas</w:t>
      </w:r>
      <w:r>
        <w:rPr>
          <w:spacing w:val="-11"/>
        </w:rPr>
        <w:t> </w:t>
      </w:r>
      <w:r>
        <w:rPr/>
        <w:t>(INEGI,</w:t>
      </w:r>
      <w:r>
        <w:rPr>
          <w:spacing w:val="-10"/>
        </w:rPr>
        <w:t> </w:t>
      </w:r>
      <w:r>
        <w:rPr/>
        <w:t>y</w:t>
      </w:r>
      <w:r>
        <w:rPr>
          <w:spacing w:val="-19"/>
        </w:rPr>
        <w:t> </w:t>
      </w:r>
      <w:r>
        <w:rPr/>
        <w:t>AMIA, 2014).</w:t>
      </w:r>
    </w:p>
    <w:p>
      <w:pPr>
        <w:pStyle w:val="BodyText"/>
        <w:spacing w:before="4"/>
        <w:rPr>
          <w:sz w:val="21"/>
        </w:rPr>
      </w:pPr>
    </w:p>
    <w:p>
      <w:pPr>
        <w:pStyle w:val="BodyText"/>
        <w:spacing w:line="360" w:lineRule="auto" w:before="1"/>
        <w:ind w:left="102" w:right="118"/>
        <w:jc w:val="both"/>
      </w:pPr>
      <w:r>
        <w:rPr/>
        <w:t>Es importante mencionar que a partir del cambio de modelo económico en la década de los ochenta, la industria automotriz comenzó a concentrarse en regiones específicas del país. Al respecto Vieyra (1999), analizó los cambios en el patrón de localización de la Industria Automotriz como consecuencia de los procesos de apertura comercial y reestructuración productiva experimentados a nivel mundial durante el periodo de 1985 a 1994,</w:t>
      </w:r>
      <w:r>
        <w:rPr>
          <w:spacing w:val="-16"/>
        </w:rPr>
        <w:t> </w:t>
      </w:r>
      <w:r>
        <w:rPr/>
        <w:t>concluyendo que los estados de la frontera norte fueron los más beneficiados con el nuevo modelo económico mientras que la región centro disminuyó su</w:t>
      </w:r>
      <w:r>
        <w:rPr>
          <w:spacing w:val="-12"/>
        </w:rPr>
        <w:t> </w:t>
      </w:r>
      <w:r>
        <w:rPr/>
        <w:t>participación.</w:t>
      </w:r>
    </w:p>
    <w:p>
      <w:pPr>
        <w:pStyle w:val="BodyText"/>
        <w:spacing w:before="2"/>
        <w:rPr>
          <w:sz w:val="21"/>
        </w:rPr>
      </w:pPr>
    </w:p>
    <w:p>
      <w:pPr>
        <w:pStyle w:val="BodyText"/>
        <w:spacing w:line="360" w:lineRule="auto"/>
        <w:ind w:left="102" w:right="116"/>
        <w:jc w:val="both"/>
      </w:pPr>
      <w:r>
        <w:rPr/>
        <w:t>Posteriormente Mortimore y barron (2005), señalan que con la entrada en vigor del Tratado de Libre Comercio de América del Norte (TLCAN) en 1994, se propició el crecimiento acelerado de la producción con una estrategia dirigida a la exportación de vehículos, sobre todo para abastecer el mercado de los Estados Unidos, lo que provocó un cambio en la estructura de las exportaciones mexicanas, </w:t>
      </w:r>
      <w:r>
        <w:rPr>
          <w:spacing w:val="-3"/>
        </w:rPr>
        <w:t>ya </w:t>
      </w:r>
      <w:r>
        <w:rPr/>
        <w:t>que en 1985 el 65.5% de las exportaciones estaban</w:t>
      </w:r>
      <w:r>
        <w:rPr>
          <w:spacing w:val="-11"/>
        </w:rPr>
        <w:t> </w:t>
      </w:r>
      <w:r>
        <w:rPr/>
        <w:t>soportadas</w:t>
      </w:r>
      <w:r>
        <w:rPr>
          <w:spacing w:val="-8"/>
        </w:rPr>
        <w:t> </w:t>
      </w:r>
      <w:r>
        <w:rPr/>
        <w:t>en</w:t>
      </w:r>
      <w:r>
        <w:rPr>
          <w:spacing w:val="-11"/>
        </w:rPr>
        <w:t> </w:t>
      </w:r>
      <w:r>
        <w:rPr/>
        <w:t>recursos</w:t>
      </w:r>
      <w:r>
        <w:rPr>
          <w:spacing w:val="-11"/>
        </w:rPr>
        <w:t> </w:t>
      </w:r>
      <w:r>
        <w:rPr/>
        <w:t>naturales</w:t>
      </w:r>
      <w:r>
        <w:rPr>
          <w:spacing w:val="-7"/>
        </w:rPr>
        <w:t> </w:t>
      </w:r>
      <w:r>
        <w:rPr/>
        <w:t>y</w:t>
      </w:r>
      <w:r>
        <w:rPr>
          <w:spacing w:val="-16"/>
        </w:rPr>
        <w:t> </w:t>
      </w:r>
      <w:r>
        <w:rPr/>
        <w:t>manufacturas</w:t>
      </w:r>
      <w:r>
        <w:rPr>
          <w:spacing w:val="-11"/>
        </w:rPr>
        <w:t> </w:t>
      </w:r>
      <w:r>
        <w:rPr/>
        <w:t>basadas</w:t>
      </w:r>
      <w:r>
        <w:rPr>
          <w:spacing w:val="-9"/>
        </w:rPr>
        <w:t> </w:t>
      </w:r>
      <w:r>
        <w:rPr/>
        <w:t>en</w:t>
      </w:r>
      <w:r>
        <w:rPr>
          <w:spacing w:val="-9"/>
        </w:rPr>
        <w:t> </w:t>
      </w:r>
      <w:r>
        <w:rPr/>
        <w:t>recursos</w:t>
      </w:r>
      <w:r>
        <w:rPr>
          <w:spacing w:val="-11"/>
        </w:rPr>
        <w:t> </w:t>
      </w:r>
      <w:r>
        <w:rPr/>
        <w:t>naturales</w:t>
      </w:r>
      <w:r>
        <w:rPr>
          <w:spacing w:val="-5"/>
        </w:rPr>
        <w:t> </w:t>
      </w:r>
      <w:r>
        <w:rPr/>
        <w:t>y</w:t>
      </w:r>
      <w:r>
        <w:rPr>
          <w:spacing w:val="-16"/>
        </w:rPr>
        <w:t> </w:t>
      </w:r>
      <w:r>
        <w:rPr/>
        <w:t>para</w:t>
      </w:r>
    </w:p>
    <w:p>
      <w:pPr>
        <w:spacing w:after="0" w:line="360" w:lineRule="auto"/>
        <w:jc w:val="both"/>
        <w:sectPr>
          <w:pgSz w:w="12240" w:h="15840"/>
          <w:pgMar w:header="0" w:footer="1035" w:top="1360" w:bottom="1220" w:left="1600" w:right="1580"/>
        </w:sectPr>
      </w:pPr>
    </w:p>
    <w:p>
      <w:pPr>
        <w:pStyle w:val="BodyText"/>
        <w:spacing w:line="360" w:lineRule="auto" w:before="50"/>
        <w:ind w:left="102" w:right="119"/>
        <w:jc w:val="both"/>
      </w:pPr>
      <w:r>
        <w:rPr/>
        <w:t>el</w:t>
      </w:r>
      <w:r>
        <w:rPr>
          <w:spacing w:val="-8"/>
        </w:rPr>
        <w:t> </w:t>
      </w:r>
      <w:r>
        <w:rPr/>
        <w:t>2001</w:t>
      </w:r>
      <w:r>
        <w:rPr>
          <w:spacing w:val="-9"/>
        </w:rPr>
        <w:t> </w:t>
      </w:r>
      <w:r>
        <w:rPr/>
        <w:t>78.3%</w:t>
      </w:r>
      <w:r>
        <w:rPr>
          <w:spacing w:val="-7"/>
        </w:rPr>
        <w:t> </w:t>
      </w:r>
      <w:r>
        <w:rPr/>
        <w:t>de</w:t>
      </w:r>
      <w:r>
        <w:rPr>
          <w:spacing w:val="-7"/>
        </w:rPr>
        <w:t> </w:t>
      </w:r>
      <w:r>
        <w:rPr/>
        <w:t>las</w:t>
      </w:r>
      <w:r>
        <w:rPr>
          <w:spacing w:val="-7"/>
        </w:rPr>
        <w:t> </w:t>
      </w:r>
      <w:r>
        <w:rPr/>
        <w:t>exportaciones</w:t>
      </w:r>
      <w:r>
        <w:rPr>
          <w:spacing w:val="-9"/>
        </w:rPr>
        <w:t> </w:t>
      </w:r>
      <w:r>
        <w:rPr/>
        <w:t>se</w:t>
      </w:r>
      <w:r>
        <w:rPr>
          <w:spacing w:val="-7"/>
        </w:rPr>
        <w:t> </w:t>
      </w:r>
      <w:r>
        <w:rPr/>
        <w:t>constituyeron</w:t>
      </w:r>
      <w:r>
        <w:rPr>
          <w:spacing w:val="-9"/>
        </w:rPr>
        <w:t> </w:t>
      </w:r>
      <w:r>
        <w:rPr/>
        <w:t>en</w:t>
      </w:r>
      <w:r>
        <w:rPr>
          <w:spacing w:val="-9"/>
        </w:rPr>
        <w:t> </w:t>
      </w:r>
      <w:r>
        <w:rPr/>
        <w:t>manufacturas</w:t>
      </w:r>
      <w:r>
        <w:rPr>
          <w:spacing w:val="-6"/>
        </w:rPr>
        <w:t> </w:t>
      </w:r>
      <w:r>
        <w:rPr/>
        <w:t>basadas</w:t>
      </w:r>
      <w:r>
        <w:rPr>
          <w:spacing w:val="-8"/>
        </w:rPr>
        <w:t> </w:t>
      </w:r>
      <w:r>
        <w:rPr/>
        <w:t>en</w:t>
      </w:r>
      <w:r>
        <w:rPr>
          <w:spacing w:val="-7"/>
        </w:rPr>
        <w:t> </w:t>
      </w:r>
      <w:r>
        <w:rPr/>
        <w:t>tecnologías en especial productos del sector automotriz. Durante el primer trimestre de 2015 se exportaron 1 millón 405 mil 458 vehículos, de los cuales 70.8% fueron enviados a Estados Unidos (AMIA,</w:t>
      </w:r>
      <w:r>
        <w:rPr>
          <w:spacing w:val="-6"/>
        </w:rPr>
        <w:t> </w:t>
      </w:r>
      <w:r>
        <w:rPr/>
        <w:t>2015).</w:t>
      </w:r>
    </w:p>
    <w:p>
      <w:pPr>
        <w:pStyle w:val="BodyText"/>
        <w:spacing w:before="2"/>
        <w:rPr>
          <w:sz w:val="21"/>
        </w:rPr>
      </w:pPr>
    </w:p>
    <w:p>
      <w:pPr>
        <w:pStyle w:val="BodyText"/>
        <w:spacing w:line="360" w:lineRule="auto"/>
        <w:ind w:left="102" w:right="120"/>
        <w:jc w:val="both"/>
      </w:pPr>
      <w:r>
        <w:rPr/>
        <w:t>En el mismo sentido Carrillo (2007), señala que fue con la entrada en vigor del TLCAN, cuando el sector automotriz inició una segunda etapa de adaptación y configuración, especialmente a partir de que los requerimientos de las empresas ensambladoras se vuelven más estrictos y se hacen importantes inversiones en nuevas tecnologías, con lo que las empresa de autopartes también desarrollaron nuevos procesos de producción.</w:t>
      </w:r>
    </w:p>
    <w:p>
      <w:pPr>
        <w:pStyle w:val="BodyText"/>
        <w:spacing w:before="4"/>
        <w:rPr>
          <w:sz w:val="21"/>
        </w:rPr>
      </w:pPr>
    </w:p>
    <w:p>
      <w:pPr>
        <w:pStyle w:val="BodyText"/>
        <w:spacing w:line="360" w:lineRule="auto" w:before="1"/>
        <w:ind w:left="102" w:right="116"/>
        <w:jc w:val="both"/>
      </w:pPr>
      <w:r>
        <w:rPr/>
        <w:t>Con ello se inició un proceso de reestructuración regional en la dinámica de producción manufacturera, debido a que nuevas plantas se instalaron sobretodo en la región norte de México y no en el centro como comúnmente había sucedido. Villarreal y Villegas (2007) argumentan que esta decisión obedece a que en los estados fronterizos se reducen los costos de</w:t>
      </w:r>
      <w:r>
        <w:rPr>
          <w:spacing w:val="-10"/>
        </w:rPr>
        <w:t> </w:t>
      </w:r>
      <w:r>
        <w:rPr/>
        <w:t>producción</w:t>
      </w:r>
      <w:r>
        <w:rPr>
          <w:spacing w:val="-8"/>
        </w:rPr>
        <w:t> </w:t>
      </w:r>
      <w:r>
        <w:rPr/>
        <w:t>porque</w:t>
      </w:r>
      <w:r>
        <w:rPr>
          <w:spacing w:val="-10"/>
        </w:rPr>
        <w:t> </w:t>
      </w:r>
      <w:r>
        <w:rPr/>
        <w:t>se</w:t>
      </w:r>
      <w:r>
        <w:rPr>
          <w:spacing w:val="-7"/>
        </w:rPr>
        <w:t> </w:t>
      </w:r>
      <w:r>
        <w:rPr/>
        <w:t>dispone</w:t>
      </w:r>
      <w:r>
        <w:rPr>
          <w:spacing w:val="-10"/>
        </w:rPr>
        <w:t> </w:t>
      </w:r>
      <w:r>
        <w:rPr/>
        <w:t>de</w:t>
      </w:r>
      <w:r>
        <w:rPr>
          <w:spacing w:val="-10"/>
        </w:rPr>
        <w:t> </w:t>
      </w:r>
      <w:r>
        <w:rPr/>
        <w:t>mano</w:t>
      </w:r>
      <w:r>
        <w:rPr>
          <w:spacing w:val="-9"/>
        </w:rPr>
        <w:t> </w:t>
      </w:r>
      <w:r>
        <w:rPr/>
        <w:t>de</w:t>
      </w:r>
      <w:r>
        <w:rPr>
          <w:spacing w:val="-10"/>
        </w:rPr>
        <w:t> </w:t>
      </w:r>
      <w:r>
        <w:rPr/>
        <w:t>obra</w:t>
      </w:r>
      <w:r>
        <w:rPr>
          <w:spacing w:val="-8"/>
        </w:rPr>
        <w:t> </w:t>
      </w:r>
      <w:r>
        <w:rPr/>
        <w:t>abundante</w:t>
      </w:r>
      <w:r>
        <w:rPr>
          <w:spacing w:val="-4"/>
        </w:rPr>
        <w:t> </w:t>
      </w:r>
      <w:r>
        <w:rPr/>
        <w:t>y</w:t>
      </w:r>
      <w:r>
        <w:rPr>
          <w:spacing w:val="-13"/>
        </w:rPr>
        <w:t> </w:t>
      </w:r>
      <w:r>
        <w:rPr/>
        <w:t>barata</w:t>
      </w:r>
      <w:r>
        <w:rPr>
          <w:spacing w:val="-4"/>
        </w:rPr>
        <w:t> </w:t>
      </w:r>
      <w:r>
        <w:rPr/>
        <w:t>y</w:t>
      </w:r>
      <w:r>
        <w:rPr>
          <w:spacing w:val="-13"/>
        </w:rPr>
        <w:t> </w:t>
      </w:r>
      <w:r>
        <w:rPr/>
        <w:t>con</w:t>
      </w:r>
      <w:r>
        <w:rPr>
          <w:spacing w:val="-6"/>
        </w:rPr>
        <w:t> </w:t>
      </w:r>
      <w:r>
        <w:rPr/>
        <w:t>poca</w:t>
      </w:r>
      <w:r>
        <w:rPr>
          <w:spacing w:val="-10"/>
        </w:rPr>
        <w:t> </w:t>
      </w:r>
      <w:r>
        <w:rPr/>
        <w:t>experiencia sindical;</w:t>
      </w:r>
      <w:r>
        <w:rPr>
          <w:spacing w:val="-15"/>
        </w:rPr>
        <w:t> </w:t>
      </w:r>
      <w:r>
        <w:rPr/>
        <w:t>además,</w:t>
      </w:r>
      <w:r>
        <w:rPr>
          <w:spacing w:val="-13"/>
        </w:rPr>
        <w:t> </w:t>
      </w:r>
      <w:r>
        <w:rPr/>
        <w:t>por</w:t>
      </w:r>
      <w:r>
        <w:rPr>
          <w:spacing w:val="-17"/>
        </w:rPr>
        <w:t> </w:t>
      </w:r>
      <w:r>
        <w:rPr/>
        <w:t>su</w:t>
      </w:r>
      <w:r>
        <w:rPr>
          <w:spacing w:val="-13"/>
        </w:rPr>
        <w:t> </w:t>
      </w:r>
      <w:r>
        <w:rPr/>
        <w:t>localización</w:t>
      </w:r>
      <w:r>
        <w:rPr>
          <w:spacing w:val="-15"/>
        </w:rPr>
        <w:t> </w:t>
      </w:r>
      <w:r>
        <w:rPr/>
        <w:t>geográfica</w:t>
      </w:r>
      <w:r>
        <w:rPr>
          <w:spacing w:val="-17"/>
        </w:rPr>
        <w:t> </w:t>
      </w:r>
      <w:r>
        <w:rPr/>
        <w:t>se</w:t>
      </w:r>
      <w:r>
        <w:rPr>
          <w:spacing w:val="-14"/>
        </w:rPr>
        <w:t> </w:t>
      </w:r>
      <w:r>
        <w:rPr/>
        <w:t>reduce</w:t>
      </w:r>
      <w:r>
        <w:rPr>
          <w:spacing w:val="-15"/>
        </w:rPr>
        <w:t> </w:t>
      </w:r>
      <w:r>
        <w:rPr/>
        <w:t>la</w:t>
      </w:r>
      <w:r>
        <w:rPr>
          <w:spacing w:val="-14"/>
        </w:rPr>
        <w:t> </w:t>
      </w:r>
      <w:r>
        <w:rPr/>
        <w:t>distancia</w:t>
      </w:r>
      <w:r>
        <w:rPr>
          <w:spacing w:val="-14"/>
        </w:rPr>
        <w:t> </w:t>
      </w:r>
      <w:r>
        <w:rPr/>
        <w:t>con</w:t>
      </w:r>
      <w:r>
        <w:rPr>
          <w:spacing w:val="-16"/>
        </w:rPr>
        <w:t> </w:t>
      </w:r>
      <w:r>
        <w:rPr/>
        <w:t>los</w:t>
      </w:r>
      <w:r>
        <w:rPr>
          <w:spacing w:val="-16"/>
        </w:rPr>
        <w:t> </w:t>
      </w:r>
      <w:r>
        <w:rPr/>
        <w:t>Estados</w:t>
      </w:r>
      <w:r>
        <w:rPr>
          <w:spacing w:val="-16"/>
        </w:rPr>
        <w:t> </w:t>
      </w:r>
      <w:r>
        <w:rPr/>
        <w:t>Unidos y por lo tanto el tiempo y el costo de traslado de los productos terminados, esto provocó</w:t>
      </w:r>
      <w:r>
        <w:rPr>
          <w:spacing w:val="-22"/>
        </w:rPr>
        <w:t> </w:t>
      </w:r>
      <w:r>
        <w:rPr/>
        <w:t>una disminución de la participación de la región centro dentro de este sector, donde en algún momento se concentró la mayor parte de la industria automotriz de este</w:t>
      </w:r>
      <w:r>
        <w:rPr>
          <w:spacing w:val="-11"/>
        </w:rPr>
        <w:t> </w:t>
      </w:r>
      <w:r>
        <w:rPr/>
        <w:t>país.</w:t>
      </w:r>
    </w:p>
    <w:p>
      <w:pPr>
        <w:pStyle w:val="BodyText"/>
        <w:spacing w:before="2"/>
        <w:rPr>
          <w:sz w:val="21"/>
        </w:rPr>
      </w:pPr>
    </w:p>
    <w:p>
      <w:pPr>
        <w:pStyle w:val="BodyText"/>
        <w:spacing w:line="360" w:lineRule="auto"/>
        <w:ind w:left="102" w:right="119"/>
        <w:jc w:val="both"/>
      </w:pPr>
      <w:r>
        <w:rPr/>
        <w:t>Asimismo, Carbajal y de Jesús (2013) presentan evidencia de la pérdida de dinamismo del sector automotriz localizado en el centro del país y la consolidación de las regiones Norte y Centro-Norte como polos de atracción.</w:t>
      </w:r>
    </w:p>
    <w:p>
      <w:pPr>
        <w:pStyle w:val="BodyText"/>
        <w:spacing w:before="4"/>
        <w:rPr>
          <w:sz w:val="21"/>
        </w:rPr>
      </w:pPr>
    </w:p>
    <w:p>
      <w:pPr>
        <w:pStyle w:val="BodyText"/>
        <w:spacing w:line="360" w:lineRule="auto" w:before="1"/>
        <w:ind w:left="102" w:right="116"/>
        <w:jc w:val="both"/>
      </w:pPr>
      <w:r>
        <w:rPr/>
        <w:t>Actualmente México es el séptimo productor de automóviles en el mundo y es el primer productor</w:t>
      </w:r>
      <w:r>
        <w:rPr>
          <w:spacing w:val="-12"/>
        </w:rPr>
        <w:t> </w:t>
      </w:r>
      <w:r>
        <w:rPr/>
        <w:t>en</w:t>
      </w:r>
      <w:r>
        <w:rPr>
          <w:spacing w:val="-12"/>
        </w:rPr>
        <w:t> </w:t>
      </w:r>
      <w:r>
        <w:rPr/>
        <w:t>América</w:t>
      </w:r>
      <w:r>
        <w:rPr>
          <w:spacing w:val="-11"/>
        </w:rPr>
        <w:t> </w:t>
      </w:r>
      <w:r>
        <w:rPr/>
        <w:t>Latina</w:t>
      </w:r>
      <w:r>
        <w:rPr>
          <w:spacing w:val="-13"/>
        </w:rPr>
        <w:t> </w:t>
      </w:r>
      <w:r>
        <w:rPr/>
        <w:t>dejando</w:t>
      </w:r>
      <w:r>
        <w:rPr>
          <w:spacing w:val="-13"/>
        </w:rPr>
        <w:t> </w:t>
      </w:r>
      <w:r>
        <w:rPr/>
        <w:t>atrás</w:t>
      </w:r>
      <w:r>
        <w:rPr>
          <w:spacing w:val="-12"/>
        </w:rPr>
        <w:t> </w:t>
      </w:r>
      <w:r>
        <w:rPr/>
        <w:t>a</w:t>
      </w:r>
      <w:r>
        <w:rPr>
          <w:spacing w:val="-13"/>
        </w:rPr>
        <w:t> </w:t>
      </w:r>
      <w:r>
        <w:rPr/>
        <w:t>Brasil.</w:t>
      </w:r>
      <w:r>
        <w:rPr>
          <w:spacing w:val="-12"/>
        </w:rPr>
        <w:t> </w:t>
      </w:r>
      <w:r>
        <w:rPr/>
        <w:t>De</w:t>
      </w:r>
      <w:r>
        <w:rPr>
          <w:spacing w:val="-13"/>
        </w:rPr>
        <w:t> </w:t>
      </w:r>
      <w:r>
        <w:rPr/>
        <w:t>acuerdo</w:t>
      </w:r>
      <w:r>
        <w:rPr>
          <w:spacing w:val="-12"/>
        </w:rPr>
        <w:t> </w:t>
      </w:r>
      <w:r>
        <w:rPr/>
        <w:t>con</w:t>
      </w:r>
      <w:r>
        <w:rPr>
          <w:spacing w:val="-12"/>
        </w:rPr>
        <w:t> </w:t>
      </w:r>
      <w:r>
        <w:rPr/>
        <w:t>datos</w:t>
      </w:r>
      <w:r>
        <w:rPr>
          <w:spacing w:val="-11"/>
        </w:rPr>
        <w:t> </w:t>
      </w:r>
      <w:r>
        <w:rPr/>
        <w:t>al</w:t>
      </w:r>
      <w:r>
        <w:rPr>
          <w:spacing w:val="-12"/>
        </w:rPr>
        <w:t> </w:t>
      </w:r>
      <w:r>
        <w:rPr/>
        <w:t>cierre</w:t>
      </w:r>
      <w:r>
        <w:rPr>
          <w:spacing w:val="-13"/>
        </w:rPr>
        <w:t> </w:t>
      </w:r>
      <w:r>
        <w:rPr/>
        <w:t>del</w:t>
      </w:r>
      <w:r>
        <w:rPr>
          <w:spacing w:val="-12"/>
        </w:rPr>
        <w:t> </w:t>
      </w:r>
      <w:r>
        <w:rPr/>
        <w:t>primer semestre</w:t>
      </w:r>
      <w:r>
        <w:rPr>
          <w:spacing w:val="-8"/>
        </w:rPr>
        <w:t> </w:t>
      </w:r>
      <w:r>
        <w:rPr/>
        <w:t>del</w:t>
      </w:r>
      <w:r>
        <w:rPr>
          <w:spacing w:val="-6"/>
        </w:rPr>
        <w:t> </w:t>
      </w:r>
      <w:r>
        <w:rPr/>
        <w:t>2014,</w:t>
      </w:r>
      <w:r>
        <w:rPr>
          <w:spacing w:val="-6"/>
        </w:rPr>
        <w:t> </w:t>
      </w:r>
      <w:r>
        <w:rPr/>
        <w:t>se</w:t>
      </w:r>
      <w:r>
        <w:rPr>
          <w:spacing w:val="-4"/>
        </w:rPr>
        <w:t> </w:t>
      </w:r>
      <w:r>
        <w:rPr/>
        <w:t>fabricaron</w:t>
      </w:r>
      <w:r>
        <w:rPr>
          <w:spacing w:val="-7"/>
        </w:rPr>
        <w:t> </w:t>
      </w:r>
      <w:r>
        <w:rPr/>
        <w:t>un</w:t>
      </w:r>
      <w:r>
        <w:rPr>
          <w:spacing w:val="-6"/>
        </w:rPr>
        <w:t> </w:t>
      </w:r>
      <w:r>
        <w:rPr/>
        <w:t>millón</w:t>
      </w:r>
      <w:r>
        <w:rPr>
          <w:spacing w:val="-6"/>
        </w:rPr>
        <w:t> </w:t>
      </w:r>
      <w:r>
        <w:rPr/>
        <w:t>597</w:t>
      </w:r>
      <w:r>
        <w:rPr>
          <w:spacing w:val="-6"/>
        </w:rPr>
        <w:t> </w:t>
      </w:r>
      <w:r>
        <w:rPr/>
        <w:t>mil</w:t>
      </w:r>
      <w:r>
        <w:rPr>
          <w:spacing w:val="-6"/>
        </w:rPr>
        <w:t> </w:t>
      </w:r>
      <w:r>
        <w:rPr/>
        <w:t>594</w:t>
      </w:r>
      <w:r>
        <w:rPr>
          <w:spacing w:val="-6"/>
        </w:rPr>
        <w:t> </w:t>
      </w:r>
      <w:r>
        <w:rPr/>
        <w:t>automóviles</w:t>
      </w:r>
      <w:r>
        <w:rPr>
          <w:spacing w:val="-6"/>
        </w:rPr>
        <w:t> </w:t>
      </w:r>
      <w:r>
        <w:rPr/>
        <w:t>en</w:t>
      </w:r>
      <w:r>
        <w:rPr>
          <w:spacing w:val="-6"/>
        </w:rPr>
        <w:t> </w:t>
      </w:r>
      <w:r>
        <w:rPr/>
        <w:t>el</w:t>
      </w:r>
      <w:r>
        <w:rPr>
          <w:spacing w:val="-6"/>
        </w:rPr>
        <w:t> </w:t>
      </w:r>
      <w:r>
        <w:rPr/>
        <w:t>territorio</w:t>
      </w:r>
      <w:r>
        <w:rPr>
          <w:spacing w:val="-6"/>
        </w:rPr>
        <w:t> </w:t>
      </w:r>
      <w:r>
        <w:rPr/>
        <w:t>nacional, cifra que superó el millón 566 mil que registró Brasil en el mismo periodo (AMIA, 2014). Se estima que esta industria tendrá importantes crecimientos en años próximos, México producirá</w:t>
      </w:r>
      <w:r>
        <w:rPr>
          <w:spacing w:val="-17"/>
        </w:rPr>
        <w:t> </w:t>
      </w:r>
      <w:r>
        <w:rPr/>
        <w:t>más</w:t>
      </w:r>
      <w:r>
        <w:rPr>
          <w:spacing w:val="-16"/>
        </w:rPr>
        <w:t> </w:t>
      </w:r>
      <w:r>
        <w:rPr/>
        <w:t>de</w:t>
      </w:r>
      <w:r>
        <w:rPr>
          <w:spacing w:val="-17"/>
        </w:rPr>
        <w:t> </w:t>
      </w:r>
      <w:r>
        <w:rPr/>
        <w:t>3</w:t>
      </w:r>
      <w:r>
        <w:rPr>
          <w:spacing w:val="-16"/>
        </w:rPr>
        <w:t> </w:t>
      </w:r>
      <w:r>
        <w:rPr/>
        <w:t>millones</w:t>
      </w:r>
      <w:r>
        <w:rPr>
          <w:spacing w:val="-16"/>
        </w:rPr>
        <w:t> </w:t>
      </w:r>
      <w:r>
        <w:rPr/>
        <w:t>de</w:t>
      </w:r>
      <w:r>
        <w:rPr>
          <w:spacing w:val="-17"/>
        </w:rPr>
        <w:t> </w:t>
      </w:r>
      <w:r>
        <w:rPr/>
        <w:t>vehículos</w:t>
      </w:r>
      <w:r>
        <w:rPr>
          <w:spacing w:val="-16"/>
        </w:rPr>
        <w:t> </w:t>
      </w:r>
      <w:r>
        <w:rPr/>
        <w:t>al</w:t>
      </w:r>
      <w:r>
        <w:rPr>
          <w:spacing w:val="-14"/>
        </w:rPr>
        <w:t> </w:t>
      </w:r>
      <w:r>
        <w:rPr/>
        <w:t>final</w:t>
      </w:r>
      <w:r>
        <w:rPr>
          <w:spacing w:val="-15"/>
        </w:rPr>
        <w:t> </w:t>
      </w:r>
      <w:r>
        <w:rPr/>
        <w:t>de</w:t>
      </w:r>
      <w:r>
        <w:rPr>
          <w:spacing w:val="-17"/>
        </w:rPr>
        <w:t> </w:t>
      </w:r>
      <w:r>
        <w:rPr/>
        <w:t>2015,</w:t>
      </w:r>
      <w:r>
        <w:rPr>
          <w:spacing w:val="-16"/>
        </w:rPr>
        <w:t> </w:t>
      </w:r>
      <w:r>
        <w:rPr/>
        <w:t>el</w:t>
      </w:r>
      <w:r>
        <w:rPr>
          <w:spacing w:val="-15"/>
        </w:rPr>
        <w:t> </w:t>
      </w:r>
      <w:r>
        <w:rPr/>
        <w:t>doble</w:t>
      </w:r>
      <w:r>
        <w:rPr>
          <w:spacing w:val="-16"/>
        </w:rPr>
        <w:t> </w:t>
      </w:r>
      <w:r>
        <w:rPr/>
        <w:t>de</w:t>
      </w:r>
      <w:r>
        <w:rPr>
          <w:spacing w:val="-17"/>
        </w:rPr>
        <w:t> </w:t>
      </w:r>
      <w:r>
        <w:rPr/>
        <w:t>las</w:t>
      </w:r>
      <w:r>
        <w:rPr>
          <w:spacing w:val="-16"/>
        </w:rPr>
        <w:t> </w:t>
      </w:r>
      <w:r>
        <w:rPr/>
        <w:t>unidades</w:t>
      </w:r>
      <w:r>
        <w:rPr>
          <w:spacing w:val="-16"/>
        </w:rPr>
        <w:t> </w:t>
      </w:r>
      <w:r>
        <w:rPr/>
        <w:t>producidas en 2009 (1.5 millones de vehículos) (INEGI,</w:t>
      </w:r>
      <w:r>
        <w:rPr>
          <w:spacing w:val="-8"/>
        </w:rPr>
        <w:t> </w:t>
      </w:r>
      <w:r>
        <w:rPr/>
        <w:t>2012).</w:t>
      </w:r>
    </w:p>
    <w:p>
      <w:pPr>
        <w:spacing w:after="0" w:line="360" w:lineRule="auto"/>
        <w:jc w:val="both"/>
        <w:sectPr>
          <w:pgSz w:w="12240" w:h="15840"/>
          <w:pgMar w:header="0" w:footer="1035" w:top="1360" w:bottom="1220" w:left="1600" w:right="1580"/>
        </w:sectPr>
      </w:pPr>
    </w:p>
    <w:p>
      <w:pPr>
        <w:pStyle w:val="BodyText"/>
        <w:spacing w:line="360" w:lineRule="auto" w:before="50"/>
        <w:ind w:left="102" w:right="118"/>
        <w:jc w:val="both"/>
      </w:pPr>
      <w:r>
        <w:rPr/>
        <w:t>Como vemos, se ha considerado a la industria automotriz como un pilar económico estratégico en virtud de los beneficios que trae consigo: la generación de empleos a gran escala,</w:t>
      </w:r>
      <w:r>
        <w:rPr>
          <w:spacing w:val="-8"/>
        </w:rPr>
        <w:t> </w:t>
      </w:r>
      <w:r>
        <w:rPr/>
        <w:t>las</w:t>
      </w:r>
      <w:r>
        <w:rPr>
          <w:spacing w:val="-7"/>
        </w:rPr>
        <w:t> </w:t>
      </w:r>
      <w:r>
        <w:rPr/>
        <w:t>recaudaciones</w:t>
      </w:r>
      <w:r>
        <w:rPr>
          <w:spacing w:val="-5"/>
        </w:rPr>
        <w:t> </w:t>
      </w:r>
      <w:r>
        <w:rPr/>
        <w:t>fiscales</w:t>
      </w:r>
      <w:r>
        <w:rPr>
          <w:spacing w:val="-8"/>
        </w:rPr>
        <w:t> </w:t>
      </w:r>
      <w:r>
        <w:rPr/>
        <w:t>derivadas</w:t>
      </w:r>
      <w:r>
        <w:rPr>
          <w:spacing w:val="-5"/>
        </w:rPr>
        <w:t> </w:t>
      </w:r>
      <w:r>
        <w:rPr/>
        <w:t>de</w:t>
      </w:r>
      <w:r>
        <w:rPr>
          <w:spacing w:val="-8"/>
        </w:rPr>
        <w:t> </w:t>
      </w:r>
      <w:r>
        <w:rPr/>
        <w:t>las</w:t>
      </w:r>
      <w:r>
        <w:rPr>
          <w:spacing w:val="-5"/>
        </w:rPr>
        <w:t> </w:t>
      </w:r>
      <w:r>
        <w:rPr/>
        <w:t>operaciones</w:t>
      </w:r>
      <w:r>
        <w:rPr>
          <w:spacing w:val="-7"/>
        </w:rPr>
        <w:t> </w:t>
      </w:r>
      <w:r>
        <w:rPr/>
        <w:t>comerciales</w:t>
      </w:r>
      <w:r>
        <w:rPr>
          <w:spacing w:val="-2"/>
        </w:rPr>
        <w:t> </w:t>
      </w:r>
      <w:r>
        <w:rPr/>
        <w:t>de</w:t>
      </w:r>
      <w:r>
        <w:rPr>
          <w:spacing w:val="-8"/>
        </w:rPr>
        <w:t> </w:t>
      </w:r>
      <w:r>
        <w:rPr/>
        <w:t>la</w:t>
      </w:r>
      <w:r>
        <w:rPr>
          <w:spacing w:val="-8"/>
        </w:rPr>
        <w:t> </w:t>
      </w:r>
      <w:r>
        <w:rPr/>
        <w:t>industria,</w:t>
      </w:r>
      <w:r>
        <w:rPr>
          <w:spacing w:val="-7"/>
        </w:rPr>
        <w:t> </w:t>
      </w:r>
      <w:r>
        <w:rPr/>
        <w:t>la captación del personal, el desarrollo de proveedores locales y la modernización tecnológica (Vicencio,</w:t>
      </w:r>
      <w:r>
        <w:rPr>
          <w:spacing w:val="-5"/>
        </w:rPr>
        <w:t> </w:t>
      </w:r>
      <w:r>
        <w:rPr/>
        <w:t>2007).</w:t>
      </w:r>
    </w:p>
    <w:p>
      <w:pPr>
        <w:pStyle w:val="BodyText"/>
        <w:spacing w:before="4"/>
        <w:rPr>
          <w:sz w:val="21"/>
        </w:rPr>
      </w:pPr>
    </w:p>
    <w:p>
      <w:pPr>
        <w:pStyle w:val="BodyText"/>
        <w:spacing w:line="360" w:lineRule="auto" w:before="1"/>
        <w:ind w:left="102" w:right="118"/>
        <w:jc w:val="both"/>
      </w:pPr>
      <w:r>
        <w:rPr/>
        <w:t>En</w:t>
      </w:r>
      <w:r>
        <w:rPr>
          <w:spacing w:val="-4"/>
        </w:rPr>
        <w:t> </w:t>
      </w:r>
      <w:r>
        <w:rPr/>
        <w:t>este</w:t>
      </w:r>
      <w:r>
        <w:rPr>
          <w:spacing w:val="-4"/>
        </w:rPr>
        <w:t> </w:t>
      </w:r>
      <w:r>
        <w:rPr/>
        <w:t>contexto,</w:t>
      </w:r>
      <w:r>
        <w:rPr>
          <w:spacing w:val="-4"/>
        </w:rPr>
        <w:t> </w:t>
      </w:r>
      <w:r>
        <w:rPr/>
        <w:t>es</w:t>
      </w:r>
      <w:r>
        <w:rPr>
          <w:spacing w:val="-4"/>
        </w:rPr>
        <w:t> </w:t>
      </w:r>
      <w:r>
        <w:rPr/>
        <w:t>evidente</w:t>
      </w:r>
      <w:r>
        <w:rPr>
          <w:spacing w:val="-4"/>
        </w:rPr>
        <w:t> </w:t>
      </w:r>
      <w:r>
        <w:rPr/>
        <w:t>que</w:t>
      </w:r>
      <w:r>
        <w:rPr>
          <w:spacing w:val="-5"/>
        </w:rPr>
        <w:t> </w:t>
      </w:r>
      <w:r>
        <w:rPr/>
        <w:t>el</w:t>
      </w:r>
      <w:r>
        <w:rPr>
          <w:spacing w:val="-3"/>
        </w:rPr>
        <w:t> </w:t>
      </w:r>
      <w:r>
        <w:rPr/>
        <w:t>sector</w:t>
      </w:r>
      <w:r>
        <w:rPr>
          <w:spacing w:val="-4"/>
        </w:rPr>
        <w:t> </w:t>
      </w:r>
      <w:r>
        <w:rPr/>
        <w:t>automotriz</w:t>
      </w:r>
      <w:r>
        <w:rPr>
          <w:spacing w:val="-2"/>
        </w:rPr>
        <w:t> </w:t>
      </w:r>
      <w:r>
        <w:rPr/>
        <w:t>ha</w:t>
      </w:r>
      <w:r>
        <w:rPr>
          <w:spacing w:val="-5"/>
        </w:rPr>
        <w:t> </w:t>
      </w:r>
      <w:r>
        <w:rPr/>
        <w:t>jugado</w:t>
      </w:r>
      <w:r>
        <w:rPr>
          <w:spacing w:val="-4"/>
        </w:rPr>
        <w:t> </w:t>
      </w:r>
      <w:r>
        <w:rPr/>
        <w:t>un</w:t>
      </w:r>
      <w:r>
        <w:rPr>
          <w:spacing w:val="-4"/>
        </w:rPr>
        <w:t> </w:t>
      </w:r>
      <w:r>
        <w:rPr/>
        <w:t>papel</w:t>
      </w:r>
      <w:r>
        <w:rPr>
          <w:spacing w:val="-1"/>
        </w:rPr>
        <w:t> </w:t>
      </w:r>
      <w:r>
        <w:rPr/>
        <w:t>trascendental</w:t>
      </w:r>
      <w:r>
        <w:rPr>
          <w:spacing w:val="-3"/>
        </w:rPr>
        <w:t> </w:t>
      </w:r>
      <w:r>
        <w:rPr/>
        <w:t>en</w:t>
      </w:r>
      <w:r>
        <w:rPr>
          <w:spacing w:val="-4"/>
        </w:rPr>
        <w:t> </w:t>
      </w:r>
      <w:r>
        <w:rPr/>
        <w:t>el crecimiento</w:t>
      </w:r>
      <w:r>
        <w:rPr>
          <w:spacing w:val="-9"/>
        </w:rPr>
        <w:t> </w:t>
      </w:r>
      <w:r>
        <w:rPr/>
        <w:t>de</w:t>
      </w:r>
      <w:r>
        <w:rPr>
          <w:spacing w:val="-10"/>
        </w:rPr>
        <w:t> </w:t>
      </w:r>
      <w:r>
        <w:rPr/>
        <w:t>la</w:t>
      </w:r>
      <w:r>
        <w:rPr>
          <w:spacing w:val="-9"/>
        </w:rPr>
        <w:t> </w:t>
      </w:r>
      <w:r>
        <w:rPr/>
        <w:t>manufactura</w:t>
      </w:r>
      <w:r>
        <w:rPr>
          <w:spacing w:val="-10"/>
        </w:rPr>
        <w:t> </w:t>
      </w:r>
      <w:r>
        <w:rPr/>
        <w:t>tanto</w:t>
      </w:r>
      <w:r>
        <w:rPr>
          <w:spacing w:val="-6"/>
        </w:rPr>
        <w:t> </w:t>
      </w:r>
      <w:r>
        <w:rPr/>
        <w:t>a</w:t>
      </w:r>
      <w:r>
        <w:rPr>
          <w:spacing w:val="-10"/>
        </w:rPr>
        <w:t> </w:t>
      </w:r>
      <w:r>
        <w:rPr/>
        <w:t>nivel</w:t>
      </w:r>
      <w:r>
        <w:rPr>
          <w:spacing w:val="-9"/>
        </w:rPr>
        <w:t> </w:t>
      </w:r>
      <w:r>
        <w:rPr/>
        <w:t>nacional</w:t>
      </w:r>
      <w:r>
        <w:rPr>
          <w:spacing w:val="-8"/>
        </w:rPr>
        <w:t> </w:t>
      </w:r>
      <w:r>
        <w:rPr/>
        <w:t>como</w:t>
      </w:r>
      <w:r>
        <w:rPr>
          <w:spacing w:val="-8"/>
        </w:rPr>
        <w:t> </w:t>
      </w:r>
      <w:r>
        <w:rPr/>
        <w:t>en</w:t>
      </w:r>
      <w:r>
        <w:rPr>
          <w:spacing w:val="-7"/>
        </w:rPr>
        <w:t> </w:t>
      </w:r>
      <w:r>
        <w:rPr/>
        <w:t>las</w:t>
      </w:r>
      <w:r>
        <w:rPr>
          <w:spacing w:val="-9"/>
        </w:rPr>
        <w:t> </w:t>
      </w:r>
      <w:r>
        <w:rPr/>
        <w:t>entidades</w:t>
      </w:r>
      <w:r>
        <w:rPr>
          <w:spacing w:val="-8"/>
        </w:rPr>
        <w:t> </w:t>
      </w:r>
      <w:r>
        <w:rPr/>
        <w:t>federativas</w:t>
      </w:r>
      <w:r>
        <w:rPr>
          <w:spacing w:val="-6"/>
        </w:rPr>
        <w:t> </w:t>
      </w:r>
      <w:r>
        <w:rPr/>
        <w:t>en</w:t>
      </w:r>
      <w:r>
        <w:rPr>
          <w:spacing w:val="-9"/>
        </w:rPr>
        <w:t> </w:t>
      </w:r>
      <w:r>
        <w:rPr/>
        <w:t>las que se encuentra presente; en este sentido surge la siguiente interrogante, ¿Ha sido la industria automotriz un sector estratégico para el crecimiento de la manufactura nacional y de las entidades federativas donde se</w:t>
      </w:r>
      <w:r>
        <w:rPr>
          <w:spacing w:val="-10"/>
        </w:rPr>
        <w:t> </w:t>
      </w:r>
      <w:r>
        <w:rPr/>
        <w:t>localiza?</w:t>
      </w:r>
    </w:p>
    <w:p>
      <w:pPr>
        <w:pStyle w:val="BodyText"/>
        <w:spacing w:before="2"/>
        <w:rPr>
          <w:sz w:val="21"/>
        </w:rPr>
      </w:pPr>
    </w:p>
    <w:p>
      <w:pPr>
        <w:pStyle w:val="BodyText"/>
        <w:spacing w:line="360" w:lineRule="auto"/>
        <w:ind w:left="102" w:right="115"/>
        <w:jc w:val="both"/>
      </w:pPr>
      <w:r>
        <w:rPr/>
        <w:t>En</w:t>
      </w:r>
      <w:r>
        <w:rPr>
          <w:spacing w:val="-14"/>
        </w:rPr>
        <w:t> </w:t>
      </w:r>
      <w:r>
        <w:rPr/>
        <w:t>consecuencia</w:t>
      </w:r>
      <w:r>
        <w:rPr>
          <w:spacing w:val="-11"/>
        </w:rPr>
        <w:t> </w:t>
      </w:r>
      <w:r>
        <w:rPr/>
        <w:t>la</w:t>
      </w:r>
      <w:r>
        <w:rPr>
          <w:spacing w:val="-14"/>
        </w:rPr>
        <w:t> </w:t>
      </w:r>
      <w:r>
        <w:rPr/>
        <w:t>presente</w:t>
      </w:r>
      <w:r>
        <w:rPr>
          <w:spacing w:val="-14"/>
        </w:rPr>
        <w:t> </w:t>
      </w:r>
      <w:r>
        <w:rPr/>
        <w:t>investigación</w:t>
      </w:r>
      <w:r>
        <w:rPr>
          <w:spacing w:val="-13"/>
        </w:rPr>
        <w:t> </w:t>
      </w:r>
      <w:r>
        <w:rPr/>
        <w:t>tiene</w:t>
      </w:r>
      <w:r>
        <w:rPr>
          <w:spacing w:val="-12"/>
        </w:rPr>
        <w:t> </w:t>
      </w:r>
      <w:r>
        <w:rPr/>
        <w:t>como</w:t>
      </w:r>
      <w:r>
        <w:rPr>
          <w:spacing w:val="-13"/>
        </w:rPr>
        <w:t> </w:t>
      </w:r>
      <w:r>
        <w:rPr/>
        <w:t>objetivo</w:t>
      </w:r>
      <w:r>
        <w:rPr>
          <w:spacing w:val="-13"/>
        </w:rPr>
        <w:t> </w:t>
      </w:r>
      <w:r>
        <w:rPr/>
        <w:t>general</w:t>
      </w:r>
      <w:r>
        <w:rPr>
          <w:spacing w:val="-10"/>
        </w:rPr>
        <w:t> </w:t>
      </w:r>
      <w:r>
        <w:rPr/>
        <w:t>analizar</w:t>
      </w:r>
      <w:r>
        <w:rPr>
          <w:spacing w:val="-14"/>
        </w:rPr>
        <w:t> </w:t>
      </w:r>
      <w:r>
        <w:rPr/>
        <w:t>el</w:t>
      </w:r>
      <w:r>
        <w:rPr>
          <w:spacing w:val="-13"/>
        </w:rPr>
        <w:t> </w:t>
      </w:r>
      <w:r>
        <w:rPr/>
        <w:t>desempeño de la industria automotriz en las cuatro regiones de México donde se localiza, así como en las entidades federativas que las integran con el fin de determinar si esta industria ha jugado un papel estratégico en el crecimiento de la manufactura nacional y</w:t>
      </w:r>
      <w:r>
        <w:rPr>
          <w:spacing w:val="-14"/>
        </w:rPr>
        <w:t> </w:t>
      </w:r>
      <w:r>
        <w:rPr/>
        <w:t>local.</w:t>
      </w:r>
    </w:p>
    <w:p>
      <w:pPr>
        <w:pStyle w:val="BodyText"/>
        <w:spacing w:before="2"/>
        <w:rPr>
          <w:sz w:val="21"/>
        </w:rPr>
      </w:pPr>
    </w:p>
    <w:p>
      <w:pPr>
        <w:pStyle w:val="BodyText"/>
        <w:spacing w:line="360" w:lineRule="auto"/>
        <w:ind w:left="102" w:right="116"/>
        <w:jc w:val="both"/>
      </w:pPr>
      <w:r>
        <w:rPr/>
        <w:t>Para el cumplimiento de este objetivo, se plantean los siguiente objetivos específicos: 1) Conocer la evolución y desarrollo de la industria automotriz a nivel mundial, 2) Analizar la dinámica y evolución del sector manufacturero en México, 3) Analizar el desempeño de la industria automotriz a nivel nacional, 4) Conocer y analizar la relación industria</w:t>
      </w:r>
      <w:r>
        <w:rPr>
          <w:spacing w:val="-31"/>
        </w:rPr>
        <w:t> </w:t>
      </w:r>
      <w:r>
        <w:rPr/>
        <w:t>automotriz- manufactura a nivel regional y por entidad federativa y, finalmente, 5) Realizar un modelo de vectores autorregresivos (VAR) para la industria manufacturera de México, con la finalidad de presentar evidencia acerca de que dicha industria responde positivamente ante innovaciones de la industria</w:t>
      </w:r>
      <w:r>
        <w:rPr>
          <w:spacing w:val="-4"/>
        </w:rPr>
        <w:t> </w:t>
      </w:r>
      <w:r>
        <w:rPr/>
        <w:t>automotriz.</w:t>
      </w:r>
    </w:p>
    <w:p>
      <w:pPr>
        <w:pStyle w:val="BodyText"/>
        <w:spacing w:before="2"/>
        <w:rPr>
          <w:sz w:val="21"/>
        </w:rPr>
      </w:pPr>
    </w:p>
    <w:p>
      <w:pPr>
        <w:pStyle w:val="BodyText"/>
        <w:spacing w:line="360" w:lineRule="auto"/>
        <w:ind w:left="102" w:right="116"/>
        <w:jc w:val="both"/>
      </w:pPr>
      <w:r>
        <w:rPr/>
        <w:t>El análisis abarca el periodo 1980-2014, con el fin de incorporar aspectos relacionados con el crecimiento de la actividad manufacturera además de los cambios en la transición de una economía</w:t>
      </w:r>
      <w:r>
        <w:rPr>
          <w:spacing w:val="-17"/>
        </w:rPr>
        <w:t> </w:t>
      </w:r>
      <w:r>
        <w:rPr/>
        <w:t>cerrada</w:t>
      </w:r>
      <w:r>
        <w:rPr>
          <w:spacing w:val="-14"/>
        </w:rPr>
        <w:t> </w:t>
      </w:r>
      <w:r>
        <w:rPr/>
        <w:t>a</w:t>
      </w:r>
      <w:r>
        <w:rPr>
          <w:spacing w:val="-17"/>
        </w:rPr>
        <w:t> </w:t>
      </w:r>
      <w:r>
        <w:rPr/>
        <w:t>una</w:t>
      </w:r>
      <w:r>
        <w:rPr>
          <w:spacing w:val="-14"/>
        </w:rPr>
        <w:t> </w:t>
      </w:r>
      <w:r>
        <w:rPr/>
        <w:t>etapa</w:t>
      </w:r>
      <w:r>
        <w:rPr>
          <w:spacing w:val="-17"/>
        </w:rPr>
        <w:t> </w:t>
      </w:r>
      <w:r>
        <w:rPr/>
        <w:t>de</w:t>
      </w:r>
      <w:r>
        <w:rPr>
          <w:spacing w:val="-14"/>
        </w:rPr>
        <w:t> </w:t>
      </w:r>
      <w:r>
        <w:rPr/>
        <w:t>apertura</w:t>
      </w:r>
      <w:r>
        <w:rPr>
          <w:spacing w:val="-14"/>
        </w:rPr>
        <w:t> </w:t>
      </w:r>
      <w:r>
        <w:rPr/>
        <w:t>económica,</w:t>
      </w:r>
      <w:r>
        <w:rPr>
          <w:spacing w:val="-14"/>
        </w:rPr>
        <w:t> </w:t>
      </w:r>
      <w:r>
        <w:rPr/>
        <w:t>lo</w:t>
      </w:r>
      <w:r>
        <w:rPr>
          <w:spacing w:val="-15"/>
        </w:rPr>
        <w:t> </w:t>
      </w:r>
      <w:r>
        <w:rPr/>
        <w:t>que</w:t>
      </w:r>
      <w:r>
        <w:rPr>
          <w:spacing w:val="-17"/>
        </w:rPr>
        <w:t> </w:t>
      </w:r>
      <w:r>
        <w:rPr/>
        <w:t>ha</w:t>
      </w:r>
      <w:r>
        <w:rPr>
          <w:spacing w:val="-15"/>
        </w:rPr>
        <w:t> </w:t>
      </w:r>
      <w:r>
        <w:rPr/>
        <w:t>sido</w:t>
      </w:r>
      <w:r>
        <w:rPr>
          <w:spacing w:val="-15"/>
        </w:rPr>
        <w:t> </w:t>
      </w:r>
      <w:r>
        <w:rPr/>
        <w:t>decisivo</w:t>
      </w:r>
      <w:r>
        <w:rPr>
          <w:spacing w:val="-13"/>
        </w:rPr>
        <w:t> </w:t>
      </w:r>
      <w:r>
        <w:rPr/>
        <w:t>en</w:t>
      </w:r>
      <w:r>
        <w:rPr>
          <w:spacing w:val="-16"/>
        </w:rPr>
        <w:t> </w:t>
      </w:r>
      <w:r>
        <w:rPr/>
        <w:t>el</w:t>
      </w:r>
      <w:r>
        <w:rPr>
          <w:spacing w:val="-15"/>
        </w:rPr>
        <w:t> </w:t>
      </w:r>
      <w:r>
        <w:rPr/>
        <w:t>desempeño actual del sector. Es importante puntualizar que el análisis a nivel regional y por entidad federativa abarca únicamente el periodo de 1980-2009 </w:t>
      </w:r>
      <w:r>
        <w:rPr>
          <w:spacing w:val="-3"/>
        </w:rPr>
        <w:t>ya </w:t>
      </w:r>
      <w:r>
        <w:rPr/>
        <w:t>que utiliza información censal obtenida  de  los  siete  censos  económicos  disponibles  del  INEGI.  Mientras  que  para</w:t>
      </w:r>
      <w:r>
        <w:rPr>
          <w:spacing w:val="-2"/>
        </w:rPr>
        <w:t> </w:t>
      </w:r>
      <w:r>
        <w:rPr/>
        <w:t>la</w:t>
      </w:r>
    </w:p>
    <w:p>
      <w:pPr>
        <w:spacing w:after="0" w:line="360" w:lineRule="auto"/>
        <w:jc w:val="both"/>
        <w:sectPr>
          <w:pgSz w:w="12240" w:h="15840"/>
          <w:pgMar w:header="0" w:footer="1035" w:top="1360" w:bottom="1220" w:left="1600" w:right="1580"/>
        </w:sectPr>
      </w:pPr>
    </w:p>
    <w:p>
      <w:pPr>
        <w:pStyle w:val="BodyText"/>
        <w:spacing w:line="360" w:lineRule="auto" w:before="50"/>
        <w:ind w:left="102" w:right="120"/>
        <w:jc w:val="both"/>
      </w:pPr>
      <w:r>
        <w:rPr/>
        <w:t>estimación del modelo VAR se utilizaron series de tiempo trimestrales de 1993 a 2014, tomadas del Banco de Información Económica (BIE), de INEGI.</w:t>
      </w:r>
    </w:p>
    <w:p>
      <w:pPr>
        <w:pStyle w:val="BodyText"/>
        <w:spacing w:before="2"/>
        <w:rPr>
          <w:sz w:val="21"/>
        </w:rPr>
      </w:pPr>
    </w:p>
    <w:p>
      <w:pPr>
        <w:pStyle w:val="BodyText"/>
        <w:spacing w:line="360" w:lineRule="auto"/>
        <w:ind w:left="102" w:right="116"/>
        <w:jc w:val="both"/>
      </w:pPr>
      <w:r>
        <w:rPr/>
        <w:t>El estudio está enfocado específicamente en cuatro regiones de México que de acuerdo con Carbajal y de Jesús (2013) son donde se localiza la mayor parte de la industria automotriz, estas son: la región Centro integrada por, Puebla, Estado de México, Morelos y Distrito Federal; la región Norte integrada por los estados de Baja California, Sonora, Chihuahua, Coahuila, Tamaulipas y Nuevo León; la región Centro-Norte donde se encuentran San Luis Potosí, Querétaro y Guanajuato y finalmente la región Occidente que considera los estados de Jalisco y Aguascalientes.</w:t>
      </w:r>
    </w:p>
    <w:p>
      <w:pPr>
        <w:pStyle w:val="BodyText"/>
        <w:spacing w:before="4"/>
        <w:rPr>
          <w:sz w:val="21"/>
        </w:rPr>
      </w:pPr>
    </w:p>
    <w:p>
      <w:pPr>
        <w:pStyle w:val="BodyText"/>
        <w:spacing w:line="360" w:lineRule="auto" w:before="1"/>
        <w:ind w:left="102" w:right="115"/>
        <w:jc w:val="both"/>
      </w:pPr>
      <w:r>
        <w:rPr/>
        <w:t>La hipótesis que se plantea señala que: el desempeño que la industria automotriz ha tenido durante</w:t>
      </w:r>
      <w:r>
        <w:rPr>
          <w:spacing w:val="-14"/>
        </w:rPr>
        <w:t> </w:t>
      </w:r>
      <w:r>
        <w:rPr/>
        <w:t>las</w:t>
      </w:r>
      <w:r>
        <w:rPr>
          <w:spacing w:val="-14"/>
        </w:rPr>
        <w:t> </w:t>
      </w:r>
      <w:r>
        <w:rPr/>
        <w:t>últimas</w:t>
      </w:r>
      <w:r>
        <w:rPr>
          <w:spacing w:val="-13"/>
        </w:rPr>
        <w:t> </w:t>
      </w:r>
      <w:r>
        <w:rPr/>
        <w:t>tres</w:t>
      </w:r>
      <w:r>
        <w:rPr>
          <w:spacing w:val="-13"/>
        </w:rPr>
        <w:t> </w:t>
      </w:r>
      <w:r>
        <w:rPr/>
        <w:t>décadas</w:t>
      </w:r>
      <w:r>
        <w:rPr>
          <w:spacing w:val="-13"/>
        </w:rPr>
        <w:t> </w:t>
      </w:r>
      <w:r>
        <w:rPr/>
        <w:t>(1980-2014)</w:t>
      </w:r>
      <w:r>
        <w:rPr>
          <w:spacing w:val="-14"/>
        </w:rPr>
        <w:t> </w:t>
      </w:r>
      <w:r>
        <w:rPr/>
        <w:t>ha</w:t>
      </w:r>
      <w:r>
        <w:rPr>
          <w:spacing w:val="-14"/>
        </w:rPr>
        <w:t> </w:t>
      </w:r>
      <w:r>
        <w:rPr/>
        <w:t>sido</w:t>
      </w:r>
      <w:r>
        <w:rPr>
          <w:spacing w:val="-13"/>
        </w:rPr>
        <w:t> </w:t>
      </w:r>
      <w:r>
        <w:rPr/>
        <w:t>un</w:t>
      </w:r>
      <w:r>
        <w:rPr>
          <w:spacing w:val="-13"/>
        </w:rPr>
        <w:t> </w:t>
      </w:r>
      <w:r>
        <w:rPr/>
        <w:t>factor</w:t>
      </w:r>
      <w:r>
        <w:rPr>
          <w:spacing w:val="-12"/>
        </w:rPr>
        <w:t> </w:t>
      </w:r>
      <w:r>
        <w:rPr/>
        <w:t>determinante</w:t>
      </w:r>
      <w:r>
        <w:rPr>
          <w:spacing w:val="-12"/>
        </w:rPr>
        <w:t> </w:t>
      </w:r>
      <w:r>
        <w:rPr/>
        <w:t>en</w:t>
      </w:r>
      <w:r>
        <w:rPr>
          <w:spacing w:val="-13"/>
        </w:rPr>
        <w:t> </w:t>
      </w:r>
      <w:r>
        <w:rPr/>
        <w:t>el</w:t>
      </w:r>
      <w:r>
        <w:rPr>
          <w:spacing w:val="-13"/>
        </w:rPr>
        <w:t> </w:t>
      </w:r>
      <w:r>
        <w:rPr/>
        <w:t>crecimiento de la manufactura nacional y estatal, en aquellas entidades federativas donde ésta industria se ha</w:t>
      </w:r>
      <w:r>
        <w:rPr>
          <w:spacing w:val="-4"/>
        </w:rPr>
        <w:t> </w:t>
      </w:r>
      <w:r>
        <w:rPr/>
        <w:t>establecido.</w:t>
      </w:r>
    </w:p>
    <w:p>
      <w:pPr>
        <w:pStyle w:val="BodyText"/>
        <w:spacing w:before="5"/>
        <w:rPr>
          <w:sz w:val="21"/>
        </w:rPr>
      </w:pPr>
    </w:p>
    <w:p>
      <w:pPr>
        <w:pStyle w:val="BodyText"/>
        <w:spacing w:line="360" w:lineRule="auto"/>
        <w:ind w:left="102" w:right="115"/>
        <w:jc w:val="both"/>
      </w:pPr>
      <w:r>
        <w:rPr/>
        <w:t>Para probar ésta hipótesis y cumplir los objetivos, el marco teórico que da sustento a esta investigación se basa en los planteamientos de Nicholas Kaldor (1966), específicamente en la llamada primera ley que establece que el rápido crecimiento económico está asociado</w:t>
      </w:r>
      <w:r>
        <w:rPr>
          <w:spacing w:val="-31"/>
        </w:rPr>
        <w:t> </w:t>
      </w:r>
      <w:r>
        <w:rPr/>
        <w:t>con altas tasas de crecimiento de la manufactura. Bajo este argumento se hace una analogía de esta ley, con el fin de aportar evidencia de que el crecimiento de la industria automotriz ha determinado</w:t>
      </w:r>
      <w:r>
        <w:rPr>
          <w:spacing w:val="-5"/>
        </w:rPr>
        <w:t> </w:t>
      </w:r>
      <w:r>
        <w:rPr/>
        <w:t>en</w:t>
      </w:r>
      <w:r>
        <w:rPr>
          <w:spacing w:val="-5"/>
        </w:rPr>
        <w:t> </w:t>
      </w:r>
      <w:r>
        <w:rPr/>
        <w:t>gran</w:t>
      </w:r>
      <w:r>
        <w:rPr>
          <w:spacing w:val="-4"/>
        </w:rPr>
        <w:t> </w:t>
      </w:r>
      <w:r>
        <w:rPr/>
        <w:t>medida</w:t>
      </w:r>
      <w:r>
        <w:rPr>
          <w:spacing w:val="-5"/>
        </w:rPr>
        <w:t> </w:t>
      </w:r>
      <w:r>
        <w:rPr/>
        <w:t>el</w:t>
      </w:r>
      <w:r>
        <w:rPr>
          <w:spacing w:val="-4"/>
        </w:rPr>
        <w:t> </w:t>
      </w:r>
      <w:r>
        <w:rPr/>
        <w:t>crecimiento</w:t>
      </w:r>
      <w:r>
        <w:rPr>
          <w:spacing w:val="-5"/>
        </w:rPr>
        <w:t> </w:t>
      </w:r>
      <w:r>
        <w:rPr/>
        <w:t>en</w:t>
      </w:r>
      <w:r>
        <w:rPr>
          <w:spacing w:val="-5"/>
        </w:rPr>
        <w:t> </w:t>
      </w:r>
      <w:r>
        <w:rPr/>
        <w:t>la</w:t>
      </w:r>
      <w:r>
        <w:rPr>
          <w:spacing w:val="-5"/>
        </w:rPr>
        <w:t> </w:t>
      </w:r>
      <w:r>
        <w:rPr/>
        <w:t>industria</w:t>
      </w:r>
      <w:r>
        <w:rPr>
          <w:spacing w:val="-6"/>
        </w:rPr>
        <w:t> </w:t>
      </w:r>
      <w:r>
        <w:rPr/>
        <w:t>manufacturera,</w:t>
      </w:r>
      <w:r>
        <w:rPr>
          <w:spacing w:val="-2"/>
        </w:rPr>
        <w:t> </w:t>
      </w:r>
      <w:r>
        <w:rPr/>
        <w:t>en</w:t>
      </w:r>
      <w:r>
        <w:rPr>
          <w:spacing w:val="-5"/>
        </w:rPr>
        <w:t> </w:t>
      </w:r>
      <w:r>
        <w:rPr/>
        <w:t>las</w:t>
      </w:r>
      <w:r>
        <w:rPr>
          <w:spacing w:val="-5"/>
        </w:rPr>
        <w:t> </w:t>
      </w:r>
      <w:r>
        <w:rPr/>
        <w:t>últimas</w:t>
      </w:r>
      <w:r>
        <w:rPr>
          <w:spacing w:val="-5"/>
        </w:rPr>
        <w:t> </w:t>
      </w:r>
      <w:r>
        <w:rPr/>
        <w:t>tres décadas.</w:t>
      </w:r>
    </w:p>
    <w:p>
      <w:pPr>
        <w:pStyle w:val="BodyText"/>
        <w:spacing w:before="3"/>
        <w:rPr>
          <w:sz w:val="21"/>
        </w:rPr>
      </w:pPr>
    </w:p>
    <w:p>
      <w:pPr>
        <w:pStyle w:val="BodyText"/>
        <w:spacing w:line="360" w:lineRule="auto"/>
        <w:ind w:left="102" w:right="115"/>
        <w:jc w:val="both"/>
      </w:pPr>
      <w:r>
        <w:rPr/>
        <w:t>Para conocer el desempeño de la industria automotriz, en primer lugar se realizó un análisis exploratorio a partir del cálculo de los cocientes de localización de las variables de personal ocupado y valor agregado censal bruto para las cuatro regiones y sus entidades federativas correspondientes,</w:t>
      </w:r>
      <w:r>
        <w:rPr>
          <w:spacing w:val="-6"/>
        </w:rPr>
        <w:t> </w:t>
      </w:r>
      <w:r>
        <w:rPr/>
        <w:t>tanto</w:t>
      </w:r>
      <w:r>
        <w:rPr>
          <w:spacing w:val="-6"/>
        </w:rPr>
        <w:t> </w:t>
      </w:r>
      <w:r>
        <w:rPr/>
        <w:t>a</w:t>
      </w:r>
      <w:r>
        <w:rPr>
          <w:spacing w:val="-5"/>
        </w:rPr>
        <w:t> </w:t>
      </w:r>
      <w:r>
        <w:rPr/>
        <w:t>nivel</w:t>
      </w:r>
      <w:r>
        <w:rPr>
          <w:spacing w:val="-6"/>
        </w:rPr>
        <w:t> </w:t>
      </w:r>
      <w:r>
        <w:rPr/>
        <w:t>de</w:t>
      </w:r>
      <w:r>
        <w:rPr>
          <w:spacing w:val="-7"/>
        </w:rPr>
        <w:t> </w:t>
      </w:r>
      <w:r>
        <w:rPr/>
        <w:t>rama</w:t>
      </w:r>
      <w:r>
        <w:rPr>
          <w:spacing w:val="-4"/>
        </w:rPr>
        <w:t> </w:t>
      </w:r>
      <w:r>
        <w:rPr/>
        <w:t>como</w:t>
      </w:r>
      <w:r>
        <w:rPr>
          <w:spacing w:val="-6"/>
        </w:rPr>
        <w:t> </w:t>
      </w:r>
      <w:r>
        <w:rPr/>
        <w:t>de</w:t>
      </w:r>
      <w:r>
        <w:rPr>
          <w:spacing w:val="-7"/>
        </w:rPr>
        <w:t> </w:t>
      </w:r>
      <w:r>
        <w:rPr/>
        <w:t>subrama.</w:t>
      </w:r>
      <w:r>
        <w:rPr>
          <w:spacing w:val="-5"/>
        </w:rPr>
        <w:t> </w:t>
      </w:r>
      <w:r>
        <w:rPr/>
        <w:t>Para</w:t>
      </w:r>
      <w:r>
        <w:rPr>
          <w:spacing w:val="-7"/>
        </w:rPr>
        <w:t> </w:t>
      </w:r>
      <w:r>
        <w:rPr/>
        <w:t>el</w:t>
      </w:r>
      <w:r>
        <w:rPr>
          <w:spacing w:val="-6"/>
        </w:rPr>
        <w:t> </w:t>
      </w:r>
      <w:r>
        <w:rPr/>
        <w:t>cálculo</w:t>
      </w:r>
      <w:r>
        <w:rPr>
          <w:spacing w:val="-6"/>
        </w:rPr>
        <w:t> </w:t>
      </w:r>
      <w:r>
        <w:rPr/>
        <w:t>de</w:t>
      </w:r>
      <w:r>
        <w:rPr>
          <w:spacing w:val="-5"/>
        </w:rPr>
        <w:t> </w:t>
      </w:r>
      <w:r>
        <w:rPr/>
        <w:t>los</w:t>
      </w:r>
      <w:r>
        <w:rPr>
          <w:spacing w:val="-6"/>
        </w:rPr>
        <w:t> </w:t>
      </w:r>
      <w:r>
        <w:rPr/>
        <w:t>cocientes</w:t>
      </w:r>
      <w:r>
        <w:rPr>
          <w:spacing w:val="-6"/>
        </w:rPr>
        <w:t> </w:t>
      </w:r>
      <w:r>
        <w:rPr/>
        <w:t>de localización se utilizó información estadística oficial que resulta particularmente de los Censos</w:t>
      </w:r>
      <w:r>
        <w:rPr>
          <w:spacing w:val="-7"/>
        </w:rPr>
        <w:t> </w:t>
      </w:r>
      <w:r>
        <w:rPr/>
        <w:t>Económicos</w:t>
      </w:r>
      <w:r>
        <w:rPr>
          <w:spacing w:val="-7"/>
        </w:rPr>
        <w:t> </w:t>
      </w:r>
      <w:r>
        <w:rPr/>
        <w:t>publicados</w:t>
      </w:r>
      <w:r>
        <w:rPr>
          <w:spacing w:val="-6"/>
        </w:rPr>
        <w:t> </w:t>
      </w:r>
      <w:r>
        <w:rPr/>
        <w:t>por</w:t>
      </w:r>
      <w:r>
        <w:rPr>
          <w:spacing w:val="-8"/>
        </w:rPr>
        <w:t> </w:t>
      </w:r>
      <w:r>
        <w:rPr/>
        <w:t>el</w:t>
      </w:r>
      <w:r>
        <w:rPr>
          <w:spacing w:val="-4"/>
        </w:rPr>
        <w:t> </w:t>
      </w:r>
      <w:r>
        <w:rPr/>
        <w:t>Instituto</w:t>
      </w:r>
      <w:r>
        <w:rPr>
          <w:spacing w:val="-7"/>
        </w:rPr>
        <w:t> </w:t>
      </w:r>
      <w:r>
        <w:rPr/>
        <w:t>Nacional</w:t>
      </w:r>
      <w:r>
        <w:rPr>
          <w:spacing w:val="-7"/>
        </w:rPr>
        <w:t> </w:t>
      </w:r>
      <w:r>
        <w:rPr/>
        <w:t>de</w:t>
      </w:r>
      <w:r>
        <w:rPr>
          <w:spacing w:val="-8"/>
        </w:rPr>
        <w:t> </w:t>
      </w:r>
      <w:r>
        <w:rPr/>
        <w:t>Estadística</w:t>
      </w:r>
      <w:r>
        <w:rPr>
          <w:spacing w:val="-6"/>
        </w:rPr>
        <w:t> </w:t>
      </w:r>
      <w:r>
        <w:rPr/>
        <w:t>y</w:t>
      </w:r>
      <w:r>
        <w:rPr>
          <w:spacing w:val="-12"/>
        </w:rPr>
        <w:t> </w:t>
      </w:r>
      <w:r>
        <w:rPr/>
        <w:t>Geografía</w:t>
      </w:r>
      <w:r>
        <w:rPr>
          <w:spacing w:val="-8"/>
        </w:rPr>
        <w:t> </w:t>
      </w:r>
      <w:r>
        <w:rPr/>
        <w:t>(INEGI) y</w:t>
      </w:r>
      <w:r>
        <w:rPr>
          <w:spacing w:val="-9"/>
        </w:rPr>
        <w:t> </w:t>
      </w:r>
      <w:r>
        <w:rPr/>
        <w:t>de</w:t>
      </w:r>
      <w:r>
        <w:rPr>
          <w:spacing w:val="-7"/>
        </w:rPr>
        <w:t> </w:t>
      </w:r>
      <w:r>
        <w:rPr/>
        <w:t>la</w:t>
      </w:r>
      <w:r>
        <w:rPr>
          <w:spacing w:val="-7"/>
        </w:rPr>
        <w:t> </w:t>
      </w:r>
      <w:r>
        <w:rPr/>
        <w:t>Asociación</w:t>
      </w:r>
      <w:r>
        <w:rPr>
          <w:spacing w:val="-6"/>
        </w:rPr>
        <w:t> </w:t>
      </w:r>
      <w:r>
        <w:rPr/>
        <w:t>Mexicana</w:t>
      </w:r>
      <w:r>
        <w:rPr>
          <w:spacing w:val="-7"/>
        </w:rPr>
        <w:t> </w:t>
      </w:r>
      <w:r>
        <w:rPr/>
        <w:t>de</w:t>
      </w:r>
      <w:r>
        <w:rPr>
          <w:spacing w:val="-7"/>
        </w:rPr>
        <w:t> </w:t>
      </w:r>
      <w:r>
        <w:rPr/>
        <w:t>la</w:t>
      </w:r>
      <w:r>
        <w:rPr>
          <w:spacing w:val="-1"/>
        </w:rPr>
        <w:t> </w:t>
      </w:r>
      <w:r>
        <w:rPr/>
        <w:t>Industria</w:t>
      </w:r>
      <w:r>
        <w:rPr>
          <w:spacing w:val="-7"/>
        </w:rPr>
        <w:t> </w:t>
      </w:r>
      <w:r>
        <w:rPr/>
        <w:t>Automotriz</w:t>
      </w:r>
      <w:r>
        <w:rPr>
          <w:spacing w:val="-5"/>
        </w:rPr>
        <w:t> </w:t>
      </w:r>
      <w:r>
        <w:rPr/>
        <w:t>(AMIA),</w:t>
      </w:r>
      <w:r>
        <w:rPr>
          <w:spacing w:val="-4"/>
        </w:rPr>
        <w:t> </w:t>
      </w:r>
      <w:r>
        <w:rPr/>
        <w:t>específicamente</w:t>
      </w:r>
      <w:r>
        <w:rPr>
          <w:spacing w:val="-7"/>
        </w:rPr>
        <w:t> </w:t>
      </w:r>
      <w:r>
        <w:rPr/>
        <w:t>se</w:t>
      </w:r>
      <w:r>
        <w:rPr>
          <w:spacing w:val="-7"/>
        </w:rPr>
        <w:t> </w:t>
      </w:r>
      <w:r>
        <w:rPr/>
        <w:t>trabajó con  las  siguientes  variables:  el  valor  agregado  censal  bruto  (VACB)  de  la   </w:t>
      </w:r>
      <w:r>
        <w:rPr>
          <w:spacing w:val="39"/>
        </w:rPr>
        <w:t> </w:t>
      </w:r>
      <w:r>
        <w:rPr/>
        <w:t>industria</w:t>
      </w:r>
    </w:p>
    <w:p>
      <w:pPr>
        <w:spacing w:after="0" w:line="360" w:lineRule="auto"/>
        <w:jc w:val="both"/>
        <w:sectPr>
          <w:pgSz w:w="12240" w:h="15840"/>
          <w:pgMar w:header="0" w:footer="1035" w:top="1360" w:bottom="1220" w:left="1600" w:right="1580"/>
        </w:sectPr>
      </w:pPr>
    </w:p>
    <w:p>
      <w:pPr>
        <w:pStyle w:val="BodyText"/>
        <w:spacing w:line="360" w:lineRule="auto" w:before="50"/>
        <w:ind w:left="102" w:right="116"/>
        <w:jc w:val="both"/>
      </w:pPr>
      <w:r>
        <w:rPr/>
        <w:t>automotriz nacional y por entidad federativa y personal ocupado en la manufactura y en la industria automotriz nacional y por entidad federativa.</w:t>
      </w:r>
    </w:p>
    <w:p>
      <w:pPr>
        <w:pStyle w:val="BodyText"/>
        <w:spacing w:before="2"/>
        <w:rPr>
          <w:sz w:val="21"/>
        </w:rPr>
      </w:pPr>
    </w:p>
    <w:p>
      <w:pPr>
        <w:pStyle w:val="BodyText"/>
        <w:spacing w:line="360" w:lineRule="auto"/>
        <w:ind w:left="102" w:right="114"/>
        <w:jc w:val="both"/>
      </w:pPr>
      <w:r>
        <w:rPr/>
        <w:t>Posteriormente se realizó un análisis de impulso-respuesta a través de un modelo autorregresivo (VAR), que permite conocer la interrelación entre distintas variables en el largo plazo. Para el análisis de series de tiempo, se utilizaron las variables como: la producción manufacturera y automotriz, la productividad media del trabajo en este último sector y el tipo de cambio real para el caso de México, además se incorporó al producto industrial de Estados Unidos debido a que la economía mexicana está estrechamente ligada a</w:t>
      </w:r>
      <w:r>
        <w:rPr>
          <w:spacing w:val="-7"/>
        </w:rPr>
        <w:t> </w:t>
      </w:r>
      <w:r>
        <w:rPr/>
        <w:t>la</w:t>
      </w:r>
      <w:r>
        <w:rPr>
          <w:spacing w:val="-7"/>
        </w:rPr>
        <w:t> </w:t>
      </w:r>
      <w:r>
        <w:rPr/>
        <w:t>de</w:t>
      </w:r>
      <w:r>
        <w:rPr>
          <w:spacing w:val="-7"/>
        </w:rPr>
        <w:t> </w:t>
      </w:r>
      <w:r>
        <w:rPr/>
        <w:t>Estados</w:t>
      </w:r>
      <w:r>
        <w:rPr>
          <w:spacing w:val="-7"/>
        </w:rPr>
        <w:t> </w:t>
      </w:r>
      <w:r>
        <w:rPr/>
        <w:t>Unidos</w:t>
      </w:r>
      <w:r>
        <w:rPr>
          <w:spacing w:val="-3"/>
        </w:rPr>
        <w:t> </w:t>
      </w:r>
      <w:r>
        <w:rPr/>
        <w:t>y</w:t>
      </w:r>
      <w:r>
        <w:rPr>
          <w:spacing w:val="-9"/>
        </w:rPr>
        <w:t> </w:t>
      </w:r>
      <w:r>
        <w:rPr/>
        <w:t>gran</w:t>
      </w:r>
      <w:r>
        <w:rPr>
          <w:spacing w:val="-6"/>
        </w:rPr>
        <w:t> </w:t>
      </w:r>
      <w:r>
        <w:rPr/>
        <w:t>parte</w:t>
      </w:r>
      <w:r>
        <w:rPr>
          <w:spacing w:val="-7"/>
        </w:rPr>
        <w:t> </w:t>
      </w:r>
      <w:r>
        <w:rPr/>
        <w:t>de</w:t>
      </w:r>
      <w:r>
        <w:rPr>
          <w:spacing w:val="-7"/>
        </w:rPr>
        <w:t> </w:t>
      </w:r>
      <w:r>
        <w:rPr/>
        <w:t>las</w:t>
      </w:r>
      <w:r>
        <w:rPr>
          <w:spacing w:val="-4"/>
        </w:rPr>
        <w:t> </w:t>
      </w:r>
      <w:r>
        <w:rPr/>
        <w:t>exportaciones</w:t>
      </w:r>
      <w:r>
        <w:rPr>
          <w:spacing w:val="-7"/>
        </w:rPr>
        <w:t> </w:t>
      </w:r>
      <w:r>
        <w:rPr/>
        <w:t>automotrices</w:t>
      </w:r>
      <w:r>
        <w:rPr>
          <w:spacing w:val="-6"/>
        </w:rPr>
        <w:t> </w:t>
      </w:r>
      <w:r>
        <w:rPr/>
        <w:t>se</w:t>
      </w:r>
      <w:r>
        <w:rPr>
          <w:spacing w:val="-7"/>
        </w:rPr>
        <w:t> </w:t>
      </w:r>
      <w:r>
        <w:rPr/>
        <w:t>envían</w:t>
      </w:r>
      <w:r>
        <w:rPr>
          <w:spacing w:val="-7"/>
        </w:rPr>
        <w:t> </w:t>
      </w:r>
      <w:r>
        <w:rPr/>
        <w:t>a</w:t>
      </w:r>
      <w:r>
        <w:rPr>
          <w:spacing w:val="-7"/>
        </w:rPr>
        <w:t> </w:t>
      </w:r>
      <w:r>
        <w:rPr/>
        <w:t>dicho</w:t>
      </w:r>
      <w:r>
        <w:rPr>
          <w:spacing w:val="-7"/>
        </w:rPr>
        <w:t> </w:t>
      </w:r>
      <w:r>
        <w:rPr/>
        <w:t>país. La información estadística se obtuvo de organismos como INEGI y Banxico para el caso de México, y Bureau of Economic Analysis BEA y Federal Reserve para el caso de Estados Unidos.</w:t>
      </w:r>
    </w:p>
    <w:p>
      <w:pPr>
        <w:pStyle w:val="BodyText"/>
        <w:spacing w:before="2"/>
        <w:rPr>
          <w:sz w:val="21"/>
        </w:rPr>
      </w:pPr>
    </w:p>
    <w:p>
      <w:pPr>
        <w:pStyle w:val="BodyText"/>
        <w:spacing w:line="360" w:lineRule="auto"/>
        <w:ind w:left="102" w:right="115"/>
        <w:jc w:val="both"/>
      </w:pPr>
      <w:r>
        <w:rPr/>
        <w:t>Para cumplir con los objetivos planteados, la investigación se desarrolla a lo largo de cinco capítulos. En el primero se abordan de manera breve algunos de los principales planteamientos teóricos del crecimiento económico, haciendo énfasis en las leyes de crecimiento de Nicholas Kaldor, las cuales sirven de referente teórico a este trabajo de tesis.</w:t>
      </w:r>
    </w:p>
    <w:p>
      <w:pPr>
        <w:pStyle w:val="BodyText"/>
        <w:spacing w:before="2"/>
        <w:rPr>
          <w:sz w:val="21"/>
        </w:rPr>
      </w:pPr>
    </w:p>
    <w:p>
      <w:pPr>
        <w:pStyle w:val="BodyText"/>
        <w:spacing w:line="360" w:lineRule="auto"/>
        <w:ind w:left="102" w:right="115"/>
        <w:jc w:val="both"/>
      </w:pPr>
      <w:r>
        <w:rPr/>
        <w:t>En el segundo capítulo con el propósito de dar evidencia de la importancia de la industria automotriz se presenta su evolución tecnológica y distribución actual a nivel mundial. Se destacan aspectos como la evolución de los sistemas de producción, así como las innovaciones tecnológicas, para después conocer la estructura y localización actual tanto de la industria terminal como de las autopartes.</w:t>
      </w:r>
    </w:p>
    <w:p>
      <w:pPr>
        <w:pStyle w:val="BodyText"/>
        <w:spacing w:before="4"/>
        <w:rPr>
          <w:sz w:val="21"/>
        </w:rPr>
      </w:pPr>
    </w:p>
    <w:p>
      <w:pPr>
        <w:pStyle w:val="BodyText"/>
        <w:spacing w:line="360" w:lineRule="auto" w:before="1"/>
        <w:ind w:left="102" w:right="117"/>
        <w:jc w:val="both"/>
      </w:pPr>
      <w:r>
        <w:rPr/>
        <w:t>El</w:t>
      </w:r>
      <w:r>
        <w:rPr>
          <w:spacing w:val="-5"/>
        </w:rPr>
        <w:t> </w:t>
      </w:r>
      <w:r>
        <w:rPr/>
        <w:t>tercer</w:t>
      </w:r>
      <w:r>
        <w:rPr>
          <w:spacing w:val="-2"/>
        </w:rPr>
        <w:t> </w:t>
      </w:r>
      <w:r>
        <w:rPr/>
        <w:t>capítulo</w:t>
      </w:r>
      <w:r>
        <w:rPr>
          <w:spacing w:val="-4"/>
        </w:rPr>
        <w:t> </w:t>
      </w:r>
      <w:r>
        <w:rPr/>
        <w:t>muestra</w:t>
      </w:r>
      <w:r>
        <w:rPr>
          <w:spacing w:val="-6"/>
        </w:rPr>
        <w:t> </w:t>
      </w:r>
      <w:r>
        <w:rPr/>
        <w:t>el</w:t>
      </w:r>
      <w:r>
        <w:rPr>
          <w:spacing w:val="-4"/>
        </w:rPr>
        <w:t> </w:t>
      </w:r>
      <w:r>
        <w:rPr/>
        <w:t>desarrollo</w:t>
      </w:r>
      <w:r>
        <w:rPr>
          <w:spacing w:val="-5"/>
        </w:rPr>
        <w:t> </w:t>
      </w:r>
      <w:r>
        <w:rPr/>
        <w:t>del</w:t>
      </w:r>
      <w:r>
        <w:rPr>
          <w:spacing w:val="-4"/>
        </w:rPr>
        <w:t> </w:t>
      </w:r>
      <w:r>
        <w:rPr/>
        <w:t>sector</w:t>
      </w:r>
      <w:r>
        <w:rPr>
          <w:spacing w:val="-3"/>
        </w:rPr>
        <w:t> </w:t>
      </w:r>
      <w:r>
        <w:rPr/>
        <w:t>manufacturero</w:t>
      </w:r>
      <w:r>
        <w:rPr>
          <w:spacing w:val="-1"/>
        </w:rPr>
        <w:t> </w:t>
      </w:r>
      <w:r>
        <w:rPr/>
        <w:t>y</w:t>
      </w:r>
      <w:r>
        <w:rPr>
          <w:spacing w:val="-10"/>
        </w:rPr>
        <w:t> </w:t>
      </w:r>
      <w:r>
        <w:rPr/>
        <w:t>la</w:t>
      </w:r>
      <w:r>
        <w:rPr>
          <w:spacing w:val="-5"/>
        </w:rPr>
        <w:t> </w:t>
      </w:r>
      <w:r>
        <w:rPr/>
        <w:t>industria</w:t>
      </w:r>
      <w:r>
        <w:rPr>
          <w:spacing w:val="-6"/>
        </w:rPr>
        <w:t> </w:t>
      </w:r>
      <w:r>
        <w:rPr/>
        <w:t>automotriz</w:t>
      </w:r>
      <w:r>
        <w:rPr>
          <w:spacing w:val="-3"/>
        </w:rPr>
        <w:t> </w:t>
      </w:r>
      <w:r>
        <w:rPr/>
        <w:t>en México. De manera puntual se muestra la evolución del sector manufacturero y la dinámica que genera en la economía de nuestro país. Asimismo, se muestra la importancia que tiene esta industria a nivel nacional, y se evidencia la estrecha relación que guarda con la manufactura.</w:t>
      </w:r>
      <w:r>
        <w:rPr>
          <w:spacing w:val="-16"/>
        </w:rPr>
        <w:t> </w:t>
      </w:r>
      <w:r>
        <w:rPr/>
        <w:t>En</w:t>
      </w:r>
      <w:r>
        <w:rPr>
          <w:spacing w:val="-14"/>
        </w:rPr>
        <w:t> </w:t>
      </w:r>
      <w:r>
        <w:rPr/>
        <w:t>el</w:t>
      </w:r>
      <w:r>
        <w:rPr>
          <w:spacing w:val="-15"/>
        </w:rPr>
        <w:t> </w:t>
      </w:r>
      <w:r>
        <w:rPr/>
        <w:t>capítulo</w:t>
      </w:r>
      <w:r>
        <w:rPr>
          <w:spacing w:val="-15"/>
        </w:rPr>
        <w:t> </w:t>
      </w:r>
      <w:r>
        <w:rPr/>
        <w:t>cuatro</w:t>
      </w:r>
      <w:r>
        <w:rPr>
          <w:spacing w:val="-15"/>
        </w:rPr>
        <w:t> </w:t>
      </w:r>
      <w:r>
        <w:rPr/>
        <w:t>el</w:t>
      </w:r>
      <w:r>
        <w:rPr>
          <w:spacing w:val="-13"/>
        </w:rPr>
        <w:t> </w:t>
      </w:r>
      <w:r>
        <w:rPr/>
        <w:t>análisis</w:t>
      </w:r>
      <w:r>
        <w:rPr>
          <w:spacing w:val="-15"/>
        </w:rPr>
        <w:t> </w:t>
      </w:r>
      <w:r>
        <w:rPr/>
        <w:t>se</w:t>
      </w:r>
      <w:r>
        <w:rPr>
          <w:spacing w:val="-16"/>
        </w:rPr>
        <w:t> </w:t>
      </w:r>
      <w:r>
        <w:rPr/>
        <w:t>hace</w:t>
      </w:r>
      <w:r>
        <w:rPr>
          <w:spacing w:val="-16"/>
        </w:rPr>
        <w:t> </w:t>
      </w:r>
      <w:r>
        <w:rPr/>
        <w:t>a</w:t>
      </w:r>
      <w:r>
        <w:rPr>
          <w:spacing w:val="-17"/>
        </w:rPr>
        <w:t> </w:t>
      </w:r>
      <w:r>
        <w:rPr/>
        <w:t>nivel</w:t>
      </w:r>
      <w:r>
        <w:rPr>
          <w:spacing w:val="-16"/>
        </w:rPr>
        <w:t> </w:t>
      </w:r>
      <w:r>
        <w:rPr/>
        <w:t>de</w:t>
      </w:r>
      <w:r>
        <w:rPr>
          <w:spacing w:val="-17"/>
        </w:rPr>
        <w:t> </w:t>
      </w:r>
      <w:r>
        <w:rPr/>
        <w:t>región</w:t>
      </w:r>
      <w:r>
        <w:rPr>
          <w:spacing w:val="-11"/>
        </w:rPr>
        <w:t> </w:t>
      </w:r>
      <w:r>
        <w:rPr/>
        <w:t>y</w:t>
      </w:r>
      <w:r>
        <w:rPr>
          <w:spacing w:val="-18"/>
        </w:rPr>
        <w:t> </w:t>
      </w:r>
      <w:r>
        <w:rPr/>
        <w:t>de</w:t>
      </w:r>
      <w:r>
        <w:rPr>
          <w:spacing w:val="-17"/>
        </w:rPr>
        <w:t> </w:t>
      </w:r>
      <w:r>
        <w:rPr/>
        <w:t>entidad</w:t>
      </w:r>
      <w:r>
        <w:rPr>
          <w:spacing w:val="-16"/>
        </w:rPr>
        <w:t> </w:t>
      </w:r>
      <w:r>
        <w:rPr/>
        <w:t>federativa. En</w:t>
      </w:r>
      <w:r>
        <w:rPr>
          <w:spacing w:val="-6"/>
        </w:rPr>
        <w:t> </w:t>
      </w:r>
      <w:r>
        <w:rPr/>
        <w:t>el</w:t>
      </w:r>
      <w:r>
        <w:rPr>
          <w:spacing w:val="-6"/>
        </w:rPr>
        <w:t> </w:t>
      </w:r>
      <w:r>
        <w:rPr/>
        <w:t>capítulo</w:t>
      </w:r>
      <w:r>
        <w:rPr>
          <w:spacing w:val="-6"/>
        </w:rPr>
        <w:t> </w:t>
      </w:r>
      <w:r>
        <w:rPr/>
        <w:t>cinco</w:t>
      </w:r>
      <w:r>
        <w:rPr>
          <w:spacing w:val="-7"/>
        </w:rPr>
        <w:t> </w:t>
      </w:r>
      <w:r>
        <w:rPr/>
        <w:t>se</w:t>
      </w:r>
      <w:r>
        <w:rPr>
          <w:spacing w:val="-6"/>
        </w:rPr>
        <w:t> </w:t>
      </w:r>
      <w:r>
        <w:rPr/>
        <w:t>presenta</w:t>
      </w:r>
      <w:r>
        <w:rPr>
          <w:spacing w:val="-6"/>
        </w:rPr>
        <w:t> </w:t>
      </w:r>
      <w:r>
        <w:rPr/>
        <w:t>la</w:t>
      </w:r>
      <w:r>
        <w:rPr>
          <w:spacing w:val="-7"/>
        </w:rPr>
        <w:t> </w:t>
      </w:r>
      <w:r>
        <w:rPr/>
        <w:t>estimación</w:t>
      </w:r>
      <w:r>
        <w:rPr>
          <w:spacing w:val="-6"/>
        </w:rPr>
        <w:t> </w:t>
      </w:r>
      <w:r>
        <w:rPr/>
        <w:t>del</w:t>
      </w:r>
      <w:r>
        <w:rPr>
          <w:spacing w:val="-6"/>
        </w:rPr>
        <w:t> </w:t>
      </w:r>
      <w:r>
        <w:rPr/>
        <w:t>modelo</w:t>
      </w:r>
      <w:r>
        <w:rPr>
          <w:spacing w:val="-6"/>
        </w:rPr>
        <w:t> </w:t>
      </w:r>
      <w:r>
        <w:rPr/>
        <w:t>VAR</w:t>
      </w:r>
      <w:r>
        <w:rPr>
          <w:spacing w:val="-3"/>
        </w:rPr>
        <w:t> </w:t>
      </w:r>
      <w:r>
        <w:rPr/>
        <w:t>y</w:t>
      </w:r>
      <w:r>
        <w:rPr>
          <w:spacing w:val="-10"/>
        </w:rPr>
        <w:t> </w:t>
      </w:r>
      <w:r>
        <w:rPr/>
        <w:t>el</w:t>
      </w:r>
      <w:r>
        <w:rPr>
          <w:spacing w:val="-3"/>
        </w:rPr>
        <w:t> </w:t>
      </w:r>
      <w:r>
        <w:rPr/>
        <w:t>análisis</w:t>
      </w:r>
      <w:r>
        <w:rPr>
          <w:spacing w:val="-6"/>
        </w:rPr>
        <w:t> </w:t>
      </w:r>
      <w:r>
        <w:rPr/>
        <w:t>de</w:t>
      </w:r>
      <w:r>
        <w:rPr>
          <w:spacing w:val="-7"/>
        </w:rPr>
        <w:t> </w:t>
      </w:r>
      <w:r>
        <w:rPr/>
        <w:t>cointegración y causalidad. Finalmente se expone un apartado con las principales conclusiones que se desprenden del trabajo de</w:t>
      </w:r>
      <w:r>
        <w:rPr>
          <w:spacing w:val="-7"/>
        </w:rPr>
        <w:t> </w:t>
      </w:r>
      <w:r>
        <w:rPr/>
        <w:t>investigación.</w:t>
      </w:r>
    </w:p>
    <w:p>
      <w:pPr>
        <w:spacing w:after="0" w:line="360" w:lineRule="auto"/>
        <w:jc w:val="both"/>
        <w:sectPr>
          <w:pgSz w:w="12240" w:h="15840"/>
          <w:pgMar w:header="0" w:footer="1035" w:top="1360" w:bottom="1220" w:left="1600" w:right="1580"/>
        </w:sectPr>
      </w:pPr>
    </w:p>
    <w:p>
      <w:pPr>
        <w:pStyle w:val="Heading1"/>
        <w:spacing w:before="53"/>
        <w:ind w:left="102"/>
        <w:jc w:val="both"/>
      </w:pPr>
      <w:bookmarkStart w:name="_TOC_250034" w:id="1"/>
      <w:bookmarkEnd w:id="1"/>
      <w:r>
        <w:rPr/>
        <w:t>Capítulo 1. Las leyes de Kaldor en el contexto de la teoría del crecimiento económico</w:t>
      </w:r>
    </w:p>
    <w:p>
      <w:pPr>
        <w:pStyle w:val="BodyText"/>
        <w:spacing w:before="6"/>
        <w:rPr>
          <w:b/>
          <w:sz w:val="22"/>
        </w:rPr>
      </w:pPr>
    </w:p>
    <w:p>
      <w:pPr>
        <w:pStyle w:val="BodyText"/>
        <w:spacing w:line="360" w:lineRule="auto"/>
        <w:ind w:left="102" w:right="116"/>
        <w:jc w:val="both"/>
      </w:pPr>
      <w:r>
        <w:rPr/>
        <w:t>Desde</w:t>
      </w:r>
      <w:r>
        <w:rPr>
          <w:spacing w:val="-9"/>
        </w:rPr>
        <w:t> </w:t>
      </w:r>
      <w:r>
        <w:rPr/>
        <w:t>los</w:t>
      </w:r>
      <w:r>
        <w:rPr>
          <w:spacing w:val="-6"/>
        </w:rPr>
        <w:t> </w:t>
      </w:r>
      <w:r>
        <w:rPr/>
        <w:t>orígenes</w:t>
      </w:r>
      <w:r>
        <w:rPr>
          <w:spacing w:val="-6"/>
        </w:rPr>
        <w:t> </w:t>
      </w:r>
      <w:r>
        <w:rPr/>
        <w:t>de</w:t>
      </w:r>
      <w:r>
        <w:rPr>
          <w:spacing w:val="-7"/>
        </w:rPr>
        <w:t> </w:t>
      </w:r>
      <w:r>
        <w:rPr/>
        <w:t>la</w:t>
      </w:r>
      <w:r>
        <w:rPr>
          <w:spacing w:val="-7"/>
        </w:rPr>
        <w:t> </w:t>
      </w:r>
      <w:r>
        <w:rPr/>
        <w:t>ciencia</w:t>
      </w:r>
      <w:r>
        <w:rPr>
          <w:spacing w:val="-7"/>
        </w:rPr>
        <w:t> </w:t>
      </w:r>
      <w:r>
        <w:rPr/>
        <w:t>económica,</w:t>
      </w:r>
      <w:r>
        <w:rPr>
          <w:spacing w:val="-6"/>
        </w:rPr>
        <w:t> </w:t>
      </w:r>
      <w:r>
        <w:rPr/>
        <w:t>el</w:t>
      </w:r>
      <w:r>
        <w:rPr>
          <w:spacing w:val="-8"/>
        </w:rPr>
        <w:t> </w:t>
      </w:r>
      <w:r>
        <w:rPr/>
        <w:t>estudio</w:t>
      </w:r>
      <w:r>
        <w:rPr>
          <w:spacing w:val="-8"/>
        </w:rPr>
        <w:t> </w:t>
      </w:r>
      <w:r>
        <w:rPr/>
        <w:t>del</w:t>
      </w:r>
      <w:r>
        <w:rPr>
          <w:spacing w:val="-8"/>
        </w:rPr>
        <w:t> </w:t>
      </w:r>
      <w:r>
        <w:rPr/>
        <w:t>crecimiento</w:t>
      </w:r>
      <w:r>
        <w:rPr>
          <w:spacing w:val="-6"/>
        </w:rPr>
        <w:t> </w:t>
      </w:r>
      <w:r>
        <w:rPr/>
        <w:t>económico</w:t>
      </w:r>
      <w:r>
        <w:rPr>
          <w:spacing w:val="-9"/>
        </w:rPr>
        <w:t> </w:t>
      </w:r>
      <w:r>
        <w:rPr/>
        <w:t>ha</w:t>
      </w:r>
      <w:r>
        <w:rPr>
          <w:spacing w:val="-10"/>
        </w:rPr>
        <w:t> </w:t>
      </w:r>
      <w:r>
        <w:rPr/>
        <w:t>sido</w:t>
      </w:r>
      <w:r>
        <w:rPr>
          <w:spacing w:val="-8"/>
        </w:rPr>
        <w:t> </w:t>
      </w:r>
      <w:r>
        <w:rPr/>
        <w:t>un tema de gran interés sobre todo por sus alcances en el bienestar de la sociedad. Así, la</w:t>
      </w:r>
      <w:r>
        <w:rPr>
          <w:spacing w:val="-14"/>
        </w:rPr>
        <w:t> </w:t>
      </w:r>
      <w:r>
        <w:rPr/>
        <w:t>teoría del crecimiento económico analiza la expansión del producto y la productividad de las economías</w:t>
      </w:r>
      <w:r>
        <w:rPr>
          <w:spacing w:val="-4"/>
        </w:rPr>
        <w:t> </w:t>
      </w:r>
      <w:r>
        <w:rPr/>
        <w:t>en</w:t>
      </w:r>
      <w:r>
        <w:rPr>
          <w:spacing w:val="-4"/>
        </w:rPr>
        <w:t> </w:t>
      </w:r>
      <w:r>
        <w:rPr/>
        <w:t>el</w:t>
      </w:r>
      <w:r>
        <w:rPr>
          <w:spacing w:val="-3"/>
        </w:rPr>
        <w:t> </w:t>
      </w:r>
      <w:r>
        <w:rPr/>
        <w:t>lago</w:t>
      </w:r>
      <w:r>
        <w:rPr>
          <w:spacing w:val="-4"/>
        </w:rPr>
        <w:t> </w:t>
      </w:r>
      <w:r>
        <w:rPr/>
        <w:t>plazo,</w:t>
      </w:r>
      <w:r>
        <w:rPr>
          <w:spacing w:val="-4"/>
        </w:rPr>
        <w:t> </w:t>
      </w:r>
      <w:r>
        <w:rPr/>
        <w:t>considerando</w:t>
      </w:r>
      <w:r>
        <w:rPr>
          <w:spacing w:val="-4"/>
        </w:rPr>
        <w:t> </w:t>
      </w:r>
      <w:r>
        <w:rPr/>
        <w:t>las</w:t>
      </w:r>
      <w:r>
        <w:rPr>
          <w:spacing w:val="-4"/>
        </w:rPr>
        <w:t> </w:t>
      </w:r>
      <w:r>
        <w:rPr/>
        <w:t>causas</w:t>
      </w:r>
      <w:r>
        <w:rPr>
          <w:spacing w:val="-2"/>
        </w:rPr>
        <w:t> </w:t>
      </w:r>
      <w:r>
        <w:rPr/>
        <w:t>y</w:t>
      </w:r>
      <w:r>
        <w:rPr>
          <w:spacing w:val="-8"/>
        </w:rPr>
        <w:t> </w:t>
      </w:r>
      <w:r>
        <w:rPr/>
        <w:t>los</w:t>
      </w:r>
      <w:r>
        <w:rPr>
          <w:spacing w:val="-3"/>
        </w:rPr>
        <w:t> </w:t>
      </w:r>
      <w:r>
        <w:rPr/>
        <w:t>determinantes</w:t>
      </w:r>
      <w:r>
        <w:rPr>
          <w:spacing w:val="-4"/>
        </w:rPr>
        <w:t> </w:t>
      </w:r>
      <w:r>
        <w:rPr/>
        <w:t>del</w:t>
      </w:r>
      <w:r>
        <w:rPr>
          <w:spacing w:val="-3"/>
        </w:rPr>
        <w:t> </w:t>
      </w:r>
      <w:r>
        <w:rPr/>
        <w:t>crecimiento,</w:t>
      </w:r>
      <w:r>
        <w:rPr>
          <w:spacing w:val="-4"/>
        </w:rPr>
        <w:t> </w:t>
      </w:r>
      <w:r>
        <w:rPr/>
        <w:t>así como sus principales</w:t>
      </w:r>
      <w:r>
        <w:rPr>
          <w:spacing w:val="-4"/>
        </w:rPr>
        <w:t> </w:t>
      </w:r>
      <w:r>
        <w:rPr/>
        <w:t>limitantes.</w:t>
      </w:r>
    </w:p>
    <w:p>
      <w:pPr>
        <w:pStyle w:val="BodyText"/>
        <w:spacing w:before="5"/>
        <w:rPr>
          <w:sz w:val="21"/>
        </w:rPr>
      </w:pPr>
    </w:p>
    <w:p>
      <w:pPr>
        <w:pStyle w:val="BodyText"/>
        <w:ind w:left="102"/>
        <w:jc w:val="both"/>
      </w:pPr>
      <w:r>
        <w:rPr/>
        <w:t>De acuerdo con Larraín y Sachs (2014:87):</w:t>
      </w:r>
    </w:p>
    <w:p>
      <w:pPr>
        <w:pStyle w:val="BodyText"/>
        <w:spacing w:before="6"/>
        <w:rPr>
          <w:sz w:val="32"/>
        </w:rPr>
      </w:pPr>
    </w:p>
    <w:p>
      <w:pPr>
        <w:pStyle w:val="BodyText"/>
        <w:ind w:left="810" w:right="119"/>
        <w:jc w:val="both"/>
      </w:pPr>
      <w:r>
        <w:rPr/>
        <w:t>El crecimiento económico es el aumento sostenido del producto en una economía. Usualmente se mide como el aumento del Producto Interno Bruto (PIB) real en un periodo de varios años o décadas. Cuando la población de un país no cambia en el tiempo, un aumento del PIB equivale a un aumento del PIB per cápita </w:t>
      </w:r>
      <w:r>
        <w:rPr>
          <w:spacing w:val="-3"/>
        </w:rPr>
        <w:t>y, </w:t>
      </w:r>
      <w:r>
        <w:rPr/>
        <w:t>por ende, a un mejoramiento de las condiciones de vida del individuo promedio. Cuando la población está aumentando, el PIB tiene que crecer más rápido que la</w:t>
      </w:r>
      <w:r>
        <w:rPr>
          <w:spacing w:val="-41"/>
        </w:rPr>
        <w:t> </w:t>
      </w:r>
      <w:r>
        <w:rPr/>
        <w:t>población para que el PIB per cápita aumente y las condiciones de vida</w:t>
      </w:r>
      <w:r>
        <w:rPr>
          <w:spacing w:val="-13"/>
        </w:rPr>
        <w:t> </w:t>
      </w:r>
      <w:r>
        <w:rPr/>
        <w:t>mejoren.</w:t>
      </w:r>
    </w:p>
    <w:p>
      <w:pPr>
        <w:pStyle w:val="BodyText"/>
        <w:spacing w:before="1"/>
        <w:rPr>
          <w:sz w:val="21"/>
        </w:rPr>
      </w:pPr>
    </w:p>
    <w:p>
      <w:pPr>
        <w:pStyle w:val="BodyText"/>
        <w:spacing w:line="360" w:lineRule="auto"/>
        <w:ind w:left="102" w:right="116"/>
        <w:jc w:val="both"/>
      </w:pPr>
      <w:r>
        <w:rPr/>
        <w:t>El crecimiento económico no es espontáneo, sino es el resultado de la combinación de distintos factores como trabajo, capital, recursos naturales, tecnología, e incluso de política económica. En este sentido, surgen una serie de preguntas como: ¿Por qué algunos países o regiones crecen más que otros?, ¿qué provoca un crecimiento sostenido?, ¿la diferencia de crecimiento entre los países van a aumentar o disminuir con el tiempo?, si bien, éstas preguntas en un principio se hicieron sólo entre países, actualmente también es una preocupación a nivel regional.</w:t>
      </w:r>
    </w:p>
    <w:p>
      <w:pPr>
        <w:pStyle w:val="BodyText"/>
        <w:spacing w:before="5"/>
        <w:rPr>
          <w:sz w:val="21"/>
        </w:rPr>
      </w:pPr>
    </w:p>
    <w:p>
      <w:pPr>
        <w:pStyle w:val="BodyText"/>
        <w:spacing w:line="360" w:lineRule="auto"/>
        <w:ind w:left="102" w:right="115"/>
        <w:jc w:val="both"/>
      </w:pPr>
      <w:r>
        <w:rPr/>
        <w:t>La teoría económica ha tratado de dar respuesta a estos cuestionamientos, no obstante, aún no se ha alcanzado un pleno consenso respecto a la naturaleza del crecimiento y sus determinantes,</w:t>
      </w:r>
      <w:r>
        <w:rPr>
          <w:spacing w:val="-9"/>
        </w:rPr>
        <w:t> </w:t>
      </w:r>
      <w:r>
        <w:rPr/>
        <w:t>por</w:t>
      </w:r>
      <w:r>
        <w:rPr>
          <w:spacing w:val="-9"/>
        </w:rPr>
        <w:t> </w:t>
      </w:r>
      <w:r>
        <w:rPr/>
        <w:t>lo</w:t>
      </w:r>
      <w:r>
        <w:rPr>
          <w:spacing w:val="-8"/>
        </w:rPr>
        <w:t> </w:t>
      </w:r>
      <w:r>
        <w:rPr/>
        <w:t>que</w:t>
      </w:r>
      <w:r>
        <w:rPr>
          <w:spacing w:val="-7"/>
        </w:rPr>
        <w:t> </w:t>
      </w:r>
      <w:r>
        <w:rPr/>
        <w:t>existe</w:t>
      </w:r>
      <w:r>
        <w:rPr>
          <w:spacing w:val="-8"/>
        </w:rPr>
        <w:t> </w:t>
      </w:r>
      <w:r>
        <w:rPr/>
        <w:t>una</w:t>
      </w:r>
      <w:r>
        <w:rPr>
          <w:spacing w:val="-10"/>
        </w:rPr>
        <w:t> </w:t>
      </w:r>
      <w:r>
        <w:rPr/>
        <w:t>amplia</w:t>
      </w:r>
      <w:r>
        <w:rPr>
          <w:spacing w:val="-7"/>
        </w:rPr>
        <w:t> </w:t>
      </w:r>
      <w:r>
        <w:rPr/>
        <w:t>literatura</w:t>
      </w:r>
      <w:r>
        <w:rPr>
          <w:spacing w:val="-8"/>
        </w:rPr>
        <w:t> </w:t>
      </w:r>
      <w:r>
        <w:rPr/>
        <w:t>al</w:t>
      </w:r>
      <w:r>
        <w:rPr>
          <w:spacing w:val="-8"/>
        </w:rPr>
        <w:t> </w:t>
      </w:r>
      <w:r>
        <w:rPr/>
        <w:t>respecto.</w:t>
      </w:r>
      <w:r>
        <w:rPr>
          <w:spacing w:val="-6"/>
        </w:rPr>
        <w:t> </w:t>
      </w:r>
      <w:r>
        <w:rPr/>
        <w:t>En</w:t>
      </w:r>
      <w:r>
        <w:rPr>
          <w:spacing w:val="-8"/>
        </w:rPr>
        <w:t> </w:t>
      </w:r>
      <w:r>
        <w:rPr/>
        <w:t>este</w:t>
      </w:r>
      <w:r>
        <w:rPr>
          <w:spacing w:val="-7"/>
        </w:rPr>
        <w:t> </w:t>
      </w:r>
      <w:r>
        <w:rPr/>
        <w:t>sentido,</w:t>
      </w:r>
      <w:r>
        <w:rPr>
          <w:spacing w:val="-9"/>
        </w:rPr>
        <w:t> </w:t>
      </w:r>
      <w:r>
        <w:rPr/>
        <w:t>el</w:t>
      </w:r>
      <w:r>
        <w:rPr>
          <w:spacing w:val="-8"/>
        </w:rPr>
        <w:t> </w:t>
      </w:r>
      <w:r>
        <w:rPr/>
        <w:t>presente capítulo tiene como propósito ofrecer una visión panorámica acerca del tema, y se divide en dos</w:t>
      </w:r>
      <w:r>
        <w:rPr>
          <w:spacing w:val="-16"/>
        </w:rPr>
        <w:t> </w:t>
      </w:r>
      <w:r>
        <w:rPr/>
        <w:t>apartados,</w:t>
      </w:r>
      <w:r>
        <w:rPr>
          <w:spacing w:val="-13"/>
        </w:rPr>
        <w:t> </w:t>
      </w:r>
      <w:r>
        <w:rPr/>
        <w:t>en</w:t>
      </w:r>
      <w:r>
        <w:rPr>
          <w:spacing w:val="-16"/>
        </w:rPr>
        <w:t> </w:t>
      </w:r>
      <w:r>
        <w:rPr/>
        <w:t>el</w:t>
      </w:r>
      <w:r>
        <w:rPr>
          <w:spacing w:val="-15"/>
        </w:rPr>
        <w:t> </w:t>
      </w:r>
      <w:r>
        <w:rPr/>
        <w:t>primero</w:t>
      </w:r>
      <w:r>
        <w:rPr>
          <w:spacing w:val="-17"/>
        </w:rPr>
        <w:t> </w:t>
      </w:r>
      <w:r>
        <w:rPr/>
        <w:t>se</w:t>
      </w:r>
      <w:r>
        <w:rPr>
          <w:spacing w:val="-17"/>
        </w:rPr>
        <w:t> </w:t>
      </w:r>
      <w:r>
        <w:rPr/>
        <w:t>presentan</w:t>
      </w:r>
      <w:r>
        <w:rPr>
          <w:spacing w:val="-16"/>
        </w:rPr>
        <w:t> </w:t>
      </w:r>
      <w:r>
        <w:rPr/>
        <w:t>los</w:t>
      </w:r>
      <w:r>
        <w:rPr>
          <w:spacing w:val="-15"/>
        </w:rPr>
        <w:t> </w:t>
      </w:r>
      <w:r>
        <w:rPr/>
        <w:t>aspectos</w:t>
      </w:r>
      <w:r>
        <w:rPr>
          <w:spacing w:val="-16"/>
        </w:rPr>
        <w:t> </w:t>
      </w:r>
      <w:r>
        <w:rPr/>
        <w:t>esenciales</w:t>
      </w:r>
      <w:r>
        <w:rPr>
          <w:spacing w:val="-11"/>
        </w:rPr>
        <w:t> </w:t>
      </w:r>
      <w:r>
        <w:rPr/>
        <w:t>expuestos</w:t>
      </w:r>
      <w:r>
        <w:rPr>
          <w:spacing w:val="-14"/>
        </w:rPr>
        <w:t> </w:t>
      </w:r>
      <w:r>
        <w:rPr/>
        <w:t>por</w:t>
      </w:r>
      <w:r>
        <w:rPr>
          <w:spacing w:val="-17"/>
        </w:rPr>
        <w:t> </w:t>
      </w:r>
      <w:r>
        <w:rPr/>
        <w:t>las</w:t>
      </w:r>
      <w:r>
        <w:rPr>
          <w:spacing w:val="-16"/>
        </w:rPr>
        <w:t> </w:t>
      </w:r>
      <w:r>
        <w:rPr/>
        <w:t>principales corrientes económicas respecto al crecimiento económico, mientras que en el segundo apartado</w:t>
      </w:r>
      <w:r>
        <w:rPr>
          <w:spacing w:val="-10"/>
        </w:rPr>
        <w:t> </w:t>
      </w:r>
      <w:r>
        <w:rPr/>
        <w:t>se</w:t>
      </w:r>
      <w:r>
        <w:rPr>
          <w:spacing w:val="-8"/>
        </w:rPr>
        <w:t> </w:t>
      </w:r>
      <w:r>
        <w:rPr/>
        <w:t>enfoca</w:t>
      </w:r>
      <w:r>
        <w:rPr>
          <w:spacing w:val="-10"/>
        </w:rPr>
        <w:t> </w:t>
      </w:r>
      <w:r>
        <w:rPr/>
        <w:t>en</w:t>
      </w:r>
      <w:r>
        <w:rPr>
          <w:spacing w:val="-10"/>
        </w:rPr>
        <w:t> </w:t>
      </w:r>
      <w:r>
        <w:rPr/>
        <w:t>el</w:t>
      </w:r>
      <w:r>
        <w:rPr>
          <w:spacing w:val="-9"/>
        </w:rPr>
        <w:t> </w:t>
      </w:r>
      <w:r>
        <w:rPr/>
        <w:t>análisis</w:t>
      </w:r>
      <w:r>
        <w:rPr>
          <w:spacing w:val="-9"/>
        </w:rPr>
        <w:t> </w:t>
      </w:r>
      <w:r>
        <w:rPr/>
        <w:t>de</w:t>
      </w:r>
      <w:r>
        <w:rPr>
          <w:spacing w:val="41"/>
        </w:rPr>
        <w:t> </w:t>
      </w:r>
      <w:r>
        <w:rPr/>
        <w:t>Nicholas</w:t>
      </w:r>
      <w:r>
        <w:rPr>
          <w:spacing w:val="-10"/>
        </w:rPr>
        <w:t> </w:t>
      </w:r>
      <w:r>
        <w:rPr/>
        <w:t>Kaldor</w:t>
      </w:r>
      <w:r>
        <w:rPr>
          <w:spacing w:val="-9"/>
        </w:rPr>
        <w:t> </w:t>
      </w:r>
      <w:r>
        <w:rPr/>
        <w:t>cuyos</w:t>
      </w:r>
      <w:r>
        <w:rPr>
          <w:spacing w:val="-9"/>
        </w:rPr>
        <w:t> </w:t>
      </w:r>
      <w:r>
        <w:rPr/>
        <w:t>argumentos</w:t>
      </w:r>
      <w:r>
        <w:rPr>
          <w:spacing w:val="-8"/>
        </w:rPr>
        <w:t> </w:t>
      </w:r>
      <w:r>
        <w:rPr/>
        <w:t>teóricos</w:t>
      </w:r>
      <w:r>
        <w:rPr>
          <w:spacing w:val="-10"/>
        </w:rPr>
        <w:t> </w:t>
      </w:r>
      <w:r>
        <w:rPr/>
        <w:t>dan</w:t>
      </w:r>
      <w:r>
        <w:rPr>
          <w:spacing w:val="-10"/>
        </w:rPr>
        <w:t> </w:t>
      </w:r>
      <w:r>
        <w:rPr/>
        <w:t>sustento a este tema de</w:t>
      </w:r>
      <w:r>
        <w:rPr>
          <w:spacing w:val="-4"/>
        </w:rPr>
        <w:t> </w:t>
      </w:r>
      <w:r>
        <w:rPr/>
        <w:t>investigación.</w:t>
      </w:r>
    </w:p>
    <w:p>
      <w:pPr>
        <w:spacing w:after="0" w:line="360" w:lineRule="auto"/>
        <w:jc w:val="both"/>
        <w:sectPr>
          <w:pgSz w:w="12240" w:h="15840"/>
          <w:pgMar w:header="0" w:footer="1035" w:top="1360" w:bottom="1220" w:left="1600" w:right="1580"/>
        </w:sectPr>
      </w:pPr>
    </w:p>
    <w:p>
      <w:pPr>
        <w:pStyle w:val="Heading1"/>
        <w:numPr>
          <w:ilvl w:val="1"/>
          <w:numId w:val="6"/>
        </w:numPr>
        <w:tabs>
          <w:tab w:pos="522" w:val="left" w:leader="none"/>
        </w:tabs>
        <w:spacing w:line="240" w:lineRule="auto" w:before="55" w:after="0"/>
        <w:ind w:left="522" w:right="0" w:hanging="420"/>
        <w:jc w:val="both"/>
      </w:pPr>
      <w:bookmarkStart w:name="_TOC_250033" w:id="2"/>
      <w:r>
        <w:rPr/>
        <w:t>De los clásicos a la teoría moderna del crecimiento</w:t>
      </w:r>
      <w:r>
        <w:rPr>
          <w:spacing w:val="-18"/>
        </w:rPr>
        <w:t> </w:t>
      </w:r>
      <w:bookmarkEnd w:id="2"/>
      <w:r>
        <w:rPr/>
        <w:t>económico</w:t>
      </w:r>
    </w:p>
    <w:p>
      <w:pPr>
        <w:pStyle w:val="BodyText"/>
        <w:spacing w:before="6"/>
        <w:rPr>
          <w:b/>
          <w:sz w:val="32"/>
        </w:rPr>
      </w:pPr>
    </w:p>
    <w:p>
      <w:pPr>
        <w:pStyle w:val="BodyText"/>
        <w:spacing w:line="360" w:lineRule="auto"/>
        <w:ind w:left="102" w:right="116"/>
        <w:jc w:val="both"/>
      </w:pPr>
      <w:r>
        <w:rPr/>
        <w:t>Desde</w:t>
      </w:r>
      <w:r>
        <w:rPr>
          <w:spacing w:val="-12"/>
        </w:rPr>
        <w:t> </w:t>
      </w:r>
      <w:r>
        <w:rPr/>
        <w:t>sus</w:t>
      </w:r>
      <w:r>
        <w:rPr>
          <w:spacing w:val="-11"/>
        </w:rPr>
        <w:t> </w:t>
      </w:r>
      <w:r>
        <w:rPr/>
        <w:t>inicios</w:t>
      </w:r>
      <w:r>
        <w:rPr>
          <w:spacing w:val="-10"/>
        </w:rPr>
        <w:t> </w:t>
      </w:r>
      <w:r>
        <w:rPr/>
        <w:t>la</w:t>
      </w:r>
      <w:r>
        <w:rPr>
          <w:spacing w:val="-12"/>
        </w:rPr>
        <w:t> </w:t>
      </w:r>
      <w:r>
        <w:rPr/>
        <w:t>teoría</w:t>
      </w:r>
      <w:r>
        <w:rPr>
          <w:spacing w:val="-12"/>
        </w:rPr>
        <w:t> </w:t>
      </w:r>
      <w:r>
        <w:rPr/>
        <w:t>del</w:t>
      </w:r>
      <w:r>
        <w:rPr>
          <w:spacing w:val="-11"/>
        </w:rPr>
        <w:t> </w:t>
      </w:r>
      <w:r>
        <w:rPr/>
        <w:t>crecimiento</w:t>
      </w:r>
      <w:r>
        <w:rPr>
          <w:spacing w:val="-11"/>
        </w:rPr>
        <w:t> </w:t>
      </w:r>
      <w:r>
        <w:rPr/>
        <w:t>ha</w:t>
      </w:r>
      <w:r>
        <w:rPr>
          <w:spacing w:val="-12"/>
        </w:rPr>
        <w:t> </w:t>
      </w:r>
      <w:r>
        <w:rPr/>
        <w:t>experimentado</w:t>
      </w:r>
      <w:r>
        <w:rPr>
          <w:spacing w:val="-11"/>
        </w:rPr>
        <w:t> </w:t>
      </w:r>
      <w:r>
        <w:rPr/>
        <w:t>importantes</w:t>
      </w:r>
      <w:r>
        <w:rPr>
          <w:spacing w:val="-11"/>
        </w:rPr>
        <w:t> </w:t>
      </w:r>
      <w:r>
        <w:rPr/>
        <w:t>cambios,</w:t>
      </w:r>
      <w:r>
        <w:rPr>
          <w:spacing w:val="-11"/>
        </w:rPr>
        <w:t> </w:t>
      </w:r>
      <w:r>
        <w:rPr/>
        <w:t>por</w:t>
      </w:r>
      <w:r>
        <w:rPr>
          <w:spacing w:val="-12"/>
        </w:rPr>
        <w:t> </w:t>
      </w:r>
      <w:r>
        <w:rPr/>
        <w:t>lo</w:t>
      </w:r>
      <w:r>
        <w:rPr>
          <w:spacing w:val="-11"/>
        </w:rPr>
        <w:t> </w:t>
      </w:r>
      <w:r>
        <w:rPr/>
        <w:t>que en</w:t>
      </w:r>
      <w:r>
        <w:rPr>
          <w:spacing w:val="-11"/>
        </w:rPr>
        <w:t> </w:t>
      </w:r>
      <w:r>
        <w:rPr/>
        <w:t>general,</w:t>
      </w:r>
      <w:r>
        <w:rPr>
          <w:spacing w:val="-11"/>
        </w:rPr>
        <w:t> </w:t>
      </w:r>
      <w:r>
        <w:rPr/>
        <w:t>se</w:t>
      </w:r>
      <w:r>
        <w:rPr>
          <w:spacing w:val="-12"/>
        </w:rPr>
        <w:t> </w:t>
      </w:r>
      <w:r>
        <w:rPr/>
        <w:t>suelen</w:t>
      </w:r>
      <w:r>
        <w:rPr>
          <w:spacing w:val="-9"/>
        </w:rPr>
        <w:t> </w:t>
      </w:r>
      <w:r>
        <w:rPr/>
        <w:t>incluir</w:t>
      </w:r>
      <w:r>
        <w:rPr>
          <w:spacing w:val="-11"/>
        </w:rPr>
        <w:t> </w:t>
      </w:r>
      <w:r>
        <w:rPr/>
        <w:t>dentro</w:t>
      </w:r>
      <w:r>
        <w:rPr>
          <w:spacing w:val="-11"/>
        </w:rPr>
        <w:t> </w:t>
      </w:r>
      <w:r>
        <w:rPr/>
        <w:t>de</w:t>
      </w:r>
      <w:r>
        <w:rPr>
          <w:spacing w:val="-12"/>
        </w:rPr>
        <w:t> </w:t>
      </w:r>
      <w:r>
        <w:rPr/>
        <w:t>este</w:t>
      </w:r>
      <w:r>
        <w:rPr>
          <w:spacing w:val="-9"/>
        </w:rPr>
        <w:t> </w:t>
      </w:r>
      <w:r>
        <w:rPr/>
        <w:t>tema</w:t>
      </w:r>
      <w:r>
        <w:rPr>
          <w:spacing w:val="-10"/>
        </w:rPr>
        <w:t> </w:t>
      </w:r>
      <w:r>
        <w:rPr/>
        <w:t>un</w:t>
      </w:r>
      <w:r>
        <w:rPr>
          <w:spacing w:val="-9"/>
        </w:rPr>
        <w:t> </w:t>
      </w:r>
      <w:r>
        <w:rPr/>
        <w:t>conjunto</w:t>
      </w:r>
      <w:r>
        <w:rPr>
          <w:spacing w:val="-11"/>
        </w:rPr>
        <w:t> </w:t>
      </w:r>
      <w:r>
        <w:rPr/>
        <w:t>muy</w:t>
      </w:r>
      <w:r>
        <w:rPr>
          <w:spacing w:val="-13"/>
        </w:rPr>
        <w:t> </w:t>
      </w:r>
      <w:r>
        <w:rPr/>
        <w:t>amplio</w:t>
      </w:r>
      <w:r>
        <w:rPr>
          <w:spacing w:val="-11"/>
        </w:rPr>
        <w:t> </w:t>
      </w:r>
      <w:r>
        <w:rPr/>
        <w:t>de</w:t>
      </w:r>
      <w:r>
        <w:rPr>
          <w:spacing w:val="-7"/>
        </w:rPr>
        <w:t> </w:t>
      </w:r>
      <w:r>
        <w:rPr/>
        <w:t>aportaciones</w:t>
      </w:r>
      <w:r>
        <w:rPr>
          <w:spacing w:val="-9"/>
        </w:rPr>
        <w:t> </w:t>
      </w:r>
      <w:r>
        <w:rPr/>
        <w:t>que comprenden</w:t>
      </w:r>
      <w:r>
        <w:rPr>
          <w:spacing w:val="-4"/>
        </w:rPr>
        <w:t> </w:t>
      </w:r>
      <w:r>
        <w:rPr/>
        <w:t>desde</w:t>
      </w:r>
      <w:r>
        <w:rPr>
          <w:spacing w:val="-5"/>
        </w:rPr>
        <w:t> </w:t>
      </w:r>
      <w:r>
        <w:rPr/>
        <w:t>los</w:t>
      </w:r>
      <w:r>
        <w:rPr>
          <w:spacing w:val="-3"/>
        </w:rPr>
        <w:t> </w:t>
      </w:r>
      <w:r>
        <w:rPr/>
        <w:t>escritos</w:t>
      </w:r>
      <w:r>
        <w:rPr>
          <w:spacing w:val="-3"/>
        </w:rPr>
        <w:t> </w:t>
      </w:r>
      <w:r>
        <w:rPr/>
        <w:t>de</w:t>
      </w:r>
      <w:r>
        <w:rPr>
          <w:spacing w:val="-5"/>
        </w:rPr>
        <w:t> </w:t>
      </w:r>
      <w:r>
        <w:rPr/>
        <w:t>la</w:t>
      </w:r>
      <w:r>
        <w:rPr>
          <w:spacing w:val="-4"/>
        </w:rPr>
        <w:t> </w:t>
      </w:r>
      <w:r>
        <w:rPr/>
        <w:t>escuela</w:t>
      </w:r>
      <w:r>
        <w:rPr>
          <w:spacing w:val="-1"/>
        </w:rPr>
        <w:t> </w:t>
      </w:r>
      <w:r>
        <w:rPr/>
        <w:t>clásica</w:t>
      </w:r>
      <w:r>
        <w:rPr>
          <w:spacing w:val="-5"/>
        </w:rPr>
        <w:t> </w:t>
      </w:r>
      <w:r>
        <w:rPr/>
        <w:t>hasta</w:t>
      </w:r>
      <w:r>
        <w:rPr>
          <w:spacing w:val="-4"/>
        </w:rPr>
        <w:t> </w:t>
      </w:r>
      <w:r>
        <w:rPr/>
        <w:t>las</w:t>
      </w:r>
      <w:r>
        <w:rPr>
          <w:spacing w:val="-1"/>
        </w:rPr>
        <w:t> </w:t>
      </w:r>
      <w:r>
        <w:rPr/>
        <w:t>aportaciones</w:t>
      </w:r>
      <w:r>
        <w:rPr>
          <w:spacing w:val="-4"/>
        </w:rPr>
        <w:t> </w:t>
      </w:r>
      <w:r>
        <w:rPr/>
        <w:t>de</w:t>
      </w:r>
      <w:r>
        <w:rPr>
          <w:spacing w:val="-5"/>
        </w:rPr>
        <w:t> </w:t>
      </w:r>
      <w:r>
        <w:rPr/>
        <w:t>J.</w:t>
      </w:r>
      <w:r>
        <w:rPr>
          <w:spacing w:val="-4"/>
        </w:rPr>
        <w:t> </w:t>
      </w:r>
      <w:r>
        <w:rPr/>
        <w:t>M.</w:t>
      </w:r>
      <w:r>
        <w:rPr>
          <w:spacing w:val="-4"/>
        </w:rPr>
        <w:t> </w:t>
      </w:r>
      <w:r>
        <w:rPr/>
        <w:t>Keynes</w:t>
      </w:r>
      <w:r>
        <w:rPr>
          <w:spacing w:val="1"/>
        </w:rPr>
        <w:t> </w:t>
      </w:r>
      <w:r>
        <w:rPr/>
        <w:t>y la de Joseph Alois</w:t>
      </w:r>
      <w:r>
        <w:rPr>
          <w:spacing w:val="-4"/>
        </w:rPr>
        <w:t> </w:t>
      </w:r>
      <w:r>
        <w:rPr/>
        <w:t>Schumpeter.</w:t>
      </w:r>
    </w:p>
    <w:p>
      <w:pPr>
        <w:pStyle w:val="BodyText"/>
        <w:spacing w:before="4"/>
        <w:rPr>
          <w:sz w:val="21"/>
        </w:rPr>
      </w:pPr>
    </w:p>
    <w:p>
      <w:pPr>
        <w:pStyle w:val="BodyText"/>
        <w:spacing w:line="360" w:lineRule="auto" w:before="1"/>
        <w:ind w:left="102" w:right="118"/>
        <w:jc w:val="both"/>
      </w:pPr>
      <w:r>
        <w:rPr/>
        <w:t>Los economistas clásicos, como Adam Smith (1776), David Ricardo (1817) y Thomas Malthus (1798), y mucho más tarde Frank Ramsey (1928), Allyn Young (1928), Frank Knight (1944) y Joseph Schumpeter (1934) aportaron muchos de los ingredientes básicos que aparecen en las teorías modernas del crecimiento económico. Estas ideas incluyen los enfoques básicos de la dinámica del comportamiento competitivo y del equilibrio, el papel de</w:t>
      </w:r>
      <w:r>
        <w:rPr>
          <w:spacing w:val="-14"/>
        </w:rPr>
        <w:t> </w:t>
      </w:r>
      <w:r>
        <w:rPr/>
        <w:t>los</w:t>
      </w:r>
      <w:r>
        <w:rPr>
          <w:spacing w:val="-13"/>
        </w:rPr>
        <w:t> </w:t>
      </w:r>
      <w:r>
        <w:rPr/>
        <w:t>rendimientos</w:t>
      </w:r>
      <w:r>
        <w:rPr>
          <w:spacing w:val="-13"/>
        </w:rPr>
        <w:t> </w:t>
      </w:r>
      <w:r>
        <w:rPr/>
        <w:t>decrecientes</w:t>
      </w:r>
      <w:r>
        <w:rPr>
          <w:spacing w:val="-8"/>
        </w:rPr>
        <w:t> </w:t>
      </w:r>
      <w:r>
        <w:rPr/>
        <w:t>y</w:t>
      </w:r>
      <w:r>
        <w:rPr>
          <w:spacing w:val="-16"/>
        </w:rPr>
        <w:t> </w:t>
      </w:r>
      <w:r>
        <w:rPr/>
        <w:t>su</w:t>
      </w:r>
      <w:r>
        <w:rPr>
          <w:spacing w:val="-13"/>
        </w:rPr>
        <w:t> </w:t>
      </w:r>
      <w:r>
        <w:rPr/>
        <w:t>relación</w:t>
      </w:r>
      <w:r>
        <w:rPr>
          <w:spacing w:val="-11"/>
        </w:rPr>
        <w:t> </w:t>
      </w:r>
      <w:r>
        <w:rPr/>
        <w:t>con</w:t>
      </w:r>
      <w:r>
        <w:rPr>
          <w:spacing w:val="-13"/>
        </w:rPr>
        <w:t> </w:t>
      </w:r>
      <w:r>
        <w:rPr/>
        <w:t>la</w:t>
      </w:r>
      <w:r>
        <w:rPr>
          <w:spacing w:val="-14"/>
        </w:rPr>
        <w:t> </w:t>
      </w:r>
      <w:r>
        <w:rPr/>
        <w:t>acumulación</w:t>
      </w:r>
      <w:r>
        <w:rPr>
          <w:spacing w:val="-13"/>
        </w:rPr>
        <w:t> </w:t>
      </w:r>
      <w:r>
        <w:rPr/>
        <w:t>de</w:t>
      </w:r>
      <w:r>
        <w:rPr>
          <w:spacing w:val="-12"/>
        </w:rPr>
        <w:t> </w:t>
      </w:r>
      <w:r>
        <w:rPr/>
        <w:t>capital</w:t>
      </w:r>
      <w:r>
        <w:rPr>
          <w:spacing w:val="-11"/>
        </w:rPr>
        <w:t> </w:t>
      </w:r>
      <w:r>
        <w:rPr/>
        <w:t>físico</w:t>
      </w:r>
      <w:r>
        <w:rPr>
          <w:spacing w:val="-9"/>
        </w:rPr>
        <w:t> </w:t>
      </w:r>
      <w:r>
        <w:rPr/>
        <w:t>y</w:t>
      </w:r>
      <w:r>
        <w:rPr>
          <w:spacing w:val="-18"/>
        </w:rPr>
        <w:t> </w:t>
      </w:r>
      <w:r>
        <w:rPr/>
        <w:t>humano, la</w:t>
      </w:r>
      <w:r>
        <w:rPr>
          <w:spacing w:val="-9"/>
        </w:rPr>
        <w:t> </w:t>
      </w:r>
      <w:r>
        <w:rPr/>
        <w:t>interacción</w:t>
      </w:r>
      <w:r>
        <w:rPr>
          <w:spacing w:val="-8"/>
        </w:rPr>
        <w:t> </w:t>
      </w:r>
      <w:r>
        <w:rPr/>
        <w:t>entre</w:t>
      </w:r>
      <w:r>
        <w:rPr>
          <w:spacing w:val="-10"/>
        </w:rPr>
        <w:t> </w:t>
      </w:r>
      <w:r>
        <w:rPr/>
        <w:t>la</w:t>
      </w:r>
      <w:r>
        <w:rPr>
          <w:spacing w:val="-9"/>
        </w:rPr>
        <w:t> </w:t>
      </w:r>
      <w:r>
        <w:rPr/>
        <w:t>renta</w:t>
      </w:r>
      <w:r>
        <w:rPr>
          <w:spacing w:val="-9"/>
        </w:rPr>
        <w:t> </w:t>
      </w:r>
      <w:r>
        <w:rPr/>
        <w:t>per</w:t>
      </w:r>
      <w:r>
        <w:rPr>
          <w:spacing w:val="-9"/>
        </w:rPr>
        <w:t> </w:t>
      </w:r>
      <w:r>
        <w:rPr/>
        <w:t>cápita</w:t>
      </w:r>
      <w:r>
        <w:rPr>
          <w:spacing w:val="-5"/>
        </w:rPr>
        <w:t> </w:t>
      </w:r>
      <w:r>
        <w:rPr/>
        <w:t>y</w:t>
      </w:r>
      <w:r>
        <w:rPr>
          <w:spacing w:val="-13"/>
        </w:rPr>
        <w:t> </w:t>
      </w:r>
      <w:r>
        <w:rPr/>
        <w:t>la</w:t>
      </w:r>
      <w:r>
        <w:rPr>
          <w:spacing w:val="-9"/>
        </w:rPr>
        <w:t> </w:t>
      </w:r>
      <w:r>
        <w:rPr/>
        <w:t>tasa</w:t>
      </w:r>
      <w:r>
        <w:rPr>
          <w:spacing w:val="-9"/>
        </w:rPr>
        <w:t> </w:t>
      </w:r>
      <w:r>
        <w:rPr/>
        <w:t>de</w:t>
      </w:r>
      <w:r>
        <w:rPr>
          <w:spacing w:val="-7"/>
        </w:rPr>
        <w:t> </w:t>
      </w:r>
      <w:r>
        <w:rPr/>
        <w:t>crecimiento</w:t>
      </w:r>
      <w:r>
        <w:rPr>
          <w:spacing w:val="-9"/>
        </w:rPr>
        <w:t> </w:t>
      </w:r>
      <w:r>
        <w:rPr/>
        <w:t>de</w:t>
      </w:r>
      <w:r>
        <w:rPr>
          <w:spacing w:val="-10"/>
        </w:rPr>
        <w:t> </w:t>
      </w:r>
      <w:r>
        <w:rPr/>
        <w:t>la</w:t>
      </w:r>
      <w:r>
        <w:rPr>
          <w:spacing w:val="-7"/>
        </w:rPr>
        <w:t> </w:t>
      </w:r>
      <w:r>
        <w:rPr/>
        <w:t>población,</w:t>
      </w:r>
      <w:r>
        <w:rPr>
          <w:spacing w:val="-9"/>
        </w:rPr>
        <w:t> </w:t>
      </w:r>
      <w:r>
        <w:rPr/>
        <w:t>los</w:t>
      </w:r>
      <w:r>
        <w:rPr>
          <w:spacing w:val="-8"/>
        </w:rPr>
        <w:t> </w:t>
      </w:r>
      <w:r>
        <w:rPr/>
        <w:t>efectos</w:t>
      </w:r>
      <w:r>
        <w:rPr>
          <w:spacing w:val="-8"/>
        </w:rPr>
        <w:t> </w:t>
      </w:r>
      <w:r>
        <w:rPr/>
        <w:t>del avance</w:t>
      </w:r>
      <w:r>
        <w:rPr>
          <w:spacing w:val="-7"/>
        </w:rPr>
        <w:t> </w:t>
      </w:r>
      <w:r>
        <w:rPr/>
        <w:t>tecnológico</w:t>
      </w:r>
      <w:r>
        <w:rPr>
          <w:spacing w:val="-6"/>
        </w:rPr>
        <w:t> </w:t>
      </w:r>
      <w:r>
        <w:rPr/>
        <w:t>que</w:t>
      </w:r>
      <w:r>
        <w:rPr>
          <w:spacing w:val="-5"/>
        </w:rPr>
        <w:t> </w:t>
      </w:r>
      <w:r>
        <w:rPr/>
        <w:t>se</w:t>
      </w:r>
      <w:r>
        <w:rPr>
          <w:spacing w:val="-7"/>
        </w:rPr>
        <w:t> </w:t>
      </w:r>
      <w:r>
        <w:rPr/>
        <w:t>presentan</w:t>
      </w:r>
      <w:r>
        <w:rPr>
          <w:spacing w:val="-5"/>
        </w:rPr>
        <w:t> </w:t>
      </w:r>
      <w:r>
        <w:rPr/>
        <w:t>en</w:t>
      </w:r>
      <w:r>
        <w:rPr>
          <w:spacing w:val="-4"/>
        </w:rPr>
        <w:t> </w:t>
      </w:r>
      <w:r>
        <w:rPr/>
        <w:t>forma</w:t>
      </w:r>
      <w:r>
        <w:rPr>
          <w:spacing w:val="-5"/>
        </w:rPr>
        <w:t> </w:t>
      </w:r>
      <w:r>
        <w:rPr/>
        <w:t>de</w:t>
      </w:r>
      <w:r>
        <w:rPr>
          <w:spacing w:val="-5"/>
        </w:rPr>
        <w:t> </w:t>
      </w:r>
      <w:r>
        <w:rPr/>
        <w:t>aumento</w:t>
      </w:r>
      <w:r>
        <w:rPr>
          <w:spacing w:val="-6"/>
        </w:rPr>
        <w:t> </w:t>
      </w:r>
      <w:r>
        <w:rPr/>
        <w:t>de</w:t>
      </w:r>
      <w:r>
        <w:rPr>
          <w:spacing w:val="-7"/>
        </w:rPr>
        <w:t> </w:t>
      </w:r>
      <w:r>
        <w:rPr/>
        <w:t>la</w:t>
      </w:r>
      <w:r>
        <w:rPr>
          <w:spacing w:val="-5"/>
        </w:rPr>
        <w:t> </w:t>
      </w:r>
      <w:r>
        <w:rPr/>
        <w:t>especialización</w:t>
      </w:r>
      <w:r>
        <w:rPr>
          <w:spacing w:val="-6"/>
        </w:rPr>
        <w:t> </w:t>
      </w:r>
      <w:r>
        <w:rPr/>
        <w:t>del</w:t>
      </w:r>
      <w:r>
        <w:rPr>
          <w:spacing w:val="-6"/>
        </w:rPr>
        <w:t> </w:t>
      </w:r>
      <w:r>
        <w:rPr/>
        <w:t>trabajo</w:t>
      </w:r>
      <w:r>
        <w:rPr>
          <w:spacing w:val="-1"/>
        </w:rPr>
        <w:t> </w:t>
      </w:r>
      <w:r>
        <w:rPr/>
        <w:t>y de invenciones de nuevos bienes y métodos de producción, y el papel del poder monopolístico como incentivo del avance tecnológico (citado por Barro y Sala-i- Martin, 2009).</w:t>
      </w:r>
    </w:p>
    <w:p>
      <w:pPr>
        <w:pStyle w:val="BodyText"/>
        <w:spacing w:before="2"/>
        <w:rPr>
          <w:sz w:val="21"/>
        </w:rPr>
      </w:pPr>
    </w:p>
    <w:p>
      <w:pPr>
        <w:pStyle w:val="BodyText"/>
        <w:spacing w:line="360" w:lineRule="auto"/>
        <w:ind w:left="102" w:right="118"/>
        <w:jc w:val="both"/>
      </w:pPr>
      <w:r>
        <w:rPr/>
        <w:t>En general, los autores clásicos analizaron de forma sistemática y rigurosa cuáles son los factores que potencian el crecimiento y el enriquecimiento económico. En concreto, Adam Smith (1776) afirma que la principal fuente de riqueza de la naciones y regiones depende</w:t>
      </w:r>
      <w:r>
        <w:rPr>
          <w:spacing w:val="-19"/>
        </w:rPr>
        <w:t> </w:t>
      </w:r>
      <w:r>
        <w:rPr/>
        <w:t>de la división del trabajo, especialmente en las actividades manufactureras, dado que generan una</w:t>
      </w:r>
      <w:r>
        <w:rPr>
          <w:spacing w:val="-12"/>
        </w:rPr>
        <w:t> </w:t>
      </w:r>
      <w:r>
        <w:rPr/>
        <w:t>mayor</w:t>
      </w:r>
      <w:r>
        <w:rPr>
          <w:spacing w:val="-12"/>
        </w:rPr>
        <w:t> </w:t>
      </w:r>
      <w:r>
        <w:rPr/>
        <w:t>especialización</w:t>
      </w:r>
      <w:r>
        <w:rPr>
          <w:spacing w:val="-11"/>
        </w:rPr>
        <w:t> </w:t>
      </w:r>
      <w:r>
        <w:rPr/>
        <w:t>en</w:t>
      </w:r>
      <w:r>
        <w:rPr>
          <w:spacing w:val="-11"/>
        </w:rPr>
        <w:t> </w:t>
      </w:r>
      <w:r>
        <w:rPr/>
        <w:t>los</w:t>
      </w:r>
      <w:r>
        <w:rPr>
          <w:spacing w:val="-10"/>
        </w:rPr>
        <w:t> </w:t>
      </w:r>
      <w:r>
        <w:rPr/>
        <w:t>trabajadores,</w:t>
      </w:r>
      <w:r>
        <w:rPr>
          <w:spacing w:val="-11"/>
        </w:rPr>
        <w:t> </w:t>
      </w:r>
      <w:r>
        <w:rPr/>
        <w:t>lo</w:t>
      </w:r>
      <w:r>
        <w:rPr>
          <w:spacing w:val="-11"/>
        </w:rPr>
        <w:t> </w:t>
      </w:r>
      <w:r>
        <w:rPr/>
        <w:t>que</w:t>
      </w:r>
      <w:r>
        <w:rPr>
          <w:spacing w:val="-12"/>
        </w:rPr>
        <w:t> </w:t>
      </w:r>
      <w:r>
        <w:rPr/>
        <w:t>a</w:t>
      </w:r>
      <w:r>
        <w:rPr>
          <w:spacing w:val="-12"/>
        </w:rPr>
        <w:t> </w:t>
      </w:r>
      <w:r>
        <w:rPr/>
        <w:t>su</w:t>
      </w:r>
      <w:r>
        <w:rPr>
          <w:spacing w:val="-11"/>
        </w:rPr>
        <w:t> </w:t>
      </w:r>
      <w:r>
        <w:rPr/>
        <w:t>vez</w:t>
      </w:r>
      <w:r>
        <w:rPr>
          <w:spacing w:val="-10"/>
        </w:rPr>
        <w:t> </w:t>
      </w:r>
      <w:r>
        <w:rPr/>
        <w:t>produce</w:t>
      </w:r>
      <w:r>
        <w:rPr>
          <w:spacing w:val="-12"/>
        </w:rPr>
        <w:t> </w:t>
      </w:r>
      <w:r>
        <w:rPr/>
        <w:t>un</w:t>
      </w:r>
      <w:r>
        <w:rPr>
          <w:spacing w:val="-11"/>
        </w:rPr>
        <w:t> </w:t>
      </w:r>
      <w:r>
        <w:rPr/>
        <w:t>mayor</w:t>
      </w:r>
      <w:r>
        <w:rPr>
          <w:spacing w:val="-12"/>
        </w:rPr>
        <w:t> </w:t>
      </w:r>
      <w:r>
        <w:rPr/>
        <w:t>rendimiento por unidad de trabajo genrando aumentos en la productividad y por lo tanto mayor o menor crecimiento económico (Citado por Sánchez,</w:t>
      </w:r>
      <w:r>
        <w:rPr>
          <w:spacing w:val="-10"/>
        </w:rPr>
        <w:t> </w:t>
      </w:r>
      <w:r>
        <w:rPr/>
        <w:t>2011).</w:t>
      </w:r>
    </w:p>
    <w:p>
      <w:pPr>
        <w:pStyle w:val="BodyText"/>
        <w:spacing w:before="4"/>
        <w:rPr>
          <w:sz w:val="21"/>
        </w:rPr>
      </w:pPr>
    </w:p>
    <w:p>
      <w:pPr>
        <w:pStyle w:val="BodyText"/>
        <w:spacing w:line="360" w:lineRule="auto" w:before="1"/>
        <w:ind w:left="102" w:right="116"/>
        <w:jc w:val="both"/>
      </w:pPr>
      <w:r>
        <w:rPr/>
        <w:t>Smith (1776) señala que todas las naciones, gracias al desarrollo económico que experimenten, alcanzarán un estado estacionario, ya que las oportunidades de inversión se van agotando y con ello el crecimiento. La llegada a este estado estacionario solo puede retrasarse con la apertura de nuevos mercados y con la aparición de innovaciones que creen nuevas posibilidades de inversión. Por su parte, Ricardo (1817) también se referiría a dicho estado estacionario, indicando que se conseguiría gracias a la existencia de los rendimientos</w:t>
      </w:r>
    </w:p>
    <w:p>
      <w:pPr>
        <w:spacing w:after="0" w:line="360" w:lineRule="auto"/>
        <w:jc w:val="both"/>
        <w:sectPr>
          <w:pgSz w:w="12240" w:h="15840"/>
          <w:pgMar w:header="0" w:footer="1035" w:top="1360" w:bottom="1220" w:left="1600" w:right="1580"/>
        </w:sectPr>
      </w:pPr>
    </w:p>
    <w:p>
      <w:pPr>
        <w:pStyle w:val="BodyText"/>
        <w:spacing w:line="360" w:lineRule="auto" w:before="50"/>
        <w:ind w:left="102" w:right="119"/>
        <w:jc w:val="both"/>
      </w:pPr>
      <w:r>
        <w:rPr/>
        <w:t>decrecientes y que se podría evitar a través de un aumento del capital y de la implantación del progreso técnico (Citado por Galindo, 2011).</w:t>
      </w:r>
    </w:p>
    <w:p>
      <w:pPr>
        <w:pStyle w:val="BodyText"/>
        <w:spacing w:before="2"/>
        <w:rPr>
          <w:sz w:val="21"/>
        </w:rPr>
      </w:pPr>
    </w:p>
    <w:p>
      <w:pPr>
        <w:pStyle w:val="BodyText"/>
        <w:spacing w:line="360" w:lineRule="auto"/>
        <w:ind w:left="102" w:right="120"/>
        <w:jc w:val="both"/>
      </w:pPr>
      <w:r>
        <w:rPr/>
        <w:t>Para</w:t>
      </w:r>
      <w:r>
        <w:rPr>
          <w:spacing w:val="-9"/>
        </w:rPr>
        <w:t> </w:t>
      </w:r>
      <w:r>
        <w:rPr/>
        <w:t>T.</w:t>
      </w:r>
      <w:r>
        <w:rPr>
          <w:spacing w:val="-8"/>
        </w:rPr>
        <w:t> </w:t>
      </w:r>
      <w:r>
        <w:rPr/>
        <w:t>R.</w:t>
      </w:r>
      <w:r>
        <w:rPr>
          <w:spacing w:val="-7"/>
        </w:rPr>
        <w:t> </w:t>
      </w:r>
      <w:r>
        <w:rPr/>
        <w:t>Malthus</w:t>
      </w:r>
      <w:r>
        <w:rPr>
          <w:spacing w:val="-7"/>
        </w:rPr>
        <w:t> </w:t>
      </w:r>
      <w:r>
        <w:rPr/>
        <w:t>(1820),</w:t>
      </w:r>
      <w:r>
        <w:rPr>
          <w:spacing w:val="-7"/>
        </w:rPr>
        <w:t> </w:t>
      </w:r>
      <w:r>
        <w:rPr/>
        <w:t>los</w:t>
      </w:r>
      <w:r>
        <w:rPr>
          <w:spacing w:val="-7"/>
        </w:rPr>
        <w:t> </w:t>
      </w:r>
      <w:r>
        <w:rPr/>
        <w:t>factores</w:t>
      </w:r>
      <w:r>
        <w:rPr>
          <w:spacing w:val="-7"/>
        </w:rPr>
        <w:t> </w:t>
      </w:r>
      <w:r>
        <w:rPr/>
        <w:t>que</w:t>
      </w:r>
      <w:r>
        <w:rPr>
          <w:spacing w:val="-8"/>
        </w:rPr>
        <w:t> </w:t>
      </w:r>
      <w:r>
        <w:rPr/>
        <w:t>afectan</w:t>
      </w:r>
      <w:r>
        <w:rPr>
          <w:spacing w:val="-6"/>
        </w:rPr>
        <w:t> </w:t>
      </w:r>
      <w:r>
        <w:rPr/>
        <w:t>negativamente</w:t>
      </w:r>
      <w:r>
        <w:rPr>
          <w:spacing w:val="-8"/>
        </w:rPr>
        <w:t> </w:t>
      </w:r>
      <w:r>
        <w:rPr/>
        <w:t>al</w:t>
      </w:r>
      <w:r>
        <w:rPr>
          <w:spacing w:val="-4"/>
        </w:rPr>
        <w:t> </w:t>
      </w:r>
      <w:r>
        <w:rPr/>
        <w:t>crecimiento</w:t>
      </w:r>
      <w:r>
        <w:rPr>
          <w:spacing w:val="-7"/>
        </w:rPr>
        <w:t> </w:t>
      </w:r>
      <w:r>
        <w:rPr/>
        <w:t>económico son: 1) el exceso de ahorro, 2) un consumo escaso y 3) la dinámica de la población. En su perspectiva,</w:t>
      </w:r>
      <w:r>
        <w:rPr>
          <w:spacing w:val="-5"/>
        </w:rPr>
        <w:t> </w:t>
      </w:r>
      <w:r>
        <w:rPr/>
        <w:t>el</w:t>
      </w:r>
      <w:r>
        <w:rPr>
          <w:spacing w:val="-7"/>
        </w:rPr>
        <w:t> </w:t>
      </w:r>
      <w:r>
        <w:rPr/>
        <w:t>crecimiento</w:t>
      </w:r>
      <w:r>
        <w:rPr>
          <w:spacing w:val="-7"/>
        </w:rPr>
        <w:t> </w:t>
      </w:r>
      <w:r>
        <w:rPr/>
        <w:t>económico</w:t>
      </w:r>
      <w:r>
        <w:rPr>
          <w:spacing w:val="-7"/>
        </w:rPr>
        <w:t> </w:t>
      </w:r>
      <w:r>
        <w:rPr/>
        <w:t>necesita</w:t>
      </w:r>
      <w:r>
        <w:rPr>
          <w:spacing w:val="-8"/>
        </w:rPr>
        <w:t> </w:t>
      </w:r>
      <w:r>
        <w:rPr/>
        <w:t>una</w:t>
      </w:r>
      <w:r>
        <w:rPr>
          <w:spacing w:val="-8"/>
        </w:rPr>
        <w:t> </w:t>
      </w:r>
      <w:r>
        <w:rPr/>
        <w:t>demanda</w:t>
      </w:r>
      <w:r>
        <w:rPr>
          <w:spacing w:val="-9"/>
        </w:rPr>
        <w:t> </w:t>
      </w:r>
      <w:r>
        <w:rPr/>
        <w:t>adicional,</w:t>
      </w:r>
      <w:r>
        <w:rPr>
          <w:spacing w:val="-7"/>
        </w:rPr>
        <w:t> </w:t>
      </w:r>
      <w:r>
        <w:rPr/>
        <w:t>pero</w:t>
      </w:r>
      <w:r>
        <w:rPr>
          <w:spacing w:val="-7"/>
        </w:rPr>
        <w:t> </w:t>
      </w:r>
      <w:r>
        <w:rPr/>
        <w:t>no</w:t>
      </w:r>
      <w:r>
        <w:rPr>
          <w:spacing w:val="-7"/>
        </w:rPr>
        <w:t> </w:t>
      </w:r>
      <w:r>
        <w:rPr/>
        <w:t>es</w:t>
      </w:r>
      <w:r>
        <w:rPr>
          <w:spacing w:val="-7"/>
        </w:rPr>
        <w:t> </w:t>
      </w:r>
      <w:r>
        <w:rPr/>
        <w:t>suficiente una mayor inversión, sino que es conveniente que esa mayor demanda este acompañada de un incremento de la oferta, la causa de que se llegue al estado estacionario está en la propia dinámica de la población que crea rendimientos decrecientes (citado por Galindo,</w:t>
      </w:r>
      <w:r>
        <w:rPr>
          <w:spacing w:val="-16"/>
        </w:rPr>
        <w:t> </w:t>
      </w:r>
      <w:r>
        <w:rPr/>
        <w:t>2011).</w:t>
      </w:r>
    </w:p>
    <w:p>
      <w:pPr>
        <w:pStyle w:val="BodyText"/>
        <w:spacing w:before="2"/>
        <w:rPr>
          <w:sz w:val="21"/>
        </w:rPr>
      </w:pPr>
    </w:p>
    <w:p>
      <w:pPr>
        <w:pStyle w:val="BodyText"/>
        <w:spacing w:line="360" w:lineRule="auto"/>
        <w:ind w:left="102" w:right="115"/>
        <w:jc w:val="both"/>
      </w:pPr>
      <w:r>
        <w:rPr/>
        <w:t>La</w:t>
      </w:r>
      <w:r>
        <w:rPr>
          <w:spacing w:val="-14"/>
        </w:rPr>
        <w:t> </w:t>
      </w:r>
      <w:r>
        <w:rPr/>
        <w:t>mayor</w:t>
      </w:r>
      <w:r>
        <w:rPr>
          <w:spacing w:val="-14"/>
        </w:rPr>
        <w:t> </w:t>
      </w:r>
      <w:r>
        <w:rPr/>
        <w:t>parte</w:t>
      </w:r>
      <w:r>
        <w:rPr>
          <w:spacing w:val="-15"/>
        </w:rPr>
        <w:t> </w:t>
      </w:r>
      <w:r>
        <w:rPr/>
        <w:t>de</w:t>
      </w:r>
      <w:r>
        <w:rPr>
          <w:spacing w:val="-14"/>
        </w:rPr>
        <w:t> </w:t>
      </w:r>
      <w:r>
        <w:rPr/>
        <w:t>los</w:t>
      </w:r>
      <w:r>
        <w:rPr>
          <w:spacing w:val="-13"/>
        </w:rPr>
        <w:t> </w:t>
      </w:r>
      <w:r>
        <w:rPr/>
        <w:t>economistas</w:t>
      </w:r>
      <w:r>
        <w:rPr>
          <w:spacing w:val="-13"/>
        </w:rPr>
        <w:t> </w:t>
      </w:r>
      <w:r>
        <w:rPr/>
        <w:t>clásicos</w:t>
      </w:r>
      <w:r>
        <w:rPr>
          <w:spacing w:val="-13"/>
        </w:rPr>
        <w:t> </w:t>
      </w:r>
      <w:r>
        <w:rPr/>
        <w:t>reconocen</w:t>
      </w:r>
      <w:r>
        <w:rPr>
          <w:spacing w:val="-13"/>
        </w:rPr>
        <w:t> </w:t>
      </w:r>
      <w:r>
        <w:rPr/>
        <w:t>la</w:t>
      </w:r>
      <w:r>
        <w:rPr>
          <w:spacing w:val="-14"/>
        </w:rPr>
        <w:t> </w:t>
      </w:r>
      <w:r>
        <w:rPr/>
        <w:t>existencia</w:t>
      </w:r>
      <w:r>
        <w:rPr>
          <w:spacing w:val="-14"/>
        </w:rPr>
        <w:t> </w:t>
      </w:r>
      <w:r>
        <w:rPr/>
        <w:t>de</w:t>
      </w:r>
      <w:r>
        <w:rPr>
          <w:spacing w:val="-14"/>
        </w:rPr>
        <w:t> </w:t>
      </w:r>
      <w:r>
        <w:rPr/>
        <w:t>un</w:t>
      </w:r>
      <w:r>
        <w:rPr>
          <w:spacing w:val="-13"/>
        </w:rPr>
        <w:t> </w:t>
      </w:r>
      <w:r>
        <w:rPr/>
        <w:t>estado</w:t>
      </w:r>
      <w:r>
        <w:rPr>
          <w:spacing w:val="-13"/>
        </w:rPr>
        <w:t> </w:t>
      </w:r>
      <w:r>
        <w:rPr/>
        <w:t>estacionario, incluyendo</w:t>
      </w:r>
      <w:r>
        <w:rPr>
          <w:spacing w:val="-5"/>
        </w:rPr>
        <w:t> </w:t>
      </w:r>
      <w:r>
        <w:rPr/>
        <w:t>a</w:t>
      </w:r>
      <w:r>
        <w:rPr>
          <w:spacing w:val="-7"/>
        </w:rPr>
        <w:t> </w:t>
      </w:r>
      <w:r>
        <w:rPr/>
        <w:t>Adam</w:t>
      </w:r>
      <w:r>
        <w:rPr>
          <w:spacing w:val="-6"/>
        </w:rPr>
        <w:t> </w:t>
      </w:r>
      <w:r>
        <w:rPr/>
        <w:t>Smith,</w:t>
      </w:r>
      <w:r>
        <w:rPr>
          <w:spacing w:val="-6"/>
        </w:rPr>
        <w:t> </w:t>
      </w:r>
      <w:r>
        <w:rPr/>
        <w:t>Thomas</w:t>
      </w:r>
      <w:r>
        <w:rPr>
          <w:spacing w:val="-6"/>
        </w:rPr>
        <w:t> </w:t>
      </w:r>
      <w:r>
        <w:rPr/>
        <w:t>Malthus,</w:t>
      </w:r>
      <w:r>
        <w:rPr>
          <w:spacing w:val="-6"/>
        </w:rPr>
        <w:t> </w:t>
      </w:r>
      <w:r>
        <w:rPr/>
        <w:t>Karl</w:t>
      </w:r>
      <w:r>
        <w:rPr>
          <w:spacing w:val="-6"/>
        </w:rPr>
        <w:t> </w:t>
      </w:r>
      <w:r>
        <w:rPr/>
        <w:t>Marx</w:t>
      </w:r>
      <w:r>
        <w:rPr>
          <w:spacing w:val="-5"/>
        </w:rPr>
        <w:t> </w:t>
      </w:r>
      <w:r>
        <w:rPr/>
        <w:t>y</w:t>
      </w:r>
      <w:r>
        <w:rPr>
          <w:spacing w:val="-11"/>
        </w:rPr>
        <w:t> </w:t>
      </w:r>
      <w:r>
        <w:rPr/>
        <w:t>Jonh</w:t>
      </w:r>
      <w:r>
        <w:rPr>
          <w:spacing w:val="-6"/>
        </w:rPr>
        <w:t> </w:t>
      </w:r>
      <w:r>
        <w:rPr/>
        <w:t>Stuart</w:t>
      </w:r>
      <w:r>
        <w:rPr>
          <w:spacing w:val="-6"/>
        </w:rPr>
        <w:t> </w:t>
      </w:r>
      <w:r>
        <w:rPr/>
        <w:t>Mill.</w:t>
      </w:r>
      <w:r>
        <w:rPr>
          <w:spacing w:val="-8"/>
        </w:rPr>
        <w:t> </w:t>
      </w:r>
      <w:r>
        <w:rPr/>
        <w:t>Todos</w:t>
      </w:r>
      <w:r>
        <w:rPr>
          <w:spacing w:val="-4"/>
        </w:rPr>
        <w:t> </w:t>
      </w:r>
      <w:r>
        <w:rPr/>
        <w:t>tenían</w:t>
      </w:r>
      <w:r>
        <w:rPr>
          <w:spacing w:val="-6"/>
        </w:rPr>
        <w:t> </w:t>
      </w:r>
      <w:r>
        <w:rPr/>
        <w:t>sus ideas al respecto de éste; algunos lo igualaban con el desastre y otros lo magnificaban, (Kerschner,</w:t>
      </w:r>
      <w:r>
        <w:rPr>
          <w:spacing w:val="-4"/>
        </w:rPr>
        <w:t> </w:t>
      </w:r>
      <w:r>
        <w:rPr/>
        <w:t>2009).</w:t>
      </w:r>
    </w:p>
    <w:p>
      <w:pPr>
        <w:pStyle w:val="BodyText"/>
        <w:spacing w:before="2"/>
        <w:rPr>
          <w:sz w:val="21"/>
        </w:rPr>
      </w:pPr>
    </w:p>
    <w:p>
      <w:pPr>
        <w:pStyle w:val="BodyText"/>
        <w:spacing w:line="360" w:lineRule="auto" w:before="1"/>
        <w:ind w:left="102" w:right="117"/>
        <w:jc w:val="both"/>
      </w:pPr>
      <w:r>
        <w:rPr/>
        <w:t>Joseph Schumpeter en 1911 publicó su célebre “Teoría del Desenvolvimiento Económico”, en ella niega la existencia de un estado estacionario y considera que las innovaciones son el factor que propicia el crecimiento económico, ya que a través de ellas se produce la acumulación. Además el empresario o emprendedor, desempeña un papel esencial, pues es el agente motor de un proceso de transformaciones continuas en la organización de la producción que configuran un avance no lineal de la sociedad, es decir el emprendedor, es quien introduce las innovaciones al proceso productivo (Cristian y Fracchia, 2009).</w:t>
      </w:r>
    </w:p>
    <w:p>
      <w:pPr>
        <w:pStyle w:val="BodyText"/>
      </w:pPr>
    </w:p>
    <w:p>
      <w:pPr>
        <w:pStyle w:val="BodyText"/>
        <w:spacing w:line="360" w:lineRule="auto" w:before="143"/>
        <w:ind w:left="102" w:right="117"/>
        <w:jc w:val="both"/>
      </w:pPr>
      <w:r>
        <w:rPr/>
        <w:t>Más</w:t>
      </w:r>
      <w:r>
        <w:rPr>
          <w:spacing w:val="-8"/>
        </w:rPr>
        <w:t> </w:t>
      </w:r>
      <w:r>
        <w:rPr/>
        <w:t>tarde</w:t>
      </w:r>
      <w:r>
        <w:rPr>
          <w:spacing w:val="-10"/>
        </w:rPr>
        <w:t> </w:t>
      </w:r>
      <w:r>
        <w:rPr/>
        <w:t>Allyn</w:t>
      </w:r>
      <w:r>
        <w:rPr>
          <w:spacing w:val="-9"/>
        </w:rPr>
        <w:t> </w:t>
      </w:r>
      <w:r>
        <w:rPr/>
        <w:t>Young</w:t>
      </w:r>
      <w:r>
        <w:rPr>
          <w:spacing w:val="-7"/>
        </w:rPr>
        <w:t> </w:t>
      </w:r>
      <w:r>
        <w:rPr/>
        <w:t>en</w:t>
      </w:r>
      <w:r>
        <w:rPr>
          <w:spacing w:val="-9"/>
        </w:rPr>
        <w:t> </w:t>
      </w:r>
      <w:r>
        <w:rPr/>
        <w:t>su</w:t>
      </w:r>
      <w:r>
        <w:rPr>
          <w:spacing w:val="-8"/>
        </w:rPr>
        <w:t> </w:t>
      </w:r>
      <w:r>
        <w:rPr/>
        <w:t>publicación</w:t>
      </w:r>
      <w:r>
        <w:rPr>
          <w:spacing w:val="-6"/>
        </w:rPr>
        <w:t> </w:t>
      </w:r>
      <w:r>
        <w:rPr>
          <w:i/>
        </w:rPr>
        <w:t>Increasing</w:t>
      </w:r>
      <w:r>
        <w:rPr>
          <w:i/>
          <w:spacing w:val="-8"/>
        </w:rPr>
        <w:t> </w:t>
      </w:r>
      <w:r>
        <w:rPr>
          <w:i/>
        </w:rPr>
        <w:t>returns</w:t>
      </w:r>
      <w:r>
        <w:rPr>
          <w:i/>
          <w:spacing w:val="-8"/>
        </w:rPr>
        <w:t> </w:t>
      </w:r>
      <w:r>
        <w:rPr>
          <w:i/>
        </w:rPr>
        <w:t>and</w:t>
      </w:r>
      <w:r>
        <w:rPr>
          <w:i/>
          <w:spacing w:val="-6"/>
        </w:rPr>
        <w:t> </w:t>
      </w:r>
      <w:r>
        <w:rPr>
          <w:i/>
        </w:rPr>
        <w:t>economic</w:t>
      </w:r>
      <w:r>
        <w:rPr>
          <w:i/>
          <w:spacing w:val="-5"/>
        </w:rPr>
        <w:t> </w:t>
      </w:r>
      <w:r>
        <w:rPr>
          <w:i/>
        </w:rPr>
        <w:t>progress</w:t>
      </w:r>
      <w:r>
        <w:rPr>
          <w:i/>
          <w:spacing w:val="-7"/>
        </w:rPr>
        <w:t> </w:t>
      </w:r>
      <w:r>
        <w:rPr/>
        <w:t>(1928), menciona que los rendimientos crecientes están relacionados con la producción de todas las industrias vistas no individualmente, sino como un todo relacionado donde los rendimientos crecientes y una demanda por productos elástica provocarían un proceso de expansión progresivo y acumulativo (Citado por González,</w:t>
      </w:r>
      <w:r>
        <w:rPr>
          <w:spacing w:val="-8"/>
        </w:rPr>
        <w:t> </w:t>
      </w:r>
      <w:r>
        <w:rPr/>
        <w:t>2010).</w:t>
      </w:r>
    </w:p>
    <w:p>
      <w:pPr>
        <w:pStyle w:val="BodyText"/>
        <w:spacing w:before="4"/>
        <w:rPr>
          <w:sz w:val="21"/>
        </w:rPr>
      </w:pPr>
    </w:p>
    <w:p>
      <w:pPr>
        <w:pStyle w:val="BodyText"/>
        <w:spacing w:line="360" w:lineRule="auto" w:before="1"/>
        <w:ind w:left="102" w:right="118"/>
        <w:jc w:val="both"/>
      </w:pPr>
      <w:r>
        <w:rPr/>
        <w:t>En general se encuentra que los planteamientos expuestos durante el periodo comprendido entre 1750 y 1936, en el que se encuadran las distintas aportaciones de la teoría clásica del crecimiento, se caracterizan por mostrar un claro pesimismo respecto al futuro de los países considerados  en esos  años  como industrializados  y,  por el  contrario, un  gran optimismo</w:t>
      </w:r>
    </w:p>
    <w:p>
      <w:pPr>
        <w:spacing w:after="0" w:line="360" w:lineRule="auto"/>
        <w:jc w:val="both"/>
        <w:sectPr>
          <w:footerReference w:type="default" r:id="rId8"/>
          <w:pgSz w:w="12240" w:h="15840"/>
          <w:pgMar w:footer="1035" w:header="0" w:top="1360" w:bottom="1220" w:left="1600" w:right="1580"/>
          <w:pgNumType w:start="11"/>
        </w:sectPr>
      </w:pPr>
    </w:p>
    <w:p>
      <w:pPr>
        <w:pStyle w:val="BodyText"/>
        <w:spacing w:line="360" w:lineRule="auto" w:before="50"/>
        <w:ind w:left="102" w:right="119"/>
        <w:jc w:val="both"/>
      </w:pPr>
      <w:r>
        <w:rPr/>
        <w:t>respecto a la situación futura de las economías menos desarrolladas, siempre y cuando aprendan de los errores cometidos por los primeros y los eviten (Galindo, 2011).</w:t>
      </w:r>
    </w:p>
    <w:p>
      <w:pPr>
        <w:pStyle w:val="BodyText"/>
        <w:spacing w:before="2"/>
        <w:rPr>
          <w:sz w:val="21"/>
        </w:rPr>
      </w:pPr>
    </w:p>
    <w:p>
      <w:pPr>
        <w:pStyle w:val="BodyText"/>
        <w:spacing w:line="360" w:lineRule="auto"/>
        <w:ind w:left="102" w:right="115"/>
        <w:jc w:val="both"/>
      </w:pPr>
      <w:r>
        <w:rPr/>
        <w:t>Barro</w:t>
      </w:r>
      <w:r>
        <w:rPr>
          <w:spacing w:val="-9"/>
        </w:rPr>
        <w:t> </w:t>
      </w:r>
      <w:r>
        <w:rPr/>
        <w:t>y</w:t>
      </w:r>
      <w:r>
        <w:rPr>
          <w:spacing w:val="-18"/>
        </w:rPr>
        <w:t> </w:t>
      </w:r>
      <w:r>
        <w:rPr/>
        <w:t>Sala-i-Martin</w:t>
      </w:r>
      <w:r>
        <w:rPr>
          <w:spacing w:val="-13"/>
        </w:rPr>
        <w:t> </w:t>
      </w:r>
      <w:r>
        <w:rPr/>
        <w:t>(2009)</w:t>
      </w:r>
      <w:r>
        <w:rPr>
          <w:spacing w:val="-13"/>
        </w:rPr>
        <w:t> </w:t>
      </w:r>
      <w:r>
        <w:rPr/>
        <w:t>mencionan</w:t>
      </w:r>
      <w:r>
        <w:rPr>
          <w:spacing w:val="-12"/>
        </w:rPr>
        <w:t> </w:t>
      </w:r>
      <w:r>
        <w:rPr/>
        <w:t>que</w:t>
      </w:r>
      <w:r>
        <w:rPr>
          <w:spacing w:val="-12"/>
        </w:rPr>
        <w:t> </w:t>
      </w:r>
      <w:r>
        <w:rPr/>
        <w:t>la</w:t>
      </w:r>
      <w:r>
        <w:rPr>
          <w:spacing w:val="-14"/>
        </w:rPr>
        <w:t> </w:t>
      </w:r>
      <w:r>
        <w:rPr/>
        <w:t>teoría</w:t>
      </w:r>
      <w:r>
        <w:rPr>
          <w:spacing w:val="-15"/>
        </w:rPr>
        <w:t> </w:t>
      </w:r>
      <w:r>
        <w:rPr/>
        <w:t>moderna</w:t>
      </w:r>
      <w:r>
        <w:rPr>
          <w:spacing w:val="-14"/>
        </w:rPr>
        <w:t> </w:t>
      </w:r>
      <w:r>
        <w:rPr/>
        <w:t>del</w:t>
      </w:r>
      <w:r>
        <w:rPr>
          <w:spacing w:val="-13"/>
        </w:rPr>
        <w:t> </w:t>
      </w:r>
      <w:r>
        <w:rPr/>
        <w:t>crecimiento</w:t>
      </w:r>
      <w:r>
        <w:rPr>
          <w:spacing w:val="-13"/>
        </w:rPr>
        <w:t> </w:t>
      </w:r>
      <w:r>
        <w:rPr/>
        <w:t>comienza</w:t>
      </w:r>
      <w:r>
        <w:rPr>
          <w:spacing w:val="-14"/>
        </w:rPr>
        <w:t> </w:t>
      </w:r>
      <w:r>
        <w:rPr/>
        <w:t>con el artículo clásico de Ramsey (1928), una obra que se adelantaba a su tiempo en varias décadas. El tratamiento de Ramsey de la optimización en el tiempo del comportamiento de los hogares va más allá de su simple aplicación a la teoría del crecimiento; en la actualidad resulta</w:t>
      </w:r>
      <w:r>
        <w:rPr>
          <w:spacing w:val="-10"/>
        </w:rPr>
        <w:t> </w:t>
      </w:r>
      <w:r>
        <w:rPr/>
        <w:t>difícil</w:t>
      </w:r>
      <w:r>
        <w:rPr>
          <w:spacing w:val="-8"/>
        </w:rPr>
        <w:t> </w:t>
      </w:r>
      <w:r>
        <w:rPr/>
        <w:t>hablar</w:t>
      </w:r>
      <w:r>
        <w:rPr>
          <w:spacing w:val="-8"/>
        </w:rPr>
        <w:t> </w:t>
      </w:r>
      <w:r>
        <w:rPr/>
        <w:t>de</w:t>
      </w:r>
      <w:r>
        <w:rPr>
          <w:spacing w:val="-10"/>
        </w:rPr>
        <w:t> </w:t>
      </w:r>
      <w:r>
        <w:rPr/>
        <w:t>la</w:t>
      </w:r>
      <w:r>
        <w:rPr>
          <w:spacing w:val="-7"/>
        </w:rPr>
        <w:t> </w:t>
      </w:r>
      <w:r>
        <w:rPr/>
        <w:t>teoría</w:t>
      </w:r>
      <w:r>
        <w:rPr>
          <w:spacing w:val="-9"/>
        </w:rPr>
        <w:t> </w:t>
      </w:r>
      <w:r>
        <w:rPr/>
        <w:t>del</w:t>
      </w:r>
      <w:r>
        <w:rPr>
          <w:spacing w:val="-8"/>
        </w:rPr>
        <w:t> </w:t>
      </w:r>
      <w:r>
        <w:rPr/>
        <w:t>consumo,</w:t>
      </w:r>
      <w:r>
        <w:rPr>
          <w:spacing w:val="-9"/>
        </w:rPr>
        <w:t> </w:t>
      </w:r>
      <w:r>
        <w:rPr/>
        <w:t>de</w:t>
      </w:r>
      <w:r>
        <w:rPr>
          <w:spacing w:val="-10"/>
        </w:rPr>
        <w:t> </w:t>
      </w:r>
      <w:r>
        <w:rPr/>
        <w:t>los</w:t>
      </w:r>
      <w:r>
        <w:rPr>
          <w:spacing w:val="-8"/>
        </w:rPr>
        <w:t> </w:t>
      </w:r>
      <w:r>
        <w:rPr/>
        <w:t>precios</w:t>
      </w:r>
      <w:r>
        <w:rPr>
          <w:spacing w:val="-8"/>
        </w:rPr>
        <w:t> </w:t>
      </w:r>
      <w:r>
        <w:rPr/>
        <w:t>de</w:t>
      </w:r>
      <w:r>
        <w:rPr>
          <w:spacing w:val="-10"/>
        </w:rPr>
        <w:t> </w:t>
      </w:r>
      <w:r>
        <w:rPr/>
        <w:t>los</w:t>
      </w:r>
      <w:r>
        <w:rPr>
          <w:spacing w:val="-6"/>
        </w:rPr>
        <w:t> </w:t>
      </w:r>
      <w:r>
        <w:rPr/>
        <w:t>activos</w:t>
      </w:r>
      <w:r>
        <w:rPr>
          <w:spacing w:val="-8"/>
        </w:rPr>
        <w:t> </w:t>
      </w:r>
      <w:r>
        <w:rPr/>
        <w:t>o</w:t>
      </w:r>
      <w:r>
        <w:rPr>
          <w:spacing w:val="-6"/>
        </w:rPr>
        <w:t> </w:t>
      </w:r>
      <w:r>
        <w:rPr/>
        <w:t>incluso</w:t>
      </w:r>
      <w:r>
        <w:rPr>
          <w:spacing w:val="-9"/>
        </w:rPr>
        <w:t> </w:t>
      </w:r>
      <w:r>
        <w:rPr/>
        <w:t>del</w:t>
      </w:r>
      <w:r>
        <w:rPr>
          <w:spacing w:val="-8"/>
        </w:rPr>
        <w:t> </w:t>
      </w:r>
      <w:r>
        <w:rPr/>
        <w:t>ciclo económico sin acudir a las condiciones de optimización que Ramsey y Fisher en 1930 aportaron a la economía; sin embargo no se aceptó el enfoque de Ramsey hasta los años sesenta.</w:t>
      </w:r>
    </w:p>
    <w:p>
      <w:pPr>
        <w:pStyle w:val="BodyText"/>
        <w:spacing w:before="2"/>
        <w:rPr>
          <w:sz w:val="21"/>
        </w:rPr>
      </w:pPr>
    </w:p>
    <w:p>
      <w:pPr>
        <w:pStyle w:val="BodyText"/>
        <w:spacing w:line="360" w:lineRule="auto"/>
        <w:ind w:left="102" w:right="122"/>
        <w:jc w:val="both"/>
      </w:pPr>
      <w:r>
        <w:rPr/>
        <w:t>Posteriormente con la aparición del artículo de Roy Forbes Harrod (1934) y Evsey Domar (1946), se marcó el inicio del interés contemporáneo por las teorías modernas del pensamiento económico (Jones, 1979).</w:t>
      </w:r>
    </w:p>
    <w:p>
      <w:pPr>
        <w:pStyle w:val="BodyText"/>
        <w:spacing w:before="5"/>
        <w:rPr>
          <w:sz w:val="21"/>
        </w:rPr>
      </w:pPr>
    </w:p>
    <w:p>
      <w:pPr>
        <w:pStyle w:val="BodyText"/>
        <w:spacing w:line="360" w:lineRule="auto"/>
        <w:ind w:left="102" w:right="118"/>
        <w:jc w:val="both"/>
      </w:pPr>
      <w:r>
        <w:rPr/>
        <w:t>Galindo</w:t>
      </w:r>
      <w:r>
        <w:rPr>
          <w:spacing w:val="-13"/>
        </w:rPr>
        <w:t> </w:t>
      </w:r>
      <w:r>
        <w:rPr/>
        <w:t>(2011)</w:t>
      </w:r>
      <w:r>
        <w:rPr>
          <w:spacing w:val="-12"/>
        </w:rPr>
        <w:t> </w:t>
      </w:r>
      <w:r>
        <w:rPr/>
        <w:t>afirma</w:t>
      </w:r>
      <w:r>
        <w:rPr>
          <w:spacing w:val="-12"/>
        </w:rPr>
        <w:t> </w:t>
      </w:r>
      <w:r>
        <w:rPr/>
        <w:t>que,</w:t>
      </w:r>
      <w:r>
        <w:rPr>
          <w:spacing w:val="-13"/>
        </w:rPr>
        <w:t> </w:t>
      </w:r>
      <w:r>
        <w:rPr/>
        <w:t>en</w:t>
      </w:r>
      <w:r>
        <w:rPr>
          <w:spacing w:val="-13"/>
        </w:rPr>
        <w:t> </w:t>
      </w:r>
      <w:r>
        <w:rPr/>
        <w:t>términos</w:t>
      </w:r>
      <w:r>
        <w:rPr>
          <w:spacing w:val="-13"/>
        </w:rPr>
        <w:t> </w:t>
      </w:r>
      <w:r>
        <w:rPr/>
        <w:t>generales,</w:t>
      </w:r>
      <w:r>
        <w:rPr>
          <w:spacing w:val="-11"/>
        </w:rPr>
        <w:t> </w:t>
      </w:r>
      <w:r>
        <w:rPr/>
        <w:t>las</w:t>
      </w:r>
      <w:r>
        <w:rPr>
          <w:spacing w:val="-14"/>
        </w:rPr>
        <w:t> </w:t>
      </w:r>
      <w:r>
        <w:rPr/>
        <w:t>aportaciones</w:t>
      </w:r>
      <w:r>
        <w:rPr>
          <w:spacing w:val="-14"/>
        </w:rPr>
        <w:t> </w:t>
      </w:r>
      <w:r>
        <w:rPr/>
        <w:t>que</w:t>
      </w:r>
      <w:r>
        <w:rPr>
          <w:spacing w:val="-12"/>
        </w:rPr>
        <w:t> </w:t>
      </w:r>
      <w:r>
        <w:rPr/>
        <w:t>se</w:t>
      </w:r>
      <w:r>
        <w:rPr>
          <w:spacing w:val="-14"/>
        </w:rPr>
        <w:t> </w:t>
      </w:r>
      <w:r>
        <w:rPr/>
        <w:t>incluyen</w:t>
      </w:r>
      <w:r>
        <w:rPr>
          <w:spacing w:val="-13"/>
        </w:rPr>
        <w:t> </w:t>
      </w:r>
      <w:r>
        <w:rPr/>
        <w:t>a</w:t>
      </w:r>
      <w:r>
        <w:rPr>
          <w:spacing w:val="-12"/>
        </w:rPr>
        <w:t> </w:t>
      </w:r>
      <w:r>
        <w:rPr/>
        <w:t>la</w:t>
      </w:r>
      <w:r>
        <w:rPr>
          <w:spacing w:val="-14"/>
        </w:rPr>
        <w:t> </w:t>
      </w:r>
      <w:r>
        <w:rPr/>
        <w:t>teoría moderna del crecimiento se caracterizan por mostrar un mayor grado de formalización y de análisis empírico que las teorías clásicas, debido fundamentalmente, tanto a los avances realizados en el ámbito econométrico, como a la importante mejora de la información estadística, que han permitido considerar un mayor número de países, y también incorporar un número más elevado de variables, no sólo cuantitativas sino también cualitativas. Puede destacarse que estos modelos nacen del objetivo común de dinamizar el análisis económico de</w:t>
      </w:r>
      <w:r>
        <w:rPr>
          <w:spacing w:val="-5"/>
        </w:rPr>
        <w:t> </w:t>
      </w:r>
      <w:r>
        <w:rPr/>
        <w:t>Keynes.</w:t>
      </w:r>
    </w:p>
    <w:p>
      <w:pPr>
        <w:pStyle w:val="BodyText"/>
        <w:spacing w:before="4"/>
        <w:rPr>
          <w:sz w:val="21"/>
        </w:rPr>
      </w:pPr>
    </w:p>
    <w:p>
      <w:pPr>
        <w:pStyle w:val="BodyText"/>
        <w:spacing w:line="360" w:lineRule="auto" w:before="1"/>
        <w:ind w:left="102" w:right="119"/>
        <w:jc w:val="both"/>
      </w:pPr>
      <w:r>
        <w:rPr/>
        <w:t>Harrod (1939) y Domar (1946) fueron los primeros que trataron de integrar el análisis keynesiano en la teoría del crecimiento económico. Mencionan que el crecimiento económico</w:t>
      </w:r>
      <w:r>
        <w:rPr>
          <w:spacing w:val="-16"/>
        </w:rPr>
        <w:t> </w:t>
      </w:r>
      <w:r>
        <w:rPr/>
        <w:t>depende</w:t>
      </w:r>
      <w:r>
        <w:rPr>
          <w:spacing w:val="-17"/>
        </w:rPr>
        <w:t> </w:t>
      </w:r>
      <w:r>
        <w:rPr/>
        <w:t>de</w:t>
      </w:r>
      <w:r>
        <w:rPr>
          <w:spacing w:val="-17"/>
        </w:rPr>
        <w:t> </w:t>
      </w:r>
      <w:r>
        <w:rPr/>
        <w:t>la</w:t>
      </w:r>
      <w:r>
        <w:rPr>
          <w:spacing w:val="-14"/>
        </w:rPr>
        <w:t> </w:t>
      </w:r>
      <w:r>
        <w:rPr/>
        <w:t>cantidad</w:t>
      </w:r>
      <w:r>
        <w:rPr>
          <w:spacing w:val="-16"/>
        </w:rPr>
        <w:t> </w:t>
      </w:r>
      <w:r>
        <w:rPr/>
        <w:t>de</w:t>
      </w:r>
      <w:r>
        <w:rPr>
          <w:spacing w:val="-17"/>
        </w:rPr>
        <w:t> </w:t>
      </w:r>
      <w:r>
        <w:rPr/>
        <w:t>trabajo</w:t>
      </w:r>
      <w:r>
        <w:rPr>
          <w:spacing w:val="-11"/>
        </w:rPr>
        <w:t> </w:t>
      </w:r>
      <w:r>
        <w:rPr/>
        <w:t>y</w:t>
      </w:r>
      <w:r>
        <w:rPr>
          <w:spacing w:val="-21"/>
        </w:rPr>
        <w:t> </w:t>
      </w:r>
      <w:r>
        <w:rPr/>
        <w:t>capital</w:t>
      </w:r>
      <w:r>
        <w:rPr>
          <w:spacing w:val="-16"/>
        </w:rPr>
        <w:t> </w:t>
      </w:r>
      <w:r>
        <w:rPr/>
        <w:t>que</w:t>
      </w:r>
      <w:r>
        <w:rPr>
          <w:spacing w:val="-17"/>
        </w:rPr>
        <w:t> </w:t>
      </w:r>
      <w:r>
        <w:rPr/>
        <w:t>existe</w:t>
      </w:r>
      <w:r>
        <w:rPr>
          <w:spacing w:val="-17"/>
        </w:rPr>
        <w:t> </w:t>
      </w:r>
      <w:r>
        <w:rPr/>
        <w:t>previamente</w:t>
      </w:r>
      <w:r>
        <w:rPr>
          <w:spacing w:val="-17"/>
        </w:rPr>
        <w:t> </w:t>
      </w:r>
      <w:r>
        <w:rPr/>
        <w:t>en</w:t>
      </w:r>
      <w:r>
        <w:rPr>
          <w:spacing w:val="-16"/>
        </w:rPr>
        <w:t> </w:t>
      </w:r>
      <w:r>
        <w:rPr/>
        <w:t>la</w:t>
      </w:r>
      <w:r>
        <w:rPr>
          <w:spacing w:val="-16"/>
        </w:rPr>
        <w:t> </w:t>
      </w:r>
      <w:r>
        <w:rPr/>
        <w:t>economía, además de que una mayor inversión conlleva a una mayor acumulación de capital, la cual genera crecimiento (González,</w:t>
      </w:r>
      <w:r>
        <w:rPr>
          <w:spacing w:val="-6"/>
        </w:rPr>
        <w:t> </w:t>
      </w:r>
      <w:r>
        <w:rPr/>
        <w:t>2010).</w:t>
      </w:r>
    </w:p>
    <w:p>
      <w:pPr>
        <w:pStyle w:val="BodyText"/>
        <w:spacing w:before="2"/>
        <w:rPr>
          <w:sz w:val="21"/>
        </w:rPr>
      </w:pPr>
    </w:p>
    <w:p>
      <w:pPr>
        <w:pStyle w:val="BodyText"/>
        <w:spacing w:line="360" w:lineRule="auto" w:before="1"/>
        <w:ind w:left="102" w:right="122"/>
        <w:jc w:val="both"/>
      </w:pPr>
      <w:r>
        <w:rPr/>
        <w:t>Harrod</w:t>
      </w:r>
      <w:r>
        <w:rPr>
          <w:spacing w:val="-4"/>
        </w:rPr>
        <w:t> </w:t>
      </w:r>
      <w:r>
        <w:rPr/>
        <w:t>y</w:t>
      </w:r>
      <w:r>
        <w:rPr>
          <w:spacing w:val="-16"/>
        </w:rPr>
        <w:t> </w:t>
      </w:r>
      <w:r>
        <w:rPr/>
        <w:t>Domar</w:t>
      </w:r>
      <w:r>
        <w:rPr>
          <w:spacing w:val="-12"/>
        </w:rPr>
        <w:t> </w:t>
      </w:r>
      <w:r>
        <w:rPr/>
        <w:t>utilizaron</w:t>
      </w:r>
      <w:r>
        <w:rPr>
          <w:spacing w:val="-12"/>
        </w:rPr>
        <w:t> </w:t>
      </w:r>
      <w:r>
        <w:rPr/>
        <w:t>funciones</w:t>
      </w:r>
      <w:r>
        <w:rPr>
          <w:spacing w:val="-9"/>
        </w:rPr>
        <w:t> </w:t>
      </w:r>
      <w:r>
        <w:rPr/>
        <w:t>de</w:t>
      </w:r>
      <w:r>
        <w:rPr>
          <w:spacing w:val="-12"/>
        </w:rPr>
        <w:t> </w:t>
      </w:r>
      <w:r>
        <w:rPr/>
        <w:t>producción</w:t>
      </w:r>
      <w:r>
        <w:rPr>
          <w:spacing w:val="-11"/>
        </w:rPr>
        <w:t> </w:t>
      </w:r>
      <w:r>
        <w:rPr/>
        <w:t>con</w:t>
      </w:r>
      <w:r>
        <w:rPr>
          <w:spacing w:val="-9"/>
        </w:rPr>
        <w:t> </w:t>
      </w:r>
      <w:r>
        <w:rPr/>
        <w:t>escaso</w:t>
      </w:r>
      <w:r>
        <w:rPr>
          <w:spacing w:val="-9"/>
        </w:rPr>
        <w:t> </w:t>
      </w:r>
      <w:r>
        <w:rPr/>
        <w:t>grado</w:t>
      </w:r>
      <w:r>
        <w:rPr>
          <w:spacing w:val="-9"/>
        </w:rPr>
        <w:t> </w:t>
      </w:r>
      <w:r>
        <w:rPr/>
        <w:t>de</w:t>
      </w:r>
      <w:r>
        <w:rPr>
          <w:spacing w:val="-12"/>
        </w:rPr>
        <w:t> </w:t>
      </w:r>
      <w:r>
        <w:rPr/>
        <w:t>sustitución</w:t>
      </w:r>
      <w:r>
        <w:rPr>
          <w:spacing w:val="-11"/>
        </w:rPr>
        <w:t> </w:t>
      </w:r>
      <w:r>
        <w:rPr/>
        <w:t>entre</w:t>
      </w:r>
      <w:r>
        <w:rPr>
          <w:spacing w:val="-12"/>
        </w:rPr>
        <w:t> </w:t>
      </w:r>
      <w:r>
        <w:rPr/>
        <w:t>los factores para argumentar que el sistema capitalista era fundamentalmente inestable y  </w:t>
      </w:r>
      <w:r>
        <w:rPr>
          <w:spacing w:val="45"/>
        </w:rPr>
        <w:t> </w:t>
      </w:r>
      <w:r>
        <w:rPr/>
        <w:t>dado</w:t>
      </w:r>
    </w:p>
    <w:p>
      <w:pPr>
        <w:spacing w:after="0" w:line="360" w:lineRule="auto"/>
        <w:jc w:val="both"/>
        <w:sectPr>
          <w:pgSz w:w="12240" w:h="15840"/>
          <w:pgMar w:header="0" w:footer="1035" w:top="1360" w:bottom="1220" w:left="1600" w:right="1580"/>
        </w:sectPr>
      </w:pPr>
    </w:p>
    <w:p>
      <w:pPr>
        <w:pStyle w:val="BodyText"/>
        <w:spacing w:line="360" w:lineRule="auto" w:before="50"/>
        <w:ind w:left="102" w:right="118"/>
        <w:jc w:val="both"/>
      </w:pPr>
      <w:r>
        <w:rPr/>
        <w:t>que publicaron inmediatamente después de la Gran Depresión, sus puntos de vista fueron aceptados por muchos economistas. A pesar de que estas aportaciones desencadenaron una gran actividad investigadora en su día, es muy poco lo que el pensamiento actual conserva de este análisis (Barro y Sala-i-Martin, 2009).</w:t>
      </w:r>
    </w:p>
    <w:p>
      <w:pPr>
        <w:pStyle w:val="BodyText"/>
        <w:spacing w:before="2"/>
        <w:rPr>
          <w:sz w:val="21"/>
        </w:rPr>
      </w:pPr>
    </w:p>
    <w:p>
      <w:pPr>
        <w:pStyle w:val="BodyText"/>
        <w:spacing w:line="360" w:lineRule="auto"/>
        <w:ind w:left="102" w:right="118"/>
        <w:jc w:val="both"/>
      </w:pPr>
      <w:r>
        <w:rPr/>
        <w:t>Posteriormente,</w:t>
      </w:r>
      <w:r>
        <w:rPr>
          <w:spacing w:val="-11"/>
        </w:rPr>
        <w:t> </w:t>
      </w:r>
      <w:r>
        <w:rPr/>
        <w:t>las</w:t>
      </w:r>
      <w:r>
        <w:rPr>
          <w:spacing w:val="-9"/>
        </w:rPr>
        <w:t> </w:t>
      </w:r>
      <w:r>
        <w:rPr/>
        <w:t>aportaciones</w:t>
      </w:r>
      <w:r>
        <w:rPr>
          <w:spacing w:val="-11"/>
        </w:rPr>
        <w:t> </w:t>
      </w:r>
      <w:r>
        <w:rPr/>
        <w:t>que</w:t>
      </w:r>
      <w:r>
        <w:rPr>
          <w:spacing w:val="-12"/>
        </w:rPr>
        <w:t> </w:t>
      </w:r>
      <w:r>
        <w:rPr/>
        <w:t>se</w:t>
      </w:r>
      <w:r>
        <w:rPr>
          <w:spacing w:val="-10"/>
        </w:rPr>
        <w:t> </w:t>
      </w:r>
      <w:r>
        <w:rPr/>
        <w:t>hicieron</w:t>
      </w:r>
      <w:r>
        <w:rPr>
          <w:spacing w:val="-10"/>
        </w:rPr>
        <w:t> </w:t>
      </w:r>
      <w:r>
        <w:rPr/>
        <w:t>a</w:t>
      </w:r>
      <w:r>
        <w:rPr>
          <w:spacing w:val="-10"/>
        </w:rPr>
        <w:t> </w:t>
      </w:r>
      <w:r>
        <w:rPr/>
        <w:t>la</w:t>
      </w:r>
      <w:r>
        <w:rPr>
          <w:spacing w:val="-12"/>
        </w:rPr>
        <w:t> </w:t>
      </w:r>
      <w:r>
        <w:rPr/>
        <w:t>teoría</w:t>
      </w:r>
      <w:r>
        <w:rPr>
          <w:spacing w:val="-9"/>
        </w:rPr>
        <w:t> </w:t>
      </w:r>
      <w:r>
        <w:rPr/>
        <w:t>del</w:t>
      </w:r>
      <w:r>
        <w:rPr>
          <w:spacing w:val="-11"/>
        </w:rPr>
        <w:t> </w:t>
      </w:r>
      <w:r>
        <w:rPr/>
        <w:t>crecimiento</w:t>
      </w:r>
      <w:r>
        <w:rPr>
          <w:spacing w:val="-11"/>
        </w:rPr>
        <w:t> </w:t>
      </w:r>
      <w:r>
        <w:rPr/>
        <w:t>económico,</w:t>
      </w:r>
      <w:r>
        <w:rPr>
          <w:spacing w:val="-11"/>
        </w:rPr>
        <w:t> </w:t>
      </w:r>
      <w:r>
        <w:rPr/>
        <w:t>como las</w:t>
      </w:r>
      <w:r>
        <w:rPr>
          <w:spacing w:val="-16"/>
        </w:rPr>
        <w:t> </w:t>
      </w:r>
      <w:r>
        <w:rPr/>
        <w:t>de</w:t>
      </w:r>
      <w:r>
        <w:rPr>
          <w:spacing w:val="-17"/>
        </w:rPr>
        <w:t> </w:t>
      </w:r>
      <w:r>
        <w:rPr/>
        <w:t>Solow-Swan</w:t>
      </w:r>
      <w:r>
        <w:rPr>
          <w:spacing w:val="-11"/>
        </w:rPr>
        <w:t> </w:t>
      </w:r>
      <w:r>
        <w:rPr/>
        <w:t>y</w:t>
      </w:r>
      <w:r>
        <w:rPr>
          <w:spacing w:val="-21"/>
        </w:rPr>
        <w:t> </w:t>
      </w:r>
      <w:r>
        <w:rPr/>
        <w:t>las</w:t>
      </w:r>
      <w:r>
        <w:rPr>
          <w:spacing w:val="-16"/>
        </w:rPr>
        <w:t> </w:t>
      </w:r>
      <w:r>
        <w:rPr/>
        <w:t>poskeynesianas,</w:t>
      </w:r>
      <w:r>
        <w:rPr>
          <w:spacing w:val="-16"/>
        </w:rPr>
        <w:t> </w:t>
      </w:r>
      <w:r>
        <w:rPr/>
        <w:t>se</w:t>
      </w:r>
      <w:r>
        <w:rPr>
          <w:spacing w:val="-14"/>
        </w:rPr>
        <w:t> </w:t>
      </w:r>
      <w:r>
        <w:rPr/>
        <w:t>enfocaron</w:t>
      </w:r>
      <w:r>
        <w:rPr>
          <w:spacing w:val="-16"/>
        </w:rPr>
        <w:t> </w:t>
      </w:r>
      <w:r>
        <w:rPr/>
        <w:t>a</w:t>
      </w:r>
      <w:r>
        <w:rPr>
          <w:spacing w:val="-17"/>
        </w:rPr>
        <w:t> </w:t>
      </w:r>
      <w:r>
        <w:rPr/>
        <w:t>resolver</w:t>
      </w:r>
      <w:r>
        <w:rPr>
          <w:spacing w:val="-17"/>
        </w:rPr>
        <w:t> </w:t>
      </w:r>
      <w:r>
        <w:rPr/>
        <w:t>los</w:t>
      </w:r>
      <w:r>
        <w:rPr>
          <w:spacing w:val="-15"/>
        </w:rPr>
        <w:t> </w:t>
      </w:r>
      <w:r>
        <w:rPr/>
        <w:t>problemas</w:t>
      </w:r>
      <w:r>
        <w:rPr>
          <w:spacing w:val="-16"/>
        </w:rPr>
        <w:t> </w:t>
      </w:r>
      <w:r>
        <w:rPr/>
        <w:t>de</w:t>
      </w:r>
      <w:r>
        <w:rPr>
          <w:spacing w:val="-17"/>
        </w:rPr>
        <w:t> </w:t>
      </w:r>
      <w:r>
        <w:rPr/>
        <w:t>estabilidad del modelo de Harrod y</w:t>
      </w:r>
      <w:r>
        <w:rPr>
          <w:spacing w:val="-5"/>
        </w:rPr>
        <w:t> </w:t>
      </w:r>
      <w:r>
        <w:rPr/>
        <w:t>Domar.</w:t>
      </w:r>
    </w:p>
    <w:p>
      <w:pPr>
        <w:pStyle w:val="BodyText"/>
        <w:spacing w:before="4"/>
        <w:rPr>
          <w:sz w:val="21"/>
        </w:rPr>
      </w:pPr>
    </w:p>
    <w:p>
      <w:pPr>
        <w:pStyle w:val="BodyText"/>
        <w:spacing w:line="360" w:lineRule="auto" w:before="1"/>
        <w:ind w:left="102" w:right="119"/>
        <w:jc w:val="both"/>
      </w:pPr>
      <w:r>
        <w:rPr/>
        <w:t>A</w:t>
      </w:r>
      <w:r>
        <w:rPr>
          <w:spacing w:val="-12"/>
        </w:rPr>
        <w:t> </w:t>
      </w:r>
      <w:r>
        <w:rPr/>
        <w:t>partir</w:t>
      </w:r>
      <w:r>
        <w:rPr>
          <w:spacing w:val="-11"/>
        </w:rPr>
        <w:t> </w:t>
      </w:r>
      <w:r>
        <w:rPr/>
        <w:t>de</w:t>
      </w:r>
      <w:r>
        <w:rPr>
          <w:spacing w:val="38"/>
        </w:rPr>
        <w:t> </w:t>
      </w:r>
      <w:r>
        <w:rPr/>
        <w:t>las</w:t>
      </w:r>
      <w:r>
        <w:rPr>
          <w:spacing w:val="-11"/>
        </w:rPr>
        <w:t> </w:t>
      </w:r>
      <w:r>
        <w:rPr/>
        <w:t>aportaciones</w:t>
      </w:r>
      <w:r>
        <w:rPr>
          <w:spacing w:val="-11"/>
        </w:rPr>
        <w:t> </w:t>
      </w:r>
      <w:r>
        <w:rPr/>
        <w:t>de</w:t>
      </w:r>
      <w:r>
        <w:rPr>
          <w:spacing w:val="-12"/>
        </w:rPr>
        <w:t> </w:t>
      </w:r>
      <w:r>
        <w:rPr/>
        <w:t>Solow</w:t>
      </w:r>
      <w:r>
        <w:rPr>
          <w:spacing w:val="-9"/>
        </w:rPr>
        <w:t> </w:t>
      </w:r>
      <w:r>
        <w:rPr/>
        <w:t>(1956)</w:t>
      </w:r>
      <w:r>
        <w:rPr>
          <w:spacing w:val="-7"/>
        </w:rPr>
        <w:t> </w:t>
      </w:r>
      <w:r>
        <w:rPr/>
        <w:t>y</w:t>
      </w:r>
      <w:r>
        <w:rPr>
          <w:spacing w:val="-16"/>
        </w:rPr>
        <w:t> </w:t>
      </w:r>
      <w:r>
        <w:rPr/>
        <w:t>Swan</w:t>
      </w:r>
      <w:r>
        <w:rPr>
          <w:spacing w:val="-11"/>
        </w:rPr>
        <w:t> </w:t>
      </w:r>
      <w:r>
        <w:rPr/>
        <w:t>(1956),</w:t>
      </w:r>
      <w:r>
        <w:rPr>
          <w:spacing w:val="-10"/>
        </w:rPr>
        <w:t> </w:t>
      </w:r>
      <w:r>
        <w:rPr/>
        <w:t>surgen</w:t>
      </w:r>
      <w:r>
        <w:rPr>
          <w:spacing w:val="-9"/>
        </w:rPr>
        <w:t> </w:t>
      </w:r>
      <w:r>
        <w:rPr/>
        <w:t>los</w:t>
      </w:r>
      <w:r>
        <w:rPr>
          <w:spacing w:val="-10"/>
        </w:rPr>
        <w:t> </w:t>
      </w:r>
      <w:r>
        <w:rPr/>
        <w:t>modelos</w:t>
      </w:r>
      <w:r>
        <w:rPr>
          <w:spacing w:val="-11"/>
        </w:rPr>
        <w:t> </w:t>
      </w:r>
      <w:r>
        <w:rPr/>
        <w:t>neoclásicos de</w:t>
      </w:r>
      <w:r>
        <w:rPr>
          <w:spacing w:val="-12"/>
        </w:rPr>
        <w:t> </w:t>
      </w:r>
      <w:r>
        <w:rPr/>
        <w:t>crecimiento</w:t>
      </w:r>
      <w:r>
        <w:rPr>
          <w:spacing w:val="-11"/>
        </w:rPr>
        <w:t> </w:t>
      </w:r>
      <w:r>
        <w:rPr/>
        <w:t>exógeno,</w:t>
      </w:r>
      <w:r>
        <w:rPr>
          <w:spacing w:val="-9"/>
        </w:rPr>
        <w:t> </w:t>
      </w:r>
      <w:r>
        <w:rPr/>
        <w:t>en</w:t>
      </w:r>
      <w:r>
        <w:rPr>
          <w:spacing w:val="-11"/>
        </w:rPr>
        <w:t> </w:t>
      </w:r>
      <w:r>
        <w:rPr/>
        <w:t>los</w:t>
      </w:r>
      <w:r>
        <w:rPr>
          <w:spacing w:val="-10"/>
        </w:rPr>
        <w:t> </w:t>
      </w:r>
      <w:r>
        <w:rPr/>
        <w:t>que</w:t>
      </w:r>
      <w:r>
        <w:rPr>
          <w:spacing w:val="-12"/>
        </w:rPr>
        <w:t> </w:t>
      </w:r>
      <w:r>
        <w:rPr/>
        <w:t>se</w:t>
      </w:r>
      <w:r>
        <w:rPr>
          <w:spacing w:val="-10"/>
        </w:rPr>
        <w:t> </w:t>
      </w:r>
      <w:r>
        <w:rPr/>
        <w:t>introduce</w:t>
      </w:r>
      <w:r>
        <w:rPr>
          <w:spacing w:val="-12"/>
        </w:rPr>
        <w:t> </w:t>
      </w:r>
      <w:r>
        <w:rPr/>
        <w:t>una</w:t>
      </w:r>
      <w:r>
        <w:rPr>
          <w:spacing w:val="-12"/>
        </w:rPr>
        <w:t> </w:t>
      </w:r>
      <w:r>
        <w:rPr/>
        <w:t>función</w:t>
      </w:r>
      <w:r>
        <w:rPr>
          <w:spacing w:val="-11"/>
        </w:rPr>
        <w:t> </w:t>
      </w:r>
      <w:r>
        <w:rPr/>
        <w:t>de</w:t>
      </w:r>
      <w:r>
        <w:rPr>
          <w:spacing w:val="-12"/>
        </w:rPr>
        <w:t> </w:t>
      </w:r>
      <w:r>
        <w:rPr/>
        <w:t>producción</w:t>
      </w:r>
      <w:r>
        <w:rPr>
          <w:spacing w:val="-11"/>
        </w:rPr>
        <w:t> </w:t>
      </w:r>
      <w:r>
        <w:rPr/>
        <w:t>con</w:t>
      </w:r>
      <w:r>
        <w:rPr>
          <w:spacing w:val="-11"/>
        </w:rPr>
        <w:t> </w:t>
      </w:r>
      <w:r>
        <w:rPr/>
        <w:t>rendimientos constantes</w:t>
      </w:r>
      <w:r>
        <w:rPr>
          <w:spacing w:val="-14"/>
        </w:rPr>
        <w:t> </w:t>
      </w:r>
      <w:r>
        <w:rPr/>
        <w:t>a</w:t>
      </w:r>
      <w:r>
        <w:rPr>
          <w:spacing w:val="-14"/>
        </w:rPr>
        <w:t> </w:t>
      </w:r>
      <w:r>
        <w:rPr/>
        <w:t>escala</w:t>
      </w:r>
      <w:r>
        <w:rPr>
          <w:spacing w:val="-13"/>
        </w:rPr>
        <w:t> </w:t>
      </w:r>
      <w:r>
        <w:rPr/>
        <w:t>y</w:t>
      </w:r>
      <w:r>
        <w:rPr>
          <w:spacing w:val="-18"/>
        </w:rPr>
        <w:t> </w:t>
      </w:r>
      <w:r>
        <w:rPr/>
        <w:t>decrecientes</w:t>
      </w:r>
      <w:r>
        <w:rPr>
          <w:spacing w:val="-13"/>
        </w:rPr>
        <w:t> </w:t>
      </w:r>
      <w:r>
        <w:rPr/>
        <w:t>para</w:t>
      </w:r>
      <w:r>
        <w:rPr>
          <w:spacing w:val="-14"/>
        </w:rPr>
        <w:t> </w:t>
      </w:r>
      <w:r>
        <w:rPr/>
        <w:t>cada</w:t>
      </w:r>
      <w:r>
        <w:rPr>
          <w:spacing w:val="-14"/>
        </w:rPr>
        <w:t> </w:t>
      </w:r>
      <w:r>
        <w:rPr/>
        <w:t>uno</w:t>
      </w:r>
      <w:r>
        <w:rPr>
          <w:spacing w:val="-13"/>
        </w:rPr>
        <w:t> </w:t>
      </w:r>
      <w:r>
        <w:rPr/>
        <w:t>de</w:t>
      </w:r>
      <w:r>
        <w:rPr>
          <w:spacing w:val="-14"/>
        </w:rPr>
        <w:t> </w:t>
      </w:r>
      <w:r>
        <w:rPr/>
        <w:t>los</w:t>
      </w:r>
      <w:r>
        <w:rPr>
          <w:spacing w:val="-13"/>
        </w:rPr>
        <w:t> </w:t>
      </w:r>
      <w:r>
        <w:rPr/>
        <w:t>factores</w:t>
      </w:r>
      <w:r>
        <w:rPr>
          <w:spacing w:val="-13"/>
        </w:rPr>
        <w:t> </w:t>
      </w:r>
      <w:r>
        <w:rPr/>
        <w:t>productivos,</w:t>
      </w:r>
      <w:r>
        <w:rPr>
          <w:spacing w:val="-13"/>
        </w:rPr>
        <w:t> </w:t>
      </w:r>
      <w:r>
        <w:rPr/>
        <w:t>junto</w:t>
      </w:r>
      <w:r>
        <w:rPr>
          <w:spacing w:val="-13"/>
        </w:rPr>
        <w:t> </w:t>
      </w:r>
      <w:r>
        <w:rPr/>
        <w:t>al</w:t>
      </w:r>
      <w:r>
        <w:rPr>
          <w:spacing w:val="-13"/>
        </w:rPr>
        <w:t> </w:t>
      </w:r>
      <w:r>
        <w:rPr/>
        <w:t>supuesto de mercados perfectamente competitivos, lo cual conduce a la economía a una situación de equilibrio sostenido a largo plazo con pleno empleo (Citado por Galindo,</w:t>
      </w:r>
      <w:r>
        <w:rPr>
          <w:spacing w:val="-9"/>
        </w:rPr>
        <w:t> </w:t>
      </w:r>
      <w:r>
        <w:rPr/>
        <w:t>2011).</w:t>
      </w:r>
    </w:p>
    <w:p>
      <w:pPr>
        <w:pStyle w:val="BodyText"/>
        <w:spacing w:before="2"/>
        <w:rPr>
          <w:sz w:val="21"/>
        </w:rPr>
      </w:pPr>
    </w:p>
    <w:p>
      <w:pPr>
        <w:pStyle w:val="BodyText"/>
        <w:spacing w:line="360" w:lineRule="auto" w:before="1"/>
        <w:ind w:left="102" w:right="117"/>
        <w:jc w:val="both"/>
      </w:pPr>
      <w:r>
        <w:rPr/>
        <w:t>Una</w:t>
      </w:r>
      <w:r>
        <w:rPr>
          <w:spacing w:val="-10"/>
        </w:rPr>
        <w:t> </w:t>
      </w:r>
      <w:r>
        <w:rPr/>
        <w:t>predicción</w:t>
      </w:r>
      <w:r>
        <w:rPr>
          <w:spacing w:val="-8"/>
        </w:rPr>
        <w:t> </w:t>
      </w:r>
      <w:r>
        <w:rPr/>
        <w:t>de</w:t>
      </w:r>
      <w:r>
        <w:rPr>
          <w:spacing w:val="-10"/>
        </w:rPr>
        <w:t> </w:t>
      </w:r>
      <w:r>
        <w:rPr/>
        <w:t>estos</w:t>
      </w:r>
      <w:r>
        <w:rPr>
          <w:spacing w:val="-6"/>
        </w:rPr>
        <w:t> </w:t>
      </w:r>
      <w:r>
        <w:rPr/>
        <w:t>modelos</w:t>
      </w:r>
      <w:r>
        <w:rPr>
          <w:spacing w:val="-6"/>
        </w:rPr>
        <w:t> </w:t>
      </w:r>
      <w:r>
        <w:rPr/>
        <w:t>y</w:t>
      </w:r>
      <w:r>
        <w:rPr>
          <w:spacing w:val="-13"/>
        </w:rPr>
        <w:t> </w:t>
      </w:r>
      <w:r>
        <w:rPr/>
        <w:t>que</w:t>
      </w:r>
      <w:r>
        <w:rPr>
          <w:spacing w:val="-10"/>
        </w:rPr>
        <w:t> </w:t>
      </w:r>
      <w:r>
        <w:rPr/>
        <w:t>sólo</w:t>
      </w:r>
      <w:r>
        <w:rPr>
          <w:spacing w:val="-8"/>
        </w:rPr>
        <w:t> </w:t>
      </w:r>
      <w:r>
        <w:rPr/>
        <w:t>en</w:t>
      </w:r>
      <w:r>
        <w:rPr>
          <w:spacing w:val="-7"/>
        </w:rPr>
        <w:t> </w:t>
      </w:r>
      <w:r>
        <w:rPr/>
        <w:t>los</w:t>
      </w:r>
      <w:r>
        <w:rPr>
          <w:spacing w:val="-8"/>
        </w:rPr>
        <w:t> </w:t>
      </w:r>
      <w:r>
        <w:rPr/>
        <w:t>últimos</w:t>
      </w:r>
      <w:r>
        <w:rPr>
          <w:spacing w:val="-8"/>
        </w:rPr>
        <w:t> </w:t>
      </w:r>
      <w:r>
        <w:rPr/>
        <w:t>años</w:t>
      </w:r>
      <w:r>
        <w:rPr>
          <w:spacing w:val="-8"/>
        </w:rPr>
        <w:t> </w:t>
      </w:r>
      <w:r>
        <w:rPr/>
        <w:t>ha</w:t>
      </w:r>
      <w:r>
        <w:rPr>
          <w:spacing w:val="-10"/>
        </w:rPr>
        <w:t> </w:t>
      </w:r>
      <w:r>
        <w:rPr/>
        <w:t>sido</w:t>
      </w:r>
      <w:r>
        <w:rPr>
          <w:spacing w:val="-8"/>
        </w:rPr>
        <w:t> </w:t>
      </w:r>
      <w:r>
        <w:rPr/>
        <w:t>analizada</w:t>
      </w:r>
      <w:r>
        <w:rPr>
          <w:spacing w:val="-10"/>
        </w:rPr>
        <w:t> </w:t>
      </w:r>
      <w:r>
        <w:rPr/>
        <w:t>seriamente como hipótesis empírica, es la convergencia condicional. Cuanto menor sea el nivel inicial de</w:t>
      </w:r>
      <w:r>
        <w:rPr>
          <w:spacing w:val="-7"/>
        </w:rPr>
        <w:t> </w:t>
      </w:r>
      <w:r>
        <w:rPr/>
        <w:t>PIB</w:t>
      </w:r>
      <w:r>
        <w:rPr>
          <w:spacing w:val="-3"/>
        </w:rPr>
        <w:t> </w:t>
      </w:r>
      <w:r>
        <w:rPr/>
        <w:t>per</w:t>
      </w:r>
      <w:r>
        <w:rPr>
          <w:spacing w:val="-6"/>
        </w:rPr>
        <w:t> </w:t>
      </w:r>
      <w:r>
        <w:rPr/>
        <w:t>cápita</w:t>
      </w:r>
      <w:r>
        <w:rPr>
          <w:spacing w:val="-6"/>
        </w:rPr>
        <w:t> </w:t>
      </w:r>
      <w:r>
        <w:rPr/>
        <w:t>en</w:t>
      </w:r>
      <w:r>
        <w:rPr>
          <w:spacing w:val="-4"/>
        </w:rPr>
        <w:t> </w:t>
      </w:r>
      <w:r>
        <w:rPr/>
        <w:t>relación</w:t>
      </w:r>
      <w:r>
        <w:rPr>
          <w:spacing w:val="-6"/>
        </w:rPr>
        <w:t> </w:t>
      </w:r>
      <w:r>
        <w:rPr/>
        <w:t>a</w:t>
      </w:r>
      <w:r>
        <w:rPr>
          <w:spacing w:val="-7"/>
        </w:rPr>
        <w:t> </w:t>
      </w:r>
      <w:r>
        <w:rPr/>
        <w:t>la</w:t>
      </w:r>
      <w:r>
        <w:rPr>
          <w:spacing w:val="-5"/>
        </w:rPr>
        <w:t> </w:t>
      </w:r>
      <w:r>
        <w:rPr/>
        <w:t>posición</w:t>
      </w:r>
      <w:r>
        <w:rPr>
          <w:spacing w:val="-6"/>
        </w:rPr>
        <w:t> </w:t>
      </w:r>
      <w:r>
        <w:rPr/>
        <w:t>a</w:t>
      </w:r>
      <w:r>
        <w:rPr>
          <w:spacing w:val="-5"/>
        </w:rPr>
        <w:t> </w:t>
      </w:r>
      <w:r>
        <w:rPr/>
        <w:t>largo</w:t>
      </w:r>
      <w:r>
        <w:rPr>
          <w:spacing w:val="-2"/>
        </w:rPr>
        <w:t> </w:t>
      </w:r>
      <w:r>
        <w:rPr/>
        <w:t>plazo</w:t>
      </w:r>
      <w:r>
        <w:rPr>
          <w:spacing w:val="-6"/>
        </w:rPr>
        <w:t> </w:t>
      </w:r>
      <w:r>
        <w:rPr/>
        <w:t>o</w:t>
      </w:r>
      <w:r>
        <w:rPr>
          <w:spacing w:val="-6"/>
        </w:rPr>
        <w:t> </w:t>
      </w:r>
      <w:r>
        <w:rPr/>
        <w:t>estado</w:t>
      </w:r>
      <w:r>
        <w:rPr>
          <w:spacing w:val="-4"/>
        </w:rPr>
        <w:t> </w:t>
      </w:r>
      <w:r>
        <w:rPr/>
        <w:t>estacionario,</w:t>
      </w:r>
      <w:r>
        <w:rPr>
          <w:spacing w:val="-6"/>
        </w:rPr>
        <w:t> </w:t>
      </w:r>
      <w:r>
        <w:rPr/>
        <w:t>mayor</w:t>
      </w:r>
      <w:r>
        <w:rPr>
          <w:spacing w:val="-7"/>
        </w:rPr>
        <w:t> </w:t>
      </w:r>
      <w:r>
        <w:rPr/>
        <w:t>sería</w:t>
      </w:r>
      <w:r>
        <w:rPr>
          <w:spacing w:val="-7"/>
        </w:rPr>
        <w:t> </w:t>
      </w:r>
      <w:r>
        <w:rPr/>
        <w:t>la tasa de crecimiento. Esta propiedad surge del supuesto de rendimientos decrecientes de capital; aquellas economías que disponen de menos capital por trabajador (en relación a su capital por trabajador a largo plazo) tienden a tener tasas de rentabilidad más elevadas y mayores</w:t>
      </w:r>
      <w:r>
        <w:rPr>
          <w:spacing w:val="-16"/>
        </w:rPr>
        <w:t> </w:t>
      </w:r>
      <w:r>
        <w:rPr/>
        <w:t>tasas</w:t>
      </w:r>
      <w:r>
        <w:rPr>
          <w:spacing w:val="-16"/>
        </w:rPr>
        <w:t> </w:t>
      </w:r>
      <w:r>
        <w:rPr/>
        <w:t>de</w:t>
      </w:r>
      <w:r>
        <w:rPr>
          <w:spacing w:val="-14"/>
        </w:rPr>
        <w:t> </w:t>
      </w:r>
      <w:r>
        <w:rPr/>
        <w:t>crecimiento.</w:t>
      </w:r>
      <w:r>
        <w:rPr>
          <w:spacing w:val="-16"/>
        </w:rPr>
        <w:t> </w:t>
      </w:r>
      <w:r>
        <w:rPr/>
        <w:t>El</w:t>
      </w:r>
      <w:r>
        <w:rPr>
          <w:spacing w:val="-16"/>
        </w:rPr>
        <w:t> </w:t>
      </w:r>
      <w:r>
        <w:rPr/>
        <w:t>modelo</w:t>
      </w:r>
      <w:r>
        <w:rPr>
          <w:spacing w:val="-16"/>
        </w:rPr>
        <w:t> </w:t>
      </w:r>
      <w:r>
        <w:rPr/>
        <w:t>Solow-Swan</w:t>
      </w:r>
      <w:r>
        <w:rPr>
          <w:spacing w:val="-16"/>
        </w:rPr>
        <w:t> </w:t>
      </w:r>
      <w:r>
        <w:rPr/>
        <w:t>también</w:t>
      </w:r>
      <w:r>
        <w:rPr>
          <w:spacing w:val="-16"/>
        </w:rPr>
        <w:t> </w:t>
      </w:r>
      <w:r>
        <w:rPr/>
        <w:t>predice</w:t>
      </w:r>
      <w:r>
        <w:rPr>
          <w:spacing w:val="-17"/>
        </w:rPr>
        <w:t> </w:t>
      </w:r>
      <w:r>
        <w:rPr/>
        <w:t>que,</w:t>
      </w:r>
      <w:r>
        <w:rPr>
          <w:spacing w:val="-14"/>
        </w:rPr>
        <w:t> </w:t>
      </w:r>
      <w:r>
        <w:rPr/>
        <w:t>si</w:t>
      </w:r>
      <w:r>
        <w:rPr>
          <w:spacing w:val="-15"/>
        </w:rPr>
        <w:t> </w:t>
      </w:r>
      <w:r>
        <w:rPr/>
        <w:t>no</w:t>
      </w:r>
      <w:r>
        <w:rPr>
          <w:spacing w:val="-16"/>
        </w:rPr>
        <w:t> </w:t>
      </w:r>
      <w:r>
        <w:rPr/>
        <w:t>se</w:t>
      </w:r>
      <w:r>
        <w:rPr>
          <w:spacing w:val="-17"/>
        </w:rPr>
        <w:t> </w:t>
      </w:r>
      <w:r>
        <w:rPr/>
        <w:t>producen mejoras continuas de tecnología, el crecimiento per cápita cesará en algún momento (Barro y Sala-i- Martin,</w:t>
      </w:r>
      <w:r>
        <w:rPr>
          <w:spacing w:val="-9"/>
        </w:rPr>
        <w:t> </w:t>
      </w:r>
      <w:r>
        <w:rPr/>
        <w:t>2009).</w:t>
      </w:r>
    </w:p>
    <w:p>
      <w:pPr>
        <w:pStyle w:val="BodyText"/>
        <w:spacing w:before="4"/>
        <w:rPr>
          <w:sz w:val="21"/>
        </w:rPr>
      </w:pPr>
    </w:p>
    <w:p>
      <w:pPr>
        <w:pStyle w:val="BodyText"/>
        <w:spacing w:line="360" w:lineRule="auto" w:before="1"/>
        <w:ind w:left="102" w:right="117"/>
        <w:jc w:val="both"/>
      </w:pPr>
      <w:r>
        <w:rPr/>
        <w:t>En este último resultado, lo importante fue conocer, en términos cuantitativos, que el progreso técnico era más decisivo para el crecimiento que otros factores, incluyendo la inversión en capital fijo y en mano de obra; además, la tecnología contrarrestaba los “rendimientos decrecientes” que llevan a un “estado estacionario”, con menos producción marginal, menos beneficios y menores salarios reales (Rodríguez, 2005). Es precisamente debido a esta necesidad de introducir mejoras técnicas generalizadas y exógenas, por lo que a estos modelos se les denomina de crecimiento exógeno.</w:t>
      </w:r>
    </w:p>
    <w:p>
      <w:pPr>
        <w:spacing w:after="0" w:line="360" w:lineRule="auto"/>
        <w:jc w:val="both"/>
        <w:sectPr>
          <w:pgSz w:w="12240" w:h="15840"/>
          <w:pgMar w:header="0" w:footer="1035" w:top="1360" w:bottom="1220" w:left="1600" w:right="1580"/>
        </w:sectPr>
      </w:pPr>
    </w:p>
    <w:p>
      <w:pPr>
        <w:pStyle w:val="BodyText"/>
        <w:spacing w:line="360" w:lineRule="auto" w:before="50"/>
        <w:ind w:left="122" w:right="115"/>
        <w:jc w:val="both"/>
      </w:pPr>
      <w:r>
        <w:rPr/>
        <w:t>Cass (1965) y Koopmans (1965) volvieron a introducir en el modelo neoclásico de crecimiento el análisis de la optimización del consumidor de Ramsey y así aportaron la determinación endógena de la tasa de ahorro. Esta solución permite una dinámica de transición más compleja y tiende a mantener la hipótesis de convergencia condicional. El carácter endógeno del ahorro no elimina la dependencia de la tasa de crecimiento per cápita a largo plazo de un progreso tecnológico de carácter exógeno. Este modelo completa el modelo básico de crecimiento neoclásico. A partir de entonces, la teoría del crecimiento se vuelve excesivamente técnica y se aleja poco a poco de las aplicaciones empíricas (Citado por Barro y Sala-i- Martin, 2009).</w:t>
      </w:r>
    </w:p>
    <w:p>
      <w:pPr>
        <w:pStyle w:val="BodyText"/>
        <w:spacing w:before="4"/>
        <w:rPr>
          <w:sz w:val="21"/>
        </w:rPr>
      </w:pPr>
    </w:p>
    <w:p>
      <w:pPr>
        <w:pStyle w:val="BodyText"/>
        <w:spacing w:line="360" w:lineRule="auto" w:before="1"/>
        <w:ind w:left="122" w:right="115"/>
        <w:jc w:val="both"/>
      </w:pPr>
      <w:r>
        <w:rPr/>
        <w:t>Posteriormente, la investigación macroeconómica se centró en las fluctuaciones a corto plazo. Las aportaciones más importantes incluyeron la incorporación de las expectativas racionales</w:t>
      </w:r>
      <w:r>
        <w:rPr>
          <w:spacing w:val="-13"/>
        </w:rPr>
        <w:t> </w:t>
      </w:r>
      <w:r>
        <w:rPr/>
        <w:t>a</w:t>
      </w:r>
      <w:r>
        <w:rPr>
          <w:spacing w:val="-14"/>
        </w:rPr>
        <w:t> </w:t>
      </w:r>
      <w:r>
        <w:rPr/>
        <w:t>los</w:t>
      </w:r>
      <w:r>
        <w:rPr>
          <w:spacing w:val="-13"/>
        </w:rPr>
        <w:t> </w:t>
      </w:r>
      <w:r>
        <w:rPr/>
        <w:t>modelos</w:t>
      </w:r>
      <w:r>
        <w:rPr>
          <w:spacing w:val="-13"/>
        </w:rPr>
        <w:t> </w:t>
      </w:r>
      <w:r>
        <w:rPr/>
        <w:t>del</w:t>
      </w:r>
      <w:r>
        <w:rPr>
          <w:spacing w:val="-13"/>
        </w:rPr>
        <w:t> </w:t>
      </w:r>
      <w:r>
        <w:rPr/>
        <w:t>ciclo</w:t>
      </w:r>
      <w:r>
        <w:rPr>
          <w:spacing w:val="-13"/>
        </w:rPr>
        <w:t> </w:t>
      </w:r>
      <w:r>
        <w:rPr/>
        <w:t>económico,</w:t>
      </w:r>
      <w:r>
        <w:rPr>
          <w:spacing w:val="-12"/>
        </w:rPr>
        <w:t> </w:t>
      </w:r>
      <w:r>
        <w:rPr/>
        <w:t>enfoque</w:t>
      </w:r>
      <w:r>
        <w:rPr>
          <w:spacing w:val="-14"/>
        </w:rPr>
        <w:t> </w:t>
      </w:r>
      <w:r>
        <w:rPr/>
        <w:t>que</w:t>
      </w:r>
      <w:r>
        <w:rPr>
          <w:spacing w:val="-14"/>
        </w:rPr>
        <w:t> </w:t>
      </w:r>
      <w:r>
        <w:rPr/>
        <w:t>mejoró</w:t>
      </w:r>
      <w:r>
        <w:rPr>
          <w:spacing w:val="-13"/>
        </w:rPr>
        <w:t> </w:t>
      </w:r>
      <w:r>
        <w:rPr/>
        <w:t>la</w:t>
      </w:r>
      <w:r>
        <w:rPr>
          <w:spacing w:val="-14"/>
        </w:rPr>
        <w:t> </w:t>
      </w:r>
      <w:r>
        <w:rPr/>
        <w:t>evaluación</w:t>
      </w:r>
      <w:r>
        <w:rPr>
          <w:spacing w:val="-13"/>
        </w:rPr>
        <w:t> </w:t>
      </w:r>
      <w:r>
        <w:rPr/>
        <w:t>de</w:t>
      </w:r>
      <w:r>
        <w:rPr>
          <w:spacing w:val="-14"/>
        </w:rPr>
        <w:t> </w:t>
      </w:r>
      <w:r>
        <w:rPr/>
        <w:t>la</w:t>
      </w:r>
      <w:r>
        <w:rPr>
          <w:spacing w:val="-14"/>
        </w:rPr>
        <w:t> </w:t>
      </w:r>
      <w:r>
        <w:rPr/>
        <w:t>política económica, y la aplicación de la metodología de equilibrio general a la teoría de los ciclos económicos reales (Barro y Sala-i- Matin,</w:t>
      </w:r>
      <w:r>
        <w:rPr>
          <w:spacing w:val="-10"/>
        </w:rPr>
        <w:t> </w:t>
      </w:r>
      <w:r>
        <w:rPr/>
        <w:t>2009).</w:t>
      </w:r>
    </w:p>
    <w:p>
      <w:pPr>
        <w:pStyle w:val="BodyText"/>
        <w:spacing w:before="2"/>
        <w:rPr>
          <w:sz w:val="21"/>
        </w:rPr>
      </w:pPr>
    </w:p>
    <w:p>
      <w:pPr>
        <w:pStyle w:val="BodyText"/>
        <w:spacing w:line="360" w:lineRule="auto" w:before="1"/>
        <w:ind w:left="122" w:right="116"/>
        <w:jc w:val="both"/>
      </w:pPr>
      <w:r>
        <w:rPr/>
        <w:t>Sin embargo, en la década de los ochenta el análisis del crecimiento económico vuelve a ser objeto de interés para los economistas. Una de las razones principales fue que las predicciones del modelo neoclásico no se cumplían. Se observaba, por ejemplo, la ausencia de</w:t>
      </w:r>
      <w:r>
        <w:rPr>
          <w:spacing w:val="-10"/>
        </w:rPr>
        <w:t> </w:t>
      </w:r>
      <w:r>
        <w:rPr/>
        <w:t>convergencia</w:t>
      </w:r>
      <w:r>
        <w:rPr>
          <w:spacing w:val="-7"/>
        </w:rPr>
        <w:t> </w:t>
      </w:r>
      <w:r>
        <w:rPr/>
        <w:t>en</w:t>
      </w:r>
      <w:r>
        <w:rPr>
          <w:spacing w:val="-9"/>
        </w:rPr>
        <w:t> </w:t>
      </w:r>
      <w:r>
        <w:rPr/>
        <w:t>los</w:t>
      </w:r>
      <w:r>
        <w:rPr>
          <w:spacing w:val="-8"/>
        </w:rPr>
        <w:t> </w:t>
      </w:r>
      <w:r>
        <w:rPr/>
        <w:t>niveles</w:t>
      </w:r>
      <w:r>
        <w:rPr>
          <w:spacing w:val="-8"/>
        </w:rPr>
        <w:t> </w:t>
      </w:r>
      <w:r>
        <w:rPr/>
        <w:t>de</w:t>
      </w:r>
      <w:r>
        <w:rPr>
          <w:spacing w:val="-10"/>
        </w:rPr>
        <w:t> </w:t>
      </w:r>
      <w:r>
        <w:rPr/>
        <w:t>renta</w:t>
      </w:r>
      <w:r>
        <w:rPr>
          <w:spacing w:val="-10"/>
        </w:rPr>
        <w:t> </w:t>
      </w:r>
      <w:r>
        <w:rPr/>
        <w:t>entre</w:t>
      </w:r>
      <w:r>
        <w:rPr>
          <w:spacing w:val="-10"/>
        </w:rPr>
        <w:t> </w:t>
      </w:r>
      <w:r>
        <w:rPr/>
        <w:t>las</w:t>
      </w:r>
      <w:r>
        <w:rPr>
          <w:spacing w:val="-9"/>
        </w:rPr>
        <w:t> </w:t>
      </w:r>
      <w:r>
        <w:rPr/>
        <w:t>distintas</w:t>
      </w:r>
      <w:r>
        <w:rPr>
          <w:spacing w:val="-9"/>
        </w:rPr>
        <w:t> </w:t>
      </w:r>
      <w:r>
        <w:rPr/>
        <w:t>economías</w:t>
      </w:r>
      <w:r>
        <w:rPr>
          <w:spacing w:val="-8"/>
        </w:rPr>
        <w:t> </w:t>
      </w:r>
      <w:r>
        <w:rPr/>
        <w:t>a</w:t>
      </w:r>
      <w:r>
        <w:rPr>
          <w:spacing w:val="-10"/>
        </w:rPr>
        <w:t> </w:t>
      </w:r>
      <w:r>
        <w:rPr/>
        <w:t>nivel</w:t>
      </w:r>
      <w:r>
        <w:rPr>
          <w:spacing w:val="-9"/>
        </w:rPr>
        <w:t> </w:t>
      </w:r>
      <w:r>
        <w:rPr/>
        <w:t>mundial,</w:t>
      </w:r>
      <w:r>
        <w:rPr>
          <w:spacing w:val="-8"/>
        </w:rPr>
        <w:t> </w:t>
      </w:r>
      <w:r>
        <w:rPr/>
        <w:t>es</w:t>
      </w:r>
      <w:r>
        <w:rPr>
          <w:spacing w:val="-8"/>
        </w:rPr>
        <w:t> </w:t>
      </w:r>
      <w:r>
        <w:rPr/>
        <w:t>más, aparecía una divergencia en los niveles de renta per cápita, esto es, las tasas de crecimiento anuales medias variaban de forma importante entre los distintos países, siendo considerablemente</w:t>
      </w:r>
      <w:r>
        <w:rPr>
          <w:spacing w:val="-11"/>
        </w:rPr>
        <w:t> </w:t>
      </w:r>
      <w:r>
        <w:rPr/>
        <w:t>más</w:t>
      </w:r>
      <w:r>
        <w:rPr>
          <w:spacing w:val="-9"/>
        </w:rPr>
        <w:t> </w:t>
      </w:r>
      <w:r>
        <w:rPr/>
        <w:t>elevadas</w:t>
      </w:r>
      <w:r>
        <w:rPr>
          <w:spacing w:val="-11"/>
        </w:rPr>
        <w:t> </w:t>
      </w:r>
      <w:r>
        <w:rPr/>
        <w:t>para</w:t>
      </w:r>
      <w:r>
        <w:rPr>
          <w:spacing w:val="-11"/>
        </w:rPr>
        <w:t> </w:t>
      </w:r>
      <w:r>
        <w:rPr/>
        <w:t>los</w:t>
      </w:r>
      <w:r>
        <w:rPr>
          <w:spacing w:val="-10"/>
        </w:rPr>
        <w:t> </w:t>
      </w:r>
      <w:r>
        <w:rPr/>
        <w:t>países</w:t>
      </w:r>
      <w:r>
        <w:rPr>
          <w:spacing w:val="-9"/>
        </w:rPr>
        <w:t> </w:t>
      </w:r>
      <w:r>
        <w:rPr/>
        <w:t>industrializados.</w:t>
      </w:r>
      <w:r>
        <w:rPr>
          <w:spacing w:val="-11"/>
        </w:rPr>
        <w:t> </w:t>
      </w:r>
      <w:r>
        <w:rPr/>
        <w:t>Esta</w:t>
      </w:r>
      <w:r>
        <w:rPr>
          <w:spacing w:val="-12"/>
        </w:rPr>
        <w:t> </w:t>
      </w:r>
      <w:r>
        <w:rPr/>
        <w:t>circunstancia</w:t>
      </w:r>
      <w:r>
        <w:rPr>
          <w:spacing w:val="-12"/>
        </w:rPr>
        <w:t> </w:t>
      </w:r>
      <w:r>
        <w:rPr/>
        <w:t>no</w:t>
      </w:r>
      <w:r>
        <w:rPr>
          <w:spacing w:val="-9"/>
        </w:rPr>
        <w:t> </w:t>
      </w:r>
      <w:r>
        <w:rPr/>
        <w:t>podía ser explicada satisfactoriamente por el comportamiento del progreso tecnológico tal como sostenía la aportación neoclásica (Agénor,</w:t>
      </w:r>
      <w:r>
        <w:rPr>
          <w:spacing w:val="-7"/>
        </w:rPr>
        <w:t> </w:t>
      </w:r>
      <w:r>
        <w:rPr/>
        <w:t>2000).</w:t>
      </w:r>
    </w:p>
    <w:p>
      <w:pPr>
        <w:pStyle w:val="BodyText"/>
        <w:spacing w:before="4"/>
        <w:rPr>
          <w:sz w:val="21"/>
        </w:rPr>
      </w:pPr>
    </w:p>
    <w:p>
      <w:pPr>
        <w:pStyle w:val="BodyText"/>
        <w:spacing w:line="355" w:lineRule="auto" w:before="1"/>
        <w:ind w:left="122" w:right="116"/>
        <w:jc w:val="both"/>
      </w:pPr>
      <w:r>
        <w:rPr/>
        <w:t>Debido a lo anterior, surge la corriente de crecimiento económico endógeno, como una reacción a la teoría neoclásica del crecimiento (Thirlwall, 2003). Los endogenistas</w:t>
      </w:r>
      <w:r>
        <w:rPr>
          <w:position w:val="9"/>
          <w:sz w:val="16"/>
        </w:rPr>
        <w:t>2 </w:t>
      </w:r>
      <w:r>
        <w:rPr/>
        <w:t>son una nueva generación de neoclásicos que critican importantes aspectos de la vieja teoría neoclásica, pero a la vez construyen con base en ella y desarrollan ángulos que para muchos</w:t>
      </w:r>
    </w:p>
    <w:p>
      <w:pPr>
        <w:pStyle w:val="BodyText"/>
        <w:rPr>
          <w:sz w:val="20"/>
        </w:rPr>
      </w:pPr>
    </w:p>
    <w:p>
      <w:pPr>
        <w:pStyle w:val="BodyText"/>
        <w:spacing w:before="9"/>
        <w:rPr>
          <w:sz w:val="23"/>
        </w:rPr>
      </w:pPr>
      <w:r>
        <w:rPr/>
        <w:pict>
          <v:line style="position:absolute;mso-position-horizontal-relative:page;mso-position-vertical-relative:paragraph;z-index:1096;mso-wrap-distance-left:0;mso-wrap-distance-right:0" from="85.103996pt,15.966529pt" to="229.123996pt,15.966529pt" stroked="true" strokeweight=".599980pt" strokecolor="#000000">
            <w10:wrap type="topAndBottom"/>
          </v:line>
        </w:pict>
      </w:r>
    </w:p>
    <w:p>
      <w:pPr>
        <w:spacing w:before="70"/>
        <w:ind w:left="122" w:right="97" w:firstLine="0"/>
        <w:jc w:val="left"/>
        <w:rPr>
          <w:sz w:val="20"/>
        </w:rPr>
      </w:pPr>
      <w:r>
        <w:rPr>
          <w:position w:val="7"/>
          <w:sz w:val="13"/>
        </w:rPr>
        <w:t>2</w:t>
      </w:r>
      <w:r>
        <w:rPr>
          <w:spacing w:val="8"/>
          <w:position w:val="7"/>
          <w:sz w:val="13"/>
        </w:rPr>
        <w:t> </w:t>
      </w:r>
      <w:r>
        <w:rPr>
          <w:sz w:val="20"/>
        </w:rPr>
        <w:t>Los</w:t>
      </w:r>
      <w:r>
        <w:rPr>
          <w:spacing w:val="-8"/>
          <w:sz w:val="20"/>
        </w:rPr>
        <w:t> </w:t>
      </w:r>
      <w:r>
        <w:rPr>
          <w:sz w:val="20"/>
        </w:rPr>
        <w:t>economistas</w:t>
      </w:r>
      <w:r>
        <w:rPr>
          <w:spacing w:val="-10"/>
          <w:sz w:val="20"/>
        </w:rPr>
        <w:t> </w:t>
      </w:r>
      <w:r>
        <w:rPr>
          <w:sz w:val="20"/>
        </w:rPr>
        <w:t>endogenistas</w:t>
      </w:r>
      <w:r>
        <w:rPr>
          <w:spacing w:val="-8"/>
          <w:sz w:val="20"/>
        </w:rPr>
        <w:t> </w:t>
      </w:r>
      <w:r>
        <w:rPr>
          <w:sz w:val="20"/>
        </w:rPr>
        <w:t>creen</w:t>
      </w:r>
      <w:r>
        <w:rPr>
          <w:spacing w:val="-10"/>
          <w:sz w:val="20"/>
        </w:rPr>
        <w:t> </w:t>
      </w:r>
      <w:r>
        <w:rPr>
          <w:sz w:val="20"/>
        </w:rPr>
        <w:t>que</w:t>
      </w:r>
      <w:r>
        <w:rPr>
          <w:spacing w:val="-7"/>
          <w:sz w:val="20"/>
        </w:rPr>
        <w:t> </w:t>
      </w:r>
      <w:r>
        <w:rPr>
          <w:sz w:val="20"/>
        </w:rPr>
        <w:t>casi</w:t>
      </w:r>
      <w:r>
        <w:rPr>
          <w:spacing w:val="-7"/>
          <w:sz w:val="20"/>
        </w:rPr>
        <w:t> </w:t>
      </w:r>
      <w:r>
        <w:rPr>
          <w:sz w:val="20"/>
        </w:rPr>
        <w:t>todo</w:t>
      </w:r>
      <w:r>
        <w:rPr>
          <w:spacing w:val="-8"/>
          <w:sz w:val="20"/>
        </w:rPr>
        <w:t> </w:t>
      </w:r>
      <w:r>
        <w:rPr>
          <w:sz w:val="20"/>
        </w:rPr>
        <w:t>el</w:t>
      </w:r>
      <w:r>
        <w:rPr>
          <w:spacing w:val="-9"/>
          <w:sz w:val="20"/>
        </w:rPr>
        <w:t> </w:t>
      </w:r>
      <w:r>
        <w:rPr>
          <w:sz w:val="20"/>
        </w:rPr>
        <w:t>cambio</w:t>
      </w:r>
      <w:r>
        <w:rPr>
          <w:spacing w:val="-6"/>
          <w:sz w:val="20"/>
        </w:rPr>
        <w:t> </w:t>
      </w:r>
      <w:r>
        <w:rPr>
          <w:sz w:val="20"/>
        </w:rPr>
        <w:t>técnico</w:t>
      </w:r>
      <w:r>
        <w:rPr>
          <w:spacing w:val="-8"/>
          <w:sz w:val="20"/>
        </w:rPr>
        <w:t> </w:t>
      </w:r>
      <w:r>
        <w:rPr>
          <w:sz w:val="20"/>
        </w:rPr>
        <w:t>es</w:t>
      </w:r>
      <w:r>
        <w:rPr>
          <w:spacing w:val="-7"/>
          <w:sz w:val="20"/>
        </w:rPr>
        <w:t> </w:t>
      </w:r>
      <w:r>
        <w:rPr>
          <w:sz w:val="20"/>
        </w:rPr>
        <w:t>endógeno,</w:t>
      </w:r>
      <w:r>
        <w:rPr>
          <w:spacing w:val="-9"/>
          <w:sz w:val="20"/>
        </w:rPr>
        <w:t> </w:t>
      </w:r>
      <w:r>
        <w:rPr>
          <w:sz w:val="20"/>
        </w:rPr>
        <w:t>como</w:t>
      </w:r>
      <w:r>
        <w:rPr>
          <w:spacing w:val="-8"/>
          <w:sz w:val="20"/>
        </w:rPr>
        <w:t> </w:t>
      </w:r>
      <w:r>
        <w:rPr>
          <w:sz w:val="20"/>
        </w:rPr>
        <w:t>resultado</w:t>
      </w:r>
      <w:r>
        <w:rPr>
          <w:spacing w:val="-8"/>
          <w:sz w:val="20"/>
        </w:rPr>
        <w:t> </w:t>
      </w:r>
      <w:r>
        <w:rPr>
          <w:sz w:val="20"/>
        </w:rPr>
        <w:t>de</w:t>
      </w:r>
      <w:r>
        <w:rPr>
          <w:spacing w:val="-9"/>
          <w:sz w:val="20"/>
        </w:rPr>
        <w:t> </w:t>
      </w:r>
      <w:r>
        <w:rPr>
          <w:sz w:val="20"/>
        </w:rPr>
        <w:t>acciones deliberadas de los agentes económicos  (Rodríguez,</w:t>
      </w:r>
      <w:r>
        <w:rPr>
          <w:spacing w:val="-12"/>
          <w:sz w:val="20"/>
        </w:rPr>
        <w:t> </w:t>
      </w:r>
      <w:r>
        <w:rPr>
          <w:sz w:val="20"/>
        </w:rPr>
        <w:t>2005).</w:t>
      </w:r>
    </w:p>
    <w:p>
      <w:pPr>
        <w:spacing w:after="0"/>
        <w:jc w:val="left"/>
        <w:rPr>
          <w:sz w:val="20"/>
        </w:rPr>
        <w:sectPr>
          <w:pgSz w:w="12240" w:h="15840"/>
          <w:pgMar w:header="0" w:footer="1035" w:top="1360" w:bottom="1220" w:left="1580" w:right="1580"/>
        </w:sectPr>
      </w:pPr>
    </w:p>
    <w:p>
      <w:pPr>
        <w:pStyle w:val="BodyText"/>
        <w:spacing w:line="360" w:lineRule="auto" w:before="50"/>
        <w:ind w:left="102" w:right="120"/>
        <w:jc w:val="both"/>
      </w:pPr>
      <w:r>
        <w:rPr/>
        <w:t>son novedosos, revolucionarios y directrices de innumerables investigaciones prácticas y teóricas (Rodríguez, 2005).</w:t>
      </w:r>
    </w:p>
    <w:p>
      <w:pPr>
        <w:pStyle w:val="BodyText"/>
        <w:spacing w:before="2"/>
        <w:rPr>
          <w:sz w:val="21"/>
        </w:rPr>
      </w:pPr>
    </w:p>
    <w:p>
      <w:pPr>
        <w:pStyle w:val="BodyText"/>
        <w:spacing w:line="360" w:lineRule="auto"/>
        <w:ind w:left="102" w:right="114"/>
        <w:jc w:val="both"/>
      </w:pPr>
      <w:r>
        <w:rPr/>
        <w:t>Existe consenso en que los iniciadores de la corriente de crecimiento endógeno son Paul M. Romer (1986) y Robert E. Lucas Jr. (1988), pues modifican la función de producción neoclásica y la forma en que se especifica la tecnología, sin embargo mantienen intactos el resto de los supuestos, (Ocegueda, 2000). Con ello, se comprueba que la diferencia fundamental de los modelos de crecimiento endógeno respecto a los modelos neoclásicos exógenos</w:t>
      </w:r>
      <w:r>
        <w:rPr>
          <w:spacing w:val="-13"/>
        </w:rPr>
        <w:t> </w:t>
      </w:r>
      <w:r>
        <w:rPr/>
        <w:t>se</w:t>
      </w:r>
      <w:r>
        <w:rPr>
          <w:spacing w:val="-12"/>
        </w:rPr>
        <w:t> </w:t>
      </w:r>
      <w:r>
        <w:rPr/>
        <w:t>encuentra</w:t>
      </w:r>
      <w:r>
        <w:rPr>
          <w:spacing w:val="-12"/>
        </w:rPr>
        <w:t> </w:t>
      </w:r>
      <w:r>
        <w:rPr/>
        <w:t>en</w:t>
      </w:r>
      <w:r>
        <w:rPr>
          <w:spacing w:val="-11"/>
        </w:rPr>
        <w:t> </w:t>
      </w:r>
      <w:r>
        <w:rPr/>
        <w:t>el</w:t>
      </w:r>
      <w:r>
        <w:rPr>
          <w:spacing w:val="-13"/>
        </w:rPr>
        <w:t> </w:t>
      </w:r>
      <w:r>
        <w:rPr/>
        <w:t>supuesto</w:t>
      </w:r>
      <w:r>
        <w:rPr>
          <w:spacing w:val="-13"/>
        </w:rPr>
        <w:t> </w:t>
      </w:r>
      <w:r>
        <w:rPr/>
        <w:t>que</w:t>
      </w:r>
      <w:r>
        <w:rPr>
          <w:spacing w:val="-12"/>
        </w:rPr>
        <w:t> </w:t>
      </w:r>
      <w:r>
        <w:rPr/>
        <w:t>se</w:t>
      </w:r>
      <w:r>
        <w:rPr>
          <w:spacing w:val="-14"/>
        </w:rPr>
        <w:t> </w:t>
      </w:r>
      <w:r>
        <w:rPr/>
        <w:t>introduzca</w:t>
      </w:r>
      <w:r>
        <w:rPr>
          <w:spacing w:val="-14"/>
        </w:rPr>
        <w:t> </w:t>
      </w:r>
      <w:r>
        <w:rPr/>
        <w:t>sobre</w:t>
      </w:r>
      <w:r>
        <w:rPr>
          <w:spacing w:val="-15"/>
        </w:rPr>
        <w:t> </w:t>
      </w:r>
      <w:r>
        <w:rPr/>
        <w:t>los</w:t>
      </w:r>
      <w:r>
        <w:rPr>
          <w:spacing w:val="-10"/>
        </w:rPr>
        <w:t> </w:t>
      </w:r>
      <w:r>
        <w:rPr/>
        <w:t>rendimientos</w:t>
      </w:r>
      <w:r>
        <w:rPr>
          <w:spacing w:val="-13"/>
        </w:rPr>
        <w:t> </w:t>
      </w:r>
      <w:r>
        <w:rPr/>
        <w:t>de</w:t>
      </w:r>
      <w:r>
        <w:rPr>
          <w:spacing w:val="-14"/>
        </w:rPr>
        <w:t> </w:t>
      </w:r>
      <w:r>
        <w:rPr/>
        <w:t>los</w:t>
      </w:r>
      <w:r>
        <w:rPr>
          <w:spacing w:val="-13"/>
        </w:rPr>
        <w:t> </w:t>
      </w:r>
      <w:r>
        <w:rPr/>
        <w:t>factores acumulables en la función de producción, en otras palabras la corriente neoclásica llamada endogenista retomó el cambio tecnológico pero lo “endogenizó”, lo hizo parte del sistema económico y del modelo, mientras que con Solow el cambio tecnológico era exógeno al modelo, aparecía de manera “residual” (Rodríguez,</w:t>
      </w:r>
      <w:r>
        <w:rPr>
          <w:spacing w:val="-5"/>
        </w:rPr>
        <w:t> </w:t>
      </w:r>
      <w:r>
        <w:rPr/>
        <w:t>2005).</w:t>
      </w:r>
    </w:p>
    <w:p>
      <w:pPr>
        <w:pStyle w:val="BodyText"/>
        <w:spacing w:before="2"/>
        <w:rPr>
          <w:sz w:val="21"/>
        </w:rPr>
      </w:pPr>
    </w:p>
    <w:p>
      <w:pPr>
        <w:pStyle w:val="BodyText"/>
        <w:spacing w:line="360" w:lineRule="auto"/>
        <w:ind w:left="102" w:right="116"/>
        <w:jc w:val="both"/>
      </w:pPr>
      <w:r>
        <w:rPr/>
        <w:t>El ensayo de Romer de 1986, “</w:t>
      </w:r>
      <w:r>
        <w:rPr>
          <w:i/>
        </w:rPr>
        <w:t>Increasing Returns and Long-Run Growth</w:t>
      </w:r>
      <w:r>
        <w:rPr/>
        <w:t>”, presenta un modelo de crecimiento de largo plazo, impulsado principalmente por la acumulación de conocimientos</w:t>
      </w:r>
      <w:r>
        <w:rPr>
          <w:spacing w:val="-9"/>
        </w:rPr>
        <w:t> </w:t>
      </w:r>
      <w:r>
        <w:rPr/>
        <w:t>(</w:t>
      </w:r>
      <w:r>
        <w:rPr>
          <w:i/>
        </w:rPr>
        <w:t>knowledge</w:t>
      </w:r>
      <w:r>
        <w:rPr/>
        <w:t>).</w:t>
      </w:r>
      <w:r>
        <w:rPr>
          <w:spacing w:val="-9"/>
        </w:rPr>
        <w:t> </w:t>
      </w:r>
      <w:r>
        <w:rPr/>
        <w:t>Romer</w:t>
      </w:r>
      <w:r>
        <w:rPr>
          <w:spacing w:val="-10"/>
        </w:rPr>
        <w:t> </w:t>
      </w:r>
      <w:r>
        <w:rPr/>
        <w:t>llega</w:t>
      </w:r>
      <w:r>
        <w:rPr>
          <w:spacing w:val="-7"/>
        </w:rPr>
        <w:t> </w:t>
      </w:r>
      <w:r>
        <w:rPr/>
        <w:t>a</w:t>
      </w:r>
      <w:r>
        <w:rPr>
          <w:spacing w:val="-10"/>
        </w:rPr>
        <w:t> </w:t>
      </w:r>
      <w:r>
        <w:rPr/>
        <w:t>la</w:t>
      </w:r>
      <w:r>
        <w:rPr>
          <w:spacing w:val="-9"/>
        </w:rPr>
        <w:t> </w:t>
      </w:r>
      <w:r>
        <w:rPr/>
        <w:t>conclusión</w:t>
      </w:r>
      <w:r>
        <w:rPr>
          <w:spacing w:val="-8"/>
        </w:rPr>
        <w:t> </w:t>
      </w:r>
      <w:r>
        <w:rPr/>
        <w:t>de</w:t>
      </w:r>
      <w:r>
        <w:rPr>
          <w:spacing w:val="-10"/>
        </w:rPr>
        <w:t> </w:t>
      </w:r>
      <w:r>
        <w:rPr/>
        <w:t>que</w:t>
      </w:r>
      <w:r>
        <w:rPr>
          <w:spacing w:val="-10"/>
        </w:rPr>
        <w:t> </w:t>
      </w:r>
      <w:r>
        <w:rPr/>
        <w:t>la</w:t>
      </w:r>
      <w:r>
        <w:rPr>
          <w:spacing w:val="-9"/>
        </w:rPr>
        <w:t> </w:t>
      </w:r>
      <w:r>
        <w:rPr/>
        <w:t>economía</w:t>
      </w:r>
      <w:r>
        <w:rPr>
          <w:spacing w:val="-7"/>
        </w:rPr>
        <w:t> </w:t>
      </w:r>
      <w:r>
        <w:rPr/>
        <w:t>con</w:t>
      </w:r>
      <w:r>
        <w:rPr>
          <w:spacing w:val="-9"/>
        </w:rPr>
        <w:t> </w:t>
      </w:r>
      <w:r>
        <w:rPr/>
        <w:t>más</w:t>
      </w:r>
      <w:r>
        <w:rPr>
          <w:spacing w:val="-9"/>
        </w:rPr>
        <w:t> </w:t>
      </w:r>
      <w:r>
        <w:rPr/>
        <w:t>grande stock</w:t>
      </w:r>
      <w:r>
        <w:rPr>
          <w:spacing w:val="-7"/>
        </w:rPr>
        <w:t> </w:t>
      </w:r>
      <w:r>
        <w:rPr/>
        <w:t>de</w:t>
      </w:r>
      <w:r>
        <w:rPr>
          <w:spacing w:val="-8"/>
        </w:rPr>
        <w:t> </w:t>
      </w:r>
      <w:r>
        <w:rPr/>
        <w:t>capital</w:t>
      </w:r>
      <w:r>
        <w:rPr>
          <w:spacing w:val="-7"/>
        </w:rPr>
        <w:t> </w:t>
      </w:r>
      <w:r>
        <w:rPr/>
        <w:t>humano</w:t>
      </w:r>
      <w:r>
        <w:rPr>
          <w:spacing w:val="-8"/>
        </w:rPr>
        <w:t> </w:t>
      </w:r>
      <w:r>
        <w:rPr/>
        <w:t>experimentará</w:t>
      </w:r>
      <w:r>
        <w:rPr>
          <w:spacing w:val="-8"/>
        </w:rPr>
        <w:t> </w:t>
      </w:r>
      <w:r>
        <w:rPr/>
        <w:t>un</w:t>
      </w:r>
      <w:r>
        <w:rPr>
          <w:spacing w:val="-7"/>
        </w:rPr>
        <w:t> </w:t>
      </w:r>
      <w:r>
        <w:rPr/>
        <w:t>crecimiento</w:t>
      </w:r>
      <w:r>
        <w:rPr>
          <w:spacing w:val="-7"/>
        </w:rPr>
        <w:t> </w:t>
      </w:r>
      <w:r>
        <w:rPr/>
        <w:t>más</w:t>
      </w:r>
      <w:r>
        <w:rPr>
          <w:spacing w:val="-8"/>
        </w:rPr>
        <w:t> </w:t>
      </w:r>
      <w:r>
        <w:rPr/>
        <w:t>rápido,</w:t>
      </w:r>
      <w:r>
        <w:rPr>
          <w:spacing w:val="-7"/>
        </w:rPr>
        <w:t> </w:t>
      </w:r>
      <w:r>
        <w:rPr/>
        <w:t>lo</w:t>
      </w:r>
      <w:r>
        <w:rPr>
          <w:spacing w:val="-7"/>
        </w:rPr>
        <w:t> </w:t>
      </w:r>
      <w:r>
        <w:rPr/>
        <w:t>anterior,</w:t>
      </w:r>
      <w:r>
        <w:rPr>
          <w:spacing w:val="-8"/>
        </w:rPr>
        <w:t> </w:t>
      </w:r>
      <w:r>
        <w:rPr/>
        <w:t>es</w:t>
      </w:r>
      <w:r>
        <w:rPr>
          <w:spacing w:val="-7"/>
        </w:rPr>
        <w:t> </w:t>
      </w:r>
      <w:r>
        <w:rPr/>
        <w:t>la</w:t>
      </w:r>
      <w:r>
        <w:rPr>
          <w:spacing w:val="-8"/>
        </w:rPr>
        <w:t> </w:t>
      </w:r>
      <w:r>
        <w:rPr/>
        <w:t>causa</w:t>
      </w:r>
      <w:r>
        <w:rPr>
          <w:spacing w:val="-8"/>
        </w:rPr>
        <w:t> </w:t>
      </w:r>
      <w:r>
        <w:rPr/>
        <w:t>de que las economías desarrolladas muestren tasas de crecimiento en el ingreso per cápita sin precedentes. Por su parte, en 1988, Lucas publica </w:t>
      </w:r>
      <w:r>
        <w:rPr>
          <w:i/>
        </w:rPr>
        <w:t>“On the Mechanics of Economic </w:t>
      </w:r>
      <w:r>
        <w:rPr>
          <w:i/>
        </w:rPr>
        <w:t>Development”</w:t>
      </w:r>
      <w:r>
        <w:rPr/>
        <w:t>; éste trabajo parte del modelo neoclásico de Solow y Edward Denison, considerándolo inadecuado como modelo de desarrollo económico, por tanto, hace adaptaciones para incluir los efectos de la acumulación del capital humano, y lo propone como</w:t>
      </w:r>
      <w:r>
        <w:rPr>
          <w:spacing w:val="-13"/>
        </w:rPr>
        <w:t> </w:t>
      </w:r>
      <w:r>
        <w:rPr/>
        <w:t>motor</w:t>
      </w:r>
      <w:r>
        <w:rPr>
          <w:spacing w:val="-14"/>
        </w:rPr>
        <w:t> </w:t>
      </w:r>
      <w:r>
        <w:rPr/>
        <w:t>de</w:t>
      </w:r>
      <w:r>
        <w:rPr>
          <w:spacing w:val="-12"/>
        </w:rPr>
        <w:t> </w:t>
      </w:r>
      <w:r>
        <w:rPr/>
        <w:t>crecimiento</w:t>
      </w:r>
      <w:r>
        <w:rPr>
          <w:spacing w:val="-13"/>
        </w:rPr>
        <w:t> </w:t>
      </w:r>
      <w:r>
        <w:rPr/>
        <w:t>alternativo</w:t>
      </w:r>
      <w:r>
        <w:rPr>
          <w:spacing w:val="-11"/>
        </w:rPr>
        <w:t> </w:t>
      </w:r>
      <w:r>
        <w:rPr/>
        <w:t>al</w:t>
      </w:r>
      <w:r>
        <w:rPr>
          <w:spacing w:val="-13"/>
        </w:rPr>
        <w:t> </w:t>
      </w:r>
      <w:r>
        <w:rPr/>
        <w:t>modelo</w:t>
      </w:r>
      <w:r>
        <w:rPr>
          <w:spacing w:val="-14"/>
        </w:rPr>
        <w:t> </w:t>
      </w:r>
      <w:r>
        <w:rPr/>
        <w:t>de</w:t>
      </w:r>
      <w:r>
        <w:rPr>
          <w:spacing w:val="-14"/>
        </w:rPr>
        <w:t> </w:t>
      </w:r>
      <w:r>
        <w:rPr/>
        <w:t>Solow.</w:t>
      </w:r>
      <w:r>
        <w:rPr>
          <w:spacing w:val="-13"/>
        </w:rPr>
        <w:t> </w:t>
      </w:r>
      <w:r>
        <w:rPr/>
        <w:t>Además,</w:t>
      </w:r>
      <w:r>
        <w:rPr>
          <w:spacing w:val="-13"/>
        </w:rPr>
        <w:t> </w:t>
      </w:r>
      <w:r>
        <w:rPr/>
        <w:t>define</w:t>
      </w:r>
      <w:r>
        <w:rPr>
          <w:spacing w:val="-12"/>
        </w:rPr>
        <w:t> </w:t>
      </w:r>
      <w:r>
        <w:rPr/>
        <w:t>como</w:t>
      </w:r>
      <w:r>
        <w:rPr>
          <w:spacing w:val="-13"/>
        </w:rPr>
        <w:t> </w:t>
      </w:r>
      <w:r>
        <w:rPr/>
        <w:t>formación de</w:t>
      </w:r>
      <w:r>
        <w:rPr>
          <w:spacing w:val="-7"/>
        </w:rPr>
        <w:t> </w:t>
      </w:r>
      <w:r>
        <w:rPr/>
        <w:t>capital</w:t>
      </w:r>
      <w:r>
        <w:rPr>
          <w:spacing w:val="-6"/>
        </w:rPr>
        <w:t> </w:t>
      </w:r>
      <w:r>
        <w:rPr/>
        <w:t>humano</w:t>
      </w:r>
      <w:r>
        <w:rPr>
          <w:spacing w:val="-5"/>
        </w:rPr>
        <w:t> </w:t>
      </w:r>
      <w:r>
        <w:rPr/>
        <w:t>la</w:t>
      </w:r>
      <w:r>
        <w:rPr>
          <w:spacing w:val="-7"/>
        </w:rPr>
        <w:t> </w:t>
      </w:r>
      <w:r>
        <w:rPr/>
        <w:t>escolaridad,</w:t>
      </w:r>
      <w:r>
        <w:rPr>
          <w:spacing w:val="-7"/>
        </w:rPr>
        <w:t> </w:t>
      </w:r>
      <w:r>
        <w:rPr/>
        <w:t>el</w:t>
      </w:r>
      <w:r>
        <w:rPr>
          <w:spacing w:val="-3"/>
        </w:rPr>
        <w:t> </w:t>
      </w:r>
      <w:r>
        <w:rPr/>
        <w:t>entrenamiento</w:t>
      </w:r>
      <w:r>
        <w:rPr>
          <w:spacing w:val="-6"/>
        </w:rPr>
        <w:t> </w:t>
      </w:r>
      <w:r>
        <w:rPr/>
        <w:t>en</w:t>
      </w:r>
      <w:r>
        <w:rPr>
          <w:spacing w:val="-6"/>
        </w:rPr>
        <w:t> </w:t>
      </w:r>
      <w:r>
        <w:rPr/>
        <w:t>el</w:t>
      </w:r>
      <w:r>
        <w:rPr>
          <w:spacing w:val="-6"/>
        </w:rPr>
        <w:t> </w:t>
      </w:r>
      <w:r>
        <w:rPr/>
        <w:t>trabajo</w:t>
      </w:r>
      <w:r>
        <w:rPr>
          <w:spacing w:val="-1"/>
        </w:rPr>
        <w:t> </w:t>
      </w:r>
      <w:r>
        <w:rPr/>
        <w:t>y</w:t>
      </w:r>
      <w:r>
        <w:rPr>
          <w:spacing w:val="-11"/>
        </w:rPr>
        <w:t> </w:t>
      </w:r>
      <w:r>
        <w:rPr/>
        <w:t>el</w:t>
      </w:r>
      <w:r>
        <w:rPr>
          <w:spacing w:val="-3"/>
        </w:rPr>
        <w:t> </w:t>
      </w:r>
      <w:r>
        <w:rPr/>
        <w:t>“aprendizaje</w:t>
      </w:r>
      <w:r>
        <w:rPr>
          <w:spacing w:val="-7"/>
        </w:rPr>
        <w:t> </w:t>
      </w:r>
      <w:r>
        <w:rPr/>
        <w:t>haciendo.” (Citado por Rodríguez,</w:t>
      </w:r>
      <w:r>
        <w:rPr>
          <w:spacing w:val="-6"/>
        </w:rPr>
        <w:t> </w:t>
      </w:r>
      <w:r>
        <w:rPr/>
        <w:t>2005).</w:t>
      </w:r>
    </w:p>
    <w:p>
      <w:pPr>
        <w:pStyle w:val="BodyText"/>
        <w:spacing w:before="2"/>
        <w:rPr>
          <w:sz w:val="21"/>
        </w:rPr>
      </w:pPr>
    </w:p>
    <w:p>
      <w:pPr>
        <w:pStyle w:val="BodyText"/>
        <w:spacing w:line="360" w:lineRule="auto"/>
        <w:ind w:left="102" w:right="115"/>
        <w:jc w:val="both"/>
      </w:pPr>
      <w:r>
        <w:rPr/>
        <w:t>Por lo que se refiere a la aportación de Keynes a la teoría del crecimiento económico, hay que destacar que, desde su punto de vista, son dos las variables a considerar. Por un lado,</w:t>
      </w:r>
      <w:r>
        <w:rPr>
          <w:spacing w:val="-19"/>
        </w:rPr>
        <w:t> </w:t>
      </w:r>
      <w:r>
        <w:rPr/>
        <w:t>en su Teoría General (1936) concede gran importancia al </w:t>
      </w:r>
      <w:r>
        <w:rPr>
          <w:i/>
        </w:rPr>
        <w:t>animal spirit</w:t>
      </w:r>
      <w:r>
        <w:rPr/>
        <w:t>, </w:t>
      </w:r>
      <w:r>
        <w:rPr>
          <w:spacing w:val="-3"/>
        </w:rPr>
        <w:t>ya </w:t>
      </w:r>
      <w:r>
        <w:rPr/>
        <w:t>que afecta a las decisiones de inversión y por lo tanto al crecimiento y al ahorro. Para que sea beneficioso a la sociedad, el ahorro tiene que venir acompañado de una nueva inversión (Galindo,</w:t>
      </w:r>
      <w:r>
        <w:rPr>
          <w:spacing w:val="-11"/>
        </w:rPr>
        <w:t> </w:t>
      </w:r>
      <w:r>
        <w:rPr/>
        <w:t>2011).</w:t>
      </w:r>
    </w:p>
    <w:p>
      <w:pPr>
        <w:spacing w:after="0" w:line="360" w:lineRule="auto"/>
        <w:jc w:val="both"/>
        <w:sectPr>
          <w:pgSz w:w="12240" w:h="15840"/>
          <w:pgMar w:header="0" w:footer="1035" w:top="1360" w:bottom="1220" w:left="1600" w:right="1580"/>
        </w:sectPr>
      </w:pPr>
    </w:p>
    <w:p>
      <w:pPr>
        <w:pStyle w:val="BodyText"/>
        <w:spacing w:line="360" w:lineRule="auto" w:before="50"/>
        <w:ind w:left="102" w:right="118"/>
        <w:jc w:val="both"/>
      </w:pPr>
      <w:r>
        <w:rPr/>
        <w:t>Después de la publicación de la Teoría General en 1936, surgieron autores que han perseguido la transmisión y ampliación de las ideas expuestas por Keynes en algunos de sus trabajos, sobre todo en </w:t>
      </w:r>
      <w:r>
        <w:rPr>
          <w:i/>
        </w:rPr>
        <w:t>A Treatise on Money, How to pay the war</w:t>
      </w:r>
      <w:r>
        <w:rPr/>
        <w:t>, a estos autores se les conoce como poskeynesianos. Sin embargo es importante decir que los poskeynesianos persiguen una finalidad mucho más amplia que la de centrarse solo en desarrollar las ideas de</w:t>
      </w:r>
      <w:r>
        <w:rPr>
          <w:spacing w:val="-12"/>
        </w:rPr>
        <w:t> </w:t>
      </w:r>
      <w:r>
        <w:rPr/>
        <w:t>Keynes</w:t>
      </w:r>
      <w:r>
        <w:rPr>
          <w:spacing w:val="-11"/>
        </w:rPr>
        <w:t> </w:t>
      </w:r>
      <w:r>
        <w:rPr/>
        <w:t>desde</w:t>
      </w:r>
      <w:r>
        <w:rPr>
          <w:spacing w:val="-12"/>
        </w:rPr>
        <w:t> </w:t>
      </w:r>
      <w:r>
        <w:rPr/>
        <w:t>una</w:t>
      </w:r>
      <w:r>
        <w:rPr>
          <w:spacing w:val="-10"/>
        </w:rPr>
        <w:t> </w:t>
      </w:r>
      <w:r>
        <w:rPr/>
        <w:t>perspectiva</w:t>
      </w:r>
      <w:r>
        <w:rPr>
          <w:spacing w:val="-12"/>
        </w:rPr>
        <w:t> </w:t>
      </w:r>
      <w:r>
        <w:rPr/>
        <w:t>actual,</w:t>
      </w:r>
      <w:r>
        <w:rPr>
          <w:spacing w:val="-6"/>
        </w:rPr>
        <w:t> </w:t>
      </w:r>
      <w:r>
        <w:rPr>
          <w:spacing w:val="-3"/>
        </w:rPr>
        <w:t>ya</w:t>
      </w:r>
      <w:r>
        <w:rPr>
          <w:spacing w:val="-10"/>
        </w:rPr>
        <w:t> </w:t>
      </w:r>
      <w:r>
        <w:rPr/>
        <w:t>que</w:t>
      </w:r>
      <w:r>
        <w:rPr>
          <w:spacing w:val="-10"/>
        </w:rPr>
        <w:t> </w:t>
      </w:r>
      <w:r>
        <w:rPr/>
        <w:t>también</w:t>
      </w:r>
      <w:r>
        <w:rPr>
          <w:spacing w:val="-11"/>
        </w:rPr>
        <w:t> </w:t>
      </w:r>
      <w:r>
        <w:rPr/>
        <w:t>se</w:t>
      </w:r>
      <w:r>
        <w:rPr>
          <w:spacing w:val="-12"/>
        </w:rPr>
        <w:t> </w:t>
      </w:r>
      <w:r>
        <w:rPr/>
        <w:t>basan</w:t>
      </w:r>
      <w:r>
        <w:rPr>
          <w:spacing w:val="-11"/>
        </w:rPr>
        <w:t> </w:t>
      </w:r>
      <w:r>
        <w:rPr/>
        <w:t>en</w:t>
      </w:r>
      <w:r>
        <w:rPr>
          <w:spacing w:val="-9"/>
        </w:rPr>
        <w:t> </w:t>
      </w:r>
      <w:r>
        <w:rPr/>
        <w:t>las</w:t>
      </w:r>
      <w:r>
        <w:rPr>
          <w:spacing w:val="-9"/>
        </w:rPr>
        <w:t> </w:t>
      </w:r>
      <w:r>
        <w:rPr/>
        <w:t>aportaciones</w:t>
      </w:r>
      <w:r>
        <w:rPr>
          <w:spacing w:val="-11"/>
        </w:rPr>
        <w:t> </w:t>
      </w:r>
      <w:r>
        <w:rPr/>
        <w:t>de</w:t>
      </w:r>
      <w:r>
        <w:rPr>
          <w:spacing w:val="-12"/>
        </w:rPr>
        <w:t> </w:t>
      </w:r>
      <w:r>
        <w:rPr/>
        <w:t>otros autores con ideas más o menos afines a las de Keynes (Galindo,</w:t>
      </w:r>
      <w:r>
        <w:rPr>
          <w:spacing w:val="-15"/>
        </w:rPr>
        <w:t> </w:t>
      </w:r>
      <w:r>
        <w:rPr/>
        <w:t>2011).</w:t>
      </w:r>
    </w:p>
    <w:p>
      <w:pPr>
        <w:pStyle w:val="BodyText"/>
        <w:spacing w:before="5"/>
        <w:rPr>
          <w:sz w:val="21"/>
        </w:rPr>
      </w:pPr>
    </w:p>
    <w:p>
      <w:pPr>
        <w:pStyle w:val="BodyText"/>
        <w:spacing w:line="360" w:lineRule="auto"/>
        <w:ind w:left="102" w:right="123"/>
        <w:jc w:val="both"/>
      </w:pPr>
      <w:r>
        <w:rPr/>
        <w:t>Sus principales exponentes son Nicholas Kaldor, Joan Robinson, Richard Kanh y Luigi Pasinetti, quienes pusieron especial atención en “la tasa de ahorro, haciéndola función de la distribución del ingreso entre salarios y beneficios, los cuales se suponían relacionados con el hecho de que la economía estuviera en auge o recesión” (Thirlwall, 2003:54).</w:t>
      </w:r>
    </w:p>
    <w:p>
      <w:pPr>
        <w:pStyle w:val="BodyText"/>
        <w:spacing w:before="4"/>
        <w:rPr>
          <w:sz w:val="21"/>
        </w:rPr>
      </w:pPr>
    </w:p>
    <w:p>
      <w:pPr>
        <w:pStyle w:val="BodyText"/>
        <w:spacing w:line="360" w:lineRule="auto" w:before="1"/>
        <w:ind w:left="102" w:right="119"/>
        <w:jc w:val="both"/>
      </w:pPr>
      <w:r>
        <w:rPr/>
        <w:t>En</w:t>
      </w:r>
      <w:r>
        <w:rPr>
          <w:spacing w:val="-10"/>
        </w:rPr>
        <w:t> </w:t>
      </w:r>
      <w:r>
        <w:rPr/>
        <w:t>términos</w:t>
      </w:r>
      <w:r>
        <w:rPr>
          <w:spacing w:val="-9"/>
        </w:rPr>
        <w:t> </w:t>
      </w:r>
      <w:r>
        <w:rPr/>
        <w:t>generales,</w:t>
      </w:r>
      <w:r>
        <w:rPr>
          <w:spacing w:val="-10"/>
        </w:rPr>
        <w:t> </w:t>
      </w:r>
      <w:r>
        <w:rPr/>
        <w:t>los</w:t>
      </w:r>
      <w:r>
        <w:rPr>
          <w:spacing w:val="-9"/>
        </w:rPr>
        <w:t> </w:t>
      </w:r>
      <w:r>
        <w:rPr/>
        <w:t>modelos</w:t>
      </w:r>
      <w:r>
        <w:rPr>
          <w:spacing w:val="-10"/>
        </w:rPr>
        <w:t> </w:t>
      </w:r>
      <w:r>
        <w:rPr/>
        <w:t>poskeynesianos</w:t>
      </w:r>
      <w:r>
        <w:rPr>
          <w:spacing w:val="-9"/>
        </w:rPr>
        <w:t> </w:t>
      </w:r>
      <w:r>
        <w:rPr/>
        <w:t>de</w:t>
      </w:r>
      <w:r>
        <w:rPr>
          <w:spacing w:val="-11"/>
        </w:rPr>
        <w:t> </w:t>
      </w:r>
      <w:r>
        <w:rPr/>
        <w:t>crecimiento,</w:t>
      </w:r>
      <w:r>
        <w:rPr>
          <w:spacing w:val="-10"/>
        </w:rPr>
        <w:t> </w:t>
      </w:r>
      <w:r>
        <w:rPr/>
        <w:t>señalan</w:t>
      </w:r>
      <w:r>
        <w:rPr>
          <w:spacing w:val="-8"/>
        </w:rPr>
        <w:t> </w:t>
      </w:r>
      <w:r>
        <w:rPr/>
        <w:t>que</w:t>
      </w:r>
      <w:r>
        <w:rPr>
          <w:spacing w:val="-11"/>
        </w:rPr>
        <w:t> </w:t>
      </w:r>
      <w:r>
        <w:rPr/>
        <w:t>la</w:t>
      </w:r>
      <w:r>
        <w:rPr>
          <w:spacing w:val="-10"/>
        </w:rPr>
        <w:t> </w:t>
      </w:r>
      <w:r>
        <w:rPr/>
        <w:t>economía capitalista se caracteriza por ser inestable debido a la divergencia que existe entre los incentivos privados y los sociales, que conducen a fallos en la demanda efectiva. Así pues, el equilibrio solo es un caso particular de la tendencia general, que es el desequilibrio. El Estado es el encargado de hacer frente a dicha inestabilidad a través del gasto y frenando el poder de las grandes empresas y del sector financiero. En este ámbito, señalan que la acumulación de capital es importante para la economía, </w:t>
      </w:r>
      <w:r>
        <w:rPr>
          <w:spacing w:val="-3"/>
        </w:rPr>
        <w:t>ya </w:t>
      </w:r>
      <w:r>
        <w:rPr/>
        <w:t>que influye en la inversión </w:t>
      </w:r>
      <w:r>
        <w:rPr>
          <w:spacing w:val="-3"/>
        </w:rPr>
        <w:t>y,</w:t>
      </w:r>
      <w:r>
        <w:rPr>
          <w:spacing w:val="-24"/>
        </w:rPr>
        <w:t> </w:t>
      </w:r>
      <w:r>
        <w:rPr/>
        <w:t>por consiguiente, en el nivel de empleo (Galindo,</w:t>
      </w:r>
      <w:r>
        <w:rPr>
          <w:spacing w:val="-8"/>
        </w:rPr>
        <w:t> </w:t>
      </w:r>
      <w:r>
        <w:rPr/>
        <w:t>2011).</w:t>
      </w:r>
    </w:p>
    <w:p>
      <w:pPr>
        <w:pStyle w:val="BodyText"/>
        <w:spacing w:before="4"/>
        <w:rPr>
          <w:sz w:val="21"/>
        </w:rPr>
      </w:pPr>
    </w:p>
    <w:p>
      <w:pPr>
        <w:pStyle w:val="BodyText"/>
        <w:spacing w:line="360" w:lineRule="auto" w:before="1"/>
        <w:ind w:left="102" w:right="117"/>
        <w:jc w:val="both"/>
      </w:pPr>
      <w:r>
        <w:rPr/>
        <w:t>En concreto, los poskeynesianos desarrollan el modelo propuesto por Harrod por vías alternativas a las seguidas por Solow, incluyendo algunas hipótesis keynesianas. Los modelos se pueden clasificar en dos grandes grupos (Lavoie, 1992):</w:t>
      </w:r>
    </w:p>
    <w:p>
      <w:pPr>
        <w:pStyle w:val="BodyText"/>
        <w:spacing w:before="2"/>
        <w:rPr>
          <w:sz w:val="21"/>
        </w:rPr>
      </w:pPr>
    </w:p>
    <w:p>
      <w:pPr>
        <w:pStyle w:val="ListParagraph"/>
        <w:numPr>
          <w:ilvl w:val="0"/>
          <w:numId w:val="7"/>
        </w:numPr>
        <w:tabs>
          <w:tab w:pos="359" w:val="left" w:leader="none"/>
        </w:tabs>
        <w:spacing w:line="360" w:lineRule="auto" w:before="0" w:after="0"/>
        <w:ind w:left="102" w:right="118" w:firstLine="0"/>
        <w:jc w:val="both"/>
        <w:rPr>
          <w:sz w:val="24"/>
        </w:rPr>
      </w:pPr>
      <w:r>
        <w:rPr>
          <w:sz w:val="24"/>
        </w:rPr>
        <w:t>Los modelos neokeynesianos, entre los que cabe destacar las aportaciones de Robinson, Kaldor y Pasinetti. En ellos se hace especial hincapié en la distribución de la renta entre trabajadores</w:t>
      </w:r>
      <w:r>
        <w:rPr>
          <w:spacing w:val="-11"/>
          <w:sz w:val="24"/>
        </w:rPr>
        <w:t> </w:t>
      </w:r>
      <w:r>
        <w:rPr>
          <w:sz w:val="24"/>
        </w:rPr>
        <w:t>y</w:t>
      </w:r>
      <w:r>
        <w:rPr>
          <w:spacing w:val="-21"/>
          <w:sz w:val="24"/>
        </w:rPr>
        <w:t> </w:t>
      </w:r>
      <w:r>
        <w:rPr>
          <w:sz w:val="24"/>
        </w:rPr>
        <w:t>capitalistas.</w:t>
      </w:r>
      <w:r>
        <w:rPr>
          <w:spacing w:val="-16"/>
          <w:sz w:val="24"/>
        </w:rPr>
        <w:t> </w:t>
      </w:r>
      <w:r>
        <w:rPr>
          <w:sz w:val="24"/>
        </w:rPr>
        <w:t>Estos</w:t>
      </w:r>
      <w:r>
        <w:rPr>
          <w:spacing w:val="-15"/>
          <w:sz w:val="24"/>
        </w:rPr>
        <w:t> </w:t>
      </w:r>
      <w:r>
        <w:rPr>
          <w:sz w:val="24"/>
        </w:rPr>
        <w:t>últimos</w:t>
      </w:r>
      <w:r>
        <w:rPr>
          <w:spacing w:val="-16"/>
          <w:sz w:val="24"/>
        </w:rPr>
        <w:t> </w:t>
      </w:r>
      <w:r>
        <w:rPr>
          <w:sz w:val="24"/>
        </w:rPr>
        <w:t>son</w:t>
      </w:r>
      <w:r>
        <w:rPr>
          <w:spacing w:val="-16"/>
          <w:sz w:val="24"/>
        </w:rPr>
        <w:t> </w:t>
      </w:r>
      <w:r>
        <w:rPr>
          <w:sz w:val="24"/>
        </w:rPr>
        <w:t>los</w:t>
      </w:r>
      <w:r>
        <w:rPr>
          <w:spacing w:val="-15"/>
          <w:sz w:val="24"/>
        </w:rPr>
        <w:t> </w:t>
      </w:r>
      <w:r>
        <w:rPr>
          <w:sz w:val="24"/>
        </w:rPr>
        <w:t>únicos</w:t>
      </w:r>
      <w:r>
        <w:rPr>
          <w:spacing w:val="-16"/>
          <w:sz w:val="24"/>
        </w:rPr>
        <w:t> </w:t>
      </w:r>
      <w:r>
        <w:rPr>
          <w:sz w:val="24"/>
        </w:rPr>
        <w:t>que</w:t>
      </w:r>
      <w:r>
        <w:rPr>
          <w:spacing w:val="-17"/>
          <w:sz w:val="24"/>
        </w:rPr>
        <w:t> </w:t>
      </w:r>
      <w:r>
        <w:rPr>
          <w:sz w:val="24"/>
        </w:rPr>
        <w:t>ahorran,</w:t>
      </w:r>
      <w:r>
        <w:rPr>
          <w:spacing w:val="-16"/>
          <w:sz w:val="24"/>
        </w:rPr>
        <w:t> </w:t>
      </w:r>
      <w:r>
        <w:rPr>
          <w:sz w:val="24"/>
        </w:rPr>
        <w:t>por</w:t>
      </w:r>
      <w:r>
        <w:rPr>
          <w:spacing w:val="-17"/>
          <w:sz w:val="24"/>
        </w:rPr>
        <w:t> </w:t>
      </w:r>
      <w:r>
        <w:rPr>
          <w:sz w:val="24"/>
        </w:rPr>
        <w:t>lo</w:t>
      </w:r>
      <w:r>
        <w:rPr>
          <w:spacing w:val="-15"/>
          <w:sz w:val="24"/>
        </w:rPr>
        <w:t> </w:t>
      </w:r>
      <w:r>
        <w:rPr>
          <w:sz w:val="24"/>
        </w:rPr>
        <w:t>que</w:t>
      </w:r>
      <w:r>
        <w:rPr>
          <w:spacing w:val="-17"/>
          <w:sz w:val="24"/>
        </w:rPr>
        <w:t> </w:t>
      </w:r>
      <w:r>
        <w:rPr>
          <w:sz w:val="24"/>
        </w:rPr>
        <w:t>para</w:t>
      </w:r>
      <w:r>
        <w:rPr>
          <w:spacing w:val="-17"/>
          <w:sz w:val="24"/>
        </w:rPr>
        <w:t> </w:t>
      </w:r>
      <w:r>
        <w:rPr>
          <w:sz w:val="24"/>
        </w:rPr>
        <w:t>potenciar el crecimiento habría que tratar de desviar la renta hacia</w:t>
      </w:r>
      <w:r>
        <w:rPr>
          <w:spacing w:val="-15"/>
          <w:sz w:val="24"/>
        </w:rPr>
        <w:t> </w:t>
      </w:r>
      <w:r>
        <w:rPr>
          <w:sz w:val="24"/>
        </w:rPr>
        <w:t>ellos.</w:t>
      </w:r>
    </w:p>
    <w:p>
      <w:pPr>
        <w:pStyle w:val="ListParagraph"/>
        <w:numPr>
          <w:ilvl w:val="0"/>
          <w:numId w:val="7"/>
        </w:numPr>
        <w:tabs>
          <w:tab w:pos="359" w:val="left" w:leader="none"/>
        </w:tabs>
        <w:spacing w:line="360" w:lineRule="auto" w:before="4" w:after="0"/>
        <w:ind w:left="102" w:right="122" w:firstLine="0"/>
        <w:jc w:val="both"/>
        <w:rPr>
          <w:sz w:val="24"/>
        </w:rPr>
      </w:pPr>
      <w:r>
        <w:rPr>
          <w:sz w:val="24"/>
        </w:rPr>
        <w:t>Los modelos de corte kaleckiano, en los que se consideran aspectos relacionados con la concentración de empresas y el papel que podría desempeñar la política fiscal, entre otras, para potenciar el</w:t>
      </w:r>
      <w:r>
        <w:rPr>
          <w:spacing w:val="-5"/>
          <w:sz w:val="24"/>
        </w:rPr>
        <w:t> </w:t>
      </w:r>
      <w:r>
        <w:rPr>
          <w:sz w:val="24"/>
        </w:rPr>
        <w:t>crecimiento.</w:t>
      </w:r>
    </w:p>
    <w:p>
      <w:pPr>
        <w:spacing w:after="0" w:line="360" w:lineRule="auto"/>
        <w:jc w:val="both"/>
        <w:rPr>
          <w:sz w:val="24"/>
        </w:rPr>
        <w:sectPr>
          <w:pgSz w:w="12240" w:h="15840"/>
          <w:pgMar w:header="0" w:footer="1035" w:top="1360" w:bottom="1220" w:left="1600" w:right="1580"/>
        </w:sectPr>
      </w:pPr>
    </w:p>
    <w:p>
      <w:pPr>
        <w:pStyle w:val="BodyText"/>
        <w:spacing w:line="360" w:lineRule="auto" w:before="50"/>
        <w:ind w:left="102" w:right="117"/>
        <w:jc w:val="both"/>
      </w:pPr>
      <w:r>
        <w:rPr/>
        <w:t>Es importante mencionar que el sustento teórico de este trabajo se fundamenta en el aporte poskeynesiano de Nicholas Kaldor (1966), quien destaca que el sector industrial es una vía para el progreso económico. Esta aportación se resume en las tres leyes de Kaldor de las cuales hablaremos con más detalle en el siguiente apartado.</w:t>
      </w:r>
    </w:p>
    <w:p>
      <w:pPr>
        <w:pStyle w:val="BodyText"/>
        <w:spacing w:before="7"/>
        <w:rPr>
          <w:sz w:val="21"/>
        </w:rPr>
      </w:pPr>
    </w:p>
    <w:p>
      <w:pPr>
        <w:pStyle w:val="Heading1"/>
        <w:numPr>
          <w:ilvl w:val="1"/>
          <w:numId w:val="6"/>
        </w:numPr>
        <w:tabs>
          <w:tab w:pos="522" w:val="left" w:leader="none"/>
        </w:tabs>
        <w:spacing w:line="240" w:lineRule="auto" w:before="0" w:after="0"/>
        <w:ind w:left="522" w:right="0" w:hanging="420"/>
        <w:jc w:val="both"/>
      </w:pPr>
      <w:bookmarkStart w:name="_TOC_250032" w:id="3"/>
      <w:r>
        <w:rPr/>
        <w:t>Las tres leyes de</w:t>
      </w:r>
      <w:r>
        <w:rPr>
          <w:spacing w:val="-7"/>
        </w:rPr>
        <w:t> </w:t>
      </w:r>
      <w:bookmarkEnd w:id="3"/>
      <w:r>
        <w:rPr/>
        <w:t>Kaldor</w:t>
      </w:r>
    </w:p>
    <w:p>
      <w:pPr>
        <w:pStyle w:val="BodyText"/>
        <w:spacing w:before="6"/>
        <w:rPr>
          <w:b/>
          <w:sz w:val="32"/>
        </w:rPr>
      </w:pPr>
    </w:p>
    <w:p>
      <w:pPr>
        <w:pStyle w:val="BodyText"/>
        <w:spacing w:line="360" w:lineRule="auto"/>
        <w:ind w:left="102" w:right="115"/>
        <w:jc w:val="both"/>
      </w:pPr>
      <w:r>
        <w:rPr/>
        <w:t>Una vez que se ha revisado de manera general, la evolución que ha tenido la teoría del crecimiento económico, es necesario puntualizar en el enfoque de Nicholas Kaldor. Sus aportaciones, las cuales se han formalizado en las llamadas tres leyes de Kaldor, proporcionan el marco teórico de esta investigación.</w:t>
      </w:r>
    </w:p>
    <w:p>
      <w:pPr>
        <w:pStyle w:val="BodyText"/>
        <w:spacing w:before="4"/>
        <w:rPr>
          <w:sz w:val="21"/>
        </w:rPr>
      </w:pPr>
    </w:p>
    <w:p>
      <w:pPr>
        <w:pStyle w:val="BodyText"/>
        <w:spacing w:line="360" w:lineRule="auto" w:before="1"/>
        <w:ind w:left="102" w:right="119"/>
        <w:jc w:val="both"/>
      </w:pPr>
      <w:r>
        <w:rPr/>
        <w:t>Kaldor (1966) argumentó que es difícil entender el proceso de crecimiento económico sin tomar en cuenta la importancia de los sectores, es decir la explicación del desarrollo y del surgimiento y persistencia de polos de crecimiento y estancamiento exigía dejar de lado los modelos de un sector, y utilizar esquemas multisectoriales para estudiar las interrelaciones entre</w:t>
      </w:r>
      <w:r>
        <w:rPr>
          <w:spacing w:val="-17"/>
        </w:rPr>
        <w:t> </w:t>
      </w:r>
      <w:r>
        <w:rPr/>
        <w:t>los</w:t>
      </w:r>
      <w:r>
        <w:rPr>
          <w:spacing w:val="-15"/>
        </w:rPr>
        <w:t> </w:t>
      </w:r>
      <w:r>
        <w:rPr/>
        <w:t>sectores,</w:t>
      </w:r>
      <w:r>
        <w:rPr>
          <w:spacing w:val="-16"/>
        </w:rPr>
        <w:t> </w:t>
      </w:r>
      <w:r>
        <w:rPr/>
        <w:t>distinguiendo</w:t>
      </w:r>
      <w:r>
        <w:rPr>
          <w:spacing w:val="-16"/>
        </w:rPr>
        <w:t> </w:t>
      </w:r>
      <w:r>
        <w:rPr/>
        <w:t>entre</w:t>
      </w:r>
      <w:r>
        <w:rPr>
          <w:spacing w:val="-17"/>
        </w:rPr>
        <w:t> </w:t>
      </w:r>
      <w:r>
        <w:rPr/>
        <w:t>actividades</w:t>
      </w:r>
      <w:r>
        <w:rPr>
          <w:spacing w:val="-16"/>
        </w:rPr>
        <w:t> </w:t>
      </w:r>
      <w:r>
        <w:rPr/>
        <w:t>con</w:t>
      </w:r>
      <w:r>
        <w:rPr>
          <w:spacing w:val="-16"/>
        </w:rPr>
        <w:t> </w:t>
      </w:r>
      <w:r>
        <w:rPr/>
        <w:t>rendimientos</w:t>
      </w:r>
      <w:r>
        <w:rPr>
          <w:spacing w:val="-16"/>
        </w:rPr>
        <w:t> </w:t>
      </w:r>
      <w:r>
        <w:rPr/>
        <w:t>crecientes</w:t>
      </w:r>
      <w:r>
        <w:rPr>
          <w:spacing w:val="-14"/>
        </w:rPr>
        <w:t> </w:t>
      </w:r>
      <w:r>
        <w:rPr/>
        <w:t>y</w:t>
      </w:r>
      <w:r>
        <w:rPr>
          <w:spacing w:val="-21"/>
        </w:rPr>
        <w:t> </w:t>
      </w:r>
      <w:r>
        <w:rPr/>
        <w:t>decrecientes. Los primeros se encuentran en el sector industrial, mientras que los segundos en el sector primario (Citado por McCombie y Thirlwall,</w:t>
      </w:r>
      <w:r>
        <w:rPr>
          <w:spacing w:val="-8"/>
        </w:rPr>
        <w:t> </w:t>
      </w:r>
      <w:r>
        <w:rPr/>
        <w:t>1994).</w:t>
      </w:r>
    </w:p>
    <w:p>
      <w:pPr>
        <w:pStyle w:val="BodyText"/>
        <w:spacing w:before="2"/>
        <w:rPr>
          <w:sz w:val="21"/>
        </w:rPr>
      </w:pPr>
    </w:p>
    <w:p>
      <w:pPr>
        <w:pStyle w:val="BodyText"/>
        <w:spacing w:line="360" w:lineRule="auto"/>
        <w:ind w:left="102" w:right="117"/>
        <w:jc w:val="both"/>
      </w:pPr>
      <w:r>
        <w:rPr/>
        <w:t>Para</w:t>
      </w:r>
      <w:r>
        <w:rPr>
          <w:spacing w:val="-15"/>
        </w:rPr>
        <w:t> </w:t>
      </w:r>
      <w:r>
        <w:rPr/>
        <w:t>Kaldor</w:t>
      </w:r>
      <w:r>
        <w:rPr>
          <w:spacing w:val="-14"/>
        </w:rPr>
        <w:t> </w:t>
      </w:r>
      <w:r>
        <w:rPr/>
        <w:t>“el</w:t>
      </w:r>
      <w:r>
        <w:rPr>
          <w:spacing w:val="-12"/>
        </w:rPr>
        <w:t> </w:t>
      </w:r>
      <w:r>
        <w:rPr/>
        <w:t>crecimiento</w:t>
      </w:r>
      <w:r>
        <w:rPr>
          <w:spacing w:val="-13"/>
        </w:rPr>
        <w:t> </w:t>
      </w:r>
      <w:r>
        <w:rPr/>
        <w:t>económico</w:t>
      </w:r>
      <w:r>
        <w:rPr>
          <w:spacing w:val="-13"/>
        </w:rPr>
        <w:t> </w:t>
      </w:r>
      <w:r>
        <w:rPr/>
        <w:t>es</w:t>
      </w:r>
      <w:r>
        <w:rPr>
          <w:spacing w:val="-12"/>
        </w:rPr>
        <w:t> </w:t>
      </w:r>
      <w:r>
        <w:rPr/>
        <w:t>el</w:t>
      </w:r>
      <w:r>
        <w:rPr>
          <w:spacing w:val="-13"/>
        </w:rPr>
        <w:t> </w:t>
      </w:r>
      <w:r>
        <w:rPr/>
        <w:t>resultado</w:t>
      </w:r>
      <w:r>
        <w:rPr>
          <w:spacing w:val="-14"/>
        </w:rPr>
        <w:t> </w:t>
      </w:r>
      <w:r>
        <w:rPr/>
        <w:t>de</w:t>
      </w:r>
      <w:r>
        <w:rPr>
          <w:spacing w:val="-14"/>
        </w:rPr>
        <w:t> </w:t>
      </w:r>
      <w:r>
        <w:rPr/>
        <w:t>un</w:t>
      </w:r>
      <w:r>
        <w:rPr>
          <w:spacing w:val="-13"/>
        </w:rPr>
        <w:t> </w:t>
      </w:r>
      <w:r>
        <w:rPr/>
        <w:t>proceso</w:t>
      </w:r>
      <w:r>
        <w:rPr>
          <w:spacing w:val="-12"/>
        </w:rPr>
        <w:t> </w:t>
      </w:r>
      <w:r>
        <w:rPr/>
        <w:t>complejo</w:t>
      </w:r>
      <w:r>
        <w:rPr>
          <w:spacing w:val="-13"/>
        </w:rPr>
        <w:t> </w:t>
      </w:r>
      <w:r>
        <w:rPr/>
        <w:t>de</w:t>
      </w:r>
      <w:r>
        <w:rPr>
          <w:spacing w:val="-14"/>
        </w:rPr>
        <w:t> </w:t>
      </w:r>
      <w:r>
        <w:rPr/>
        <w:t>interacción entre incrementos de la demanda inducidos por incrementos en la oferta, y de incrementos en la oferta generados como respuesta al incremento de la demanda”, (Kaldor, 1966:19). Desde el punto de vista de la demanda, los determinantes del crecimiento del producto manufacturero son al menos cuatro: el consumo, la inversión interna, la inversión externa y las</w:t>
      </w:r>
      <w:r>
        <w:rPr>
          <w:spacing w:val="-9"/>
        </w:rPr>
        <w:t> </w:t>
      </w:r>
      <w:r>
        <w:rPr/>
        <w:t>exportaciones</w:t>
      </w:r>
      <w:r>
        <w:rPr>
          <w:spacing w:val="-8"/>
        </w:rPr>
        <w:t> </w:t>
      </w:r>
      <w:r>
        <w:rPr/>
        <w:t>netas.</w:t>
      </w:r>
      <w:r>
        <w:rPr>
          <w:spacing w:val="-9"/>
        </w:rPr>
        <w:t> </w:t>
      </w:r>
      <w:r>
        <w:rPr/>
        <w:t>Por</w:t>
      </w:r>
      <w:r>
        <w:rPr>
          <w:spacing w:val="-9"/>
        </w:rPr>
        <w:t> </w:t>
      </w:r>
      <w:r>
        <w:rPr/>
        <w:t>el</w:t>
      </w:r>
      <w:r>
        <w:rPr>
          <w:spacing w:val="-8"/>
        </w:rPr>
        <w:t> </w:t>
      </w:r>
      <w:r>
        <w:rPr/>
        <w:t>lado</w:t>
      </w:r>
      <w:r>
        <w:rPr>
          <w:spacing w:val="-9"/>
        </w:rPr>
        <w:t> </w:t>
      </w:r>
      <w:r>
        <w:rPr/>
        <w:t>de</w:t>
      </w:r>
      <w:r>
        <w:rPr>
          <w:spacing w:val="-10"/>
        </w:rPr>
        <w:t> </w:t>
      </w:r>
      <w:r>
        <w:rPr/>
        <w:t>la</w:t>
      </w:r>
      <w:r>
        <w:rPr>
          <w:spacing w:val="-9"/>
        </w:rPr>
        <w:t> </w:t>
      </w:r>
      <w:r>
        <w:rPr/>
        <w:t>oferta</w:t>
      </w:r>
      <w:r>
        <w:rPr>
          <w:spacing w:val="-10"/>
        </w:rPr>
        <w:t> </w:t>
      </w:r>
      <w:r>
        <w:rPr/>
        <w:t>existen</w:t>
      </w:r>
      <w:r>
        <w:rPr>
          <w:spacing w:val="-9"/>
        </w:rPr>
        <w:t> </w:t>
      </w:r>
      <w:r>
        <w:rPr/>
        <w:t>dos</w:t>
      </w:r>
      <w:r>
        <w:rPr>
          <w:spacing w:val="-8"/>
        </w:rPr>
        <w:t> </w:t>
      </w:r>
      <w:r>
        <w:rPr/>
        <w:t>tipos</w:t>
      </w:r>
      <w:r>
        <w:rPr>
          <w:spacing w:val="-8"/>
        </w:rPr>
        <w:t> </w:t>
      </w:r>
      <w:r>
        <w:rPr/>
        <w:t>de</w:t>
      </w:r>
      <w:r>
        <w:rPr>
          <w:spacing w:val="-10"/>
        </w:rPr>
        <w:t> </w:t>
      </w:r>
      <w:r>
        <w:rPr/>
        <w:t>restricciones:</w:t>
      </w:r>
      <w:r>
        <w:rPr>
          <w:spacing w:val="-8"/>
        </w:rPr>
        <w:t> </w:t>
      </w:r>
      <w:r>
        <w:rPr/>
        <w:t>de</w:t>
      </w:r>
      <w:r>
        <w:rPr>
          <w:spacing w:val="-10"/>
        </w:rPr>
        <w:t> </w:t>
      </w:r>
      <w:r>
        <w:rPr/>
        <w:t>insumos o</w:t>
      </w:r>
      <w:r>
        <w:rPr>
          <w:spacing w:val="-6"/>
        </w:rPr>
        <w:t> </w:t>
      </w:r>
      <w:r>
        <w:rPr/>
        <w:t>de</w:t>
      </w:r>
      <w:r>
        <w:rPr>
          <w:spacing w:val="-7"/>
        </w:rPr>
        <w:t> </w:t>
      </w:r>
      <w:r>
        <w:rPr/>
        <w:t>trabajo.</w:t>
      </w:r>
      <w:r>
        <w:rPr>
          <w:spacing w:val="-6"/>
        </w:rPr>
        <w:t> </w:t>
      </w:r>
      <w:r>
        <w:rPr/>
        <w:t>Asimismo,</w:t>
      </w:r>
      <w:r>
        <w:rPr>
          <w:spacing w:val="-5"/>
        </w:rPr>
        <w:t> </w:t>
      </w:r>
      <w:r>
        <w:rPr/>
        <w:t>Kaldor</w:t>
      </w:r>
      <w:r>
        <w:rPr>
          <w:spacing w:val="-7"/>
        </w:rPr>
        <w:t> </w:t>
      </w:r>
      <w:r>
        <w:rPr/>
        <w:t>reconoció</w:t>
      </w:r>
      <w:r>
        <w:rPr>
          <w:spacing w:val="-5"/>
        </w:rPr>
        <w:t> </w:t>
      </w:r>
      <w:r>
        <w:rPr/>
        <w:t>que</w:t>
      </w:r>
      <w:r>
        <w:rPr>
          <w:spacing w:val="-5"/>
        </w:rPr>
        <w:t> </w:t>
      </w:r>
      <w:r>
        <w:rPr/>
        <w:t>en</w:t>
      </w:r>
      <w:r>
        <w:rPr>
          <w:spacing w:val="-4"/>
        </w:rPr>
        <w:t> </w:t>
      </w:r>
      <w:r>
        <w:rPr/>
        <w:t>los</w:t>
      </w:r>
      <w:r>
        <w:rPr>
          <w:spacing w:val="-6"/>
        </w:rPr>
        <w:t> </w:t>
      </w:r>
      <w:r>
        <w:rPr/>
        <w:t>países</w:t>
      </w:r>
      <w:r>
        <w:rPr>
          <w:spacing w:val="-6"/>
        </w:rPr>
        <w:t> </w:t>
      </w:r>
      <w:r>
        <w:rPr/>
        <w:t>en</w:t>
      </w:r>
      <w:r>
        <w:rPr>
          <w:spacing w:val="-6"/>
        </w:rPr>
        <w:t> </w:t>
      </w:r>
      <w:r>
        <w:rPr/>
        <w:t>vías</w:t>
      </w:r>
      <w:r>
        <w:rPr>
          <w:spacing w:val="-6"/>
        </w:rPr>
        <w:t> </w:t>
      </w:r>
      <w:r>
        <w:rPr/>
        <w:t>de</w:t>
      </w:r>
      <w:r>
        <w:rPr>
          <w:spacing w:val="-7"/>
        </w:rPr>
        <w:t> </w:t>
      </w:r>
      <w:r>
        <w:rPr/>
        <w:t>desarrollo</w:t>
      </w:r>
      <w:r>
        <w:rPr>
          <w:spacing w:val="-6"/>
        </w:rPr>
        <w:t> </w:t>
      </w:r>
      <w:r>
        <w:rPr/>
        <w:t>los</w:t>
      </w:r>
      <w:r>
        <w:rPr>
          <w:spacing w:val="-6"/>
        </w:rPr>
        <w:t> </w:t>
      </w:r>
      <w:r>
        <w:rPr/>
        <w:t>factores de demanda actuaban antes que los de la oferta (Calderón y Sánchez,</w:t>
      </w:r>
      <w:r>
        <w:rPr>
          <w:spacing w:val="-11"/>
        </w:rPr>
        <w:t> </w:t>
      </w:r>
      <w:r>
        <w:rPr/>
        <w:t>2012)</w:t>
      </w:r>
    </w:p>
    <w:p>
      <w:pPr>
        <w:pStyle w:val="BodyText"/>
        <w:spacing w:before="2"/>
        <w:rPr>
          <w:sz w:val="21"/>
        </w:rPr>
      </w:pPr>
    </w:p>
    <w:p>
      <w:pPr>
        <w:pStyle w:val="BodyText"/>
        <w:spacing w:line="360" w:lineRule="auto"/>
        <w:ind w:left="102" w:right="119"/>
        <w:jc w:val="both"/>
      </w:pPr>
      <w:r>
        <w:rPr/>
        <w:t>En</w:t>
      </w:r>
      <w:r>
        <w:rPr>
          <w:spacing w:val="-15"/>
        </w:rPr>
        <w:t> </w:t>
      </w:r>
      <w:r>
        <w:rPr/>
        <w:t>su</w:t>
      </w:r>
      <w:r>
        <w:rPr>
          <w:spacing w:val="-15"/>
        </w:rPr>
        <w:t> </w:t>
      </w:r>
      <w:r>
        <w:rPr/>
        <w:t>artículo</w:t>
      </w:r>
      <w:r>
        <w:rPr>
          <w:spacing w:val="-14"/>
        </w:rPr>
        <w:t> </w:t>
      </w:r>
      <w:r>
        <w:rPr/>
        <w:t>“Causas</w:t>
      </w:r>
      <w:r>
        <w:rPr>
          <w:spacing w:val="-15"/>
        </w:rPr>
        <w:t> </w:t>
      </w:r>
      <w:r>
        <w:rPr/>
        <w:t>del</w:t>
      </w:r>
      <w:r>
        <w:rPr>
          <w:spacing w:val="-14"/>
        </w:rPr>
        <w:t> </w:t>
      </w:r>
      <w:r>
        <w:rPr/>
        <w:t>lento</w:t>
      </w:r>
      <w:r>
        <w:rPr>
          <w:spacing w:val="-15"/>
        </w:rPr>
        <w:t> </w:t>
      </w:r>
      <w:r>
        <w:rPr/>
        <w:t>ritmo</w:t>
      </w:r>
      <w:r>
        <w:rPr>
          <w:spacing w:val="-14"/>
        </w:rPr>
        <w:t> </w:t>
      </w:r>
      <w:r>
        <w:rPr/>
        <w:t>de</w:t>
      </w:r>
      <w:r>
        <w:rPr>
          <w:spacing w:val="-14"/>
        </w:rPr>
        <w:t> </w:t>
      </w:r>
      <w:r>
        <w:rPr/>
        <w:t>crecimiento</w:t>
      </w:r>
      <w:r>
        <w:rPr>
          <w:spacing w:val="-14"/>
        </w:rPr>
        <w:t> </w:t>
      </w:r>
      <w:r>
        <w:rPr/>
        <w:t>del</w:t>
      </w:r>
      <w:r>
        <w:rPr>
          <w:spacing w:val="-14"/>
        </w:rPr>
        <w:t> </w:t>
      </w:r>
      <w:r>
        <w:rPr/>
        <w:t>Reino</w:t>
      </w:r>
      <w:r>
        <w:rPr>
          <w:spacing w:val="-14"/>
        </w:rPr>
        <w:t> </w:t>
      </w:r>
      <w:r>
        <w:rPr/>
        <w:t>Unido”</w:t>
      </w:r>
      <w:r>
        <w:rPr>
          <w:spacing w:val="-16"/>
        </w:rPr>
        <w:t> </w:t>
      </w:r>
      <w:r>
        <w:rPr/>
        <w:t>(1966),</w:t>
      </w:r>
      <w:r>
        <w:rPr>
          <w:spacing w:val="33"/>
        </w:rPr>
        <w:t> </w:t>
      </w:r>
      <w:r>
        <w:rPr/>
        <w:t>Kaldor</w:t>
      </w:r>
      <w:r>
        <w:rPr>
          <w:spacing w:val="-15"/>
        </w:rPr>
        <w:t> </w:t>
      </w:r>
      <w:r>
        <w:rPr/>
        <w:t>busca explicar las diferencias en las tasa de crecimiento, en términos del estado de desarrollo económico alcanzado por diversos países; en este sentido, la hipótesis central que Kaldor planteaba era que “el rápido ritmo de crecimiento económico está asociado con altas tasa</w:t>
      </w:r>
      <w:r>
        <w:rPr>
          <w:spacing w:val="-2"/>
        </w:rPr>
        <w:t> </w:t>
      </w:r>
      <w:r>
        <w:rPr/>
        <w:t>de</w:t>
      </w:r>
    </w:p>
    <w:p>
      <w:pPr>
        <w:spacing w:after="0" w:line="360" w:lineRule="auto"/>
        <w:jc w:val="both"/>
        <w:sectPr>
          <w:pgSz w:w="12240" w:h="15840"/>
          <w:pgMar w:header="0" w:footer="1035" w:top="1360" w:bottom="1220" w:left="1600" w:right="1580"/>
        </w:sectPr>
      </w:pPr>
    </w:p>
    <w:p>
      <w:pPr>
        <w:pStyle w:val="BodyText"/>
        <w:spacing w:line="352" w:lineRule="auto" w:before="50"/>
        <w:ind w:left="122" w:right="116"/>
        <w:jc w:val="both"/>
      </w:pPr>
      <w:r>
        <w:rPr/>
        <w:t>crecimiento</w:t>
      </w:r>
      <w:r>
        <w:rPr>
          <w:spacing w:val="31"/>
        </w:rPr>
        <w:t> </w:t>
      </w:r>
      <w:r>
        <w:rPr/>
        <w:t>del</w:t>
      </w:r>
      <w:r>
        <w:rPr>
          <w:spacing w:val="-15"/>
        </w:rPr>
        <w:t> </w:t>
      </w:r>
      <w:r>
        <w:rPr/>
        <w:t>sector</w:t>
      </w:r>
      <w:r>
        <w:rPr>
          <w:spacing w:val="-16"/>
        </w:rPr>
        <w:t> </w:t>
      </w:r>
      <w:r>
        <w:rPr/>
        <w:t>“secundario”</w:t>
      </w:r>
      <w:r>
        <w:rPr>
          <w:spacing w:val="-17"/>
        </w:rPr>
        <w:t> </w:t>
      </w:r>
      <w:r>
        <w:rPr/>
        <w:t>de</w:t>
      </w:r>
      <w:r>
        <w:rPr>
          <w:spacing w:val="-15"/>
        </w:rPr>
        <w:t> </w:t>
      </w:r>
      <w:r>
        <w:rPr/>
        <w:t>la</w:t>
      </w:r>
      <w:r>
        <w:rPr>
          <w:spacing w:val="-16"/>
        </w:rPr>
        <w:t> </w:t>
      </w:r>
      <w:r>
        <w:rPr/>
        <w:t>economía-</w:t>
      </w:r>
      <w:r>
        <w:rPr>
          <w:spacing w:val="-17"/>
        </w:rPr>
        <w:t> </w:t>
      </w:r>
      <w:r>
        <w:rPr/>
        <w:t>principalmente</w:t>
      </w:r>
      <w:r>
        <w:rPr>
          <w:spacing w:val="-16"/>
        </w:rPr>
        <w:t> </w:t>
      </w:r>
      <w:r>
        <w:rPr/>
        <w:t>el</w:t>
      </w:r>
      <w:r>
        <w:rPr>
          <w:spacing w:val="-13"/>
        </w:rPr>
        <w:t> </w:t>
      </w:r>
      <w:r>
        <w:rPr/>
        <w:t>sector</w:t>
      </w:r>
      <w:r>
        <w:rPr>
          <w:spacing w:val="-17"/>
        </w:rPr>
        <w:t> </w:t>
      </w:r>
      <w:r>
        <w:rPr/>
        <w:t>manufacturero- y esto es una particularidad de un estadio intermedio del desarrollo económico; ésta es una característica de la transición de la “inmadurez” a la “madurez”</w:t>
      </w:r>
      <w:r>
        <w:rPr>
          <w:position w:val="9"/>
          <w:sz w:val="16"/>
        </w:rPr>
        <w:t>3</w:t>
      </w:r>
      <w:r>
        <w:rPr/>
        <w:t>, (Kaldor,</w:t>
      </w:r>
      <w:r>
        <w:rPr>
          <w:spacing w:val="-10"/>
        </w:rPr>
        <w:t> </w:t>
      </w:r>
      <w:r>
        <w:rPr/>
        <w:t>1966:10).</w:t>
      </w:r>
    </w:p>
    <w:p>
      <w:pPr>
        <w:pStyle w:val="BodyText"/>
        <w:spacing w:before="4"/>
        <w:rPr>
          <w:sz w:val="21"/>
        </w:rPr>
      </w:pPr>
    </w:p>
    <w:p>
      <w:pPr>
        <w:pStyle w:val="BodyText"/>
        <w:spacing w:line="360" w:lineRule="auto"/>
        <w:ind w:left="122" w:right="117"/>
        <w:jc w:val="both"/>
      </w:pPr>
      <w:r>
        <w:rPr/>
        <w:t>De esta manera, para Kaldor la economía británica había alcanzado un alto nivel de “madurez”, antes de haber alcanzado niveles particularmente altos de productividad o de ingreso real per cápita (Kaldor, 1966).</w:t>
      </w:r>
    </w:p>
    <w:p>
      <w:pPr>
        <w:pStyle w:val="BodyText"/>
        <w:spacing w:before="3"/>
        <w:rPr>
          <w:sz w:val="21"/>
        </w:rPr>
      </w:pPr>
    </w:p>
    <w:p>
      <w:pPr>
        <w:pStyle w:val="BodyText"/>
        <w:spacing w:line="360" w:lineRule="auto"/>
        <w:ind w:left="122" w:right="119"/>
        <w:jc w:val="both"/>
      </w:pPr>
      <w:r>
        <w:rPr/>
        <w:t>Para comprobar dicha hipótesis, Kaldor analizó las tasas de crecimiento del PIB y de la producción manufacturera de 12 países industriales avanzados para el periodo de 1953 a 1964,</w:t>
      </w:r>
      <w:r>
        <w:rPr>
          <w:spacing w:val="-4"/>
        </w:rPr>
        <w:t> </w:t>
      </w:r>
      <w:r>
        <w:rPr/>
        <w:t>y</w:t>
      </w:r>
      <w:r>
        <w:rPr>
          <w:spacing w:val="-9"/>
        </w:rPr>
        <w:t> </w:t>
      </w:r>
      <w:r>
        <w:rPr/>
        <w:t>encontró</w:t>
      </w:r>
      <w:r>
        <w:rPr>
          <w:spacing w:val="-6"/>
        </w:rPr>
        <w:t> </w:t>
      </w:r>
      <w:r>
        <w:rPr/>
        <w:t>que</w:t>
      </w:r>
      <w:r>
        <w:rPr>
          <w:spacing w:val="-7"/>
        </w:rPr>
        <w:t> </w:t>
      </w:r>
      <w:r>
        <w:rPr/>
        <w:t>existe</w:t>
      </w:r>
      <w:r>
        <w:rPr>
          <w:spacing w:val="-7"/>
        </w:rPr>
        <w:t> </w:t>
      </w:r>
      <w:r>
        <w:rPr/>
        <w:t>una</w:t>
      </w:r>
      <w:r>
        <w:rPr>
          <w:spacing w:val="-7"/>
        </w:rPr>
        <w:t> </w:t>
      </w:r>
      <w:r>
        <w:rPr/>
        <w:t>relación</w:t>
      </w:r>
      <w:r>
        <w:rPr>
          <w:spacing w:val="-6"/>
        </w:rPr>
        <w:t> </w:t>
      </w:r>
      <w:r>
        <w:rPr/>
        <w:t>muy</w:t>
      </w:r>
      <w:r>
        <w:rPr>
          <w:spacing w:val="-11"/>
        </w:rPr>
        <w:t> </w:t>
      </w:r>
      <w:r>
        <w:rPr/>
        <w:t>significativa</w:t>
      </w:r>
      <w:r>
        <w:rPr>
          <w:spacing w:val="-7"/>
        </w:rPr>
        <w:t> </w:t>
      </w:r>
      <w:r>
        <w:rPr/>
        <w:t>entre</w:t>
      </w:r>
      <w:r>
        <w:rPr>
          <w:spacing w:val="-7"/>
        </w:rPr>
        <w:t> </w:t>
      </w:r>
      <w:r>
        <w:rPr/>
        <w:t>ambas</w:t>
      </w:r>
      <w:r>
        <w:rPr>
          <w:spacing w:val="-4"/>
        </w:rPr>
        <w:t> </w:t>
      </w:r>
      <w:r>
        <w:rPr/>
        <w:t>tasas</w:t>
      </w:r>
      <w:r>
        <w:rPr>
          <w:spacing w:val="-4"/>
        </w:rPr>
        <w:t> </w:t>
      </w:r>
      <w:r>
        <w:rPr/>
        <w:t>de</w:t>
      </w:r>
      <w:r>
        <w:rPr>
          <w:spacing w:val="-7"/>
        </w:rPr>
        <w:t> </w:t>
      </w:r>
      <w:r>
        <w:rPr/>
        <w:t>crecimiento. En este sentido, Kaldor menciona que la razón que explica dicha relación consiste en “la existencia de economías de escala, o rendimientos crecientes, que hace incrementar la productividad en respuesta al, o como producto del incremento de producto total” (Kaldor, 1966:13).</w:t>
      </w:r>
    </w:p>
    <w:p>
      <w:pPr>
        <w:pStyle w:val="BodyText"/>
        <w:spacing w:before="5"/>
        <w:rPr>
          <w:sz w:val="21"/>
        </w:rPr>
      </w:pPr>
    </w:p>
    <w:p>
      <w:pPr>
        <w:pStyle w:val="BodyText"/>
        <w:spacing w:line="360" w:lineRule="auto"/>
        <w:ind w:left="122" w:right="116"/>
        <w:jc w:val="both"/>
      </w:pPr>
      <w:r>
        <w:rPr/>
        <w:t>El argumento de que las actividades manufactureras estén sujetas a la “Ley de rendimientos decrecientes”</w:t>
      </w:r>
      <w:r>
        <w:rPr>
          <w:spacing w:val="-7"/>
        </w:rPr>
        <w:t> </w:t>
      </w:r>
      <w:r>
        <w:rPr/>
        <w:t>se</w:t>
      </w:r>
      <w:r>
        <w:rPr>
          <w:spacing w:val="-7"/>
        </w:rPr>
        <w:t> </w:t>
      </w:r>
      <w:r>
        <w:rPr/>
        <w:t>encuentra</w:t>
      </w:r>
      <w:r>
        <w:rPr>
          <w:spacing w:val="-7"/>
        </w:rPr>
        <w:t> </w:t>
      </w:r>
      <w:r>
        <w:rPr/>
        <w:t>en</w:t>
      </w:r>
      <w:r>
        <w:rPr>
          <w:spacing w:val="-6"/>
        </w:rPr>
        <w:t> </w:t>
      </w:r>
      <w:r>
        <w:rPr/>
        <w:t>la</w:t>
      </w:r>
      <w:r>
        <w:rPr>
          <w:spacing w:val="-7"/>
        </w:rPr>
        <w:t> </w:t>
      </w:r>
      <w:r>
        <w:rPr/>
        <w:t>obra</w:t>
      </w:r>
      <w:r>
        <w:rPr>
          <w:spacing w:val="-7"/>
        </w:rPr>
        <w:t> </w:t>
      </w:r>
      <w:r>
        <w:rPr/>
        <w:t>de</w:t>
      </w:r>
      <w:r>
        <w:rPr>
          <w:spacing w:val="-7"/>
        </w:rPr>
        <w:t> </w:t>
      </w:r>
      <w:r>
        <w:rPr/>
        <w:t>Adam</w:t>
      </w:r>
      <w:r>
        <w:rPr>
          <w:spacing w:val="-6"/>
        </w:rPr>
        <w:t> </w:t>
      </w:r>
      <w:r>
        <w:rPr/>
        <w:t>Smith,</w:t>
      </w:r>
      <w:r>
        <w:rPr>
          <w:spacing w:val="-3"/>
        </w:rPr>
        <w:t> </w:t>
      </w:r>
      <w:r>
        <w:rPr/>
        <w:t>“La</w:t>
      </w:r>
      <w:r>
        <w:rPr>
          <w:spacing w:val="-7"/>
        </w:rPr>
        <w:t> </w:t>
      </w:r>
      <w:r>
        <w:rPr/>
        <w:t>Riqueza</w:t>
      </w:r>
      <w:r>
        <w:rPr>
          <w:spacing w:val="-7"/>
        </w:rPr>
        <w:t> </w:t>
      </w:r>
      <w:r>
        <w:rPr/>
        <w:t>de</w:t>
      </w:r>
      <w:r>
        <w:rPr>
          <w:spacing w:val="-7"/>
        </w:rPr>
        <w:t> </w:t>
      </w:r>
      <w:r>
        <w:rPr/>
        <w:t>las</w:t>
      </w:r>
      <w:r>
        <w:rPr>
          <w:spacing w:val="-7"/>
        </w:rPr>
        <w:t> </w:t>
      </w:r>
      <w:r>
        <w:rPr/>
        <w:t>Naciones”.</w:t>
      </w:r>
      <w:r>
        <w:rPr>
          <w:spacing w:val="-6"/>
        </w:rPr>
        <w:t> </w:t>
      </w:r>
      <w:r>
        <w:rPr/>
        <w:t>En</w:t>
      </w:r>
      <w:r>
        <w:rPr>
          <w:spacing w:val="-4"/>
        </w:rPr>
        <w:t> </w:t>
      </w:r>
      <w:r>
        <w:rPr/>
        <w:t>ella se</w:t>
      </w:r>
      <w:r>
        <w:rPr>
          <w:spacing w:val="-9"/>
        </w:rPr>
        <w:t> </w:t>
      </w:r>
      <w:r>
        <w:rPr/>
        <w:t>menciona</w:t>
      </w:r>
      <w:r>
        <w:rPr>
          <w:spacing w:val="-7"/>
        </w:rPr>
        <w:t> </w:t>
      </w:r>
      <w:r>
        <w:rPr/>
        <w:t>que</w:t>
      </w:r>
      <w:r>
        <w:rPr>
          <w:spacing w:val="-7"/>
        </w:rPr>
        <w:t> </w:t>
      </w:r>
      <w:r>
        <w:rPr/>
        <w:t>el</w:t>
      </w:r>
      <w:r>
        <w:rPr>
          <w:spacing w:val="-8"/>
        </w:rPr>
        <w:t> </w:t>
      </w:r>
      <w:r>
        <w:rPr/>
        <w:t>rendimiento</w:t>
      </w:r>
      <w:r>
        <w:rPr>
          <w:spacing w:val="-8"/>
        </w:rPr>
        <w:t> </w:t>
      </w:r>
      <w:r>
        <w:rPr/>
        <w:t>por</w:t>
      </w:r>
      <w:r>
        <w:rPr>
          <w:spacing w:val="-9"/>
        </w:rPr>
        <w:t> </w:t>
      </w:r>
      <w:r>
        <w:rPr/>
        <w:t>unidad</w:t>
      </w:r>
      <w:r>
        <w:rPr>
          <w:spacing w:val="-9"/>
        </w:rPr>
        <w:t> </w:t>
      </w:r>
      <w:r>
        <w:rPr/>
        <w:t>de</w:t>
      </w:r>
      <w:r>
        <w:rPr>
          <w:spacing w:val="-7"/>
        </w:rPr>
        <w:t> </w:t>
      </w:r>
      <w:r>
        <w:rPr/>
        <w:t>trabajo</w:t>
      </w:r>
      <w:r>
        <w:rPr>
          <w:spacing w:val="-8"/>
        </w:rPr>
        <w:t> </w:t>
      </w:r>
      <w:r>
        <w:rPr/>
        <w:t>(productividad)</w:t>
      </w:r>
      <w:r>
        <w:rPr>
          <w:spacing w:val="-8"/>
        </w:rPr>
        <w:t> </w:t>
      </w:r>
      <w:r>
        <w:rPr/>
        <w:t>depende</w:t>
      </w:r>
      <w:r>
        <w:rPr>
          <w:spacing w:val="-10"/>
        </w:rPr>
        <w:t> </w:t>
      </w:r>
      <w:r>
        <w:rPr/>
        <w:t>de</w:t>
      </w:r>
      <w:r>
        <w:rPr>
          <w:spacing w:val="-10"/>
        </w:rPr>
        <w:t> </w:t>
      </w:r>
      <w:r>
        <w:rPr/>
        <w:t>la</w:t>
      </w:r>
      <w:r>
        <w:rPr>
          <w:spacing w:val="-7"/>
        </w:rPr>
        <w:t> </w:t>
      </w:r>
      <w:r>
        <w:rPr/>
        <w:t>división del trabajo sobre el crecimiento de la especialización y de la división de la producción en diversos procesos, es decir la división del trabajo depende del tamaño del mercado, </w:t>
      </w:r>
      <w:r>
        <w:rPr>
          <w:spacing w:val="-3"/>
        </w:rPr>
        <w:t>ya </w:t>
      </w:r>
      <w:r>
        <w:rPr/>
        <w:t>que cuanto más grande es el mercado, mayor es el nivel de diferenciación y especialización, lo que nos lleva a una mayor productividad (Kaldor,</w:t>
      </w:r>
      <w:r>
        <w:rPr>
          <w:spacing w:val="-9"/>
        </w:rPr>
        <w:t> </w:t>
      </w:r>
      <w:r>
        <w:rPr/>
        <w:t>1966).</w:t>
      </w:r>
    </w:p>
    <w:p>
      <w:pPr>
        <w:pStyle w:val="BodyText"/>
        <w:spacing w:before="3"/>
        <w:rPr>
          <w:sz w:val="21"/>
        </w:rPr>
      </w:pPr>
    </w:p>
    <w:p>
      <w:pPr>
        <w:pStyle w:val="BodyText"/>
        <w:spacing w:line="360" w:lineRule="auto"/>
        <w:ind w:left="122" w:right="116"/>
        <w:jc w:val="both"/>
      </w:pPr>
      <w:r>
        <w:rPr/>
        <w:t>Además, Kaldor menciona a partir de la Ley de Verdoon que existe una relación dinámica, más que estática, entre las tasas de cambio en la productividad y del producto, más que en entre el nivel de la productividad y la escala del producto, </w:t>
      </w:r>
      <w:r>
        <w:rPr>
          <w:spacing w:val="-3"/>
        </w:rPr>
        <w:t>ya </w:t>
      </w:r>
      <w:r>
        <w:rPr/>
        <w:t>que el progreso técnico se incorpora y no solo es un reflejo de las economías de producción a gran escala. Al mismo tiempo, menciona que es la tasa de crecimiento de la producción (junto con las actividades anexas</w:t>
      </w:r>
      <w:r>
        <w:rPr>
          <w:spacing w:val="-13"/>
        </w:rPr>
        <w:t> </w:t>
      </w:r>
      <w:r>
        <w:rPr/>
        <w:t>de</w:t>
      </w:r>
      <w:r>
        <w:rPr>
          <w:spacing w:val="-14"/>
        </w:rPr>
        <w:t> </w:t>
      </w:r>
      <w:r>
        <w:rPr/>
        <w:t>servicios</w:t>
      </w:r>
      <w:r>
        <w:rPr>
          <w:spacing w:val="-13"/>
        </w:rPr>
        <w:t> </w:t>
      </w:r>
      <w:r>
        <w:rPr/>
        <w:t>públicos</w:t>
      </w:r>
      <w:r>
        <w:rPr>
          <w:spacing w:val="-11"/>
        </w:rPr>
        <w:t> </w:t>
      </w:r>
      <w:r>
        <w:rPr/>
        <w:t>y</w:t>
      </w:r>
      <w:r>
        <w:rPr>
          <w:spacing w:val="-18"/>
        </w:rPr>
        <w:t> </w:t>
      </w:r>
      <w:r>
        <w:rPr/>
        <w:t>la</w:t>
      </w:r>
      <w:r>
        <w:rPr>
          <w:spacing w:val="-14"/>
        </w:rPr>
        <w:t> </w:t>
      </w:r>
      <w:r>
        <w:rPr/>
        <w:t>construcción)</w:t>
      </w:r>
      <w:r>
        <w:rPr>
          <w:spacing w:val="-14"/>
        </w:rPr>
        <w:t> </w:t>
      </w:r>
      <w:r>
        <w:rPr/>
        <w:t>la</w:t>
      </w:r>
      <w:r>
        <w:rPr>
          <w:spacing w:val="-12"/>
        </w:rPr>
        <w:t> </w:t>
      </w:r>
      <w:r>
        <w:rPr/>
        <w:t>que</w:t>
      </w:r>
      <w:r>
        <w:rPr>
          <w:spacing w:val="-14"/>
        </w:rPr>
        <w:t> </w:t>
      </w:r>
      <w:r>
        <w:rPr/>
        <w:t>puede</w:t>
      </w:r>
      <w:r>
        <w:rPr>
          <w:spacing w:val="-12"/>
        </w:rPr>
        <w:t> </w:t>
      </w:r>
      <w:r>
        <w:rPr/>
        <w:t>ejercer</w:t>
      </w:r>
      <w:r>
        <w:rPr>
          <w:spacing w:val="-12"/>
        </w:rPr>
        <w:t> </w:t>
      </w:r>
      <w:r>
        <w:rPr/>
        <w:t>una</w:t>
      </w:r>
      <w:r>
        <w:rPr>
          <w:spacing w:val="-14"/>
        </w:rPr>
        <w:t> </w:t>
      </w:r>
      <w:r>
        <w:rPr/>
        <w:t>influencia</w:t>
      </w:r>
      <w:r>
        <w:rPr>
          <w:spacing w:val="-14"/>
        </w:rPr>
        <w:t> </w:t>
      </w:r>
      <w:r>
        <w:rPr/>
        <w:t>dominante en</w:t>
      </w:r>
      <w:r>
        <w:rPr>
          <w:spacing w:val="-9"/>
        </w:rPr>
        <w:t> </w:t>
      </w:r>
      <w:r>
        <w:rPr/>
        <w:t>la</w:t>
      </w:r>
      <w:r>
        <w:rPr>
          <w:spacing w:val="-9"/>
        </w:rPr>
        <w:t> </w:t>
      </w:r>
      <w:r>
        <w:rPr/>
        <w:t>tasa</w:t>
      </w:r>
      <w:r>
        <w:rPr>
          <w:spacing w:val="-10"/>
        </w:rPr>
        <w:t> </w:t>
      </w:r>
      <w:r>
        <w:rPr/>
        <w:t>promedio</w:t>
      </w:r>
      <w:r>
        <w:rPr>
          <w:spacing w:val="-8"/>
        </w:rPr>
        <w:t> </w:t>
      </w:r>
      <w:r>
        <w:rPr/>
        <w:t>del</w:t>
      </w:r>
      <w:r>
        <w:rPr>
          <w:spacing w:val="-8"/>
        </w:rPr>
        <w:t> </w:t>
      </w:r>
      <w:r>
        <w:rPr/>
        <w:t>crecimiento</w:t>
      </w:r>
      <w:r>
        <w:rPr>
          <w:spacing w:val="-9"/>
        </w:rPr>
        <w:t> </w:t>
      </w:r>
      <w:r>
        <w:rPr/>
        <w:t>económico,</w:t>
      </w:r>
      <w:r>
        <w:rPr>
          <w:spacing w:val="-9"/>
        </w:rPr>
        <w:t> </w:t>
      </w:r>
      <w:r>
        <w:rPr/>
        <w:t>debido</w:t>
      </w:r>
      <w:r>
        <w:rPr>
          <w:spacing w:val="-8"/>
        </w:rPr>
        <w:t> </w:t>
      </w:r>
      <w:r>
        <w:rPr/>
        <w:t>en</w:t>
      </w:r>
      <w:r>
        <w:rPr>
          <w:spacing w:val="-9"/>
        </w:rPr>
        <w:t> </w:t>
      </w:r>
      <w:r>
        <w:rPr/>
        <w:t>parte</w:t>
      </w:r>
      <w:r>
        <w:rPr>
          <w:spacing w:val="-7"/>
        </w:rPr>
        <w:t> </w:t>
      </w:r>
      <w:r>
        <w:rPr/>
        <w:t>a</w:t>
      </w:r>
      <w:r>
        <w:rPr>
          <w:spacing w:val="-10"/>
        </w:rPr>
        <w:t> </w:t>
      </w:r>
      <w:r>
        <w:rPr/>
        <w:t>que</w:t>
      </w:r>
      <w:r>
        <w:rPr>
          <w:spacing w:val="-10"/>
        </w:rPr>
        <w:t> </w:t>
      </w:r>
      <w:r>
        <w:rPr/>
        <w:t>su</w:t>
      </w:r>
      <w:r>
        <w:rPr>
          <w:spacing w:val="-8"/>
        </w:rPr>
        <w:t> </w:t>
      </w:r>
      <w:r>
        <w:rPr/>
        <w:t>influencia</w:t>
      </w:r>
      <w:r>
        <w:rPr>
          <w:spacing w:val="-9"/>
        </w:rPr>
        <w:t> </w:t>
      </w:r>
      <w:r>
        <w:rPr/>
        <w:t>en</w:t>
      </w:r>
      <w:r>
        <w:rPr>
          <w:spacing w:val="-7"/>
        </w:rPr>
        <w:t> </w:t>
      </w:r>
      <w:r>
        <w:rPr/>
        <w:t>la</w:t>
      </w:r>
      <w:r>
        <w:rPr>
          <w:spacing w:val="-9"/>
        </w:rPr>
        <w:t> </w:t>
      </w:r>
      <w:r>
        <w:rPr/>
        <w:t>tasa</w:t>
      </w:r>
    </w:p>
    <w:p>
      <w:pPr>
        <w:pStyle w:val="BodyText"/>
        <w:spacing w:before="5"/>
        <w:rPr>
          <w:sz w:val="22"/>
        </w:rPr>
      </w:pPr>
      <w:r>
        <w:rPr/>
        <w:pict>
          <v:line style="position:absolute;mso-position-horizontal-relative:page;mso-position-vertical-relative:paragraph;z-index:1120;mso-wrap-distance-left:0;mso-wrap-distance-right:0" from="85.103996pt,15.179774pt" to="229.123996pt,15.179774pt" stroked="true" strokeweight=".599980pt" strokecolor="#000000">
            <w10:wrap type="topAndBottom"/>
          </v:line>
        </w:pict>
      </w:r>
    </w:p>
    <w:p>
      <w:pPr>
        <w:spacing w:before="70"/>
        <w:ind w:left="122" w:right="97" w:firstLine="0"/>
        <w:jc w:val="left"/>
        <w:rPr>
          <w:sz w:val="20"/>
        </w:rPr>
      </w:pPr>
      <w:r>
        <w:rPr>
          <w:position w:val="7"/>
          <w:sz w:val="13"/>
        </w:rPr>
        <w:t>3 </w:t>
      </w:r>
      <w:r>
        <w:rPr>
          <w:sz w:val="20"/>
        </w:rPr>
        <w:t>Kaldor intentaba denotaba con “madurez”, un estado de los negocios donde el ingreso real por cabeza ha alcanzado, en general, el mismo nivel en los diferentes sectores de la economía.</w:t>
      </w:r>
    </w:p>
    <w:p>
      <w:pPr>
        <w:spacing w:after="0"/>
        <w:jc w:val="left"/>
        <w:rPr>
          <w:sz w:val="20"/>
        </w:rPr>
        <w:sectPr>
          <w:pgSz w:w="12240" w:h="15840"/>
          <w:pgMar w:header="0" w:footer="1035" w:top="1360" w:bottom="1220" w:left="1580" w:right="1580"/>
        </w:sectPr>
      </w:pPr>
    </w:p>
    <w:p>
      <w:pPr>
        <w:pStyle w:val="BodyText"/>
        <w:spacing w:line="360" w:lineRule="auto" w:before="50"/>
        <w:ind w:left="102" w:right="116"/>
        <w:jc w:val="both"/>
      </w:pPr>
      <w:r>
        <w:rPr/>
        <w:t>de crecimiento de la productividad en el mismo sector industrial, y a que tenderá indirectamente, a elevar la tasa de crecimiento de otros sectores (Kaldor, 1966).</w:t>
      </w:r>
    </w:p>
    <w:p>
      <w:pPr>
        <w:pStyle w:val="BodyText"/>
        <w:spacing w:before="2"/>
        <w:rPr>
          <w:sz w:val="21"/>
        </w:rPr>
      </w:pPr>
    </w:p>
    <w:p>
      <w:pPr>
        <w:pStyle w:val="BodyText"/>
        <w:spacing w:line="360" w:lineRule="auto"/>
        <w:ind w:left="102" w:right="117"/>
        <w:jc w:val="both"/>
      </w:pPr>
      <w:r>
        <w:rPr/>
        <w:t>Finalmente, Kaldor llega a la conclusión de que una economía moderna podría beneficiarse de las economías de escala, a través de una mayor especialización internacional, </w:t>
      </w:r>
      <w:r>
        <w:rPr>
          <w:spacing w:val="-3"/>
        </w:rPr>
        <w:t>ya </w:t>
      </w:r>
      <w:r>
        <w:rPr/>
        <w:t>que si la hipótesis planteada es correcta y las economías de escala en la industria son la fuente principal de rápido crecimiento, por lo menos algunos de sus beneficios podrían asegurarse si se concentran los recursos en pocos campos y se abandonan otros, es decir, mediante el incremento</w:t>
      </w:r>
      <w:r>
        <w:rPr>
          <w:spacing w:val="-6"/>
        </w:rPr>
        <w:t> </w:t>
      </w:r>
      <w:r>
        <w:rPr/>
        <w:t>del</w:t>
      </w:r>
      <w:r>
        <w:rPr>
          <w:spacing w:val="-6"/>
        </w:rPr>
        <w:t> </w:t>
      </w:r>
      <w:r>
        <w:rPr/>
        <w:t>grado</w:t>
      </w:r>
      <w:r>
        <w:rPr>
          <w:spacing w:val="-6"/>
        </w:rPr>
        <w:t> </w:t>
      </w:r>
      <w:r>
        <w:rPr/>
        <w:t>de</w:t>
      </w:r>
      <w:r>
        <w:rPr>
          <w:spacing w:val="-5"/>
        </w:rPr>
        <w:t> </w:t>
      </w:r>
      <w:r>
        <w:rPr/>
        <w:t>interdependencia</w:t>
      </w:r>
      <w:r>
        <w:rPr>
          <w:spacing w:val="-7"/>
        </w:rPr>
        <w:t> </w:t>
      </w:r>
      <w:r>
        <w:rPr/>
        <w:t>de</w:t>
      </w:r>
      <w:r>
        <w:rPr>
          <w:spacing w:val="-7"/>
        </w:rPr>
        <w:t> </w:t>
      </w:r>
      <w:r>
        <w:rPr/>
        <w:t>la</w:t>
      </w:r>
      <w:r>
        <w:rPr>
          <w:spacing w:val="-7"/>
        </w:rPr>
        <w:t> </w:t>
      </w:r>
      <w:r>
        <w:rPr/>
        <w:t>industria</w:t>
      </w:r>
      <w:r>
        <w:rPr>
          <w:spacing w:val="-7"/>
        </w:rPr>
        <w:t> </w:t>
      </w:r>
      <w:r>
        <w:rPr/>
        <w:t>británica</w:t>
      </w:r>
      <w:r>
        <w:rPr>
          <w:spacing w:val="-5"/>
        </w:rPr>
        <w:t> </w:t>
      </w:r>
      <w:r>
        <w:rPr/>
        <w:t>con</w:t>
      </w:r>
      <w:r>
        <w:rPr>
          <w:spacing w:val="-6"/>
        </w:rPr>
        <w:t> </w:t>
      </w:r>
      <w:r>
        <w:rPr/>
        <w:t>las</w:t>
      </w:r>
      <w:r>
        <w:rPr>
          <w:spacing w:val="-7"/>
        </w:rPr>
        <w:t> </w:t>
      </w:r>
      <w:r>
        <w:rPr/>
        <w:t>industrias</w:t>
      </w:r>
      <w:r>
        <w:rPr>
          <w:spacing w:val="-6"/>
        </w:rPr>
        <w:t> </w:t>
      </w:r>
      <w:r>
        <w:rPr/>
        <w:t>de</w:t>
      </w:r>
      <w:r>
        <w:rPr>
          <w:spacing w:val="-7"/>
        </w:rPr>
        <w:t> </w:t>
      </w:r>
      <w:r>
        <w:rPr/>
        <w:t>otros países.</w:t>
      </w:r>
    </w:p>
    <w:p>
      <w:pPr>
        <w:pStyle w:val="BodyText"/>
        <w:spacing w:before="4"/>
        <w:rPr>
          <w:sz w:val="21"/>
        </w:rPr>
      </w:pPr>
    </w:p>
    <w:p>
      <w:pPr>
        <w:pStyle w:val="BodyText"/>
        <w:spacing w:line="360" w:lineRule="auto" w:before="1"/>
        <w:ind w:left="102" w:right="119"/>
        <w:jc w:val="both"/>
      </w:pPr>
      <w:r>
        <w:rPr/>
        <w:t>De</w:t>
      </w:r>
      <w:r>
        <w:rPr>
          <w:spacing w:val="-5"/>
        </w:rPr>
        <w:t> </w:t>
      </w:r>
      <w:r>
        <w:rPr/>
        <w:t>lo</w:t>
      </w:r>
      <w:r>
        <w:rPr>
          <w:spacing w:val="-3"/>
        </w:rPr>
        <w:t> </w:t>
      </w:r>
      <w:r>
        <w:rPr/>
        <w:t>anterior</w:t>
      </w:r>
      <w:r>
        <w:rPr>
          <w:spacing w:val="-5"/>
        </w:rPr>
        <w:t> </w:t>
      </w:r>
      <w:r>
        <w:rPr/>
        <w:t>se</w:t>
      </w:r>
      <w:r>
        <w:rPr>
          <w:spacing w:val="-4"/>
        </w:rPr>
        <w:t> </w:t>
      </w:r>
      <w:r>
        <w:rPr/>
        <w:t>desprenden</w:t>
      </w:r>
      <w:r>
        <w:rPr>
          <w:spacing w:val="-4"/>
        </w:rPr>
        <w:t> </w:t>
      </w:r>
      <w:r>
        <w:rPr/>
        <w:t>tres</w:t>
      </w:r>
      <w:r>
        <w:rPr>
          <w:spacing w:val="-4"/>
        </w:rPr>
        <w:t> </w:t>
      </w:r>
      <w:r>
        <w:rPr/>
        <w:t>leyes</w:t>
      </w:r>
      <w:r>
        <w:rPr>
          <w:spacing w:val="-4"/>
        </w:rPr>
        <w:t> </w:t>
      </w:r>
      <w:r>
        <w:rPr/>
        <w:t>fundamentales</w:t>
      </w:r>
      <w:r>
        <w:rPr>
          <w:spacing w:val="-4"/>
        </w:rPr>
        <w:t> </w:t>
      </w:r>
      <w:r>
        <w:rPr/>
        <w:t>que</w:t>
      </w:r>
      <w:r>
        <w:rPr>
          <w:spacing w:val="-2"/>
        </w:rPr>
        <w:t> </w:t>
      </w:r>
      <w:r>
        <w:rPr/>
        <w:t>explican</w:t>
      </w:r>
      <w:r>
        <w:rPr>
          <w:spacing w:val="-4"/>
        </w:rPr>
        <w:t> </w:t>
      </w:r>
      <w:r>
        <w:rPr/>
        <w:t>la</w:t>
      </w:r>
      <w:r>
        <w:rPr>
          <w:spacing w:val="-1"/>
        </w:rPr>
        <w:t> </w:t>
      </w:r>
      <w:r>
        <w:rPr/>
        <w:t>forma</w:t>
      </w:r>
      <w:r>
        <w:rPr>
          <w:spacing w:val="-5"/>
        </w:rPr>
        <w:t> </w:t>
      </w:r>
      <w:r>
        <w:rPr/>
        <w:t>en</w:t>
      </w:r>
      <w:r>
        <w:rPr>
          <w:spacing w:val="-4"/>
        </w:rPr>
        <w:t> </w:t>
      </w:r>
      <w:r>
        <w:rPr/>
        <w:t>que</w:t>
      </w:r>
      <w:r>
        <w:rPr>
          <w:spacing w:val="-3"/>
        </w:rPr>
        <w:t> </w:t>
      </w:r>
      <w:r>
        <w:rPr/>
        <w:t>el</w:t>
      </w:r>
      <w:r>
        <w:rPr>
          <w:spacing w:val="-3"/>
        </w:rPr>
        <w:t> </w:t>
      </w:r>
      <w:r>
        <w:rPr/>
        <w:t>sector manufacturero se constituye en el motor de crecimiento. Formalmente las leyes crecimiento económico de Kaldor mencionan lo</w:t>
      </w:r>
      <w:r>
        <w:rPr>
          <w:spacing w:val="-8"/>
        </w:rPr>
        <w:t> </w:t>
      </w:r>
      <w:r>
        <w:rPr/>
        <w:t>siguiente:</w:t>
      </w:r>
    </w:p>
    <w:p>
      <w:pPr>
        <w:pStyle w:val="BodyText"/>
        <w:spacing w:before="2"/>
        <w:rPr>
          <w:sz w:val="21"/>
        </w:rPr>
      </w:pPr>
    </w:p>
    <w:p>
      <w:pPr>
        <w:pStyle w:val="BodyText"/>
        <w:spacing w:line="360" w:lineRule="auto" w:before="1"/>
        <w:ind w:left="102" w:right="118"/>
        <w:jc w:val="both"/>
      </w:pPr>
      <w:r>
        <w:rPr/>
        <w:t>La primera ley establece que la tasa de crecimiento de una economía se relaciona de</w:t>
      </w:r>
      <w:r>
        <w:rPr>
          <w:spacing w:val="-18"/>
        </w:rPr>
        <w:t> </w:t>
      </w:r>
      <w:r>
        <w:rPr/>
        <w:t>manera positiva con la correspondiente a su sector manufacturero, lo cual implica que éste se considera</w:t>
      </w:r>
      <w:r>
        <w:rPr>
          <w:spacing w:val="-8"/>
        </w:rPr>
        <w:t> </w:t>
      </w:r>
      <w:r>
        <w:rPr/>
        <w:t>el</w:t>
      </w:r>
      <w:r>
        <w:rPr>
          <w:spacing w:val="-8"/>
        </w:rPr>
        <w:t> </w:t>
      </w:r>
      <w:r>
        <w:rPr/>
        <w:t>motor</w:t>
      </w:r>
      <w:r>
        <w:rPr>
          <w:spacing w:val="-7"/>
        </w:rPr>
        <w:t> </w:t>
      </w:r>
      <w:r>
        <w:rPr/>
        <w:t>de</w:t>
      </w:r>
      <w:r>
        <w:rPr>
          <w:spacing w:val="-7"/>
        </w:rPr>
        <w:t> </w:t>
      </w:r>
      <w:r>
        <w:rPr/>
        <w:t>crecimiento.</w:t>
      </w:r>
      <w:r>
        <w:rPr>
          <w:spacing w:val="-6"/>
        </w:rPr>
        <w:t> </w:t>
      </w:r>
      <w:r>
        <w:rPr/>
        <w:t>La</w:t>
      </w:r>
      <w:r>
        <w:rPr>
          <w:spacing w:val="-7"/>
        </w:rPr>
        <w:t> </w:t>
      </w:r>
      <w:r>
        <w:rPr/>
        <w:t>explicación</w:t>
      </w:r>
      <w:r>
        <w:rPr>
          <w:spacing w:val="-4"/>
        </w:rPr>
        <w:t> </w:t>
      </w:r>
      <w:r>
        <w:rPr/>
        <w:t>de</w:t>
      </w:r>
      <w:r>
        <w:rPr>
          <w:spacing w:val="-10"/>
        </w:rPr>
        <w:t> </w:t>
      </w:r>
      <w:r>
        <w:rPr/>
        <w:t>este</w:t>
      </w:r>
      <w:r>
        <w:rPr>
          <w:spacing w:val="-7"/>
        </w:rPr>
        <w:t> </w:t>
      </w:r>
      <w:r>
        <w:rPr/>
        <w:t>vínculo</w:t>
      </w:r>
      <w:r>
        <w:rPr>
          <w:spacing w:val="-9"/>
        </w:rPr>
        <w:t> </w:t>
      </w:r>
      <w:r>
        <w:rPr/>
        <w:t>se</w:t>
      </w:r>
      <w:r>
        <w:rPr>
          <w:spacing w:val="-10"/>
        </w:rPr>
        <w:t> </w:t>
      </w:r>
      <w:r>
        <w:rPr/>
        <w:t>asocia</w:t>
      </w:r>
      <w:r>
        <w:rPr>
          <w:spacing w:val="-7"/>
        </w:rPr>
        <w:t> </w:t>
      </w:r>
      <w:r>
        <w:rPr/>
        <w:t>con</w:t>
      </w:r>
      <w:r>
        <w:rPr>
          <w:spacing w:val="-9"/>
        </w:rPr>
        <w:t> </w:t>
      </w:r>
      <w:r>
        <w:rPr/>
        <w:t>el</w:t>
      </w:r>
      <w:r>
        <w:rPr>
          <w:spacing w:val="-6"/>
        </w:rPr>
        <w:t> </w:t>
      </w:r>
      <w:r>
        <w:rPr/>
        <w:t>alto</w:t>
      </w:r>
      <w:r>
        <w:rPr>
          <w:spacing w:val="-9"/>
        </w:rPr>
        <w:t> </w:t>
      </w:r>
      <w:r>
        <w:rPr/>
        <w:t>efecto multiplicador del sector industrial, debido a las altas elasticidades ingreso de la demanda de las manufacturas; a los fuertes encadenamientos productivos hacia atrás y hacia adelante de las</w:t>
      </w:r>
      <w:r>
        <w:rPr>
          <w:spacing w:val="-9"/>
        </w:rPr>
        <w:t> </w:t>
      </w:r>
      <w:r>
        <w:rPr/>
        <w:t>actividades</w:t>
      </w:r>
      <w:r>
        <w:rPr>
          <w:spacing w:val="-6"/>
        </w:rPr>
        <w:t> </w:t>
      </w:r>
      <w:r>
        <w:rPr/>
        <w:t>industriales,</w:t>
      </w:r>
      <w:r>
        <w:rPr>
          <w:spacing w:val="-4"/>
        </w:rPr>
        <w:t> </w:t>
      </w:r>
      <w:r>
        <w:rPr/>
        <w:t>y</w:t>
      </w:r>
      <w:r>
        <w:rPr>
          <w:spacing w:val="-11"/>
        </w:rPr>
        <w:t> </w:t>
      </w:r>
      <w:r>
        <w:rPr/>
        <w:t>a</w:t>
      </w:r>
      <w:r>
        <w:rPr>
          <w:spacing w:val="-10"/>
        </w:rPr>
        <w:t> </w:t>
      </w:r>
      <w:r>
        <w:rPr/>
        <w:t>las</w:t>
      </w:r>
      <w:r>
        <w:rPr>
          <w:spacing w:val="-7"/>
        </w:rPr>
        <w:t> </w:t>
      </w:r>
      <w:r>
        <w:rPr/>
        <w:t>economías</w:t>
      </w:r>
      <w:r>
        <w:rPr>
          <w:spacing w:val="-8"/>
        </w:rPr>
        <w:t> </w:t>
      </w:r>
      <w:r>
        <w:rPr/>
        <w:t>de</w:t>
      </w:r>
      <w:r>
        <w:rPr>
          <w:spacing w:val="-7"/>
        </w:rPr>
        <w:t> </w:t>
      </w:r>
      <w:r>
        <w:rPr/>
        <w:t>aprendizaje</w:t>
      </w:r>
      <w:r>
        <w:rPr>
          <w:spacing w:val="-9"/>
        </w:rPr>
        <w:t> </w:t>
      </w:r>
      <w:r>
        <w:rPr/>
        <w:t>que</w:t>
      </w:r>
      <w:r>
        <w:rPr>
          <w:spacing w:val="-7"/>
        </w:rPr>
        <w:t> </w:t>
      </w:r>
      <w:r>
        <w:rPr/>
        <w:t>pueden</w:t>
      </w:r>
      <w:r>
        <w:rPr>
          <w:spacing w:val="-9"/>
        </w:rPr>
        <w:t> </w:t>
      </w:r>
      <w:r>
        <w:rPr/>
        <w:t>obtenerse</w:t>
      </w:r>
      <w:r>
        <w:rPr>
          <w:spacing w:val="-8"/>
        </w:rPr>
        <w:t> </w:t>
      </w:r>
      <w:r>
        <w:rPr/>
        <w:t>a</w:t>
      </w:r>
      <w:r>
        <w:rPr>
          <w:spacing w:val="-7"/>
        </w:rPr>
        <w:t> </w:t>
      </w:r>
      <w:r>
        <w:rPr/>
        <w:t>medida que avanza la división del trabajo y se fortalece la especialización como resultado de la expansión de las actividades manufactureras (Sánchez,</w:t>
      </w:r>
      <w:r>
        <w:rPr>
          <w:spacing w:val="-7"/>
        </w:rPr>
        <w:t> </w:t>
      </w:r>
      <w:r>
        <w:rPr/>
        <w:t>2010).</w:t>
      </w:r>
    </w:p>
    <w:p>
      <w:pPr>
        <w:pStyle w:val="BodyText"/>
        <w:spacing w:before="3"/>
        <w:rPr>
          <w:sz w:val="21"/>
        </w:rPr>
      </w:pPr>
    </w:p>
    <w:p>
      <w:pPr>
        <w:pStyle w:val="BodyText"/>
        <w:ind w:left="102"/>
        <w:jc w:val="both"/>
      </w:pPr>
      <w:r>
        <w:rPr/>
        <w:t>Esta primera Ley se ha expresado de la siguiente manera, de acuerdo con Kaldor (1966):</w:t>
      </w:r>
    </w:p>
    <w:p>
      <w:pPr>
        <w:pStyle w:val="BodyText"/>
        <w:spacing w:before="1"/>
        <w:rPr>
          <w:sz w:val="30"/>
        </w:rPr>
      </w:pPr>
    </w:p>
    <w:p>
      <w:pPr>
        <w:spacing w:before="1"/>
        <w:ind w:left="383" w:right="397"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5"/>
          <w:sz w:val="24"/>
        </w:rPr>
        <w:t>̇   </w:t>
      </w:r>
      <w:r>
        <w:rPr>
          <w:rFonts w:ascii="Cambria Math" w:hAnsi="Cambria Math" w:eastAsia="Cambria Math"/>
          <w:sz w:val="24"/>
        </w:rPr>
        <w:t>=  𝑓(�</w:t>
      </w:r>
      <w:r>
        <w:rPr>
          <w:rFonts w:ascii="Cambria Math" w:hAnsi="Cambria Math" w:eastAsia="Cambria Math"/>
          <w:position w:val="9"/>
          <w:sz w:val="17"/>
        </w:rPr>
        <w:t>�𝑎�</w:t>
      </w:r>
      <w:r>
        <w:rPr>
          <w:rFonts w:ascii="Cambria Math" w:hAnsi="Cambria Math" w:eastAsia="Cambria Math"/>
          <w:sz w:val="24"/>
        </w:rPr>
        <w:t>)</w:t>
      </w:r>
    </w:p>
    <w:p>
      <w:pPr>
        <w:pStyle w:val="BodyText"/>
        <w:spacing w:before="3"/>
        <w:rPr>
          <w:rFonts w:ascii="Cambria Math"/>
          <w:sz w:val="29"/>
        </w:rPr>
      </w:pPr>
    </w:p>
    <w:p>
      <w:pPr>
        <w:pStyle w:val="BodyText"/>
        <w:spacing w:line="360" w:lineRule="auto"/>
        <w:ind w:left="102" w:right="116"/>
        <w:jc w:val="both"/>
      </w:pPr>
      <w:r>
        <w:rPr/>
        <w:t>Donde:</w:t>
      </w:r>
      <w:r>
        <w:rPr>
          <w:rFonts w:ascii="Cambria Math" w:hAnsi="Cambria Math" w:eastAsia="Cambria Math"/>
        </w:rPr>
        <w:t>�</w:t>
      </w:r>
      <w:r>
        <w:rPr>
          <w:rFonts w:ascii="Cambria Math" w:hAnsi="Cambria Math" w:eastAsia="Cambria Math"/>
          <w:position w:val="5"/>
        </w:rPr>
        <w:t>̇ </w:t>
      </w:r>
      <w:r>
        <w:rPr/>
        <w:t>es la tasa de crecimiento del producto interno bruto y </w:t>
      </w:r>
      <w:r>
        <w:rPr>
          <w:rFonts w:ascii="Cambria Math" w:hAnsi="Cambria Math" w:eastAsia="Cambria Math"/>
        </w:rPr>
        <w:t>�</w:t>
      </w:r>
      <w:r>
        <w:rPr>
          <w:rFonts w:ascii="Cambria Math" w:hAnsi="Cambria Math" w:eastAsia="Cambria Math"/>
          <w:position w:val="9"/>
          <w:sz w:val="17"/>
        </w:rPr>
        <w:t>�𝑎� </w:t>
      </w:r>
      <w:r>
        <w:rPr/>
        <w:t>es la tasa de crecimiento del sector manufacturero.</w:t>
      </w:r>
    </w:p>
    <w:p>
      <w:pPr>
        <w:pStyle w:val="BodyText"/>
        <w:spacing w:before="5"/>
        <w:rPr>
          <w:sz w:val="21"/>
        </w:rPr>
      </w:pPr>
    </w:p>
    <w:p>
      <w:pPr>
        <w:pStyle w:val="BodyText"/>
        <w:spacing w:line="360" w:lineRule="auto"/>
        <w:ind w:left="102" w:right="117"/>
        <w:jc w:val="both"/>
      </w:pPr>
      <w:r>
        <w:rPr/>
        <w:t>Como ya se ha mencionado al inicio, lo anterior se explica a partir de que para Kaldor el sector manufacturero es el que mantiene rendimientos crecientes, los cuales hacen que la productividad aumente, en respuesta o como un subproducto del aumento de la producción.</w:t>
      </w:r>
    </w:p>
    <w:p>
      <w:pPr>
        <w:spacing w:after="0" w:line="360" w:lineRule="auto"/>
        <w:jc w:val="both"/>
        <w:sectPr>
          <w:pgSz w:w="12240" w:h="15840"/>
          <w:pgMar w:header="0" w:footer="1035" w:top="1360" w:bottom="1220" w:left="1600" w:right="1580"/>
        </w:sectPr>
      </w:pPr>
    </w:p>
    <w:p>
      <w:pPr>
        <w:pStyle w:val="BodyText"/>
        <w:spacing w:line="360" w:lineRule="auto" w:before="50"/>
        <w:ind w:left="102" w:right="120"/>
        <w:jc w:val="both"/>
      </w:pPr>
      <w:r>
        <w:rPr/>
        <w:t>Este</w:t>
      </w:r>
      <w:r>
        <w:rPr>
          <w:spacing w:val="-4"/>
        </w:rPr>
        <w:t> </w:t>
      </w:r>
      <w:r>
        <w:rPr/>
        <w:t>vínculo</w:t>
      </w:r>
      <w:r>
        <w:rPr>
          <w:spacing w:val="-4"/>
        </w:rPr>
        <w:t> </w:t>
      </w:r>
      <w:r>
        <w:rPr/>
        <w:t>se</w:t>
      </w:r>
      <w:r>
        <w:rPr>
          <w:spacing w:val="-2"/>
        </w:rPr>
        <w:t> </w:t>
      </w:r>
      <w:r>
        <w:rPr/>
        <w:t>explica</w:t>
      </w:r>
      <w:r>
        <w:rPr>
          <w:spacing w:val="-5"/>
        </w:rPr>
        <w:t> </w:t>
      </w:r>
      <w:r>
        <w:rPr/>
        <w:t>por</w:t>
      </w:r>
      <w:r>
        <w:rPr>
          <w:spacing w:val="-5"/>
        </w:rPr>
        <w:t> </w:t>
      </w:r>
      <w:r>
        <w:rPr/>
        <w:t>el</w:t>
      </w:r>
      <w:r>
        <w:rPr>
          <w:spacing w:val="-3"/>
        </w:rPr>
        <w:t> </w:t>
      </w:r>
      <w:r>
        <w:rPr/>
        <w:t>alto</w:t>
      </w:r>
      <w:r>
        <w:rPr>
          <w:spacing w:val="-1"/>
        </w:rPr>
        <w:t> </w:t>
      </w:r>
      <w:r>
        <w:rPr/>
        <w:t>efecto</w:t>
      </w:r>
      <w:r>
        <w:rPr>
          <w:spacing w:val="-3"/>
        </w:rPr>
        <w:t> </w:t>
      </w:r>
      <w:r>
        <w:rPr/>
        <w:t>multiplicador</w:t>
      </w:r>
      <w:r>
        <w:rPr>
          <w:spacing w:val="-5"/>
        </w:rPr>
        <w:t> </w:t>
      </w:r>
      <w:r>
        <w:rPr/>
        <w:t>del</w:t>
      </w:r>
      <w:r>
        <w:rPr>
          <w:spacing w:val="-3"/>
        </w:rPr>
        <w:t> </w:t>
      </w:r>
      <w:r>
        <w:rPr/>
        <w:t>sector</w:t>
      </w:r>
      <w:r>
        <w:rPr>
          <w:spacing w:val="-4"/>
        </w:rPr>
        <w:t> </w:t>
      </w:r>
      <w:r>
        <w:rPr/>
        <w:t>industrial</w:t>
      </w:r>
      <w:r>
        <w:rPr>
          <w:spacing w:val="-1"/>
        </w:rPr>
        <w:t> </w:t>
      </w:r>
      <w:r>
        <w:rPr/>
        <w:t>que</w:t>
      </w:r>
      <w:r>
        <w:rPr>
          <w:spacing w:val="-4"/>
        </w:rPr>
        <w:t> </w:t>
      </w:r>
      <w:r>
        <w:rPr/>
        <w:t>caracteriza</w:t>
      </w:r>
      <w:r>
        <w:rPr>
          <w:spacing w:val="-5"/>
        </w:rPr>
        <w:t> </w:t>
      </w:r>
      <w:r>
        <w:rPr/>
        <w:t>a dicho sector debido a las elevadas elasticidades ingreso de la demanda de las manufacturas, a los fuertes encadenamientos productivos de las actividades industriales y al progreso técnico logrado por </w:t>
      </w:r>
      <w:r>
        <w:rPr>
          <w:i/>
        </w:rPr>
        <w:t>“learning by doing” </w:t>
      </w:r>
      <w:r>
        <w:rPr/>
        <w:t>(aprender haciendo), que avanza a medida que se amplía la división del trabajo y se desarrolla la especialización como consecuencia de la expansión de las actividades manufactureras (Fraga,</w:t>
      </w:r>
      <w:r>
        <w:rPr>
          <w:spacing w:val="-9"/>
        </w:rPr>
        <w:t> </w:t>
      </w:r>
      <w:r>
        <w:rPr/>
        <w:t>2010).</w:t>
      </w:r>
    </w:p>
    <w:p>
      <w:pPr>
        <w:pStyle w:val="BodyText"/>
        <w:spacing w:before="3"/>
        <w:rPr>
          <w:sz w:val="21"/>
        </w:rPr>
      </w:pPr>
    </w:p>
    <w:p>
      <w:pPr>
        <w:pStyle w:val="BodyText"/>
        <w:spacing w:line="360" w:lineRule="auto"/>
        <w:ind w:left="102" w:right="116"/>
        <w:jc w:val="both"/>
      </w:pPr>
      <w:r>
        <w:rPr/>
        <w:t>La segunda ley de Kaldor mejor conocida como la ley de Verdoorn precisa que la tasa de crecimiento de la productividad laboral manufacturera se encuentra determinada positivamente por la tasa de crecimiento del PIB manufacturero (Sánchez, 2010). En otras palabras, un incremento en la tasa de crecimiento de la producción manufacturera conduce</w:t>
      </w:r>
      <w:r>
        <w:rPr>
          <w:spacing w:val="-36"/>
        </w:rPr>
        <w:t> </w:t>
      </w:r>
      <w:r>
        <w:rPr/>
        <w:t>a un aumento de la productividad del trabajo dentro del mismo sector, debido al proceso que se</w:t>
      </w:r>
      <w:r>
        <w:rPr>
          <w:spacing w:val="-14"/>
        </w:rPr>
        <w:t> </w:t>
      </w:r>
      <w:r>
        <w:rPr/>
        <w:t>deriva</w:t>
      </w:r>
      <w:r>
        <w:rPr>
          <w:spacing w:val="-15"/>
        </w:rPr>
        <w:t> </w:t>
      </w:r>
      <w:r>
        <w:rPr/>
        <w:t>de</w:t>
      </w:r>
      <w:r>
        <w:rPr>
          <w:spacing w:val="-14"/>
        </w:rPr>
        <w:t> </w:t>
      </w:r>
      <w:r>
        <w:rPr/>
        <w:t>una</w:t>
      </w:r>
      <w:r>
        <w:rPr>
          <w:spacing w:val="-14"/>
        </w:rPr>
        <w:t> </w:t>
      </w:r>
      <w:r>
        <w:rPr/>
        <w:t>división</w:t>
      </w:r>
      <w:r>
        <w:rPr>
          <w:spacing w:val="-13"/>
        </w:rPr>
        <w:t> </w:t>
      </w:r>
      <w:r>
        <w:rPr/>
        <w:t>del</w:t>
      </w:r>
      <w:r>
        <w:rPr>
          <w:spacing w:val="-13"/>
        </w:rPr>
        <w:t> </w:t>
      </w:r>
      <w:r>
        <w:rPr/>
        <w:t>trabajo</w:t>
      </w:r>
      <w:r>
        <w:rPr>
          <w:spacing w:val="-12"/>
        </w:rPr>
        <w:t> </w:t>
      </w:r>
      <w:r>
        <w:rPr/>
        <w:t>y</w:t>
      </w:r>
      <w:r>
        <w:rPr>
          <w:spacing w:val="-18"/>
        </w:rPr>
        <w:t> </w:t>
      </w:r>
      <w:r>
        <w:rPr/>
        <w:t>una</w:t>
      </w:r>
      <w:r>
        <w:rPr>
          <w:spacing w:val="-14"/>
        </w:rPr>
        <w:t> </w:t>
      </w:r>
      <w:r>
        <w:rPr/>
        <w:t>especialización</w:t>
      </w:r>
      <w:r>
        <w:rPr>
          <w:spacing w:val="-13"/>
        </w:rPr>
        <w:t> </w:t>
      </w:r>
      <w:r>
        <w:rPr/>
        <w:t>mayores,</w:t>
      </w:r>
      <w:r>
        <w:rPr>
          <w:spacing w:val="-13"/>
        </w:rPr>
        <w:t> </w:t>
      </w:r>
      <w:r>
        <w:rPr/>
        <w:t>asociadas</w:t>
      </w:r>
      <w:r>
        <w:rPr>
          <w:spacing w:val="-13"/>
        </w:rPr>
        <w:t> </w:t>
      </w:r>
      <w:r>
        <w:rPr/>
        <w:t>a</w:t>
      </w:r>
      <w:r>
        <w:rPr>
          <w:spacing w:val="-14"/>
        </w:rPr>
        <w:t> </w:t>
      </w:r>
      <w:r>
        <w:rPr/>
        <w:t>la</w:t>
      </w:r>
      <w:r>
        <w:rPr>
          <w:spacing w:val="-14"/>
        </w:rPr>
        <w:t> </w:t>
      </w:r>
      <w:r>
        <w:rPr/>
        <w:t>ampliación del mercado, así como a las economías de escala de carácter dinámico provenientes de la incorporación del progreso técnico y de la mecanización de las actividades productivas (Ocegueda, 2003). La relación se ha especificado de acuerdo con Kaldor (1966) de la siguiente</w:t>
      </w:r>
      <w:r>
        <w:rPr>
          <w:spacing w:val="-4"/>
        </w:rPr>
        <w:t> </w:t>
      </w:r>
      <w:r>
        <w:rPr/>
        <w:t>manera:</w:t>
      </w:r>
    </w:p>
    <w:p>
      <w:pPr>
        <w:pStyle w:val="BodyText"/>
        <w:spacing w:before="2"/>
        <w:rPr>
          <w:sz w:val="19"/>
        </w:rPr>
      </w:pPr>
    </w:p>
    <w:p>
      <w:pPr>
        <w:spacing w:before="0"/>
        <w:ind w:left="383" w:right="397" w:firstLine="0"/>
        <w:jc w:val="center"/>
        <w:rPr>
          <w:rFonts w:ascii="Cambria Math" w:eastAsia="Cambria Math"/>
          <w:sz w:val="24"/>
        </w:rPr>
      </w:pPr>
      <w:r>
        <w:rPr>
          <w:rFonts w:ascii="Cambria Math" w:eastAsia="Cambria Math"/>
          <w:spacing w:val="-51"/>
          <w:w w:val="105"/>
          <w:sz w:val="24"/>
        </w:rPr>
        <w:t>𝑃</w:t>
      </w:r>
      <w:r>
        <w:rPr>
          <w:rFonts w:ascii="Cambria Math" w:eastAsia="Cambria Math"/>
          <w:spacing w:val="-51"/>
          <w:w w:val="105"/>
          <w:position w:val="-4"/>
          <w:sz w:val="17"/>
        </w:rPr>
        <w:t>�𝑎�</w:t>
      </w:r>
      <w:r>
        <w:rPr>
          <w:rFonts w:ascii="Cambria Math" w:eastAsia="Cambria Math"/>
          <w:spacing w:val="27"/>
          <w:w w:val="105"/>
          <w:position w:val="-4"/>
          <w:sz w:val="17"/>
        </w:rPr>
        <w:t> </w:t>
      </w:r>
      <w:r>
        <w:rPr>
          <w:rFonts w:ascii="Cambria Math" w:eastAsia="Cambria Math"/>
          <w:spacing w:val="-51"/>
          <w:w w:val="105"/>
          <w:sz w:val="24"/>
        </w:rPr>
        <w:t>=            𝑓(�</w:t>
      </w:r>
      <w:r>
        <w:rPr>
          <w:rFonts w:ascii="Cambria Math" w:eastAsia="Cambria Math"/>
          <w:spacing w:val="-51"/>
          <w:w w:val="105"/>
          <w:position w:val="9"/>
          <w:sz w:val="17"/>
        </w:rPr>
        <w:t>�𝑎�</w:t>
      </w:r>
      <w:r>
        <w:rPr>
          <w:rFonts w:ascii="Cambria Math" w:eastAsia="Cambria Math"/>
          <w:spacing w:val="-51"/>
          <w:w w:val="105"/>
          <w:sz w:val="24"/>
        </w:rPr>
        <w:t>)</w:t>
      </w:r>
    </w:p>
    <w:p>
      <w:pPr>
        <w:pStyle w:val="BodyText"/>
        <w:spacing w:before="4"/>
        <w:rPr>
          <w:rFonts w:ascii="Cambria Math"/>
          <w:sz w:val="27"/>
        </w:rPr>
      </w:pPr>
    </w:p>
    <w:p>
      <w:pPr>
        <w:pStyle w:val="BodyText"/>
        <w:spacing w:line="331" w:lineRule="auto"/>
        <w:ind w:left="102" w:right="122"/>
        <w:jc w:val="both"/>
      </w:pPr>
      <w:r>
        <w:rPr/>
        <w:t>Donde: </w:t>
      </w:r>
      <w:r>
        <w:rPr>
          <w:rFonts w:ascii="Cambria Math" w:hAnsi="Cambria Math" w:eastAsia="Cambria Math"/>
          <w:spacing w:val="-17"/>
        </w:rPr>
        <w:t>𝑃</w:t>
      </w:r>
      <w:r>
        <w:rPr>
          <w:rFonts w:ascii="Cambria Math" w:hAnsi="Cambria Math" w:eastAsia="Cambria Math"/>
          <w:spacing w:val="-17"/>
          <w:position w:val="-4"/>
          <w:sz w:val="17"/>
        </w:rPr>
        <w:t>�𝑎�   </w:t>
      </w:r>
      <w:r>
        <w:rPr/>
        <w:t>y </w:t>
      </w:r>
      <w:r>
        <w:rPr>
          <w:rFonts w:ascii="Cambria Math" w:hAnsi="Cambria Math" w:eastAsia="Cambria Math"/>
        </w:rPr>
        <w:t>�</w:t>
      </w:r>
      <w:r>
        <w:rPr>
          <w:rFonts w:ascii="Cambria Math" w:hAnsi="Cambria Math" w:eastAsia="Cambria Math"/>
          <w:position w:val="9"/>
          <w:sz w:val="17"/>
        </w:rPr>
        <w:t>�𝑎�  </w:t>
      </w:r>
      <w:r>
        <w:rPr/>
        <w:t>son las tasas de crecimiento de la productividad del trabajo y de la producción manufacturera,</w:t>
      </w:r>
      <w:r>
        <w:rPr>
          <w:spacing w:val="34"/>
        </w:rPr>
        <w:t> </w:t>
      </w:r>
      <w:r>
        <w:rPr/>
        <w:t>respectivamente.</w:t>
      </w:r>
    </w:p>
    <w:p>
      <w:pPr>
        <w:pStyle w:val="BodyText"/>
      </w:pPr>
    </w:p>
    <w:p>
      <w:pPr>
        <w:pStyle w:val="BodyText"/>
        <w:spacing w:line="360" w:lineRule="auto"/>
        <w:ind w:left="102" w:right="118"/>
        <w:jc w:val="both"/>
      </w:pPr>
      <w:r>
        <w:rPr/>
        <w:t>De acuerdo con Fraga, (2010) con este postulado Kaldor cierra el análisis del sistema económico desde su enfoque de la causalidad circular y acumulativa con el principio de demanda efectiva, siendo ésta la variable que determina el nivel del crecimiento, de renta y de empleo.</w:t>
      </w:r>
    </w:p>
    <w:p>
      <w:pPr>
        <w:pStyle w:val="BodyText"/>
        <w:spacing w:before="2"/>
        <w:rPr>
          <w:sz w:val="21"/>
        </w:rPr>
      </w:pPr>
    </w:p>
    <w:p>
      <w:pPr>
        <w:pStyle w:val="BodyText"/>
        <w:spacing w:line="360" w:lineRule="auto"/>
        <w:ind w:left="102" w:right="113"/>
        <w:jc w:val="both"/>
      </w:pPr>
      <w:r>
        <w:rPr/>
        <w:t>La tercera ley de Kaldor sostiene que el incremento de la productividad del conjunto de </w:t>
      </w:r>
      <w:r>
        <w:rPr>
          <w:spacing w:val="2"/>
        </w:rPr>
        <w:t>la </w:t>
      </w:r>
      <w:r>
        <w:rPr/>
        <w:t>economía está positivamente relacionado con los incrementos de la producción industrial y negativamente</w:t>
      </w:r>
      <w:r>
        <w:rPr>
          <w:spacing w:val="-8"/>
        </w:rPr>
        <w:t> </w:t>
      </w:r>
      <w:r>
        <w:rPr/>
        <w:t>con</w:t>
      </w:r>
      <w:r>
        <w:rPr>
          <w:spacing w:val="-7"/>
        </w:rPr>
        <w:t> </w:t>
      </w:r>
      <w:r>
        <w:rPr/>
        <w:t>la</w:t>
      </w:r>
      <w:r>
        <w:rPr>
          <w:spacing w:val="-8"/>
        </w:rPr>
        <w:t> </w:t>
      </w:r>
      <w:r>
        <w:rPr/>
        <w:t>variación</w:t>
      </w:r>
      <w:r>
        <w:rPr>
          <w:spacing w:val="-7"/>
        </w:rPr>
        <w:t> </w:t>
      </w:r>
      <w:r>
        <w:rPr/>
        <w:t>de</w:t>
      </w:r>
      <w:r>
        <w:rPr>
          <w:spacing w:val="-8"/>
        </w:rPr>
        <w:t> </w:t>
      </w:r>
      <w:r>
        <w:rPr/>
        <w:t>la</w:t>
      </w:r>
      <w:r>
        <w:rPr>
          <w:spacing w:val="-8"/>
        </w:rPr>
        <w:t> </w:t>
      </w:r>
      <w:r>
        <w:rPr/>
        <w:t>población</w:t>
      </w:r>
      <w:r>
        <w:rPr>
          <w:spacing w:val="-7"/>
        </w:rPr>
        <w:t> </w:t>
      </w:r>
      <w:r>
        <w:rPr/>
        <w:t>ocupada</w:t>
      </w:r>
      <w:r>
        <w:rPr>
          <w:spacing w:val="-8"/>
        </w:rPr>
        <w:t> </w:t>
      </w:r>
      <w:r>
        <w:rPr/>
        <w:t>en</w:t>
      </w:r>
      <w:r>
        <w:rPr>
          <w:spacing w:val="-7"/>
        </w:rPr>
        <w:t> </w:t>
      </w:r>
      <w:r>
        <w:rPr/>
        <w:t>los</w:t>
      </w:r>
      <w:r>
        <w:rPr>
          <w:spacing w:val="-7"/>
        </w:rPr>
        <w:t> </w:t>
      </w:r>
      <w:r>
        <w:rPr/>
        <w:t>sectores</w:t>
      </w:r>
      <w:r>
        <w:rPr>
          <w:spacing w:val="-5"/>
        </w:rPr>
        <w:t> </w:t>
      </w:r>
      <w:r>
        <w:rPr/>
        <w:t>no</w:t>
      </w:r>
      <w:r>
        <w:rPr>
          <w:spacing w:val="-7"/>
        </w:rPr>
        <w:t> </w:t>
      </w:r>
      <w:r>
        <w:rPr/>
        <w:t>industriales</w:t>
      </w:r>
      <w:r>
        <w:rPr>
          <w:spacing w:val="-7"/>
        </w:rPr>
        <w:t> </w:t>
      </w:r>
      <w:r>
        <w:rPr/>
        <w:t>(Pons y</w:t>
      </w:r>
      <w:r>
        <w:rPr>
          <w:spacing w:val="-17"/>
        </w:rPr>
        <w:t> </w:t>
      </w:r>
      <w:r>
        <w:rPr/>
        <w:t>Viladecans,</w:t>
      </w:r>
      <w:r>
        <w:rPr>
          <w:spacing w:val="-15"/>
        </w:rPr>
        <w:t> </w:t>
      </w:r>
      <w:r>
        <w:rPr/>
        <w:t>1999).</w:t>
      </w:r>
      <w:r>
        <w:rPr>
          <w:spacing w:val="-14"/>
        </w:rPr>
        <w:t> </w:t>
      </w:r>
      <w:r>
        <w:rPr/>
        <w:t>Es</w:t>
      </w:r>
      <w:r>
        <w:rPr>
          <w:spacing w:val="-12"/>
        </w:rPr>
        <w:t> </w:t>
      </w:r>
      <w:r>
        <w:rPr/>
        <w:t>decir,</w:t>
      </w:r>
      <w:r>
        <w:rPr>
          <w:spacing w:val="-15"/>
        </w:rPr>
        <w:t> </w:t>
      </w:r>
      <w:r>
        <w:rPr/>
        <w:t>si</w:t>
      </w:r>
      <w:r>
        <w:rPr>
          <w:spacing w:val="-12"/>
        </w:rPr>
        <w:t> </w:t>
      </w:r>
      <w:r>
        <w:rPr/>
        <w:t>se</w:t>
      </w:r>
      <w:r>
        <w:rPr>
          <w:spacing w:val="-16"/>
        </w:rPr>
        <w:t> </w:t>
      </w:r>
      <w:r>
        <w:rPr/>
        <w:t>da</w:t>
      </w:r>
      <w:r>
        <w:rPr>
          <w:spacing w:val="-16"/>
        </w:rPr>
        <w:t> </w:t>
      </w:r>
      <w:r>
        <w:rPr/>
        <w:t>un</w:t>
      </w:r>
      <w:r>
        <w:rPr>
          <w:spacing w:val="-13"/>
        </w:rPr>
        <w:t> </w:t>
      </w:r>
      <w:r>
        <w:rPr/>
        <w:t>aumento</w:t>
      </w:r>
      <w:r>
        <w:rPr>
          <w:spacing w:val="-10"/>
        </w:rPr>
        <w:t> </w:t>
      </w:r>
      <w:r>
        <w:rPr/>
        <w:t>de</w:t>
      </w:r>
      <w:r>
        <w:rPr>
          <w:spacing w:val="-16"/>
        </w:rPr>
        <w:t> </w:t>
      </w:r>
      <w:r>
        <w:rPr/>
        <w:t>la</w:t>
      </w:r>
      <w:r>
        <w:rPr>
          <w:spacing w:val="-13"/>
        </w:rPr>
        <w:t> </w:t>
      </w:r>
      <w:r>
        <w:rPr/>
        <w:t>producción</w:t>
      </w:r>
      <w:r>
        <w:rPr>
          <w:spacing w:val="-12"/>
        </w:rPr>
        <w:t> </w:t>
      </w:r>
      <w:r>
        <w:rPr/>
        <w:t>manufacturera</w:t>
      </w:r>
      <w:r>
        <w:rPr>
          <w:spacing w:val="-14"/>
        </w:rPr>
        <w:t> </w:t>
      </w:r>
      <w:r>
        <w:rPr/>
        <w:t>se</w:t>
      </w:r>
      <w:r>
        <w:rPr>
          <w:spacing w:val="-16"/>
        </w:rPr>
        <w:t> </w:t>
      </w:r>
      <w:r>
        <w:rPr/>
        <w:t>produce una</w:t>
      </w:r>
      <w:r>
        <w:rPr>
          <w:spacing w:val="48"/>
        </w:rPr>
        <w:t> </w:t>
      </w:r>
      <w:r>
        <w:rPr/>
        <w:t>transferencia</w:t>
      </w:r>
      <w:r>
        <w:rPr>
          <w:spacing w:val="48"/>
        </w:rPr>
        <w:t> </w:t>
      </w:r>
      <w:r>
        <w:rPr/>
        <w:t>de</w:t>
      </w:r>
      <w:r>
        <w:rPr>
          <w:spacing w:val="48"/>
        </w:rPr>
        <w:t> </w:t>
      </w:r>
      <w:r>
        <w:rPr/>
        <w:t>mano</w:t>
      </w:r>
      <w:r>
        <w:rPr>
          <w:spacing w:val="49"/>
        </w:rPr>
        <w:t> </w:t>
      </w:r>
      <w:r>
        <w:rPr/>
        <w:t>de</w:t>
      </w:r>
      <w:r>
        <w:rPr>
          <w:spacing w:val="48"/>
        </w:rPr>
        <w:t> </w:t>
      </w:r>
      <w:r>
        <w:rPr/>
        <w:t>obra</w:t>
      </w:r>
      <w:r>
        <w:rPr>
          <w:spacing w:val="47"/>
        </w:rPr>
        <w:t> </w:t>
      </w:r>
      <w:r>
        <w:rPr/>
        <w:t>desde</w:t>
      </w:r>
      <w:r>
        <w:rPr>
          <w:spacing w:val="50"/>
        </w:rPr>
        <w:t> </w:t>
      </w:r>
      <w:r>
        <w:rPr/>
        <w:t>el</w:t>
      </w:r>
      <w:r>
        <w:rPr>
          <w:spacing w:val="49"/>
        </w:rPr>
        <w:t> </w:t>
      </w:r>
      <w:r>
        <w:rPr/>
        <w:t>resto</w:t>
      </w:r>
      <w:r>
        <w:rPr>
          <w:spacing w:val="49"/>
        </w:rPr>
        <w:t> </w:t>
      </w:r>
      <w:r>
        <w:rPr/>
        <w:t>de</w:t>
      </w:r>
      <w:r>
        <w:rPr>
          <w:spacing w:val="48"/>
        </w:rPr>
        <w:t> </w:t>
      </w:r>
      <w:r>
        <w:rPr/>
        <w:t>los</w:t>
      </w:r>
      <w:r>
        <w:rPr>
          <w:spacing w:val="49"/>
        </w:rPr>
        <w:t> </w:t>
      </w:r>
      <w:r>
        <w:rPr/>
        <w:t>sectores</w:t>
      </w:r>
      <w:r>
        <w:rPr>
          <w:spacing w:val="51"/>
        </w:rPr>
        <w:t> </w:t>
      </w:r>
      <w:r>
        <w:rPr/>
        <w:t>económicos</w:t>
      </w:r>
      <w:r>
        <w:rPr>
          <w:spacing w:val="49"/>
        </w:rPr>
        <w:t> </w:t>
      </w:r>
      <w:r>
        <w:rPr/>
        <w:t>hacia</w:t>
      </w:r>
      <w:r>
        <w:rPr>
          <w:spacing w:val="48"/>
        </w:rPr>
        <w:t> </w:t>
      </w:r>
      <w:r>
        <w:rPr/>
        <w:t>la</w:t>
      </w:r>
    </w:p>
    <w:p>
      <w:pPr>
        <w:spacing w:after="0" w:line="360" w:lineRule="auto"/>
        <w:jc w:val="both"/>
        <w:sectPr>
          <w:pgSz w:w="12240" w:h="15840"/>
          <w:pgMar w:header="0" w:footer="1035" w:top="1360" w:bottom="1220" w:left="1600" w:right="1580"/>
        </w:sectPr>
      </w:pPr>
    </w:p>
    <w:p>
      <w:pPr>
        <w:pStyle w:val="BodyText"/>
        <w:spacing w:line="360" w:lineRule="auto" w:before="50"/>
        <w:ind w:left="102" w:right="116"/>
        <w:jc w:val="both"/>
      </w:pPr>
      <w:r>
        <w:rPr/>
        <w:t>industria, de tal forma que el crecimiento de la productividad total de la economía está asociado positivamente con el crecimiento del producto y empleo manufacturero y correlacionado negativamente con el crecimiento del empleo fuera del sector manufacturero (Kaldor, 1966). Dicha relación se ha expresado de la siguiente manera:</w:t>
      </w:r>
    </w:p>
    <w:p>
      <w:pPr>
        <w:pStyle w:val="BodyText"/>
        <w:spacing w:before="2"/>
        <w:rPr>
          <w:sz w:val="19"/>
        </w:rPr>
      </w:pPr>
    </w:p>
    <w:p>
      <w:pPr>
        <w:spacing w:before="0"/>
        <w:ind w:left="383" w:right="397" w:firstLine="0"/>
        <w:jc w:val="center"/>
        <w:rPr>
          <w:rFonts w:ascii="Cambria Math" w:eastAsia="Cambria Math"/>
          <w:sz w:val="24"/>
        </w:rPr>
      </w:pPr>
      <w:r>
        <w:rPr>
          <w:rFonts w:ascii="Cambria Math" w:eastAsia="Cambria Math"/>
          <w:w w:val="105"/>
          <w:sz w:val="24"/>
        </w:rPr>
        <w:t>𝑃</w:t>
      </w:r>
      <w:r>
        <w:rPr>
          <w:rFonts w:ascii="Cambria Math" w:eastAsia="Cambria Math"/>
          <w:w w:val="105"/>
          <w:position w:val="-4"/>
          <w:sz w:val="17"/>
        </w:rPr>
        <w:t>𝑡�𝑡 </w:t>
      </w:r>
      <w:r>
        <w:rPr>
          <w:rFonts w:ascii="Cambria Math" w:eastAsia="Cambria Math"/>
          <w:w w:val="105"/>
          <w:sz w:val="24"/>
        </w:rPr>
        <w:t>=   𝑓(�</w:t>
      </w:r>
      <w:r>
        <w:rPr>
          <w:rFonts w:ascii="Cambria Math" w:eastAsia="Cambria Math"/>
          <w:w w:val="105"/>
          <w:position w:val="9"/>
          <w:sz w:val="17"/>
        </w:rPr>
        <w:t>�𝑎�</w:t>
      </w:r>
      <w:r>
        <w:rPr>
          <w:rFonts w:ascii="Cambria Math" w:eastAsia="Cambria Math"/>
          <w:w w:val="105"/>
          <w:sz w:val="24"/>
        </w:rPr>
        <w:t>, �</w:t>
      </w:r>
      <w:r>
        <w:rPr>
          <w:rFonts w:ascii="Cambria Math" w:eastAsia="Cambria Math"/>
          <w:w w:val="105"/>
          <w:position w:val="9"/>
          <w:sz w:val="17"/>
        </w:rPr>
        <w:t>�𝑎�</w:t>
      </w:r>
      <w:r>
        <w:rPr>
          <w:rFonts w:ascii="Cambria Math" w:eastAsia="Cambria Math"/>
          <w:w w:val="105"/>
          <w:sz w:val="24"/>
        </w:rPr>
        <w:t>)</w:t>
      </w:r>
    </w:p>
    <w:p>
      <w:pPr>
        <w:pStyle w:val="BodyText"/>
        <w:spacing w:before="5"/>
        <w:rPr>
          <w:rFonts w:ascii="Cambria Math"/>
          <w:sz w:val="29"/>
        </w:rPr>
      </w:pPr>
    </w:p>
    <w:p>
      <w:pPr>
        <w:pStyle w:val="BodyText"/>
        <w:spacing w:line="360" w:lineRule="auto"/>
        <w:ind w:left="102" w:right="117"/>
        <w:jc w:val="both"/>
      </w:pPr>
      <w:r>
        <w:rPr/>
        <w:t>Este resultado puede explicarse a partir de distintos procesos: en primer lugar, la expansión de</w:t>
      </w:r>
      <w:r>
        <w:rPr>
          <w:spacing w:val="-10"/>
        </w:rPr>
        <w:t> </w:t>
      </w:r>
      <w:r>
        <w:rPr/>
        <w:t>la</w:t>
      </w:r>
      <w:r>
        <w:rPr>
          <w:spacing w:val="-9"/>
        </w:rPr>
        <w:t> </w:t>
      </w:r>
      <w:r>
        <w:rPr/>
        <w:t>industria</w:t>
      </w:r>
      <w:r>
        <w:rPr>
          <w:spacing w:val="-9"/>
        </w:rPr>
        <w:t> </w:t>
      </w:r>
      <w:r>
        <w:rPr/>
        <w:t>manufacturera</w:t>
      </w:r>
      <w:r>
        <w:rPr>
          <w:spacing w:val="-8"/>
        </w:rPr>
        <w:t> </w:t>
      </w:r>
      <w:r>
        <w:rPr/>
        <w:t>acrecienta</w:t>
      </w:r>
      <w:r>
        <w:rPr>
          <w:spacing w:val="-10"/>
        </w:rPr>
        <w:t> </w:t>
      </w:r>
      <w:r>
        <w:rPr/>
        <w:t>la</w:t>
      </w:r>
      <w:r>
        <w:rPr>
          <w:spacing w:val="-9"/>
        </w:rPr>
        <w:t> </w:t>
      </w:r>
      <w:r>
        <w:rPr/>
        <w:t>demanda</w:t>
      </w:r>
      <w:r>
        <w:rPr>
          <w:spacing w:val="-10"/>
        </w:rPr>
        <w:t> </w:t>
      </w:r>
      <w:r>
        <w:rPr/>
        <w:t>por</w:t>
      </w:r>
      <w:r>
        <w:rPr>
          <w:spacing w:val="-9"/>
        </w:rPr>
        <w:t> </w:t>
      </w:r>
      <w:r>
        <w:rPr/>
        <w:t>trabajo</w:t>
      </w:r>
      <w:r>
        <w:rPr>
          <w:spacing w:val="-8"/>
        </w:rPr>
        <w:t> </w:t>
      </w:r>
      <w:r>
        <w:rPr/>
        <w:t>convirtiéndose</w:t>
      </w:r>
      <w:r>
        <w:rPr>
          <w:spacing w:val="-9"/>
        </w:rPr>
        <w:t> </w:t>
      </w:r>
      <w:r>
        <w:rPr/>
        <w:t>en</w:t>
      </w:r>
      <w:r>
        <w:rPr>
          <w:spacing w:val="-9"/>
        </w:rPr>
        <w:t> </w:t>
      </w:r>
      <w:r>
        <w:rPr/>
        <w:t>un</w:t>
      </w:r>
      <w:r>
        <w:rPr>
          <w:spacing w:val="-9"/>
        </w:rPr>
        <w:t> </w:t>
      </w:r>
      <w:r>
        <w:rPr/>
        <w:t>polo</w:t>
      </w:r>
      <w:r>
        <w:rPr>
          <w:spacing w:val="-8"/>
        </w:rPr>
        <w:t> </w:t>
      </w:r>
      <w:r>
        <w:rPr/>
        <w:t>de atracción de trabajadores que se encuentran en sectores tradicionales en una situación de desempleo disfrazado. En dichos sectores disminuye el empleo pero no el producto, lo cual se manifiesta como un aumento de la productividad del trabajo. En segundo lugar, la transferencia de recursos de sectores de baja productividad agregada a otros de alta, genera un efecto favorable en la productividad agregada de la economía, </w:t>
      </w:r>
      <w:r>
        <w:rPr>
          <w:spacing w:val="-3"/>
        </w:rPr>
        <w:t>ya </w:t>
      </w:r>
      <w:r>
        <w:rPr/>
        <w:t>que trabajadores poco productivos</w:t>
      </w:r>
      <w:r>
        <w:rPr>
          <w:spacing w:val="-14"/>
        </w:rPr>
        <w:t> </w:t>
      </w:r>
      <w:r>
        <w:rPr/>
        <w:t>empleados</w:t>
      </w:r>
      <w:r>
        <w:rPr>
          <w:spacing w:val="-14"/>
        </w:rPr>
        <w:t> </w:t>
      </w:r>
      <w:r>
        <w:rPr/>
        <w:t>en</w:t>
      </w:r>
      <w:r>
        <w:rPr>
          <w:spacing w:val="-14"/>
        </w:rPr>
        <w:t> </w:t>
      </w:r>
      <w:r>
        <w:rPr/>
        <w:t>actividades</w:t>
      </w:r>
      <w:r>
        <w:rPr>
          <w:spacing w:val="-14"/>
        </w:rPr>
        <w:t> </w:t>
      </w:r>
      <w:r>
        <w:rPr/>
        <w:t>tradicionales</w:t>
      </w:r>
      <w:r>
        <w:rPr>
          <w:spacing w:val="-14"/>
        </w:rPr>
        <w:t> </w:t>
      </w:r>
      <w:r>
        <w:rPr/>
        <w:t>se</w:t>
      </w:r>
      <w:r>
        <w:rPr>
          <w:spacing w:val="-15"/>
        </w:rPr>
        <w:t> </w:t>
      </w:r>
      <w:r>
        <w:rPr/>
        <w:t>convierten</w:t>
      </w:r>
      <w:r>
        <w:rPr>
          <w:spacing w:val="-15"/>
        </w:rPr>
        <w:t> </w:t>
      </w:r>
      <w:r>
        <w:rPr/>
        <w:t>en</w:t>
      </w:r>
      <w:r>
        <w:rPr>
          <w:spacing w:val="-14"/>
        </w:rPr>
        <w:t> </w:t>
      </w:r>
      <w:r>
        <w:rPr/>
        <w:t>trabajadores</w:t>
      </w:r>
      <w:r>
        <w:rPr>
          <w:spacing w:val="-14"/>
        </w:rPr>
        <w:t> </w:t>
      </w:r>
      <w:r>
        <w:rPr/>
        <w:t>industriales más productivos (Ocegueda, 2003). Lo anterior se debe en general al sistema de arrastre</w:t>
      </w:r>
      <w:r>
        <w:rPr>
          <w:spacing w:val="-39"/>
        </w:rPr>
        <w:t> </w:t>
      </w:r>
      <w:r>
        <w:rPr/>
        <w:t>que genera el sector secundario (Quintana </w:t>
      </w:r>
      <w:r>
        <w:rPr>
          <w:i/>
        </w:rPr>
        <w:t>et al</w:t>
      </w:r>
      <w:r>
        <w:rPr/>
        <w:t>.,</w:t>
      </w:r>
      <w:r>
        <w:rPr>
          <w:spacing w:val="-5"/>
        </w:rPr>
        <w:t> </w:t>
      </w:r>
      <w:r>
        <w:rPr/>
        <w:t>2013).</w:t>
      </w:r>
    </w:p>
    <w:p>
      <w:pPr>
        <w:pStyle w:val="BodyText"/>
        <w:spacing w:before="2"/>
        <w:rPr>
          <w:sz w:val="21"/>
        </w:rPr>
      </w:pPr>
    </w:p>
    <w:p>
      <w:pPr>
        <w:pStyle w:val="BodyText"/>
        <w:spacing w:line="360" w:lineRule="auto"/>
        <w:ind w:left="102" w:right="117"/>
        <w:jc w:val="both"/>
      </w:pPr>
      <w:r>
        <w:rPr/>
        <w:t>En suma para Nicholas Kaldor el tipo de actividades en las cuales una economía se especializa es vital para entender las razones de su atraso o progreso; siguiendo este paradigma,</w:t>
      </w:r>
      <w:r>
        <w:rPr>
          <w:spacing w:val="-8"/>
        </w:rPr>
        <w:t> </w:t>
      </w:r>
      <w:r>
        <w:rPr/>
        <w:t>una</w:t>
      </w:r>
      <w:r>
        <w:rPr>
          <w:spacing w:val="-9"/>
        </w:rPr>
        <w:t> </w:t>
      </w:r>
      <w:r>
        <w:rPr/>
        <w:t>región</w:t>
      </w:r>
      <w:r>
        <w:rPr>
          <w:spacing w:val="-7"/>
        </w:rPr>
        <w:t> </w:t>
      </w:r>
      <w:r>
        <w:rPr/>
        <w:t>o</w:t>
      </w:r>
      <w:r>
        <w:rPr>
          <w:spacing w:val="-8"/>
        </w:rPr>
        <w:t> </w:t>
      </w:r>
      <w:r>
        <w:rPr/>
        <w:t>país</w:t>
      </w:r>
      <w:r>
        <w:rPr>
          <w:spacing w:val="-8"/>
        </w:rPr>
        <w:t> </w:t>
      </w:r>
      <w:r>
        <w:rPr/>
        <w:t>especializado</w:t>
      </w:r>
      <w:r>
        <w:rPr>
          <w:spacing w:val="-8"/>
        </w:rPr>
        <w:t> </w:t>
      </w:r>
      <w:r>
        <w:rPr/>
        <w:t>en</w:t>
      </w:r>
      <w:r>
        <w:rPr>
          <w:spacing w:val="-8"/>
        </w:rPr>
        <w:t> </w:t>
      </w:r>
      <w:r>
        <w:rPr/>
        <w:t>actividades</w:t>
      </w:r>
      <w:r>
        <w:rPr>
          <w:spacing w:val="-8"/>
        </w:rPr>
        <w:t> </w:t>
      </w:r>
      <w:r>
        <w:rPr/>
        <w:t>manufactureras</w:t>
      </w:r>
      <w:r>
        <w:rPr>
          <w:spacing w:val="-8"/>
        </w:rPr>
        <w:t> </w:t>
      </w:r>
      <w:r>
        <w:rPr/>
        <w:t>dinámicas</w:t>
      </w:r>
      <w:r>
        <w:rPr>
          <w:spacing w:val="-8"/>
        </w:rPr>
        <w:t> </w:t>
      </w:r>
      <w:r>
        <w:rPr/>
        <w:t>tenderá a crecer y divergir respecto a aquellos que se especializan en actividades agropecuarias, comerciales y/o de servicios, </w:t>
      </w:r>
      <w:r>
        <w:rPr>
          <w:spacing w:val="-3"/>
        </w:rPr>
        <w:t>ya </w:t>
      </w:r>
      <w:r>
        <w:rPr/>
        <w:t>que las manufacturas son actividades con rendimientos crecientes, lo que significa que la producción siempre se multiplica por una cantidad mayor que la de insumos que se agregan (Sánchez y Campos,</w:t>
      </w:r>
      <w:r>
        <w:rPr>
          <w:spacing w:val="-7"/>
        </w:rPr>
        <w:t> </w:t>
      </w:r>
      <w:r>
        <w:rPr/>
        <w:t>2010).</w:t>
      </w:r>
    </w:p>
    <w:p>
      <w:pPr>
        <w:pStyle w:val="BodyText"/>
        <w:spacing w:before="2"/>
        <w:rPr>
          <w:sz w:val="21"/>
        </w:rPr>
      </w:pPr>
    </w:p>
    <w:p>
      <w:pPr>
        <w:pStyle w:val="BodyText"/>
        <w:spacing w:line="360" w:lineRule="auto"/>
        <w:ind w:left="102" w:right="117"/>
        <w:jc w:val="both"/>
      </w:pPr>
      <w:r>
        <w:rPr/>
        <w:t>Para concluir, la evidencia teórica mostrada durante este primer capítulo ha permitido conocer la importancia del estudio del crecimiento económico, </w:t>
      </w:r>
      <w:r>
        <w:rPr>
          <w:spacing w:val="-3"/>
        </w:rPr>
        <w:t>ya </w:t>
      </w:r>
      <w:r>
        <w:rPr/>
        <w:t>que es un término que recurrentemente se asocia con el bienestar de las sociedades. En específico, las leyes de crecimiento económico de Kaldor, permiten dimensionar no solo la importancia que tiene</w:t>
      </w:r>
      <w:r>
        <w:rPr>
          <w:spacing w:val="-20"/>
        </w:rPr>
        <w:t> </w:t>
      </w:r>
      <w:r>
        <w:rPr/>
        <w:t>el sector manufacturero en términos de su crecimiento y productividad dentro del crecimiento económico</w:t>
      </w:r>
      <w:r>
        <w:rPr>
          <w:spacing w:val="-4"/>
        </w:rPr>
        <w:t> </w:t>
      </w:r>
      <w:r>
        <w:rPr/>
        <w:t>de</w:t>
      </w:r>
      <w:r>
        <w:rPr>
          <w:spacing w:val="-5"/>
        </w:rPr>
        <w:t> </w:t>
      </w:r>
      <w:r>
        <w:rPr/>
        <w:t>los</w:t>
      </w:r>
      <w:r>
        <w:rPr>
          <w:spacing w:val="-3"/>
        </w:rPr>
        <w:t> </w:t>
      </w:r>
      <w:r>
        <w:rPr/>
        <w:t>países,</w:t>
      </w:r>
      <w:r>
        <w:rPr>
          <w:spacing w:val="-2"/>
        </w:rPr>
        <w:t> </w:t>
      </w:r>
      <w:r>
        <w:rPr/>
        <w:t>sino</w:t>
      </w:r>
      <w:r>
        <w:rPr>
          <w:spacing w:val="-4"/>
        </w:rPr>
        <w:t> </w:t>
      </w:r>
      <w:r>
        <w:rPr/>
        <w:t>también</w:t>
      </w:r>
      <w:r>
        <w:rPr>
          <w:spacing w:val="-4"/>
        </w:rPr>
        <w:t> </w:t>
      </w:r>
      <w:r>
        <w:rPr/>
        <w:t>permiten</w:t>
      </w:r>
      <w:r>
        <w:rPr>
          <w:spacing w:val="-4"/>
        </w:rPr>
        <w:t> </w:t>
      </w:r>
      <w:r>
        <w:rPr/>
        <w:t>vislumbrar</w:t>
      </w:r>
      <w:r>
        <w:rPr>
          <w:spacing w:val="-5"/>
        </w:rPr>
        <w:t> </w:t>
      </w:r>
      <w:r>
        <w:rPr/>
        <w:t>la</w:t>
      </w:r>
      <w:r>
        <w:rPr>
          <w:spacing w:val="-4"/>
        </w:rPr>
        <w:t> </w:t>
      </w:r>
      <w:r>
        <w:rPr/>
        <w:t>importancia</w:t>
      </w:r>
      <w:r>
        <w:rPr>
          <w:spacing w:val="-1"/>
        </w:rPr>
        <w:t> </w:t>
      </w:r>
      <w:r>
        <w:rPr/>
        <w:t>que</w:t>
      </w:r>
      <w:r>
        <w:rPr>
          <w:spacing w:val="-5"/>
        </w:rPr>
        <w:t> </w:t>
      </w:r>
      <w:r>
        <w:rPr/>
        <w:t>adquieren</w:t>
      </w:r>
      <w:r>
        <w:rPr>
          <w:spacing w:val="-4"/>
        </w:rPr>
        <w:t> </w:t>
      </w:r>
      <w:r>
        <w:rPr/>
        <w:t>las industrias que lo</w:t>
      </w:r>
      <w:r>
        <w:rPr>
          <w:spacing w:val="-4"/>
        </w:rPr>
        <w:t> </w:t>
      </w:r>
      <w:r>
        <w:rPr/>
        <w:t>integran.</w:t>
      </w:r>
    </w:p>
    <w:p>
      <w:pPr>
        <w:spacing w:after="0" w:line="360" w:lineRule="auto"/>
        <w:jc w:val="both"/>
        <w:sectPr>
          <w:pgSz w:w="12240" w:h="15840"/>
          <w:pgMar w:header="0" w:footer="1035" w:top="1360" w:bottom="1220" w:left="1600" w:right="1580"/>
        </w:sectPr>
      </w:pPr>
    </w:p>
    <w:p>
      <w:pPr>
        <w:pStyle w:val="BodyText"/>
        <w:spacing w:line="360" w:lineRule="auto" w:before="50"/>
        <w:ind w:left="102" w:right="116"/>
        <w:jc w:val="both"/>
      </w:pPr>
      <w:r>
        <w:rPr/>
        <w:t>Con lo anterior, es posible entonces bajo este esquema teórico, enfocarnos en el sector manufacturero de México y</w:t>
      </w:r>
      <w:r>
        <w:rPr>
          <w:spacing w:val="-42"/>
        </w:rPr>
        <w:t> </w:t>
      </w:r>
      <w:r>
        <w:rPr/>
        <w:t>puntualmente en una de sus industrias, la automotriz, pues se ha encontrado que dicha industria tiene una participación destacada dentro del sector manufacturero, de acuerdo con datos del INEGI (2009) la industria automotriz aportó el 15.4%</w:t>
      </w:r>
      <w:r>
        <w:rPr>
          <w:spacing w:val="-9"/>
        </w:rPr>
        <w:t> </w:t>
      </w:r>
      <w:r>
        <w:rPr/>
        <w:t>de</w:t>
      </w:r>
      <w:r>
        <w:rPr>
          <w:spacing w:val="-10"/>
        </w:rPr>
        <w:t> </w:t>
      </w:r>
      <w:r>
        <w:rPr/>
        <w:t>la</w:t>
      </w:r>
      <w:r>
        <w:rPr>
          <w:spacing w:val="-9"/>
        </w:rPr>
        <w:t> </w:t>
      </w:r>
      <w:r>
        <w:rPr/>
        <w:t>producción</w:t>
      </w:r>
      <w:r>
        <w:rPr>
          <w:spacing w:val="-8"/>
        </w:rPr>
        <w:t> </w:t>
      </w:r>
      <w:r>
        <w:rPr/>
        <w:t>bruta</w:t>
      </w:r>
      <w:r>
        <w:rPr>
          <w:spacing w:val="-10"/>
        </w:rPr>
        <w:t> </w:t>
      </w:r>
      <w:r>
        <w:rPr/>
        <w:t>total</w:t>
      </w:r>
      <w:r>
        <w:rPr>
          <w:spacing w:val="-8"/>
        </w:rPr>
        <w:t> </w:t>
      </w:r>
      <w:r>
        <w:rPr/>
        <w:t>del</w:t>
      </w:r>
      <w:r>
        <w:rPr>
          <w:spacing w:val="-8"/>
        </w:rPr>
        <w:t> </w:t>
      </w:r>
      <w:r>
        <w:rPr/>
        <w:t>sector,</w:t>
      </w:r>
      <w:r>
        <w:rPr>
          <w:spacing w:val="-9"/>
        </w:rPr>
        <w:t> </w:t>
      </w:r>
      <w:r>
        <w:rPr/>
        <w:t>lo</w:t>
      </w:r>
      <w:r>
        <w:rPr>
          <w:spacing w:val="-8"/>
        </w:rPr>
        <w:t> </w:t>
      </w:r>
      <w:r>
        <w:rPr/>
        <w:t>que</w:t>
      </w:r>
      <w:r>
        <w:rPr>
          <w:spacing w:val="-10"/>
        </w:rPr>
        <w:t> </w:t>
      </w:r>
      <w:r>
        <w:rPr/>
        <w:t>nos</w:t>
      </w:r>
      <w:r>
        <w:rPr>
          <w:spacing w:val="-8"/>
        </w:rPr>
        <w:t> </w:t>
      </w:r>
      <w:r>
        <w:rPr/>
        <w:t>hace</w:t>
      </w:r>
      <w:r>
        <w:rPr>
          <w:spacing w:val="-10"/>
        </w:rPr>
        <w:t> </w:t>
      </w:r>
      <w:r>
        <w:rPr/>
        <w:t>pensar</w:t>
      </w:r>
      <w:r>
        <w:rPr>
          <w:spacing w:val="-9"/>
        </w:rPr>
        <w:t> </w:t>
      </w:r>
      <w:r>
        <w:rPr/>
        <w:t>que</w:t>
      </w:r>
      <w:r>
        <w:rPr>
          <w:spacing w:val="-10"/>
        </w:rPr>
        <w:t> </w:t>
      </w:r>
      <w:r>
        <w:rPr/>
        <w:t>es</w:t>
      </w:r>
      <w:r>
        <w:rPr>
          <w:spacing w:val="-6"/>
        </w:rPr>
        <w:t> </w:t>
      </w:r>
      <w:r>
        <w:rPr/>
        <w:t>una</w:t>
      </w:r>
      <w:r>
        <w:rPr>
          <w:spacing w:val="-10"/>
        </w:rPr>
        <w:t> </w:t>
      </w:r>
      <w:r>
        <w:rPr/>
        <w:t>industria</w:t>
      </w:r>
      <w:r>
        <w:rPr>
          <w:spacing w:val="-9"/>
        </w:rPr>
        <w:t> </w:t>
      </w:r>
      <w:r>
        <w:rPr/>
        <w:t>que puede funcionar como motor de crecimiento dentro del sector manufacturero, además porque, como se podrá ver en capítulos posteriores, se trata de una industria de alta especialización, que puede resultar altamente benéfica en el crecimiento económico de México.</w:t>
      </w:r>
    </w:p>
    <w:p>
      <w:pPr>
        <w:pStyle w:val="BodyText"/>
        <w:spacing w:before="4"/>
        <w:rPr>
          <w:sz w:val="21"/>
        </w:rPr>
      </w:pPr>
    </w:p>
    <w:p>
      <w:pPr>
        <w:pStyle w:val="BodyText"/>
        <w:spacing w:line="360" w:lineRule="auto" w:before="1"/>
        <w:ind w:left="102" w:right="113"/>
        <w:jc w:val="both"/>
      </w:pPr>
      <w:r>
        <w:rPr/>
        <w:t>En</w:t>
      </w:r>
      <w:r>
        <w:rPr>
          <w:spacing w:val="-7"/>
        </w:rPr>
        <w:t> </w:t>
      </w:r>
      <w:r>
        <w:rPr/>
        <w:t>este</w:t>
      </w:r>
      <w:r>
        <w:rPr>
          <w:spacing w:val="-6"/>
        </w:rPr>
        <w:t> </w:t>
      </w:r>
      <w:r>
        <w:rPr/>
        <w:t>sentido,</w:t>
      </w:r>
      <w:r>
        <w:rPr>
          <w:spacing w:val="-6"/>
        </w:rPr>
        <w:t> </w:t>
      </w:r>
      <w:r>
        <w:rPr/>
        <w:t>el</w:t>
      </w:r>
      <w:r>
        <w:rPr>
          <w:spacing w:val="-6"/>
        </w:rPr>
        <w:t> </w:t>
      </w:r>
      <w:r>
        <w:rPr/>
        <w:t>fundamento</w:t>
      </w:r>
      <w:r>
        <w:rPr>
          <w:spacing w:val="-6"/>
        </w:rPr>
        <w:t> </w:t>
      </w:r>
      <w:r>
        <w:rPr/>
        <w:t>teórico</w:t>
      </w:r>
      <w:r>
        <w:rPr>
          <w:spacing w:val="-7"/>
        </w:rPr>
        <w:t> </w:t>
      </w:r>
      <w:r>
        <w:rPr/>
        <w:t>de</w:t>
      </w:r>
      <w:r>
        <w:rPr>
          <w:spacing w:val="-7"/>
        </w:rPr>
        <w:t> </w:t>
      </w:r>
      <w:r>
        <w:rPr/>
        <w:t>esta</w:t>
      </w:r>
      <w:r>
        <w:rPr>
          <w:spacing w:val="-6"/>
        </w:rPr>
        <w:t> </w:t>
      </w:r>
      <w:r>
        <w:rPr/>
        <w:t>tesis,</w:t>
      </w:r>
      <w:r>
        <w:rPr>
          <w:spacing w:val="-5"/>
        </w:rPr>
        <w:t> </w:t>
      </w:r>
      <w:r>
        <w:rPr/>
        <w:t>se</w:t>
      </w:r>
      <w:r>
        <w:rPr>
          <w:spacing w:val="-7"/>
        </w:rPr>
        <w:t> </w:t>
      </w:r>
      <w:r>
        <w:rPr/>
        <w:t>basará</w:t>
      </w:r>
      <w:r>
        <w:rPr>
          <w:spacing w:val="46"/>
        </w:rPr>
        <w:t> </w:t>
      </w:r>
      <w:r>
        <w:rPr/>
        <w:t>en</w:t>
      </w:r>
      <w:r>
        <w:rPr>
          <w:spacing w:val="-6"/>
        </w:rPr>
        <w:t> </w:t>
      </w:r>
      <w:r>
        <w:rPr/>
        <w:t>específico</w:t>
      </w:r>
      <w:r>
        <w:rPr>
          <w:spacing w:val="-4"/>
        </w:rPr>
        <w:t> </w:t>
      </w:r>
      <w:r>
        <w:rPr/>
        <w:t>en</w:t>
      </w:r>
      <w:r>
        <w:rPr>
          <w:spacing w:val="-6"/>
        </w:rPr>
        <w:t> </w:t>
      </w:r>
      <w:r>
        <w:rPr/>
        <w:t>la</w:t>
      </w:r>
      <w:r>
        <w:rPr>
          <w:spacing w:val="-7"/>
        </w:rPr>
        <w:t> </w:t>
      </w:r>
      <w:r>
        <w:rPr/>
        <w:t>primera</w:t>
      </w:r>
      <w:r>
        <w:rPr>
          <w:spacing w:val="-8"/>
        </w:rPr>
        <w:t> </w:t>
      </w:r>
      <w:r>
        <w:rPr/>
        <w:t>ley de</w:t>
      </w:r>
      <w:r>
        <w:rPr>
          <w:spacing w:val="-5"/>
        </w:rPr>
        <w:t> </w:t>
      </w:r>
      <w:r>
        <w:rPr/>
        <w:t>Kaldor,</w:t>
      </w:r>
      <w:r>
        <w:rPr>
          <w:spacing w:val="-2"/>
        </w:rPr>
        <w:t> </w:t>
      </w:r>
      <w:r>
        <w:rPr/>
        <w:t>que</w:t>
      </w:r>
      <w:r>
        <w:rPr>
          <w:spacing w:val="-2"/>
        </w:rPr>
        <w:t> </w:t>
      </w:r>
      <w:r>
        <w:rPr/>
        <w:t>como</w:t>
      </w:r>
      <w:r>
        <w:rPr>
          <w:spacing w:val="-3"/>
        </w:rPr>
        <w:t> </w:t>
      </w:r>
      <w:r>
        <w:rPr/>
        <w:t>sabemos,</w:t>
      </w:r>
      <w:r>
        <w:rPr>
          <w:spacing w:val="-4"/>
        </w:rPr>
        <w:t> </w:t>
      </w:r>
      <w:r>
        <w:rPr/>
        <w:t>establece</w:t>
      </w:r>
      <w:r>
        <w:rPr>
          <w:spacing w:val="-5"/>
        </w:rPr>
        <w:t> </w:t>
      </w:r>
      <w:r>
        <w:rPr/>
        <w:t>que</w:t>
      </w:r>
      <w:r>
        <w:rPr>
          <w:spacing w:val="-3"/>
        </w:rPr>
        <w:t> </w:t>
      </w:r>
      <w:r>
        <w:rPr/>
        <w:t>la</w:t>
      </w:r>
      <w:r>
        <w:rPr>
          <w:spacing w:val="-4"/>
        </w:rPr>
        <w:t> </w:t>
      </w:r>
      <w:r>
        <w:rPr/>
        <w:t>tasa</w:t>
      </w:r>
      <w:r>
        <w:rPr>
          <w:spacing w:val="-5"/>
        </w:rPr>
        <w:t> </w:t>
      </w:r>
      <w:r>
        <w:rPr/>
        <w:t>de</w:t>
      </w:r>
      <w:r>
        <w:rPr>
          <w:spacing w:val="-2"/>
        </w:rPr>
        <w:t> </w:t>
      </w:r>
      <w:r>
        <w:rPr/>
        <w:t>crecimiento</w:t>
      </w:r>
      <w:r>
        <w:rPr>
          <w:spacing w:val="-4"/>
        </w:rPr>
        <w:t> </w:t>
      </w:r>
      <w:r>
        <w:rPr/>
        <w:t>del</w:t>
      </w:r>
      <w:r>
        <w:rPr>
          <w:spacing w:val="-3"/>
        </w:rPr>
        <w:t> </w:t>
      </w:r>
      <w:r>
        <w:rPr/>
        <w:t>producto</w:t>
      </w:r>
      <w:r>
        <w:rPr>
          <w:spacing w:val="-3"/>
        </w:rPr>
        <w:t> </w:t>
      </w:r>
      <w:r>
        <w:rPr/>
        <w:t>depende</w:t>
      </w:r>
      <w:r>
        <w:rPr>
          <w:spacing w:val="-5"/>
        </w:rPr>
        <w:t> </w:t>
      </w:r>
      <w:r>
        <w:rPr/>
        <w:t>en forma</w:t>
      </w:r>
      <w:r>
        <w:rPr>
          <w:spacing w:val="-7"/>
        </w:rPr>
        <w:t> </w:t>
      </w:r>
      <w:r>
        <w:rPr/>
        <w:t>positiva</w:t>
      </w:r>
      <w:r>
        <w:rPr>
          <w:spacing w:val="-7"/>
        </w:rPr>
        <w:t> </w:t>
      </w:r>
      <w:r>
        <w:rPr/>
        <w:t>de</w:t>
      </w:r>
      <w:r>
        <w:rPr>
          <w:spacing w:val="-7"/>
        </w:rPr>
        <w:t> </w:t>
      </w:r>
      <w:r>
        <w:rPr/>
        <w:t>la</w:t>
      </w:r>
      <w:r>
        <w:rPr>
          <w:spacing w:val="-7"/>
        </w:rPr>
        <w:t> </w:t>
      </w:r>
      <w:r>
        <w:rPr/>
        <w:t>tasa</w:t>
      </w:r>
      <w:r>
        <w:rPr>
          <w:spacing w:val="-5"/>
        </w:rPr>
        <w:t> </w:t>
      </w:r>
      <w:r>
        <w:rPr/>
        <w:t>de</w:t>
      </w:r>
      <w:r>
        <w:rPr>
          <w:spacing w:val="-7"/>
        </w:rPr>
        <w:t> </w:t>
      </w:r>
      <w:r>
        <w:rPr/>
        <w:t>crecimiento</w:t>
      </w:r>
      <w:r>
        <w:rPr>
          <w:spacing w:val="-6"/>
        </w:rPr>
        <w:t> </w:t>
      </w:r>
      <w:r>
        <w:rPr/>
        <w:t>de</w:t>
      </w:r>
      <w:r>
        <w:rPr>
          <w:spacing w:val="-7"/>
        </w:rPr>
        <w:t> </w:t>
      </w:r>
      <w:r>
        <w:rPr/>
        <w:t>la</w:t>
      </w:r>
      <w:r>
        <w:rPr>
          <w:spacing w:val="-7"/>
        </w:rPr>
        <w:t> </w:t>
      </w:r>
      <w:r>
        <w:rPr/>
        <w:t>industria</w:t>
      </w:r>
      <w:r>
        <w:rPr>
          <w:spacing w:val="-7"/>
        </w:rPr>
        <w:t> </w:t>
      </w:r>
      <w:r>
        <w:rPr/>
        <w:t>manufacturera.</w:t>
      </w:r>
      <w:r>
        <w:rPr>
          <w:spacing w:val="-6"/>
        </w:rPr>
        <w:t> </w:t>
      </w:r>
      <w:r>
        <w:rPr/>
        <w:t>Sin</w:t>
      </w:r>
      <w:r>
        <w:rPr>
          <w:spacing w:val="-6"/>
        </w:rPr>
        <w:t> </w:t>
      </w:r>
      <w:r>
        <w:rPr/>
        <w:t>embargo,</w:t>
      </w:r>
      <w:r>
        <w:rPr>
          <w:spacing w:val="-2"/>
        </w:rPr>
        <w:t> </w:t>
      </w:r>
      <w:r>
        <w:rPr/>
        <w:t>hay</w:t>
      </w:r>
      <w:r>
        <w:rPr>
          <w:spacing w:val="-11"/>
        </w:rPr>
        <w:t> </w:t>
      </w:r>
      <w:r>
        <w:rPr/>
        <w:t>que puntualizar</w:t>
      </w:r>
      <w:r>
        <w:rPr>
          <w:spacing w:val="-13"/>
        </w:rPr>
        <w:t> </w:t>
      </w:r>
      <w:r>
        <w:rPr/>
        <w:t>que</w:t>
      </w:r>
      <w:r>
        <w:rPr>
          <w:spacing w:val="-13"/>
        </w:rPr>
        <w:t> </w:t>
      </w:r>
      <w:r>
        <w:rPr/>
        <w:t>se</w:t>
      </w:r>
      <w:r>
        <w:rPr>
          <w:spacing w:val="-11"/>
        </w:rPr>
        <w:t> </w:t>
      </w:r>
      <w:r>
        <w:rPr/>
        <w:t>hará</w:t>
      </w:r>
      <w:r>
        <w:rPr>
          <w:spacing w:val="-14"/>
        </w:rPr>
        <w:t> </w:t>
      </w:r>
      <w:r>
        <w:rPr/>
        <w:t>una</w:t>
      </w:r>
      <w:r>
        <w:rPr>
          <w:spacing w:val="-13"/>
        </w:rPr>
        <w:t> </w:t>
      </w:r>
      <w:r>
        <w:rPr/>
        <w:t>analogía</w:t>
      </w:r>
      <w:r>
        <w:rPr>
          <w:spacing w:val="-13"/>
        </w:rPr>
        <w:t> </w:t>
      </w:r>
      <w:r>
        <w:rPr/>
        <w:t>de</w:t>
      </w:r>
      <w:r>
        <w:rPr>
          <w:spacing w:val="-11"/>
        </w:rPr>
        <w:t> </w:t>
      </w:r>
      <w:r>
        <w:rPr/>
        <w:t>dicha</w:t>
      </w:r>
      <w:r>
        <w:rPr>
          <w:spacing w:val="-12"/>
        </w:rPr>
        <w:t> </w:t>
      </w:r>
      <w:r>
        <w:rPr/>
        <w:t>ley</w:t>
      </w:r>
      <w:r>
        <w:rPr>
          <w:spacing w:val="-17"/>
        </w:rPr>
        <w:t> </w:t>
      </w:r>
      <w:r>
        <w:rPr/>
        <w:t>para</w:t>
      </w:r>
      <w:r>
        <w:rPr>
          <w:spacing w:val="-8"/>
        </w:rPr>
        <w:t> </w:t>
      </w:r>
      <w:r>
        <w:rPr/>
        <w:t>poder</w:t>
      </w:r>
      <w:r>
        <w:rPr>
          <w:spacing w:val="-11"/>
        </w:rPr>
        <w:t> </w:t>
      </w:r>
      <w:r>
        <w:rPr/>
        <w:t>explicar</w:t>
      </w:r>
      <w:r>
        <w:rPr>
          <w:spacing w:val="-12"/>
        </w:rPr>
        <w:t> </w:t>
      </w:r>
      <w:r>
        <w:rPr/>
        <w:t>la</w:t>
      </w:r>
      <w:r>
        <w:rPr>
          <w:spacing w:val="-11"/>
        </w:rPr>
        <w:t> </w:t>
      </w:r>
      <w:r>
        <w:rPr/>
        <w:t>importancia</w:t>
      </w:r>
      <w:r>
        <w:rPr>
          <w:spacing w:val="-12"/>
        </w:rPr>
        <w:t> </w:t>
      </w:r>
      <w:r>
        <w:rPr/>
        <w:t>que</w:t>
      </w:r>
      <w:r>
        <w:rPr>
          <w:spacing w:val="-13"/>
        </w:rPr>
        <w:t> </w:t>
      </w:r>
      <w:r>
        <w:rPr/>
        <w:t>tiene la</w:t>
      </w:r>
      <w:r>
        <w:rPr>
          <w:spacing w:val="-13"/>
        </w:rPr>
        <w:t> </w:t>
      </w:r>
      <w:r>
        <w:rPr/>
        <w:t>industria</w:t>
      </w:r>
      <w:r>
        <w:rPr>
          <w:spacing w:val="-13"/>
        </w:rPr>
        <w:t> </w:t>
      </w:r>
      <w:r>
        <w:rPr/>
        <w:t>automotriz</w:t>
      </w:r>
      <w:r>
        <w:rPr>
          <w:spacing w:val="-11"/>
        </w:rPr>
        <w:t> </w:t>
      </w:r>
      <w:r>
        <w:rPr/>
        <w:t>en</w:t>
      </w:r>
      <w:r>
        <w:rPr>
          <w:spacing w:val="-12"/>
        </w:rPr>
        <w:t> </w:t>
      </w:r>
      <w:r>
        <w:rPr/>
        <w:t>el</w:t>
      </w:r>
      <w:r>
        <w:rPr>
          <w:spacing w:val="-12"/>
        </w:rPr>
        <w:t> </w:t>
      </w:r>
      <w:r>
        <w:rPr/>
        <w:t>crecimiento</w:t>
      </w:r>
      <w:r>
        <w:rPr>
          <w:spacing w:val="-12"/>
        </w:rPr>
        <w:t> </w:t>
      </w:r>
      <w:r>
        <w:rPr/>
        <w:t>del</w:t>
      </w:r>
      <w:r>
        <w:rPr>
          <w:spacing w:val="-12"/>
        </w:rPr>
        <w:t> </w:t>
      </w:r>
      <w:r>
        <w:rPr/>
        <w:t>sector</w:t>
      </w:r>
      <w:r>
        <w:rPr>
          <w:spacing w:val="-10"/>
        </w:rPr>
        <w:t> </w:t>
      </w:r>
      <w:r>
        <w:rPr/>
        <w:t>manufacturero</w:t>
      </w:r>
      <w:r>
        <w:rPr>
          <w:spacing w:val="-13"/>
        </w:rPr>
        <w:t> </w:t>
      </w:r>
      <w:r>
        <w:rPr/>
        <w:t>en</w:t>
      </w:r>
      <w:r>
        <w:rPr>
          <w:spacing w:val="-12"/>
        </w:rPr>
        <w:t> </w:t>
      </w:r>
      <w:r>
        <w:rPr/>
        <w:t>las</w:t>
      </w:r>
      <w:r>
        <w:rPr>
          <w:spacing w:val="-9"/>
        </w:rPr>
        <w:t> </w:t>
      </w:r>
      <w:r>
        <w:rPr/>
        <w:t>regiones</w:t>
      </w:r>
      <w:r>
        <w:rPr>
          <w:spacing w:val="-9"/>
        </w:rPr>
        <w:t> </w:t>
      </w:r>
      <w:r>
        <w:rPr/>
        <w:t>y</w:t>
      </w:r>
      <w:r>
        <w:rPr>
          <w:spacing w:val="-14"/>
        </w:rPr>
        <w:t> </w:t>
      </w:r>
      <w:r>
        <w:rPr/>
        <w:t>entidades federativas donde se encuentra</w:t>
      </w:r>
      <w:r>
        <w:rPr>
          <w:spacing w:val="-8"/>
        </w:rPr>
        <w:t> </w:t>
      </w:r>
      <w:r>
        <w:rPr/>
        <w:t>presente.</w:t>
      </w:r>
    </w:p>
    <w:p>
      <w:pPr>
        <w:pStyle w:val="BodyText"/>
        <w:spacing w:before="4"/>
        <w:rPr>
          <w:sz w:val="21"/>
        </w:rPr>
      </w:pPr>
    </w:p>
    <w:p>
      <w:pPr>
        <w:pStyle w:val="BodyText"/>
        <w:spacing w:line="360" w:lineRule="auto" w:before="1"/>
        <w:ind w:left="102" w:right="118"/>
        <w:jc w:val="both"/>
      </w:pPr>
      <w:r>
        <w:rPr/>
        <w:t>Por lo tanto, la primera ley de Kaldor se ha expresado de manera análoga de la siguiente manera:</w:t>
      </w:r>
    </w:p>
    <w:p>
      <w:pPr>
        <w:pStyle w:val="BodyText"/>
        <w:spacing w:before="10"/>
        <w:rPr>
          <w:sz w:val="19"/>
        </w:rPr>
      </w:pPr>
    </w:p>
    <w:p>
      <w:pPr>
        <w:spacing w:before="0"/>
        <w:ind w:left="383" w:right="397" w:firstLine="0"/>
        <w:jc w:val="center"/>
        <w:rPr>
          <w:rFonts w:ascii="Cambria Math" w:eastAsia="Cambria Math"/>
          <w:sz w:val="24"/>
        </w:rPr>
      </w:pPr>
      <w:r>
        <w:rPr>
          <w:rFonts w:ascii="Cambria Math" w:eastAsia="Cambria Math"/>
          <w:spacing w:val="-45"/>
          <w:sz w:val="24"/>
        </w:rPr>
        <w:t>�</w:t>
      </w:r>
      <w:r>
        <w:rPr>
          <w:rFonts w:ascii="Cambria Math" w:eastAsia="Cambria Math"/>
          <w:spacing w:val="-45"/>
          <w:position w:val="9"/>
          <w:sz w:val="17"/>
        </w:rPr>
        <w:t>�𝐴�</w:t>
      </w:r>
      <w:r>
        <w:rPr>
          <w:rFonts w:ascii="Cambria Math" w:eastAsia="Cambria Math"/>
          <w:spacing w:val="55"/>
          <w:position w:val="9"/>
          <w:sz w:val="17"/>
        </w:rPr>
        <w:t> </w:t>
      </w:r>
      <w:r>
        <w:rPr>
          <w:rFonts w:ascii="Cambria Math" w:eastAsia="Cambria Math"/>
          <w:spacing w:val="-45"/>
          <w:sz w:val="24"/>
        </w:rPr>
        <w:t>=         𝑓(�</w:t>
      </w:r>
      <w:r>
        <w:rPr>
          <w:rFonts w:ascii="Cambria Math" w:eastAsia="Cambria Math"/>
          <w:spacing w:val="-45"/>
          <w:position w:val="9"/>
          <w:sz w:val="17"/>
        </w:rPr>
        <w:t>𝐼𝐴</w:t>
      </w:r>
      <w:r>
        <w:rPr>
          <w:rFonts w:ascii="Cambria Math" w:eastAsia="Cambria Math"/>
          <w:spacing w:val="-45"/>
          <w:sz w:val="24"/>
        </w:rPr>
        <w:t>)</w:t>
      </w:r>
    </w:p>
    <w:p>
      <w:pPr>
        <w:pStyle w:val="BodyText"/>
        <w:spacing w:before="5"/>
        <w:rPr>
          <w:rFonts w:ascii="Cambria Math"/>
          <w:sz w:val="30"/>
        </w:rPr>
      </w:pPr>
    </w:p>
    <w:p>
      <w:pPr>
        <w:pStyle w:val="BodyText"/>
        <w:spacing w:line="360" w:lineRule="auto" w:before="1"/>
        <w:ind w:left="102" w:right="116"/>
        <w:jc w:val="both"/>
      </w:pPr>
      <w:r>
        <w:rPr/>
        <w:t>Donde: </w:t>
      </w:r>
      <w:r>
        <w:rPr>
          <w:rFonts w:ascii="Cambria Math" w:hAnsi="Cambria Math" w:eastAsia="Cambria Math"/>
        </w:rPr>
        <w:t>�</w:t>
      </w:r>
      <w:r>
        <w:rPr>
          <w:rFonts w:ascii="Cambria Math" w:hAnsi="Cambria Math" w:eastAsia="Cambria Math"/>
          <w:position w:val="9"/>
          <w:sz w:val="17"/>
        </w:rPr>
        <w:t>�𝐴�   </w:t>
      </w:r>
      <w:r>
        <w:rPr/>
        <w:t>es la tasa de crecimiento del sector manufacturero  y </w:t>
      </w:r>
      <w:r>
        <w:rPr>
          <w:rFonts w:ascii="Cambria Math" w:hAnsi="Cambria Math" w:eastAsia="Cambria Math"/>
        </w:rPr>
        <w:t>�</w:t>
      </w:r>
      <w:r>
        <w:rPr>
          <w:rFonts w:ascii="Cambria Math" w:hAnsi="Cambria Math" w:eastAsia="Cambria Math"/>
          <w:position w:val="9"/>
          <w:sz w:val="17"/>
        </w:rPr>
        <w:t>𝐼𝐴    </w:t>
      </w:r>
      <w:r>
        <w:rPr/>
        <w:t>es la     tasa de crecimiento de la industria automotriz. Así, se establece que la tasa de crecimiento del sector manufacturero depende en forma positiva de la tasa de crecimiento de la industria automotriz.</w:t>
      </w:r>
    </w:p>
    <w:p>
      <w:pPr>
        <w:pStyle w:val="BodyText"/>
        <w:spacing w:before="6"/>
      </w:pPr>
    </w:p>
    <w:p>
      <w:pPr>
        <w:pStyle w:val="BodyText"/>
        <w:spacing w:line="360" w:lineRule="auto"/>
        <w:ind w:left="102" w:right="116"/>
        <w:jc w:val="both"/>
      </w:pPr>
      <w:r>
        <w:rPr/>
        <w:t>Por lo anterior, es importante entonces conocer la dinámica productiva que tiene la</w:t>
      </w:r>
      <w:r>
        <w:rPr>
          <w:spacing w:val="-21"/>
        </w:rPr>
        <w:t> </w:t>
      </w:r>
      <w:r>
        <w:rPr/>
        <w:t>industria automotriz a nivel mundial, así en el siguiente capítulo se presenta su evolución tecnológica y su configuración actual, tanto para la industria terminal como de</w:t>
      </w:r>
      <w:r>
        <w:rPr>
          <w:spacing w:val="-14"/>
        </w:rPr>
        <w:t> </w:t>
      </w:r>
      <w:r>
        <w:rPr/>
        <w:t>autopartes.</w:t>
      </w:r>
    </w:p>
    <w:p>
      <w:pPr>
        <w:spacing w:after="0" w:line="360" w:lineRule="auto"/>
        <w:jc w:val="both"/>
        <w:sectPr>
          <w:pgSz w:w="12240" w:h="15840"/>
          <w:pgMar w:header="0" w:footer="1035" w:top="1360" w:bottom="1220" w:left="1600" w:right="1580"/>
        </w:sectPr>
      </w:pPr>
    </w:p>
    <w:p>
      <w:pPr>
        <w:pStyle w:val="Heading1"/>
        <w:spacing w:line="360" w:lineRule="auto" w:before="55"/>
        <w:ind w:left="3556" w:right="222" w:hanging="3332"/>
      </w:pPr>
      <w:bookmarkStart w:name="_TOC_250031" w:id="4"/>
      <w:bookmarkEnd w:id="4"/>
      <w:r>
        <w:rPr/>
        <w:t>Capítulo 2. La industria automotriz en el contexto global: su evolución tecnológica y distribución actual</w:t>
      </w:r>
    </w:p>
    <w:p>
      <w:pPr>
        <w:pStyle w:val="BodyText"/>
        <w:spacing w:before="9"/>
        <w:rPr>
          <w:b/>
          <w:sz w:val="20"/>
        </w:rPr>
      </w:pPr>
    </w:p>
    <w:p>
      <w:pPr>
        <w:pStyle w:val="BodyText"/>
        <w:spacing w:line="360" w:lineRule="auto"/>
        <w:ind w:left="102" w:right="117"/>
        <w:jc w:val="both"/>
      </w:pPr>
      <w:r>
        <w:rPr/>
        <w:t>En la historia económica la industria automotriz sobresale como la rama pionera en la creación de innovaciones que luego transformaron radicalmente la organización del proceso de</w:t>
      </w:r>
      <w:r>
        <w:rPr>
          <w:spacing w:val="-18"/>
        </w:rPr>
        <w:t> </w:t>
      </w:r>
      <w:r>
        <w:rPr/>
        <w:t>producción</w:t>
      </w:r>
      <w:r>
        <w:rPr>
          <w:spacing w:val="-16"/>
        </w:rPr>
        <w:t> </w:t>
      </w:r>
      <w:r>
        <w:rPr/>
        <w:t>manufacturera</w:t>
      </w:r>
      <w:r>
        <w:rPr>
          <w:spacing w:val="-15"/>
        </w:rPr>
        <w:t> </w:t>
      </w:r>
      <w:r>
        <w:rPr/>
        <w:t>(Mortimore</w:t>
      </w:r>
      <w:r>
        <w:rPr>
          <w:spacing w:val="-13"/>
        </w:rPr>
        <w:t> </w:t>
      </w:r>
      <w:r>
        <w:rPr/>
        <w:t>y</w:t>
      </w:r>
      <w:r>
        <w:rPr>
          <w:spacing w:val="-22"/>
        </w:rPr>
        <w:t> </w:t>
      </w:r>
      <w:r>
        <w:rPr/>
        <w:t>Barrón,</w:t>
      </w:r>
      <w:r>
        <w:rPr>
          <w:spacing w:val="-17"/>
        </w:rPr>
        <w:t> </w:t>
      </w:r>
      <w:r>
        <w:rPr/>
        <w:t>2005).</w:t>
      </w:r>
      <w:r>
        <w:rPr>
          <w:spacing w:val="-17"/>
        </w:rPr>
        <w:t> </w:t>
      </w:r>
      <w:r>
        <w:rPr/>
        <w:t>Actualmente</w:t>
      </w:r>
      <w:r>
        <w:rPr>
          <w:spacing w:val="-18"/>
        </w:rPr>
        <w:t> </w:t>
      </w:r>
      <w:r>
        <w:rPr/>
        <w:t>es</w:t>
      </w:r>
      <w:r>
        <w:rPr>
          <w:spacing w:val="-14"/>
        </w:rPr>
        <w:t> </w:t>
      </w:r>
      <w:r>
        <w:rPr/>
        <w:t>considerada</w:t>
      </w:r>
      <w:r>
        <w:rPr>
          <w:spacing w:val="-15"/>
        </w:rPr>
        <w:t> </w:t>
      </w:r>
      <w:r>
        <w:rPr/>
        <w:t>como un innovador en tecnologías y al mismo tiempo se le ve como un contribuyente esencial en el dinamismo de la economía mundial (Maldonado,</w:t>
      </w:r>
      <w:r>
        <w:rPr>
          <w:spacing w:val="-6"/>
        </w:rPr>
        <w:t> </w:t>
      </w:r>
      <w:r>
        <w:rPr/>
        <w:t>2009).</w:t>
      </w:r>
    </w:p>
    <w:p>
      <w:pPr>
        <w:pStyle w:val="BodyText"/>
        <w:spacing w:before="4"/>
        <w:rPr>
          <w:sz w:val="21"/>
        </w:rPr>
      </w:pPr>
    </w:p>
    <w:p>
      <w:pPr>
        <w:pStyle w:val="BodyText"/>
        <w:spacing w:line="360" w:lineRule="auto" w:before="1"/>
        <w:ind w:left="102" w:right="117"/>
        <w:jc w:val="both"/>
      </w:pPr>
      <w:r>
        <w:rPr/>
        <w:t>Lo anterior es posible gracias a que la industria automotriz impacta directamente en las economías</w:t>
      </w:r>
      <w:r>
        <w:rPr>
          <w:spacing w:val="-11"/>
        </w:rPr>
        <w:t> </w:t>
      </w:r>
      <w:r>
        <w:rPr/>
        <w:t>de</w:t>
      </w:r>
      <w:r>
        <w:rPr>
          <w:spacing w:val="-12"/>
        </w:rPr>
        <w:t> </w:t>
      </w:r>
      <w:r>
        <w:rPr/>
        <w:t>los</w:t>
      </w:r>
      <w:r>
        <w:rPr>
          <w:spacing w:val="-10"/>
        </w:rPr>
        <w:t> </w:t>
      </w:r>
      <w:r>
        <w:rPr/>
        <w:t>países</w:t>
      </w:r>
      <w:r>
        <w:rPr>
          <w:spacing w:val="-11"/>
        </w:rPr>
        <w:t> </w:t>
      </w:r>
      <w:r>
        <w:rPr/>
        <w:t>a</w:t>
      </w:r>
      <w:r>
        <w:rPr>
          <w:spacing w:val="-10"/>
        </w:rPr>
        <w:t> </w:t>
      </w:r>
      <w:r>
        <w:rPr/>
        <w:t>través</w:t>
      </w:r>
      <w:r>
        <w:rPr>
          <w:spacing w:val="-11"/>
        </w:rPr>
        <w:t> </w:t>
      </w:r>
      <w:r>
        <w:rPr/>
        <w:t>de</w:t>
      </w:r>
      <w:r>
        <w:rPr>
          <w:spacing w:val="-12"/>
        </w:rPr>
        <w:t> </w:t>
      </w:r>
      <w:r>
        <w:rPr/>
        <w:t>la</w:t>
      </w:r>
      <w:r>
        <w:rPr>
          <w:spacing w:val="-12"/>
        </w:rPr>
        <w:t> </w:t>
      </w:r>
      <w:r>
        <w:rPr/>
        <w:t>generación</w:t>
      </w:r>
      <w:r>
        <w:rPr>
          <w:spacing w:val="-11"/>
        </w:rPr>
        <w:t> </w:t>
      </w:r>
      <w:r>
        <w:rPr/>
        <w:t>de</w:t>
      </w:r>
      <w:r>
        <w:rPr>
          <w:spacing w:val="-12"/>
        </w:rPr>
        <w:t> </w:t>
      </w:r>
      <w:r>
        <w:rPr/>
        <w:t>empleos</w:t>
      </w:r>
      <w:r>
        <w:rPr>
          <w:spacing w:val="-11"/>
        </w:rPr>
        <w:t> </w:t>
      </w:r>
      <w:r>
        <w:rPr/>
        <w:t>a</w:t>
      </w:r>
      <w:r>
        <w:rPr>
          <w:spacing w:val="-12"/>
        </w:rPr>
        <w:t> </w:t>
      </w:r>
      <w:r>
        <w:rPr/>
        <w:t>gran</w:t>
      </w:r>
      <w:r>
        <w:rPr>
          <w:spacing w:val="-11"/>
        </w:rPr>
        <w:t> </w:t>
      </w:r>
      <w:r>
        <w:rPr/>
        <w:t>escala,</w:t>
      </w:r>
      <w:r>
        <w:rPr>
          <w:spacing w:val="-8"/>
        </w:rPr>
        <w:t> </w:t>
      </w:r>
      <w:r>
        <w:rPr/>
        <w:t>las</w:t>
      </w:r>
      <w:r>
        <w:rPr>
          <w:spacing w:val="-11"/>
        </w:rPr>
        <w:t> </w:t>
      </w:r>
      <w:r>
        <w:rPr/>
        <w:t>recaudaciones fiscales derivadas de sus operaciones comerciales, la captación personal, el desarrollo de proveedores locales y la modernización tecnológica (Vicencio,</w:t>
      </w:r>
      <w:r>
        <w:rPr>
          <w:spacing w:val="-16"/>
        </w:rPr>
        <w:t> </w:t>
      </w:r>
      <w:r>
        <w:rPr/>
        <w:t>2007).</w:t>
      </w:r>
    </w:p>
    <w:p>
      <w:pPr>
        <w:pStyle w:val="BodyText"/>
        <w:spacing w:before="4"/>
        <w:rPr>
          <w:sz w:val="21"/>
        </w:rPr>
      </w:pPr>
    </w:p>
    <w:p>
      <w:pPr>
        <w:pStyle w:val="BodyText"/>
        <w:spacing w:line="360" w:lineRule="auto" w:before="1"/>
        <w:ind w:left="102" w:right="116"/>
        <w:jc w:val="both"/>
      </w:pPr>
      <w:r>
        <w:rPr/>
        <w:t>Carbajal (2013) menciona que durante las últimas dos décadas la industria automotriz se ha convertido a nivel mundial en una de las industrias más dinámicas, debido a que constituye una industria de alta complejidad tecnológica, lo que ha generado efectos muy importantes en las economías de los países donde se establece.</w:t>
      </w:r>
    </w:p>
    <w:p>
      <w:pPr>
        <w:pStyle w:val="BodyText"/>
        <w:spacing w:before="4"/>
        <w:rPr>
          <w:sz w:val="21"/>
        </w:rPr>
      </w:pPr>
    </w:p>
    <w:p>
      <w:pPr>
        <w:pStyle w:val="BodyText"/>
        <w:spacing w:line="360" w:lineRule="auto" w:before="1"/>
        <w:ind w:left="102" w:right="118"/>
        <w:jc w:val="both"/>
      </w:pPr>
      <w:r>
        <w:rPr/>
        <w:t>Además, dicha industria ha tenido una evolución muy importante a lo largo del tiempo, debido a que siempre ha buscado innovar tanto en sus procesos productivos como en su organización. Dichas innovaciones tecnológicas y de organización, han resultado un gran aporte al resto de la economía, ya que constantemente se trasladan hacia otras actividades productivas (Carbajal, </w:t>
      </w:r>
      <w:r>
        <w:rPr>
          <w:i/>
        </w:rPr>
        <w:t>et al</w:t>
      </w:r>
      <w:r>
        <w:rPr/>
        <w:t>., 2013).</w:t>
      </w:r>
    </w:p>
    <w:p>
      <w:pPr>
        <w:pStyle w:val="BodyText"/>
        <w:spacing w:before="2"/>
        <w:rPr>
          <w:sz w:val="21"/>
        </w:rPr>
      </w:pPr>
    </w:p>
    <w:p>
      <w:pPr>
        <w:pStyle w:val="BodyText"/>
        <w:spacing w:line="360" w:lineRule="auto"/>
        <w:ind w:left="102" w:right="115"/>
        <w:jc w:val="both"/>
      </w:pPr>
      <w:r>
        <w:rPr/>
        <w:t>Así,</w:t>
      </w:r>
      <w:r>
        <w:rPr>
          <w:spacing w:val="-8"/>
        </w:rPr>
        <w:t> </w:t>
      </w:r>
      <w:r>
        <w:rPr/>
        <w:t>el</w:t>
      </w:r>
      <w:r>
        <w:rPr>
          <w:spacing w:val="-8"/>
        </w:rPr>
        <w:t> </w:t>
      </w:r>
      <w:r>
        <w:rPr/>
        <w:t>presente</w:t>
      </w:r>
      <w:r>
        <w:rPr>
          <w:spacing w:val="-7"/>
        </w:rPr>
        <w:t> </w:t>
      </w:r>
      <w:r>
        <w:rPr/>
        <w:t>capítulo</w:t>
      </w:r>
      <w:r>
        <w:rPr>
          <w:spacing w:val="-8"/>
        </w:rPr>
        <w:t> </w:t>
      </w:r>
      <w:r>
        <w:rPr/>
        <w:t>tiene</w:t>
      </w:r>
      <w:r>
        <w:rPr>
          <w:spacing w:val="-10"/>
        </w:rPr>
        <w:t> </w:t>
      </w:r>
      <w:r>
        <w:rPr/>
        <w:t>como</w:t>
      </w:r>
      <w:r>
        <w:rPr>
          <w:spacing w:val="-4"/>
        </w:rPr>
        <w:t> </w:t>
      </w:r>
      <w:r>
        <w:rPr/>
        <w:t>objetivo</w:t>
      </w:r>
      <w:r>
        <w:rPr>
          <w:spacing w:val="-8"/>
        </w:rPr>
        <w:t> </w:t>
      </w:r>
      <w:r>
        <w:rPr/>
        <w:t>contextualizar</w:t>
      </w:r>
      <w:r>
        <w:rPr>
          <w:spacing w:val="-9"/>
        </w:rPr>
        <w:t> </w:t>
      </w:r>
      <w:r>
        <w:rPr/>
        <w:t>la</w:t>
      </w:r>
      <w:r>
        <w:rPr>
          <w:spacing w:val="-9"/>
        </w:rPr>
        <w:t> </w:t>
      </w:r>
      <w:r>
        <w:rPr/>
        <w:t>situación</w:t>
      </w:r>
      <w:r>
        <w:rPr>
          <w:spacing w:val="-6"/>
        </w:rPr>
        <w:t> </w:t>
      </w:r>
      <w:r>
        <w:rPr/>
        <w:t>actual</w:t>
      </w:r>
      <w:r>
        <w:rPr>
          <w:spacing w:val="-8"/>
        </w:rPr>
        <w:t> </w:t>
      </w:r>
      <w:r>
        <w:rPr/>
        <w:t>de</w:t>
      </w:r>
      <w:r>
        <w:rPr>
          <w:spacing w:val="-7"/>
        </w:rPr>
        <w:t> </w:t>
      </w:r>
      <w:r>
        <w:rPr/>
        <w:t>la</w:t>
      </w:r>
      <w:r>
        <w:rPr>
          <w:spacing w:val="-9"/>
        </w:rPr>
        <w:t> </w:t>
      </w:r>
      <w:r>
        <w:rPr/>
        <w:t>industria automotriz a nivel internacional, a fin de conocer los aportes e influencia que ejerce la industria automotriz a nivel mundial como parte fundamental del sector manufacturero. En este sentido, se presenta la evolución que ha tenido la industria automotriz desde su nacimiento en cuanto a sus innovaciones productivas y tecnológicas, </w:t>
      </w:r>
      <w:r>
        <w:rPr>
          <w:spacing w:val="-3"/>
        </w:rPr>
        <w:t>ya </w:t>
      </w:r>
      <w:r>
        <w:rPr/>
        <w:t>que ambas han transformado a la industria manufacturera en general. Asimismo, se muestra la distribución actual de la industria automotriz a nivel mundial en términos de producción de vehículos y autopartes.</w:t>
      </w:r>
    </w:p>
    <w:p>
      <w:pPr>
        <w:spacing w:after="0" w:line="360" w:lineRule="auto"/>
        <w:jc w:val="both"/>
        <w:sectPr>
          <w:pgSz w:w="12240" w:h="15840"/>
          <w:pgMar w:header="0" w:footer="1035" w:top="1360" w:bottom="1220" w:left="1600" w:right="1580"/>
        </w:sectPr>
      </w:pPr>
    </w:p>
    <w:p>
      <w:pPr>
        <w:pStyle w:val="Heading1"/>
        <w:numPr>
          <w:ilvl w:val="1"/>
          <w:numId w:val="8"/>
        </w:numPr>
        <w:tabs>
          <w:tab w:pos="523" w:val="left" w:leader="none"/>
        </w:tabs>
        <w:spacing w:line="240" w:lineRule="auto" w:before="55" w:after="0"/>
        <w:ind w:left="522" w:right="0" w:hanging="420"/>
        <w:jc w:val="both"/>
      </w:pPr>
      <w:bookmarkStart w:name="_TOC_250030" w:id="5"/>
      <w:r>
        <w:rPr/>
        <w:t>Evolución de la industria automotriz a nivel</w:t>
      </w:r>
      <w:r>
        <w:rPr>
          <w:spacing w:val="-11"/>
        </w:rPr>
        <w:t> </w:t>
      </w:r>
      <w:bookmarkEnd w:id="5"/>
      <w:r>
        <w:rPr/>
        <w:t>mundial</w:t>
      </w:r>
    </w:p>
    <w:p>
      <w:pPr>
        <w:pStyle w:val="BodyText"/>
        <w:spacing w:before="6"/>
        <w:rPr>
          <w:b/>
          <w:sz w:val="32"/>
        </w:rPr>
      </w:pPr>
    </w:p>
    <w:p>
      <w:pPr>
        <w:pStyle w:val="BodyText"/>
        <w:spacing w:line="360" w:lineRule="auto"/>
        <w:ind w:left="102" w:right="117"/>
        <w:jc w:val="both"/>
      </w:pPr>
      <w:r>
        <w:rPr/>
        <w:t>En</w:t>
      </w:r>
      <w:r>
        <w:rPr>
          <w:spacing w:val="-7"/>
        </w:rPr>
        <w:t> </w:t>
      </w:r>
      <w:r>
        <w:rPr/>
        <w:t>este</w:t>
      </w:r>
      <w:r>
        <w:rPr>
          <w:spacing w:val="-7"/>
        </w:rPr>
        <w:t> </w:t>
      </w:r>
      <w:r>
        <w:rPr/>
        <w:t>apartado</w:t>
      </w:r>
      <w:r>
        <w:rPr>
          <w:spacing w:val="-7"/>
        </w:rPr>
        <w:t> </w:t>
      </w:r>
      <w:r>
        <w:rPr/>
        <w:t>se</w:t>
      </w:r>
      <w:r>
        <w:rPr>
          <w:spacing w:val="-8"/>
        </w:rPr>
        <w:t> </w:t>
      </w:r>
      <w:r>
        <w:rPr/>
        <w:t>describen</w:t>
      </w:r>
      <w:r>
        <w:rPr>
          <w:spacing w:val="-8"/>
        </w:rPr>
        <w:t> </w:t>
      </w:r>
      <w:r>
        <w:rPr/>
        <w:t>los</w:t>
      </w:r>
      <w:r>
        <w:rPr>
          <w:spacing w:val="-7"/>
        </w:rPr>
        <w:t> </w:t>
      </w:r>
      <w:r>
        <w:rPr/>
        <w:t>procesos</w:t>
      </w:r>
      <w:r>
        <w:rPr>
          <w:spacing w:val="-7"/>
        </w:rPr>
        <w:t> </w:t>
      </w:r>
      <w:r>
        <w:rPr/>
        <w:t>productivos</w:t>
      </w:r>
      <w:r>
        <w:rPr>
          <w:spacing w:val="-7"/>
        </w:rPr>
        <w:t> </w:t>
      </w:r>
      <w:r>
        <w:rPr/>
        <w:t>de</w:t>
      </w:r>
      <w:r>
        <w:rPr>
          <w:spacing w:val="-8"/>
        </w:rPr>
        <w:t> </w:t>
      </w:r>
      <w:r>
        <w:rPr/>
        <w:t>la</w:t>
      </w:r>
      <w:r>
        <w:rPr>
          <w:spacing w:val="-8"/>
        </w:rPr>
        <w:t> </w:t>
      </w:r>
      <w:r>
        <w:rPr/>
        <w:t>industria</w:t>
      </w:r>
      <w:r>
        <w:rPr>
          <w:spacing w:val="-8"/>
        </w:rPr>
        <w:t> </w:t>
      </w:r>
      <w:r>
        <w:rPr/>
        <w:t>automotriz</w:t>
      </w:r>
      <w:r>
        <w:rPr>
          <w:spacing w:val="-6"/>
        </w:rPr>
        <w:t> </w:t>
      </w:r>
      <w:r>
        <w:rPr/>
        <w:t>como</w:t>
      </w:r>
      <w:r>
        <w:rPr>
          <w:spacing w:val="-7"/>
        </w:rPr>
        <w:t> </w:t>
      </w:r>
      <w:r>
        <w:rPr/>
        <w:t>parte de su innovación tecnológica, la cual ha jugado un papel importante en el proceso de industrialización de diversos países, </w:t>
      </w:r>
      <w:r>
        <w:rPr>
          <w:spacing w:val="-3"/>
        </w:rPr>
        <w:t>ya </w:t>
      </w:r>
      <w:r>
        <w:rPr/>
        <w:t>que “tales innovaciones fueron adoptadas en mayor o menor grado, por otras actividades y pasaron a transformar la industria manufacturera en su conjunto, incrementando la productividad laboral y el desarrollo industrial de manera extraordinaria” (Mortimore y Barron,</w:t>
      </w:r>
      <w:r>
        <w:rPr>
          <w:spacing w:val="-8"/>
        </w:rPr>
        <w:t> </w:t>
      </w:r>
      <w:r>
        <w:rPr/>
        <w:t>2005:7).</w:t>
      </w:r>
    </w:p>
    <w:p>
      <w:pPr>
        <w:pStyle w:val="BodyText"/>
        <w:spacing w:before="9"/>
        <w:rPr>
          <w:sz w:val="21"/>
        </w:rPr>
      </w:pPr>
    </w:p>
    <w:p>
      <w:pPr>
        <w:pStyle w:val="Heading1"/>
        <w:numPr>
          <w:ilvl w:val="2"/>
          <w:numId w:val="8"/>
        </w:numPr>
        <w:tabs>
          <w:tab w:pos="762" w:val="left" w:leader="none"/>
        </w:tabs>
        <w:spacing w:line="240" w:lineRule="auto" w:before="0" w:after="0"/>
        <w:ind w:left="762" w:right="0" w:hanging="660"/>
        <w:jc w:val="both"/>
      </w:pPr>
      <w:bookmarkStart w:name="_TOC_250029" w:id="6"/>
      <w:r>
        <w:rPr/>
        <w:t>Del Fordismo al</w:t>
      </w:r>
      <w:r>
        <w:rPr>
          <w:spacing w:val="-10"/>
        </w:rPr>
        <w:t> </w:t>
      </w:r>
      <w:bookmarkEnd w:id="6"/>
      <w:r>
        <w:rPr/>
        <w:t>Toyotismo</w:t>
      </w:r>
    </w:p>
    <w:p>
      <w:pPr>
        <w:pStyle w:val="BodyText"/>
        <w:spacing w:before="4"/>
        <w:rPr>
          <w:b/>
          <w:sz w:val="32"/>
        </w:rPr>
      </w:pPr>
    </w:p>
    <w:p>
      <w:pPr>
        <w:pStyle w:val="BodyText"/>
        <w:spacing w:line="360" w:lineRule="auto"/>
        <w:ind w:left="102" w:right="116"/>
        <w:jc w:val="both"/>
      </w:pPr>
      <w:r>
        <w:rPr/>
        <w:t>La producción automotriz constituye una industria de alta complejidad tecnológica por involucrar insumos de alta diversidad y especificidad, en este sentido podemos decir que la evolución de la industria automotriz tiene dos grandes momentos que marcaron un antes y un después en su historia.</w:t>
      </w:r>
    </w:p>
    <w:p>
      <w:pPr>
        <w:pStyle w:val="BodyText"/>
        <w:spacing w:before="2"/>
        <w:rPr>
          <w:sz w:val="21"/>
        </w:rPr>
      </w:pPr>
    </w:p>
    <w:p>
      <w:pPr>
        <w:pStyle w:val="BodyText"/>
        <w:spacing w:line="360" w:lineRule="auto" w:before="1"/>
        <w:ind w:left="102" w:right="114"/>
        <w:jc w:val="both"/>
      </w:pPr>
      <w:r>
        <w:rPr/>
        <w:t>Primero,</w:t>
      </w:r>
      <w:r>
        <w:rPr>
          <w:spacing w:val="-11"/>
        </w:rPr>
        <w:t> </w:t>
      </w:r>
      <w:r>
        <w:rPr/>
        <w:t>siguiendo</w:t>
      </w:r>
      <w:r>
        <w:rPr>
          <w:spacing w:val="-11"/>
        </w:rPr>
        <w:t> </w:t>
      </w:r>
      <w:r>
        <w:rPr/>
        <w:t>a</w:t>
      </w:r>
      <w:r>
        <w:rPr>
          <w:spacing w:val="-10"/>
        </w:rPr>
        <w:t> </w:t>
      </w:r>
      <w:r>
        <w:rPr/>
        <w:t>Velázquez</w:t>
      </w:r>
      <w:r>
        <w:rPr>
          <w:spacing w:val="-8"/>
        </w:rPr>
        <w:t> </w:t>
      </w:r>
      <w:r>
        <w:rPr/>
        <w:t>(2004),</w:t>
      </w:r>
      <w:r>
        <w:rPr>
          <w:spacing w:val="-12"/>
        </w:rPr>
        <w:t> </w:t>
      </w:r>
      <w:r>
        <w:rPr/>
        <w:t>hasta</w:t>
      </w:r>
      <w:r>
        <w:rPr>
          <w:spacing w:val="-9"/>
        </w:rPr>
        <w:t> </w:t>
      </w:r>
      <w:r>
        <w:rPr/>
        <w:t>antes</w:t>
      </w:r>
      <w:r>
        <w:rPr>
          <w:spacing w:val="-11"/>
        </w:rPr>
        <w:t> </w:t>
      </w:r>
      <w:r>
        <w:rPr/>
        <w:t>de</w:t>
      </w:r>
      <w:r>
        <w:rPr>
          <w:spacing w:val="-12"/>
        </w:rPr>
        <w:t> </w:t>
      </w:r>
      <w:r>
        <w:rPr/>
        <w:t>la</w:t>
      </w:r>
      <w:r>
        <w:rPr>
          <w:spacing w:val="-12"/>
        </w:rPr>
        <w:t> </w:t>
      </w:r>
      <w:r>
        <w:rPr/>
        <w:t>Segunda</w:t>
      </w:r>
      <w:r>
        <w:rPr>
          <w:spacing w:val="-12"/>
        </w:rPr>
        <w:t> </w:t>
      </w:r>
      <w:r>
        <w:rPr/>
        <w:t>Guerra</w:t>
      </w:r>
      <w:r>
        <w:rPr>
          <w:spacing w:val="-12"/>
        </w:rPr>
        <w:t> </w:t>
      </w:r>
      <w:r>
        <w:rPr/>
        <w:t>Mundial</w:t>
      </w:r>
      <w:r>
        <w:rPr>
          <w:spacing w:val="-11"/>
        </w:rPr>
        <w:t> </w:t>
      </w:r>
      <w:r>
        <w:rPr/>
        <w:t>dominaba el sistema de “producción en masa” a partir de líneas de ensamblaje rígidas desarrollado</w:t>
      </w:r>
      <w:r>
        <w:rPr>
          <w:spacing w:val="-22"/>
        </w:rPr>
        <w:t> </w:t>
      </w:r>
      <w:r>
        <w:rPr/>
        <w:t>por la</w:t>
      </w:r>
      <w:r>
        <w:rPr>
          <w:spacing w:val="-12"/>
        </w:rPr>
        <w:t> </w:t>
      </w:r>
      <w:r>
        <w:rPr/>
        <w:t>empresa</w:t>
      </w:r>
      <w:r>
        <w:rPr>
          <w:spacing w:val="-12"/>
        </w:rPr>
        <w:t> </w:t>
      </w:r>
      <w:r>
        <w:rPr/>
        <w:t>Ford.</w:t>
      </w:r>
      <w:r>
        <w:rPr>
          <w:spacing w:val="-11"/>
        </w:rPr>
        <w:t> </w:t>
      </w:r>
      <w:r>
        <w:rPr/>
        <w:t>Con</w:t>
      </w:r>
      <w:r>
        <w:rPr>
          <w:spacing w:val="-8"/>
        </w:rPr>
        <w:t> </w:t>
      </w:r>
      <w:r>
        <w:rPr/>
        <w:t>esta</w:t>
      </w:r>
      <w:r>
        <w:rPr>
          <w:spacing w:val="-11"/>
        </w:rPr>
        <w:t> </w:t>
      </w:r>
      <w:r>
        <w:rPr/>
        <w:t>innovación,</w:t>
      </w:r>
      <w:r>
        <w:rPr>
          <w:spacing w:val="-11"/>
        </w:rPr>
        <w:t> </w:t>
      </w:r>
      <w:r>
        <w:rPr/>
        <w:t>Ford</w:t>
      </w:r>
      <w:r>
        <w:rPr>
          <w:spacing w:val="-12"/>
        </w:rPr>
        <w:t> </w:t>
      </w:r>
      <w:r>
        <w:rPr/>
        <w:t>no</w:t>
      </w:r>
      <w:r>
        <w:rPr>
          <w:spacing w:val="-11"/>
        </w:rPr>
        <w:t> </w:t>
      </w:r>
      <w:r>
        <w:rPr/>
        <w:t>sólo</w:t>
      </w:r>
      <w:r>
        <w:rPr>
          <w:spacing w:val="-11"/>
        </w:rPr>
        <w:t> </w:t>
      </w:r>
      <w:r>
        <w:rPr/>
        <w:t>inició</w:t>
      </w:r>
      <w:r>
        <w:rPr>
          <w:spacing w:val="-11"/>
        </w:rPr>
        <w:t> </w:t>
      </w:r>
      <w:r>
        <w:rPr/>
        <w:t>los</w:t>
      </w:r>
      <w:r>
        <w:rPr>
          <w:spacing w:val="-10"/>
        </w:rPr>
        <w:t> </w:t>
      </w:r>
      <w:r>
        <w:rPr/>
        <w:t>procesos</w:t>
      </w:r>
      <w:r>
        <w:rPr>
          <w:spacing w:val="-11"/>
        </w:rPr>
        <w:t> </w:t>
      </w:r>
      <w:r>
        <w:rPr/>
        <w:t>de</w:t>
      </w:r>
      <w:r>
        <w:rPr>
          <w:spacing w:val="-12"/>
        </w:rPr>
        <w:t> </w:t>
      </w:r>
      <w:r>
        <w:rPr/>
        <w:t>fabricación</w:t>
      </w:r>
      <w:r>
        <w:rPr>
          <w:spacing w:val="-11"/>
        </w:rPr>
        <w:t> </w:t>
      </w:r>
      <w:r>
        <w:rPr/>
        <w:t>masiva de productos estandarizados, dejando atrás la fabricación artesanal, sino que incrementó en mucho</w:t>
      </w:r>
      <w:r>
        <w:rPr>
          <w:spacing w:val="-4"/>
        </w:rPr>
        <w:t> </w:t>
      </w:r>
      <w:r>
        <w:rPr/>
        <w:t>los</w:t>
      </w:r>
      <w:r>
        <w:rPr>
          <w:spacing w:val="-3"/>
        </w:rPr>
        <w:t> </w:t>
      </w:r>
      <w:r>
        <w:rPr/>
        <w:t>volúmenes</w:t>
      </w:r>
      <w:r>
        <w:rPr>
          <w:spacing w:val="-4"/>
        </w:rPr>
        <w:t> </w:t>
      </w:r>
      <w:r>
        <w:rPr/>
        <w:t>de</w:t>
      </w:r>
      <w:r>
        <w:rPr>
          <w:spacing w:val="-7"/>
        </w:rPr>
        <w:t> </w:t>
      </w:r>
      <w:r>
        <w:rPr/>
        <w:t>producción</w:t>
      </w:r>
      <w:r>
        <w:rPr>
          <w:spacing w:val="-3"/>
        </w:rPr>
        <w:t> </w:t>
      </w:r>
      <w:r>
        <w:rPr/>
        <w:t>y</w:t>
      </w:r>
      <w:r>
        <w:rPr>
          <w:spacing w:val="-8"/>
        </w:rPr>
        <w:t> </w:t>
      </w:r>
      <w:r>
        <w:rPr/>
        <w:t>redujo</w:t>
      </w:r>
      <w:r>
        <w:rPr>
          <w:spacing w:val="-3"/>
        </w:rPr>
        <w:t> </w:t>
      </w:r>
      <w:r>
        <w:rPr/>
        <w:t>los</w:t>
      </w:r>
      <w:r>
        <w:rPr>
          <w:spacing w:val="-3"/>
        </w:rPr>
        <w:t> </w:t>
      </w:r>
      <w:r>
        <w:rPr/>
        <w:t>costos</w:t>
      </w:r>
      <w:r>
        <w:rPr>
          <w:spacing w:val="-3"/>
        </w:rPr>
        <w:t> </w:t>
      </w:r>
      <w:r>
        <w:rPr/>
        <w:t>unitarios</w:t>
      </w:r>
      <w:r>
        <w:rPr>
          <w:spacing w:val="-4"/>
        </w:rPr>
        <w:t> </w:t>
      </w:r>
      <w:r>
        <w:rPr/>
        <w:t>de</w:t>
      </w:r>
      <w:r>
        <w:rPr>
          <w:spacing w:val="-4"/>
        </w:rPr>
        <w:t> </w:t>
      </w:r>
      <w:r>
        <w:rPr/>
        <w:t>producción</w:t>
      </w:r>
      <w:r>
        <w:rPr>
          <w:spacing w:val="-3"/>
        </w:rPr>
        <w:t> </w:t>
      </w:r>
      <w:r>
        <w:rPr/>
        <w:t>(Mortimore y Barrón,</w:t>
      </w:r>
      <w:r>
        <w:rPr>
          <w:spacing w:val="-4"/>
        </w:rPr>
        <w:t> </w:t>
      </w:r>
      <w:r>
        <w:rPr/>
        <w:t>2005).</w:t>
      </w:r>
    </w:p>
    <w:p>
      <w:pPr>
        <w:pStyle w:val="BodyText"/>
        <w:spacing w:before="3"/>
        <w:rPr>
          <w:sz w:val="21"/>
        </w:rPr>
      </w:pPr>
    </w:p>
    <w:p>
      <w:pPr>
        <w:pStyle w:val="BodyText"/>
        <w:spacing w:line="360" w:lineRule="auto"/>
        <w:ind w:left="102" w:right="120"/>
        <w:jc w:val="both"/>
      </w:pPr>
      <w:r>
        <w:rPr/>
        <w:t>Las características principales de este sistema de producción son las siguientes (Carbajal, 2010):</w:t>
      </w:r>
    </w:p>
    <w:p>
      <w:pPr>
        <w:pStyle w:val="BodyText"/>
        <w:spacing w:before="2"/>
        <w:rPr>
          <w:sz w:val="21"/>
        </w:rPr>
      </w:pPr>
    </w:p>
    <w:p>
      <w:pPr>
        <w:pStyle w:val="ListParagraph"/>
        <w:numPr>
          <w:ilvl w:val="0"/>
          <w:numId w:val="9"/>
        </w:numPr>
        <w:tabs>
          <w:tab w:pos="417" w:val="left" w:leader="none"/>
        </w:tabs>
        <w:spacing w:line="360" w:lineRule="auto" w:before="0" w:after="0"/>
        <w:ind w:left="102" w:right="116" w:firstLine="0"/>
        <w:jc w:val="both"/>
        <w:rPr>
          <w:sz w:val="24"/>
        </w:rPr>
      </w:pPr>
      <w:r>
        <w:rPr>
          <w:sz w:val="24"/>
        </w:rPr>
        <w:t>En el proceso de producción. Cadena de montaje; producción en masa de bienes homogéneos</w:t>
      </w:r>
      <w:r>
        <w:rPr>
          <w:spacing w:val="-4"/>
          <w:sz w:val="24"/>
        </w:rPr>
        <w:t> </w:t>
      </w:r>
      <w:r>
        <w:rPr>
          <w:sz w:val="24"/>
        </w:rPr>
        <w:t>y</w:t>
      </w:r>
      <w:r>
        <w:rPr>
          <w:spacing w:val="-13"/>
          <w:sz w:val="24"/>
        </w:rPr>
        <w:t> </w:t>
      </w:r>
      <w:r>
        <w:rPr>
          <w:sz w:val="24"/>
        </w:rPr>
        <w:t>estandarizados;</w:t>
      </w:r>
      <w:r>
        <w:rPr>
          <w:spacing w:val="-8"/>
          <w:sz w:val="24"/>
        </w:rPr>
        <w:t> </w:t>
      </w:r>
      <w:r>
        <w:rPr>
          <w:sz w:val="24"/>
        </w:rPr>
        <w:t>inventarios</w:t>
      </w:r>
      <w:r>
        <w:rPr>
          <w:spacing w:val="-8"/>
          <w:sz w:val="24"/>
        </w:rPr>
        <w:t> </w:t>
      </w:r>
      <w:r>
        <w:rPr>
          <w:sz w:val="24"/>
        </w:rPr>
        <w:t>que</w:t>
      </w:r>
      <w:r>
        <w:rPr>
          <w:spacing w:val="-10"/>
          <w:sz w:val="24"/>
        </w:rPr>
        <w:t> </w:t>
      </w:r>
      <w:r>
        <w:rPr>
          <w:sz w:val="24"/>
        </w:rPr>
        <w:t>amortigüen</w:t>
      </w:r>
      <w:r>
        <w:rPr>
          <w:spacing w:val="-9"/>
          <w:sz w:val="24"/>
        </w:rPr>
        <w:t> </w:t>
      </w:r>
      <w:r>
        <w:rPr>
          <w:sz w:val="24"/>
        </w:rPr>
        <w:t>las</w:t>
      </w:r>
      <w:r>
        <w:rPr>
          <w:spacing w:val="-9"/>
          <w:sz w:val="24"/>
        </w:rPr>
        <w:t> </w:t>
      </w:r>
      <w:r>
        <w:rPr>
          <w:sz w:val="24"/>
        </w:rPr>
        <w:t>variaciones</w:t>
      </w:r>
      <w:r>
        <w:rPr>
          <w:spacing w:val="-9"/>
          <w:sz w:val="24"/>
        </w:rPr>
        <w:t> </w:t>
      </w:r>
      <w:r>
        <w:rPr>
          <w:sz w:val="24"/>
        </w:rPr>
        <w:t>de</w:t>
      </w:r>
      <w:r>
        <w:rPr>
          <w:spacing w:val="-10"/>
          <w:sz w:val="24"/>
        </w:rPr>
        <w:t> </w:t>
      </w:r>
      <w:r>
        <w:rPr>
          <w:sz w:val="24"/>
        </w:rPr>
        <w:t>la</w:t>
      </w:r>
      <w:r>
        <w:rPr>
          <w:spacing w:val="-9"/>
          <w:sz w:val="24"/>
        </w:rPr>
        <w:t> </w:t>
      </w:r>
      <w:r>
        <w:rPr>
          <w:sz w:val="24"/>
        </w:rPr>
        <w:t>demanda.</w:t>
      </w:r>
      <w:r>
        <w:rPr>
          <w:spacing w:val="-6"/>
          <w:sz w:val="24"/>
        </w:rPr>
        <w:t> </w:t>
      </w:r>
      <w:r>
        <w:rPr>
          <w:sz w:val="24"/>
        </w:rPr>
        <w:t>La calidad se controla ex post; es decir, los desperfectos y errores se detectan después, y se reducen costos por el control de los salarios y mediante economías de escala e insumos baratos, principalmente el petróleo como factor energético</w:t>
      </w:r>
      <w:r>
        <w:rPr>
          <w:spacing w:val="-12"/>
          <w:sz w:val="24"/>
        </w:rPr>
        <w:t> </w:t>
      </w:r>
      <w:r>
        <w:rPr>
          <w:sz w:val="24"/>
        </w:rPr>
        <w:t>clave.</w:t>
      </w:r>
    </w:p>
    <w:p>
      <w:pPr>
        <w:pStyle w:val="BodyText"/>
        <w:spacing w:before="5"/>
        <w:rPr>
          <w:sz w:val="21"/>
        </w:rPr>
      </w:pPr>
    </w:p>
    <w:p>
      <w:pPr>
        <w:pStyle w:val="ListParagraph"/>
        <w:numPr>
          <w:ilvl w:val="0"/>
          <w:numId w:val="9"/>
        </w:numPr>
        <w:tabs>
          <w:tab w:pos="448" w:val="left" w:leader="none"/>
        </w:tabs>
        <w:spacing w:line="360" w:lineRule="auto" w:before="0" w:after="0"/>
        <w:ind w:left="102" w:right="117" w:firstLine="0"/>
        <w:jc w:val="both"/>
        <w:rPr>
          <w:sz w:val="24"/>
        </w:rPr>
      </w:pPr>
      <w:r>
        <w:rPr>
          <w:sz w:val="24"/>
        </w:rPr>
        <w:t>En el trabajo. Una sola tarea por obrero; pago por rendimiento; alto grado de especialización;</w:t>
      </w:r>
      <w:r>
        <w:rPr>
          <w:spacing w:val="-6"/>
          <w:sz w:val="24"/>
        </w:rPr>
        <w:t> </w:t>
      </w:r>
      <w:r>
        <w:rPr>
          <w:sz w:val="24"/>
        </w:rPr>
        <w:t>ninguna</w:t>
      </w:r>
      <w:r>
        <w:rPr>
          <w:spacing w:val="-3"/>
          <w:sz w:val="24"/>
        </w:rPr>
        <w:t> </w:t>
      </w:r>
      <w:r>
        <w:rPr>
          <w:sz w:val="24"/>
        </w:rPr>
        <w:t>o</w:t>
      </w:r>
      <w:r>
        <w:rPr>
          <w:spacing w:val="-6"/>
          <w:sz w:val="24"/>
        </w:rPr>
        <w:t> </w:t>
      </w:r>
      <w:r>
        <w:rPr>
          <w:sz w:val="24"/>
        </w:rPr>
        <w:t>escasa</w:t>
      </w:r>
      <w:r>
        <w:rPr>
          <w:spacing w:val="-7"/>
          <w:sz w:val="24"/>
        </w:rPr>
        <w:t> </w:t>
      </w:r>
      <w:r>
        <w:rPr>
          <w:sz w:val="24"/>
        </w:rPr>
        <w:t>formación</w:t>
      </w:r>
      <w:r>
        <w:rPr>
          <w:spacing w:val="-4"/>
          <w:sz w:val="24"/>
        </w:rPr>
        <w:t> </w:t>
      </w:r>
      <w:r>
        <w:rPr>
          <w:sz w:val="24"/>
        </w:rPr>
        <w:t>en</w:t>
      </w:r>
      <w:r>
        <w:rPr>
          <w:spacing w:val="-4"/>
          <w:sz w:val="24"/>
        </w:rPr>
        <w:t> </w:t>
      </w:r>
      <w:r>
        <w:rPr>
          <w:sz w:val="24"/>
        </w:rPr>
        <w:t>la</w:t>
      </w:r>
      <w:r>
        <w:rPr>
          <w:spacing w:val="-3"/>
          <w:sz w:val="24"/>
        </w:rPr>
        <w:t> </w:t>
      </w:r>
      <w:r>
        <w:rPr>
          <w:sz w:val="24"/>
        </w:rPr>
        <w:t>tarea, y</w:t>
      </w:r>
      <w:r>
        <w:rPr>
          <w:spacing w:val="-11"/>
          <w:sz w:val="24"/>
        </w:rPr>
        <w:t> </w:t>
      </w:r>
      <w:r>
        <w:rPr>
          <w:sz w:val="24"/>
        </w:rPr>
        <w:t>no</w:t>
      </w:r>
      <w:r>
        <w:rPr>
          <w:spacing w:val="-6"/>
          <w:sz w:val="24"/>
        </w:rPr>
        <w:t> </w:t>
      </w:r>
      <w:r>
        <w:rPr>
          <w:sz w:val="24"/>
        </w:rPr>
        <w:t>se</w:t>
      </w:r>
      <w:r>
        <w:rPr>
          <w:spacing w:val="-7"/>
          <w:sz w:val="24"/>
        </w:rPr>
        <w:t> </w:t>
      </w:r>
      <w:r>
        <w:rPr>
          <w:sz w:val="24"/>
        </w:rPr>
        <w:t>adquiere</w:t>
      </w:r>
      <w:r>
        <w:rPr>
          <w:spacing w:val="-6"/>
          <w:sz w:val="24"/>
        </w:rPr>
        <w:t> </w:t>
      </w:r>
      <w:r>
        <w:rPr>
          <w:sz w:val="24"/>
        </w:rPr>
        <w:t>experiencia;</w:t>
      </w:r>
      <w:r>
        <w:rPr>
          <w:spacing w:val="-4"/>
          <w:sz w:val="24"/>
        </w:rPr>
        <w:t> </w:t>
      </w:r>
      <w:r>
        <w:rPr>
          <w:sz w:val="24"/>
        </w:rPr>
        <w:t>fuerza</w:t>
      </w:r>
    </w:p>
    <w:p>
      <w:pPr>
        <w:spacing w:after="0" w:line="360" w:lineRule="auto"/>
        <w:jc w:val="both"/>
        <w:rPr>
          <w:sz w:val="24"/>
        </w:rPr>
        <w:sectPr>
          <w:pgSz w:w="12240" w:h="15840"/>
          <w:pgMar w:header="0" w:footer="1035" w:top="1360" w:bottom="1220" w:left="1600" w:right="1580"/>
        </w:sectPr>
      </w:pPr>
    </w:p>
    <w:p>
      <w:pPr>
        <w:pStyle w:val="BodyText"/>
        <w:spacing w:line="360" w:lineRule="auto" w:before="50"/>
        <w:ind w:left="102" w:right="116"/>
        <w:jc w:val="both"/>
      </w:pPr>
      <w:r>
        <w:rPr/>
        <w:t>de trabajo no calificada; énfasis en una aminorada responsabilidad del obrero; no existe seguridad en el empleo; fuerte división del trabajo y clara separación entre las labores de ejecución y concepción en el interior de la empresa (organización industrial vertical).</w:t>
      </w:r>
    </w:p>
    <w:p>
      <w:pPr>
        <w:pStyle w:val="BodyText"/>
        <w:spacing w:before="4"/>
        <w:rPr>
          <w:sz w:val="21"/>
        </w:rPr>
      </w:pPr>
    </w:p>
    <w:p>
      <w:pPr>
        <w:pStyle w:val="ListParagraph"/>
        <w:numPr>
          <w:ilvl w:val="0"/>
          <w:numId w:val="9"/>
        </w:numPr>
        <w:tabs>
          <w:tab w:pos="395" w:val="left" w:leader="none"/>
        </w:tabs>
        <w:spacing w:line="360" w:lineRule="auto" w:before="1" w:after="0"/>
        <w:ind w:left="102" w:right="118" w:firstLine="0"/>
        <w:jc w:val="both"/>
        <w:rPr>
          <w:sz w:val="24"/>
        </w:rPr>
      </w:pPr>
      <w:r>
        <w:rPr>
          <w:sz w:val="24"/>
        </w:rPr>
        <w:t>En el Estado, regulación; rigidez; negociación colectiva; centralización; intervención indirecta en los mercados con políticas de ingresos y precios; las empresas financian la investigación y el desarrollo y la industria impulsa la</w:t>
      </w:r>
      <w:r>
        <w:rPr>
          <w:spacing w:val="-11"/>
          <w:sz w:val="24"/>
        </w:rPr>
        <w:t> </w:t>
      </w:r>
      <w:r>
        <w:rPr>
          <w:sz w:val="24"/>
        </w:rPr>
        <w:t>innovación.</w:t>
      </w:r>
    </w:p>
    <w:p>
      <w:pPr>
        <w:pStyle w:val="BodyText"/>
        <w:spacing w:before="3"/>
        <w:rPr>
          <w:sz w:val="21"/>
        </w:rPr>
      </w:pPr>
    </w:p>
    <w:p>
      <w:pPr>
        <w:pStyle w:val="BodyText"/>
        <w:spacing w:line="360" w:lineRule="auto"/>
        <w:ind w:left="102" w:right="113"/>
        <w:jc w:val="both"/>
      </w:pPr>
      <w:r>
        <w:rPr/>
        <w:t>Sin embargo, este sistema tenía pocas posibilidades de variación, donde las empresas generaban grandes cantidades de una limitada variedad de productos, mantenían elevados niveles de inventarios (tanto de insumos como de productos), lo que impactaba tanto en la calidad como en los costos de producción. Esta forma de organización implicaba que la empresa armadora centralizara y realizara casi todas las actividades: investigación, diseño y desarrollo de nuevos productos y, control de calidad, además de la realización y responsabilidad de todo el proceso de armado de los vehículos, estableciéndose así encadenamientos limitados con la producción de autopartes (Velázquez, 2004).</w:t>
      </w:r>
    </w:p>
    <w:p>
      <w:pPr>
        <w:pStyle w:val="BodyText"/>
        <w:spacing w:before="2"/>
        <w:rPr>
          <w:sz w:val="21"/>
        </w:rPr>
      </w:pPr>
    </w:p>
    <w:p>
      <w:pPr>
        <w:pStyle w:val="BodyText"/>
        <w:spacing w:line="360" w:lineRule="auto"/>
        <w:ind w:left="102" w:right="116"/>
        <w:jc w:val="both"/>
      </w:pPr>
      <w:r>
        <w:rPr/>
        <w:t>En términos generales se puede decir que la razón del éxito de la producción en serie no fue la lógica de la eficiencia industrial, sino la de los intereses de productores y consumidores expresados en una propensión a invertir en plantas industriales, que dependía de las perspectivas sobre el grado de utilización de la capacidad y no de la derivación del costo de los factores (Piore y Sabel, 1988).</w:t>
      </w:r>
    </w:p>
    <w:p>
      <w:pPr>
        <w:pStyle w:val="BodyText"/>
        <w:spacing w:before="5"/>
        <w:rPr>
          <w:sz w:val="21"/>
        </w:rPr>
      </w:pPr>
    </w:p>
    <w:p>
      <w:pPr>
        <w:pStyle w:val="BodyText"/>
        <w:spacing w:line="360" w:lineRule="auto"/>
        <w:ind w:left="102" w:right="118"/>
        <w:jc w:val="both"/>
      </w:pPr>
      <w:r>
        <w:rPr/>
        <w:t>De esta manera, el auge estadounidense que se asocia a los estilos de vida del consumo de masas es el punto de partida para entender el declive del liderazgo de sus empresas automotrices y contextualizar la recomposición de la industria automotriz en la zona del Tratado de Libre Comercio con América del Norte (TLCAN) (Basurto, 2013).</w:t>
      </w:r>
    </w:p>
    <w:p>
      <w:pPr>
        <w:pStyle w:val="BodyText"/>
        <w:spacing w:before="4"/>
        <w:rPr>
          <w:sz w:val="21"/>
        </w:rPr>
      </w:pPr>
    </w:p>
    <w:p>
      <w:pPr>
        <w:pStyle w:val="BodyText"/>
        <w:spacing w:line="360" w:lineRule="auto" w:before="1"/>
        <w:ind w:left="102" w:right="117"/>
        <w:jc w:val="both"/>
      </w:pPr>
      <w:r>
        <w:rPr/>
        <w:t>El</w:t>
      </w:r>
      <w:r>
        <w:rPr>
          <w:spacing w:val="-6"/>
        </w:rPr>
        <w:t> </w:t>
      </w:r>
      <w:r>
        <w:rPr/>
        <w:t>segundo</w:t>
      </w:r>
      <w:r>
        <w:rPr>
          <w:spacing w:val="-6"/>
        </w:rPr>
        <w:t> </w:t>
      </w:r>
      <w:r>
        <w:rPr/>
        <w:t>momento</w:t>
      </w:r>
      <w:r>
        <w:rPr>
          <w:spacing w:val="-5"/>
        </w:rPr>
        <w:t> </w:t>
      </w:r>
      <w:r>
        <w:rPr/>
        <w:t>se</w:t>
      </w:r>
      <w:r>
        <w:rPr>
          <w:spacing w:val="-7"/>
        </w:rPr>
        <w:t> </w:t>
      </w:r>
      <w:r>
        <w:rPr/>
        <w:t>presentó</w:t>
      </w:r>
      <w:r>
        <w:rPr>
          <w:spacing w:val="-6"/>
        </w:rPr>
        <w:t> </w:t>
      </w:r>
      <w:r>
        <w:rPr/>
        <w:t>después</w:t>
      </w:r>
      <w:r>
        <w:rPr>
          <w:spacing w:val="-6"/>
        </w:rPr>
        <w:t> </w:t>
      </w:r>
      <w:r>
        <w:rPr/>
        <w:t>de</w:t>
      </w:r>
      <w:r>
        <w:rPr>
          <w:spacing w:val="-7"/>
        </w:rPr>
        <w:t> </w:t>
      </w:r>
      <w:r>
        <w:rPr/>
        <w:t>la</w:t>
      </w:r>
      <w:r>
        <w:rPr>
          <w:spacing w:val="-7"/>
        </w:rPr>
        <w:t> </w:t>
      </w:r>
      <w:r>
        <w:rPr/>
        <w:t>Segunda</w:t>
      </w:r>
      <w:r>
        <w:rPr>
          <w:spacing w:val="-7"/>
        </w:rPr>
        <w:t> </w:t>
      </w:r>
      <w:r>
        <w:rPr/>
        <w:t>Guerra</w:t>
      </w:r>
      <w:r>
        <w:rPr>
          <w:spacing w:val="-7"/>
        </w:rPr>
        <w:t> </w:t>
      </w:r>
      <w:r>
        <w:rPr/>
        <w:t>Mundial,</w:t>
      </w:r>
      <w:r>
        <w:rPr>
          <w:spacing w:val="-6"/>
        </w:rPr>
        <w:t> </w:t>
      </w:r>
      <w:r>
        <w:rPr/>
        <w:t>se</w:t>
      </w:r>
      <w:r>
        <w:rPr>
          <w:spacing w:val="-7"/>
        </w:rPr>
        <w:t> </w:t>
      </w:r>
      <w:r>
        <w:rPr/>
        <w:t>inicia</w:t>
      </w:r>
      <w:r>
        <w:rPr>
          <w:spacing w:val="-7"/>
        </w:rPr>
        <w:t> </w:t>
      </w:r>
      <w:r>
        <w:rPr/>
        <w:t>el</w:t>
      </w:r>
      <w:r>
        <w:rPr>
          <w:spacing w:val="-6"/>
        </w:rPr>
        <w:t> </w:t>
      </w:r>
      <w:r>
        <w:rPr/>
        <w:t>cambio en esta forma de organización pasando de la “producción en masa” a la “producción ajustada”. Este último concepto hace referencia a una amplia gama de características: la forma de organizar el financiamiento, la forma de realizar la producción, la investigación,</w:t>
      </w:r>
      <w:r>
        <w:rPr>
          <w:spacing w:val="-24"/>
        </w:rPr>
        <w:t> </w:t>
      </w:r>
      <w:r>
        <w:rPr/>
        <w:t>el</w:t>
      </w:r>
    </w:p>
    <w:p>
      <w:pPr>
        <w:spacing w:after="0" w:line="360" w:lineRule="auto"/>
        <w:jc w:val="both"/>
        <w:sectPr>
          <w:pgSz w:w="12240" w:h="15840"/>
          <w:pgMar w:header="0" w:footer="1035" w:top="1360" w:bottom="1220" w:left="1600" w:right="1580"/>
        </w:sectPr>
      </w:pPr>
    </w:p>
    <w:p>
      <w:pPr>
        <w:pStyle w:val="BodyText"/>
        <w:spacing w:line="360" w:lineRule="auto" w:before="50"/>
        <w:ind w:left="102" w:right="120"/>
        <w:jc w:val="both"/>
      </w:pPr>
      <w:r>
        <w:rPr/>
        <w:t>desarrollo</w:t>
      </w:r>
      <w:r>
        <w:rPr>
          <w:spacing w:val="-7"/>
        </w:rPr>
        <w:t> </w:t>
      </w:r>
      <w:r>
        <w:rPr/>
        <w:t>de</w:t>
      </w:r>
      <w:r>
        <w:rPr>
          <w:spacing w:val="-8"/>
        </w:rPr>
        <w:t> </w:t>
      </w:r>
      <w:r>
        <w:rPr/>
        <w:t>la</w:t>
      </w:r>
      <w:r>
        <w:rPr>
          <w:spacing w:val="-8"/>
        </w:rPr>
        <w:t> </w:t>
      </w:r>
      <w:r>
        <w:rPr/>
        <w:t>empresa,</w:t>
      </w:r>
      <w:r>
        <w:rPr>
          <w:spacing w:val="-5"/>
        </w:rPr>
        <w:t> </w:t>
      </w:r>
      <w:r>
        <w:rPr/>
        <w:t>el</w:t>
      </w:r>
      <w:r>
        <w:rPr>
          <w:spacing w:val="-7"/>
        </w:rPr>
        <w:t> </w:t>
      </w:r>
      <w:r>
        <w:rPr/>
        <w:t>manejo</w:t>
      </w:r>
      <w:r>
        <w:rPr>
          <w:spacing w:val="-7"/>
        </w:rPr>
        <w:t> </w:t>
      </w:r>
      <w:r>
        <w:rPr/>
        <w:t>del</w:t>
      </w:r>
      <w:r>
        <w:rPr>
          <w:spacing w:val="-7"/>
        </w:rPr>
        <w:t> </w:t>
      </w:r>
      <w:r>
        <w:rPr/>
        <w:t>personal,</w:t>
      </w:r>
      <w:r>
        <w:rPr>
          <w:spacing w:val="-5"/>
        </w:rPr>
        <w:t> </w:t>
      </w:r>
      <w:r>
        <w:rPr/>
        <w:t>la</w:t>
      </w:r>
      <w:r>
        <w:rPr>
          <w:spacing w:val="-6"/>
        </w:rPr>
        <w:t> </w:t>
      </w:r>
      <w:r>
        <w:rPr/>
        <w:t>mercadotecnia,</w:t>
      </w:r>
      <w:r>
        <w:rPr>
          <w:spacing w:val="-8"/>
        </w:rPr>
        <w:t> </w:t>
      </w:r>
      <w:r>
        <w:rPr/>
        <w:t>la</w:t>
      </w:r>
      <w:r>
        <w:rPr>
          <w:spacing w:val="-4"/>
        </w:rPr>
        <w:t> </w:t>
      </w:r>
      <w:r>
        <w:rPr/>
        <w:t>relación</w:t>
      </w:r>
      <w:r>
        <w:rPr>
          <w:spacing w:val="-7"/>
        </w:rPr>
        <w:t> </w:t>
      </w:r>
      <w:r>
        <w:rPr/>
        <w:t>con</w:t>
      </w:r>
      <w:r>
        <w:rPr>
          <w:spacing w:val="-7"/>
        </w:rPr>
        <w:t> </w:t>
      </w:r>
      <w:r>
        <w:rPr/>
        <w:t>el</w:t>
      </w:r>
      <w:r>
        <w:rPr>
          <w:spacing w:val="-7"/>
        </w:rPr>
        <w:t> </w:t>
      </w:r>
      <w:r>
        <w:rPr/>
        <w:t>cliente, también es conocido como "Sistema de producción Toyota" (Velázquez,</w:t>
      </w:r>
      <w:r>
        <w:rPr>
          <w:spacing w:val="-14"/>
        </w:rPr>
        <w:t> </w:t>
      </w:r>
      <w:r>
        <w:rPr/>
        <w:t>2004).</w:t>
      </w:r>
    </w:p>
    <w:p>
      <w:pPr>
        <w:pStyle w:val="BodyText"/>
        <w:spacing w:before="2"/>
        <w:rPr>
          <w:sz w:val="21"/>
        </w:rPr>
      </w:pPr>
    </w:p>
    <w:p>
      <w:pPr>
        <w:pStyle w:val="BodyText"/>
        <w:spacing w:line="360" w:lineRule="auto"/>
        <w:ind w:left="102" w:right="115"/>
        <w:jc w:val="both"/>
      </w:pPr>
      <w:r>
        <w:rPr/>
        <w:t>En términos simples, consiste en realizar cada una de las funciones que realiza la empresa, pero</w:t>
      </w:r>
      <w:r>
        <w:rPr>
          <w:spacing w:val="-9"/>
        </w:rPr>
        <w:t> </w:t>
      </w:r>
      <w:r>
        <w:rPr/>
        <w:t>utilizando</w:t>
      </w:r>
      <w:r>
        <w:rPr>
          <w:spacing w:val="-9"/>
        </w:rPr>
        <w:t> </w:t>
      </w:r>
      <w:r>
        <w:rPr/>
        <w:t>menos</w:t>
      </w:r>
      <w:r>
        <w:rPr>
          <w:spacing w:val="-9"/>
        </w:rPr>
        <w:t> </w:t>
      </w:r>
      <w:r>
        <w:rPr/>
        <w:t>de</w:t>
      </w:r>
      <w:r>
        <w:rPr>
          <w:spacing w:val="-10"/>
        </w:rPr>
        <w:t> </w:t>
      </w:r>
      <w:r>
        <w:rPr/>
        <w:t>todo.</w:t>
      </w:r>
      <w:r>
        <w:rPr>
          <w:spacing w:val="-8"/>
        </w:rPr>
        <w:t> </w:t>
      </w:r>
      <w:r>
        <w:rPr/>
        <w:t>El</w:t>
      </w:r>
      <w:r>
        <w:rPr>
          <w:spacing w:val="-8"/>
        </w:rPr>
        <w:t> </w:t>
      </w:r>
      <w:r>
        <w:rPr/>
        <w:t>sistema</w:t>
      </w:r>
      <w:r>
        <w:rPr>
          <w:spacing w:val="-8"/>
        </w:rPr>
        <w:t> </w:t>
      </w:r>
      <w:r>
        <w:rPr/>
        <w:t>implica</w:t>
      </w:r>
      <w:r>
        <w:rPr>
          <w:spacing w:val="-9"/>
        </w:rPr>
        <w:t> </w:t>
      </w:r>
      <w:r>
        <w:rPr/>
        <w:t>el</w:t>
      </w:r>
      <w:r>
        <w:rPr>
          <w:spacing w:val="-8"/>
        </w:rPr>
        <w:t> </w:t>
      </w:r>
      <w:r>
        <w:rPr/>
        <w:t>empleo</w:t>
      </w:r>
      <w:r>
        <w:rPr>
          <w:spacing w:val="-9"/>
        </w:rPr>
        <w:t> </w:t>
      </w:r>
      <w:r>
        <w:rPr/>
        <w:t>de</w:t>
      </w:r>
      <w:r>
        <w:rPr>
          <w:spacing w:val="-10"/>
        </w:rPr>
        <w:t> </w:t>
      </w:r>
      <w:r>
        <w:rPr/>
        <w:t>trabajadores</w:t>
      </w:r>
      <w:r>
        <w:rPr>
          <w:spacing w:val="-6"/>
        </w:rPr>
        <w:t> </w:t>
      </w:r>
      <w:r>
        <w:rPr/>
        <w:t>multicalificados y de máquinas altamente flexibles y automatizadas, con lo cual se logra la producción de grandes volúmenes de productos muy variados; asimismo, se emplea el sistema “justo a tiempo” para reducir a cero los inventarios y se aplica el sistema de “calidad total” (Velázquez,</w:t>
      </w:r>
      <w:r>
        <w:rPr>
          <w:spacing w:val="-5"/>
        </w:rPr>
        <w:t> </w:t>
      </w:r>
      <w:r>
        <w:rPr/>
        <w:t>2004).</w:t>
      </w:r>
    </w:p>
    <w:p>
      <w:pPr>
        <w:pStyle w:val="BodyText"/>
        <w:spacing w:before="2"/>
        <w:rPr>
          <w:sz w:val="21"/>
        </w:rPr>
      </w:pPr>
    </w:p>
    <w:p>
      <w:pPr>
        <w:pStyle w:val="BodyText"/>
        <w:spacing w:line="360" w:lineRule="auto"/>
        <w:ind w:left="102" w:right="120"/>
        <w:jc w:val="both"/>
      </w:pPr>
      <w:r>
        <w:rPr/>
        <w:t>El sistema de producción Toyota tiene tres elementos fundamentales (Mortimore y Barrón, 2005; CEPAL, 2003):</w:t>
      </w:r>
    </w:p>
    <w:p>
      <w:pPr>
        <w:pStyle w:val="BodyText"/>
        <w:spacing w:before="2"/>
        <w:rPr>
          <w:sz w:val="21"/>
        </w:rPr>
      </w:pPr>
    </w:p>
    <w:p>
      <w:pPr>
        <w:pStyle w:val="ListParagraph"/>
        <w:numPr>
          <w:ilvl w:val="0"/>
          <w:numId w:val="10"/>
        </w:numPr>
        <w:tabs>
          <w:tab w:pos="376" w:val="left" w:leader="none"/>
        </w:tabs>
        <w:spacing w:line="360" w:lineRule="auto" w:before="0" w:after="0"/>
        <w:ind w:left="102" w:right="114" w:firstLine="0"/>
        <w:jc w:val="both"/>
        <w:rPr>
          <w:sz w:val="24"/>
        </w:rPr>
      </w:pPr>
      <w:r>
        <w:rPr>
          <w:sz w:val="24"/>
        </w:rPr>
        <w:t>Organización flexible de la producción. Implica una capacitación múltiple para que el trabajador pueda ejercer diferentes actividades en las áreas de producción, supervisión y control. Por el lado de los bienes de capital, implica que se puedan manufacturar de manera rentable en la planta lotes de producción de un volumen relativamente bajo, y que se</w:t>
      </w:r>
      <w:r>
        <w:rPr>
          <w:spacing w:val="-39"/>
          <w:sz w:val="24"/>
        </w:rPr>
        <w:t> </w:t>
      </w:r>
      <w:r>
        <w:rPr>
          <w:sz w:val="24"/>
        </w:rPr>
        <w:t>puedan rápidamente modificar algunas características del producto final para responder a cambios repentinos de la demanda. Con lo anterior se busca atender a las preferencias de la demanda y satisfacer las necesidades de nichos de mercado</w:t>
      </w:r>
      <w:r>
        <w:rPr>
          <w:spacing w:val="-11"/>
          <w:sz w:val="24"/>
        </w:rPr>
        <w:t> </w:t>
      </w:r>
      <w:r>
        <w:rPr>
          <w:sz w:val="24"/>
        </w:rPr>
        <w:t>diferenciados.</w:t>
      </w:r>
    </w:p>
    <w:p>
      <w:pPr>
        <w:pStyle w:val="BodyText"/>
        <w:spacing w:before="4"/>
        <w:rPr>
          <w:sz w:val="21"/>
        </w:rPr>
      </w:pPr>
    </w:p>
    <w:p>
      <w:pPr>
        <w:pStyle w:val="ListParagraph"/>
        <w:numPr>
          <w:ilvl w:val="0"/>
          <w:numId w:val="10"/>
        </w:numPr>
        <w:tabs>
          <w:tab w:pos="364" w:val="left" w:leader="none"/>
        </w:tabs>
        <w:spacing w:line="360" w:lineRule="auto" w:before="1" w:after="0"/>
        <w:ind w:left="102" w:right="117" w:firstLine="0"/>
        <w:jc w:val="both"/>
        <w:rPr>
          <w:sz w:val="24"/>
        </w:rPr>
      </w:pPr>
      <w:r>
        <w:rPr>
          <w:sz w:val="24"/>
        </w:rPr>
        <w:t>Énfasis en la prevención total de defectos para eliminar los costos innecesarios. Se busca erradicar</w:t>
      </w:r>
      <w:r>
        <w:rPr>
          <w:spacing w:val="-8"/>
          <w:sz w:val="24"/>
        </w:rPr>
        <w:t> </w:t>
      </w:r>
      <w:r>
        <w:rPr>
          <w:sz w:val="24"/>
        </w:rPr>
        <w:t>las</w:t>
      </w:r>
      <w:r>
        <w:rPr>
          <w:spacing w:val="-8"/>
          <w:sz w:val="24"/>
        </w:rPr>
        <w:t> </w:t>
      </w:r>
      <w:r>
        <w:rPr>
          <w:sz w:val="24"/>
        </w:rPr>
        <w:t>imperfecciones</w:t>
      </w:r>
      <w:r>
        <w:rPr>
          <w:spacing w:val="-7"/>
          <w:sz w:val="24"/>
        </w:rPr>
        <w:t> </w:t>
      </w:r>
      <w:r>
        <w:rPr>
          <w:sz w:val="24"/>
        </w:rPr>
        <w:t>en</w:t>
      </w:r>
      <w:r>
        <w:rPr>
          <w:spacing w:val="-6"/>
          <w:sz w:val="24"/>
        </w:rPr>
        <w:t> </w:t>
      </w:r>
      <w:r>
        <w:rPr>
          <w:sz w:val="24"/>
        </w:rPr>
        <w:t>el</w:t>
      </w:r>
      <w:r>
        <w:rPr>
          <w:spacing w:val="-7"/>
          <w:sz w:val="24"/>
        </w:rPr>
        <w:t> </w:t>
      </w:r>
      <w:r>
        <w:rPr>
          <w:sz w:val="24"/>
        </w:rPr>
        <w:t>producto</w:t>
      </w:r>
      <w:r>
        <w:rPr>
          <w:spacing w:val="-7"/>
          <w:sz w:val="24"/>
        </w:rPr>
        <w:t> </w:t>
      </w:r>
      <w:r>
        <w:rPr>
          <w:sz w:val="24"/>
        </w:rPr>
        <w:t>desde</w:t>
      </w:r>
      <w:r>
        <w:rPr>
          <w:spacing w:val="-6"/>
          <w:sz w:val="24"/>
        </w:rPr>
        <w:t> </w:t>
      </w:r>
      <w:r>
        <w:rPr>
          <w:sz w:val="24"/>
        </w:rPr>
        <w:t>el</w:t>
      </w:r>
      <w:r>
        <w:rPr>
          <w:spacing w:val="-7"/>
          <w:sz w:val="24"/>
        </w:rPr>
        <w:t> </w:t>
      </w:r>
      <w:r>
        <w:rPr>
          <w:sz w:val="24"/>
        </w:rPr>
        <w:t>origen,</w:t>
      </w:r>
      <w:r>
        <w:rPr>
          <w:spacing w:val="-7"/>
          <w:sz w:val="24"/>
        </w:rPr>
        <w:t> </w:t>
      </w:r>
      <w:r>
        <w:rPr>
          <w:sz w:val="24"/>
        </w:rPr>
        <w:t>evitando</w:t>
      </w:r>
      <w:r>
        <w:rPr>
          <w:spacing w:val="-7"/>
          <w:sz w:val="24"/>
        </w:rPr>
        <w:t> </w:t>
      </w:r>
      <w:r>
        <w:rPr>
          <w:sz w:val="24"/>
        </w:rPr>
        <w:t>periodos</w:t>
      </w:r>
      <w:r>
        <w:rPr>
          <w:spacing w:val="-7"/>
          <w:sz w:val="24"/>
        </w:rPr>
        <w:t> </w:t>
      </w:r>
      <w:r>
        <w:rPr>
          <w:sz w:val="24"/>
        </w:rPr>
        <w:t>de</w:t>
      </w:r>
      <w:r>
        <w:rPr>
          <w:spacing w:val="-8"/>
          <w:sz w:val="24"/>
        </w:rPr>
        <w:t> </w:t>
      </w:r>
      <w:r>
        <w:rPr>
          <w:sz w:val="24"/>
        </w:rPr>
        <w:t>inactividad y de interrupción en la capacidad instalada, además de disminuir de manera importante el porcentaje de unidades defectuosas y de reducir los costos de</w:t>
      </w:r>
      <w:r>
        <w:rPr>
          <w:spacing w:val="-11"/>
          <w:sz w:val="24"/>
        </w:rPr>
        <w:t> </w:t>
      </w:r>
      <w:r>
        <w:rPr>
          <w:sz w:val="24"/>
        </w:rPr>
        <w:t>operación.</w:t>
      </w:r>
    </w:p>
    <w:p>
      <w:pPr>
        <w:pStyle w:val="BodyText"/>
        <w:spacing w:before="4"/>
        <w:rPr>
          <w:sz w:val="21"/>
        </w:rPr>
      </w:pPr>
    </w:p>
    <w:p>
      <w:pPr>
        <w:pStyle w:val="ListParagraph"/>
        <w:numPr>
          <w:ilvl w:val="0"/>
          <w:numId w:val="10"/>
        </w:numPr>
        <w:tabs>
          <w:tab w:pos="359" w:val="left" w:leader="none"/>
        </w:tabs>
        <w:spacing w:line="360" w:lineRule="auto" w:before="1" w:after="0"/>
        <w:ind w:left="102" w:right="116" w:firstLine="0"/>
        <w:jc w:val="both"/>
        <w:rPr>
          <w:sz w:val="24"/>
        </w:rPr>
      </w:pPr>
      <w:r>
        <w:rPr>
          <w:sz w:val="24"/>
        </w:rPr>
        <w:t>Concepción integral del proceso de fabricación. Se busca el esfuerzo colectivo conjunto para generar valor agregado a lo largo de toda la cadena: industria terminal, empleados, proveedores y distribuidores. Implica una mejor y más fluida comunicación en todos los participantes para detectar y eliminar las posibles fuentes de ineficiencia en toda la fase de producción, lo que ha permitido, además, el impulso al desarrollo de proveedores y a la subcontratación externa (outsourcing), así como la introducción de nuevas técnicas de inventario, que se conoce como producción sincronizada con la demanda (</w:t>
      </w:r>
      <w:r>
        <w:rPr>
          <w:i/>
          <w:sz w:val="24"/>
        </w:rPr>
        <w:t>just in</w:t>
      </w:r>
      <w:r>
        <w:rPr>
          <w:i/>
          <w:spacing w:val="-10"/>
          <w:sz w:val="24"/>
        </w:rPr>
        <w:t> </w:t>
      </w:r>
      <w:r>
        <w:rPr>
          <w:i/>
          <w:sz w:val="24"/>
        </w:rPr>
        <w:t>time</w:t>
      </w:r>
      <w:r>
        <w:rPr>
          <w:sz w:val="24"/>
        </w:rPr>
        <w:t>).</w:t>
      </w:r>
    </w:p>
    <w:p>
      <w:pPr>
        <w:spacing w:after="0" w:line="360" w:lineRule="auto"/>
        <w:jc w:val="both"/>
        <w:rPr>
          <w:sz w:val="24"/>
        </w:rPr>
        <w:sectPr>
          <w:pgSz w:w="12240" w:h="15840"/>
          <w:pgMar w:header="0" w:footer="1035" w:top="1360" w:bottom="1220" w:left="1600" w:right="1580"/>
        </w:sectPr>
      </w:pPr>
    </w:p>
    <w:p>
      <w:pPr>
        <w:pStyle w:val="BodyText"/>
        <w:spacing w:line="360" w:lineRule="auto" w:before="50"/>
        <w:ind w:left="102" w:right="119"/>
        <w:jc w:val="both"/>
      </w:pPr>
      <w:r>
        <w:rPr/>
        <w:t>Actualmente, el sistema de producción Toyota representa una producción de automóviles</w:t>
      </w:r>
      <w:r>
        <w:rPr>
          <w:spacing w:val="-41"/>
        </w:rPr>
        <w:t> </w:t>
      </w:r>
      <w:r>
        <w:rPr/>
        <w:t>de calidad. Se han establecido relaciones de largo plazo entre los productores, proveedores y distribuidores lo que ha representado una disminución en sus costos de transacción que son inherentes</w:t>
      </w:r>
      <w:r>
        <w:rPr>
          <w:spacing w:val="-16"/>
        </w:rPr>
        <w:t> </w:t>
      </w:r>
      <w:r>
        <w:rPr/>
        <w:t>a</w:t>
      </w:r>
      <w:r>
        <w:rPr>
          <w:spacing w:val="-17"/>
        </w:rPr>
        <w:t> </w:t>
      </w:r>
      <w:r>
        <w:rPr/>
        <w:t>las</w:t>
      </w:r>
      <w:r>
        <w:rPr>
          <w:spacing w:val="-16"/>
        </w:rPr>
        <w:t> </w:t>
      </w:r>
      <w:r>
        <w:rPr/>
        <w:t>relaciones</w:t>
      </w:r>
      <w:r>
        <w:rPr>
          <w:spacing w:val="-16"/>
        </w:rPr>
        <w:t> </w:t>
      </w:r>
      <w:r>
        <w:rPr/>
        <w:t>de</w:t>
      </w:r>
      <w:r>
        <w:rPr>
          <w:spacing w:val="-17"/>
        </w:rPr>
        <w:t> </w:t>
      </w:r>
      <w:r>
        <w:rPr/>
        <w:t>corto</w:t>
      </w:r>
      <w:r>
        <w:rPr>
          <w:spacing w:val="-16"/>
        </w:rPr>
        <w:t> </w:t>
      </w:r>
      <w:r>
        <w:rPr/>
        <w:t>plazo.</w:t>
      </w:r>
      <w:r>
        <w:rPr>
          <w:spacing w:val="-16"/>
        </w:rPr>
        <w:t> </w:t>
      </w:r>
      <w:r>
        <w:rPr/>
        <w:t>Dichas</w:t>
      </w:r>
      <w:r>
        <w:rPr>
          <w:spacing w:val="-16"/>
        </w:rPr>
        <w:t> </w:t>
      </w:r>
      <w:r>
        <w:rPr/>
        <w:t>relaciones</w:t>
      </w:r>
      <w:r>
        <w:rPr>
          <w:spacing w:val="-16"/>
        </w:rPr>
        <w:t> </w:t>
      </w:r>
      <w:r>
        <w:rPr/>
        <w:t>se</w:t>
      </w:r>
      <w:r>
        <w:rPr>
          <w:spacing w:val="-17"/>
        </w:rPr>
        <w:t> </w:t>
      </w:r>
      <w:r>
        <w:rPr/>
        <w:t>basan</w:t>
      </w:r>
      <w:r>
        <w:rPr>
          <w:spacing w:val="-16"/>
        </w:rPr>
        <w:t> </w:t>
      </w:r>
      <w:r>
        <w:rPr/>
        <w:t>en</w:t>
      </w:r>
      <w:r>
        <w:rPr>
          <w:spacing w:val="-16"/>
        </w:rPr>
        <w:t> </w:t>
      </w:r>
      <w:r>
        <w:rPr/>
        <w:t>programas</w:t>
      </w:r>
      <w:r>
        <w:rPr>
          <w:spacing w:val="-16"/>
        </w:rPr>
        <w:t> </w:t>
      </w:r>
      <w:r>
        <w:rPr/>
        <w:t>de</w:t>
      </w:r>
      <w:r>
        <w:rPr>
          <w:spacing w:val="-17"/>
        </w:rPr>
        <w:t> </w:t>
      </w:r>
      <w:r>
        <w:rPr/>
        <w:t>compra de varios años de duración y la distribución de la responsabilidad de diseño de piezas, modelos</w:t>
      </w:r>
      <w:r>
        <w:rPr>
          <w:spacing w:val="-11"/>
        </w:rPr>
        <w:t> </w:t>
      </w:r>
      <w:r>
        <w:rPr/>
        <w:t>y</w:t>
      </w:r>
      <w:r>
        <w:rPr>
          <w:spacing w:val="-21"/>
        </w:rPr>
        <w:t> </w:t>
      </w:r>
      <w:r>
        <w:rPr/>
        <w:t>métodos</w:t>
      </w:r>
      <w:r>
        <w:rPr>
          <w:spacing w:val="-9"/>
        </w:rPr>
        <w:t> </w:t>
      </w:r>
      <w:r>
        <w:rPr>
          <w:spacing w:val="-3"/>
        </w:rPr>
        <w:t>ya</w:t>
      </w:r>
      <w:r>
        <w:rPr>
          <w:spacing w:val="-14"/>
        </w:rPr>
        <w:t> </w:t>
      </w:r>
      <w:r>
        <w:rPr/>
        <w:t>sea</w:t>
      </w:r>
      <w:r>
        <w:rPr>
          <w:spacing w:val="-14"/>
        </w:rPr>
        <w:t> </w:t>
      </w:r>
      <w:r>
        <w:rPr/>
        <w:t>para</w:t>
      </w:r>
      <w:r>
        <w:rPr>
          <w:spacing w:val="-15"/>
        </w:rPr>
        <w:t> </w:t>
      </w:r>
      <w:r>
        <w:rPr/>
        <w:t>mejorar</w:t>
      </w:r>
      <w:r>
        <w:rPr>
          <w:spacing w:val="-14"/>
        </w:rPr>
        <w:t> </w:t>
      </w:r>
      <w:r>
        <w:rPr/>
        <w:t>la</w:t>
      </w:r>
      <w:r>
        <w:rPr>
          <w:spacing w:val="-14"/>
        </w:rPr>
        <w:t> </w:t>
      </w:r>
      <w:r>
        <w:rPr/>
        <w:t>calidad</w:t>
      </w:r>
      <w:r>
        <w:rPr>
          <w:spacing w:val="-11"/>
        </w:rPr>
        <w:t> </w:t>
      </w:r>
      <w:r>
        <w:rPr/>
        <w:t>y/o</w:t>
      </w:r>
      <w:r>
        <w:rPr>
          <w:spacing w:val="-13"/>
        </w:rPr>
        <w:t> </w:t>
      </w:r>
      <w:r>
        <w:rPr/>
        <w:t>reducir</w:t>
      </w:r>
      <w:r>
        <w:rPr>
          <w:spacing w:val="-14"/>
        </w:rPr>
        <w:t> </w:t>
      </w:r>
      <w:r>
        <w:rPr/>
        <w:t>costos.</w:t>
      </w:r>
      <w:r>
        <w:rPr>
          <w:spacing w:val="-13"/>
        </w:rPr>
        <w:t> </w:t>
      </w:r>
      <w:r>
        <w:rPr/>
        <w:t>Además</w:t>
      </w:r>
      <w:r>
        <w:rPr>
          <w:spacing w:val="-14"/>
        </w:rPr>
        <w:t> </w:t>
      </w:r>
      <w:r>
        <w:rPr/>
        <w:t>estas</w:t>
      </w:r>
      <w:r>
        <w:rPr>
          <w:spacing w:val="-13"/>
        </w:rPr>
        <w:t> </w:t>
      </w:r>
      <w:r>
        <w:rPr/>
        <w:t>relaciones han generado un mayor impulso al desarrollo de proveedores y a la subcontratación</w:t>
      </w:r>
      <w:r>
        <w:rPr>
          <w:spacing w:val="-27"/>
        </w:rPr>
        <w:t> </w:t>
      </w:r>
      <w:r>
        <w:rPr/>
        <w:t>externa, en</w:t>
      </w:r>
      <w:r>
        <w:rPr>
          <w:spacing w:val="-12"/>
        </w:rPr>
        <w:t> </w:t>
      </w:r>
      <w:r>
        <w:rPr/>
        <w:t>contraposición</w:t>
      </w:r>
      <w:r>
        <w:rPr>
          <w:spacing w:val="-9"/>
        </w:rPr>
        <w:t> </w:t>
      </w:r>
      <w:r>
        <w:rPr/>
        <w:t>con</w:t>
      </w:r>
      <w:r>
        <w:rPr>
          <w:spacing w:val="-12"/>
        </w:rPr>
        <w:t> </w:t>
      </w:r>
      <w:r>
        <w:rPr/>
        <w:t>el</w:t>
      </w:r>
      <w:r>
        <w:rPr>
          <w:spacing w:val="-9"/>
        </w:rPr>
        <w:t> </w:t>
      </w:r>
      <w:r>
        <w:rPr/>
        <w:t>patrón</w:t>
      </w:r>
      <w:r>
        <w:rPr>
          <w:spacing w:val="-12"/>
        </w:rPr>
        <w:t> </w:t>
      </w:r>
      <w:r>
        <w:rPr/>
        <w:t>de</w:t>
      </w:r>
      <w:r>
        <w:rPr>
          <w:spacing w:val="-13"/>
        </w:rPr>
        <w:t> </w:t>
      </w:r>
      <w:r>
        <w:rPr/>
        <w:t>integración</w:t>
      </w:r>
      <w:r>
        <w:rPr>
          <w:spacing w:val="-12"/>
        </w:rPr>
        <w:t> </w:t>
      </w:r>
      <w:r>
        <w:rPr/>
        <w:t>vertical</w:t>
      </w:r>
      <w:r>
        <w:rPr>
          <w:spacing w:val="-12"/>
        </w:rPr>
        <w:t> </w:t>
      </w:r>
      <w:r>
        <w:rPr/>
        <w:t>de</w:t>
      </w:r>
      <w:r>
        <w:rPr>
          <w:spacing w:val="-13"/>
        </w:rPr>
        <w:t> </w:t>
      </w:r>
      <w:r>
        <w:rPr/>
        <w:t>las</w:t>
      </w:r>
      <w:r>
        <w:rPr>
          <w:spacing w:val="-12"/>
        </w:rPr>
        <w:t> </w:t>
      </w:r>
      <w:r>
        <w:rPr/>
        <w:t>grandes</w:t>
      </w:r>
      <w:r>
        <w:rPr>
          <w:spacing w:val="-12"/>
        </w:rPr>
        <w:t> </w:t>
      </w:r>
      <w:r>
        <w:rPr/>
        <w:t>armadores</w:t>
      </w:r>
      <w:r>
        <w:rPr>
          <w:spacing w:val="-12"/>
        </w:rPr>
        <w:t> </w:t>
      </w:r>
      <w:r>
        <w:rPr/>
        <w:t>de</w:t>
      </w:r>
      <w:r>
        <w:rPr>
          <w:spacing w:val="-13"/>
        </w:rPr>
        <w:t> </w:t>
      </w:r>
      <w:r>
        <w:rPr/>
        <w:t>vehículos en Estados Unidos (CEPAL,</w:t>
      </w:r>
      <w:r>
        <w:rPr>
          <w:spacing w:val="-6"/>
        </w:rPr>
        <w:t> </w:t>
      </w:r>
      <w:r>
        <w:rPr/>
        <w:t>2003).</w:t>
      </w:r>
    </w:p>
    <w:p>
      <w:pPr>
        <w:pStyle w:val="BodyText"/>
        <w:spacing w:before="4"/>
        <w:rPr>
          <w:sz w:val="21"/>
        </w:rPr>
      </w:pPr>
    </w:p>
    <w:p>
      <w:pPr>
        <w:pStyle w:val="BodyText"/>
        <w:spacing w:line="360" w:lineRule="auto" w:before="1"/>
        <w:ind w:left="102" w:right="120"/>
        <w:jc w:val="both"/>
      </w:pPr>
      <w:r>
        <w:rPr/>
        <w:t>Debido a lo anterior la industria automotriz japonesa elevó de manera importante su productividad, mejoró su calidad y consolidó su red de proveedores, lo que provocó que se convirtiera en uno de los principales competidores del mercado mundial, por lo que Japón incrementó su participación en la producción mundial de vehículos ya que de 2.2% en 1961 pasó a un 16.7% en el 2006, y representó el 9.3% en la venta mundial de vehículos durante este mismo año (Carbajal, 2013).</w:t>
      </w:r>
    </w:p>
    <w:p>
      <w:pPr>
        <w:pStyle w:val="BodyText"/>
        <w:spacing w:before="4"/>
        <w:rPr>
          <w:sz w:val="21"/>
        </w:rPr>
      </w:pPr>
    </w:p>
    <w:p>
      <w:pPr>
        <w:pStyle w:val="BodyText"/>
        <w:spacing w:line="360" w:lineRule="auto" w:before="1"/>
        <w:ind w:left="102" w:right="115"/>
        <w:jc w:val="both"/>
      </w:pPr>
      <w:r>
        <w:rPr/>
        <w:t>De</w:t>
      </w:r>
      <w:r>
        <w:rPr>
          <w:spacing w:val="-15"/>
        </w:rPr>
        <w:t> </w:t>
      </w:r>
      <w:r>
        <w:rPr/>
        <w:t>acuerdo</w:t>
      </w:r>
      <w:r>
        <w:rPr>
          <w:spacing w:val="-14"/>
        </w:rPr>
        <w:t> </w:t>
      </w:r>
      <w:r>
        <w:rPr/>
        <w:t>con</w:t>
      </w:r>
      <w:r>
        <w:rPr>
          <w:spacing w:val="-11"/>
        </w:rPr>
        <w:t> </w:t>
      </w:r>
      <w:r>
        <w:rPr/>
        <w:t>lo</w:t>
      </w:r>
      <w:r>
        <w:rPr>
          <w:spacing w:val="-13"/>
        </w:rPr>
        <w:t> </w:t>
      </w:r>
      <w:r>
        <w:rPr/>
        <w:t>anterior,</w:t>
      </w:r>
      <w:r>
        <w:rPr>
          <w:spacing w:val="35"/>
        </w:rPr>
        <w:t> </w:t>
      </w:r>
      <w:r>
        <w:rPr/>
        <w:t>los</w:t>
      </w:r>
      <w:r>
        <w:rPr>
          <w:spacing w:val="-13"/>
        </w:rPr>
        <w:t> </w:t>
      </w:r>
      <w:r>
        <w:rPr/>
        <w:t>niveles</w:t>
      </w:r>
      <w:r>
        <w:rPr>
          <w:spacing w:val="-13"/>
        </w:rPr>
        <w:t> </w:t>
      </w:r>
      <w:r>
        <w:rPr/>
        <w:t>de</w:t>
      </w:r>
      <w:r>
        <w:rPr>
          <w:spacing w:val="-14"/>
        </w:rPr>
        <w:t> </w:t>
      </w:r>
      <w:r>
        <w:rPr/>
        <w:t>participación</w:t>
      </w:r>
      <w:r>
        <w:rPr>
          <w:spacing w:val="-13"/>
        </w:rPr>
        <w:t> </w:t>
      </w:r>
      <w:r>
        <w:rPr/>
        <w:t>en</w:t>
      </w:r>
      <w:r>
        <w:rPr>
          <w:spacing w:val="-13"/>
        </w:rPr>
        <w:t> </w:t>
      </w:r>
      <w:r>
        <w:rPr/>
        <w:t>el</w:t>
      </w:r>
      <w:r>
        <w:rPr>
          <w:spacing w:val="-13"/>
        </w:rPr>
        <w:t> </w:t>
      </w:r>
      <w:r>
        <w:rPr/>
        <w:t>mercado</w:t>
      </w:r>
      <w:r>
        <w:rPr>
          <w:spacing w:val="-13"/>
        </w:rPr>
        <w:t> </w:t>
      </w:r>
      <w:r>
        <w:rPr/>
        <w:t>mundial</w:t>
      </w:r>
      <w:r>
        <w:rPr>
          <w:spacing w:val="-13"/>
        </w:rPr>
        <w:t> </w:t>
      </w:r>
      <w:r>
        <w:rPr/>
        <w:t>de</w:t>
      </w:r>
      <w:r>
        <w:rPr>
          <w:spacing w:val="-14"/>
        </w:rPr>
        <w:t> </w:t>
      </w:r>
      <w:r>
        <w:rPr/>
        <w:t>las</w:t>
      </w:r>
      <w:r>
        <w:rPr>
          <w:spacing w:val="-14"/>
        </w:rPr>
        <w:t> </w:t>
      </w:r>
      <w:r>
        <w:rPr/>
        <w:t>grandes empresas</w:t>
      </w:r>
      <w:r>
        <w:rPr>
          <w:spacing w:val="-12"/>
        </w:rPr>
        <w:t> </w:t>
      </w:r>
      <w:r>
        <w:rPr/>
        <w:t>americanas</w:t>
      </w:r>
      <w:r>
        <w:rPr>
          <w:spacing w:val="-12"/>
        </w:rPr>
        <w:t> </w:t>
      </w:r>
      <w:r>
        <w:rPr/>
        <w:t>como</w:t>
      </w:r>
      <w:r>
        <w:rPr>
          <w:spacing w:val="-12"/>
        </w:rPr>
        <w:t> </w:t>
      </w:r>
      <w:r>
        <w:rPr/>
        <w:t>General</w:t>
      </w:r>
      <w:r>
        <w:rPr>
          <w:spacing w:val="-12"/>
        </w:rPr>
        <w:t> </w:t>
      </w:r>
      <w:r>
        <w:rPr/>
        <w:t>Motors</w:t>
      </w:r>
      <w:r>
        <w:rPr>
          <w:spacing w:val="-13"/>
        </w:rPr>
        <w:t> </w:t>
      </w:r>
      <w:r>
        <w:rPr/>
        <w:t>(GM),</w:t>
      </w:r>
      <w:r>
        <w:rPr>
          <w:spacing w:val="-12"/>
        </w:rPr>
        <w:t> </w:t>
      </w:r>
      <w:r>
        <w:rPr/>
        <w:t>Ford</w:t>
      </w:r>
      <w:r>
        <w:rPr>
          <w:spacing w:val="-10"/>
        </w:rPr>
        <w:t> </w:t>
      </w:r>
      <w:r>
        <w:rPr/>
        <w:t>y</w:t>
      </w:r>
      <w:r>
        <w:rPr>
          <w:spacing w:val="-19"/>
        </w:rPr>
        <w:t> </w:t>
      </w:r>
      <w:r>
        <w:rPr/>
        <w:t>Chrysler,</w:t>
      </w:r>
      <w:r>
        <w:rPr>
          <w:spacing w:val="-12"/>
        </w:rPr>
        <w:t> </w:t>
      </w:r>
      <w:r>
        <w:rPr/>
        <w:t>se</w:t>
      </w:r>
      <w:r>
        <w:rPr>
          <w:spacing w:val="-11"/>
        </w:rPr>
        <w:t> </w:t>
      </w:r>
      <w:r>
        <w:rPr/>
        <w:t>vieron</w:t>
      </w:r>
      <w:r>
        <w:rPr>
          <w:spacing w:val="-12"/>
        </w:rPr>
        <w:t> </w:t>
      </w:r>
      <w:r>
        <w:rPr/>
        <w:t>afectados,</w:t>
      </w:r>
      <w:r>
        <w:rPr>
          <w:spacing w:val="-12"/>
        </w:rPr>
        <w:t> </w:t>
      </w:r>
      <w:r>
        <w:rPr/>
        <w:t>pues pasaron  del 70 al 55% durante los años 1999 y 2006 (Velázquez, 2004 y Álvarez,</w:t>
      </w:r>
      <w:r>
        <w:rPr>
          <w:spacing w:val="-12"/>
        </w:rPr>
        <w:t> </w:t>
      </w:r>
      <w:r>
        <w:rPr/>
        <w:t>2007).</w:t>
      </w:r>
    </w:p>
    <w:p>
      <w:pPr>
        <w:pStyle w:val="BodyText"/>
        <w:spacing w:before="2"/>
        <w:rPr>
          <w:sz w:val="21"/>
        </w:rPr>
      </w:pPr>
    </w:p>
    <w:p>
      <w:pPr>
        <w:pStyle w:val="BodyText"/>
        <w:spacing w:line="360" w:lineRule="auto"/>
        <w:ind w:left="102" w:right="111"/>
        <w:jc w:val="both"/>
      </w:pPr>
      <w:r>
        <w:rPr/>
        <w:t>En términos generales, Toyota ha logrado consolidar un sistema de producción global, a través de su política de cadena global de montaje de carrocerías que emplea la misma línea y equipo tanto en plantas de volumen de producción reducido y uso intensivo de mano de obra, como en plantas de mayor volumen de producción y más automatizadas. Así Toyota y Honda</w:t>
      </w:r>
      <w:r>
        <w:rPr>
          <w:spacing w:val="-5"/>
        </w:rPr>
        <w:t> </w:t>
      </w:r>
      <w:r>
        <w:rPr/>
        <w:t>se</w:t>
      </w:r>
      <w:r>
        <w:rPr>
          <w:spacing w:val="-5"/>
        </w:rPr>
        <w:t> </w:t>
      </w:r>
      <w:r>
        <w:rPr/>
        <w:t>consideran</w:t>
      </w:r>
      <w:r>
        <w:rPr>
          <w:spacing w:val="-4"/>
        </w:rPr>
        <w:t> </w:t>
      </w:r>
      <w:r>
        <w:rPr/>
        <w:t>en</w:t>
      </w:r>
      <w:r>
        <w:rPr>
          <w:spacing w:val="-4"/>
        </w:rPr>
        <w:t> </w:t>
      </w:r>
      <w:r>
        <w:rPr/>
        <w:t>la</w:t>
      </w:r>
      <w:r>
        <w:rPr>
          <w:spacing w:val="-5"/>
        </w:rPr>
        <w:t> </w:t>
      </w:r>
      <w:r>
        <w:rPr/>
        <w:t>categoría</w:t>
      </w:r>
      <w:r>
        <w:rPr>
          <w:spacing w:val="-4"/>
        </w:rPr>
        <w:t> </w:t>
      </w:r>
      <w:r>
        <w:rPr/>
        <w:t>de</w:t>
      </w:r>
      <w:r>
        <w:rPr>
          <w:spacing w:val="-5"/>
        </w:rPr>
        <w:t> </w:t>
      </w:r>
      <w:r>
        <w:rPr/>
        <w:t>actores</w:t>
      </w:r>
      <w:r>
        <w:rPr>
          <w:spacing w:val="-4"/>
        </w:rPr>
        <w:t> </w:t>
      </w:r>
      <w:r>
        <w:rPr/>
        <w:t>globales,</w:t>
      </w:r>
      <w:r>
        <w:rPr>
          <w:spacing w:val="-4"/>
        </w:rPr>
        <w:t> </w:t>
      </w:r>
      <w:r>
        <w:rPr/>
        <w:t>pues</w:t>
      </w:r>
      <w:r>
        <w:rPr>
          <w:spacing w:val="-4"/>
        </w:rPr>
        <w:t> </w:t>
      </w:r>
      <w:r>
        <w:rPr/>
        <w:t>mientras</w:t>
      </w:r>
      <w:r>
        <w:rPr>
          <w:spacing w:val="-4"/>
        </w:rPr>
        <w:t> </w:t>
      </w:r>
      <w:r>
        <w:rPr/>
        <w:t>alrededor</w:t>
      </w:r>
      <w:r>
        <w:rPr>
          <w:spacing w:val="-5"/>
        </w:rPr>
        <w:t> </w:t>
      </w:r>
      <w:r>
        <w:rPr/>
        <w:t>de</w:t>
      </w:r>
      <w:r>
        <w:rPr>
          <w:spacing w:val="-5"/>
        </w:rPr>
        <w:t> </w:t>
      </w:r>
      <w:r>
        <w:rPr/>
        <w:t>la</w:t>
      </w:r>
      <w:r>
        <w:rPr>
          <w:spacing w:val="-4"/>
        </w:rPr>
        <w:t> </w:t>
      </w:r>
      <w:r>
        <w:rPr/>
        <w:t>mitad de la producción de estas firmas se realiza fuera de su país de origen, más de la mitad de las ventas totales se hacen en el exterior (Mortimore y Barrón,</w:t>
      </w:r>
      <w:r>
        <w:rPr>
          <w:spacing w:val="-8"/>
        </w:rPr>
        <w:t> </w:t>
      </w:r>
      <w:r>
        <w:rPr/>
        <w:t>2005).</w:t>
      </w:r>
    </w:p>
    <w:p>
      <w:pPr>
        <w:pStyle w:val="BodyText"/>
        <w:spacing w:before="4"/>
        <w:rPr>
          <w:sz w:val="21"/>
        </w:rPr>
      </w:pPr>
    </w:p>
    <w:p>
      <w:pPr>
        <w:pStyle w:val="BodyText"/>
        <w:spacing w:line="360" w:lineRule="auto" w:before="1"/>
        <w:ind w:left="102" w:right="116"/>
        <w:jc w:val="both"/>
      </w:pPr>
      <w:r>
        <w:rPr/>
        <w:t>En el caso de las grandes empresas automotrices estadounidenses (General Motors, Ford y Daimler Chrysler) y europeas (Volkswagen, Grupo PSA, Fiat, BMW y Renault) se han constituido</w:t>
      </w:r>
      <w:r>
        <w:rPr>
          <w:spacing w:val="-11"/>
        </w:rPr>
        <w:t> </w:t>
      </w:r>
      <w:r>
        <w:rPr/>
        <w:t>como</w:t>
      </w:r>
      <w:r>
        <w:rPr>
          <w:spacing w:val="-11"/>
        </w:rPr>
        <w:t> </w:t>
      </w:r>
      <w:r>
        <w:rPr/>
        <w:t>actores</w:t>
      </w:r>
      <w:r>
        <w:rPr>
          <w:spacing w:val="-11"/>
        </w:rPr>
        <w:t> </w:t>
      </w:r>
      <w:r>
        <w:rPr/>
        <w:t>muy</w:t>
      </w:r>
      <w:r>
        <w:rPr>
          <w:spacing w:val="-16"/>
        </w:rPr>
        <w:t> </w:t>
      </w:r>
      <w:r>
        <w:rPr/>
        <w:t>importantes</w:t>
      </w:r>
      <w:r>
        <w:rPr>
          <w:spacing w:val="-11"/>
        </w:rPr>
        <w:t> </w:t>
      </w:r>
      <w:r>
        <w:rPr/>
        <w:t>a</w:t>
      </w:r>
      <w:r>
        <w:rPr>
          <w:spacing w:val="-10"/>
        </w:rPr>
        <w:t> </w:t>
      </w:r>
      <w:r>
        <w:rPr/>
        <w:t>nivel</w:t>
      </w:r>
      <w:r>
        <w:rPr>
          <w:spacing w:val="-11"/>
        </w:rPr>
        <w:t> </w:t>
      </w:r>
      <w:r>
        <w:rPr/>
        <w:t>regional,</w:t>
      </w:r>
      <w:r>
        <w:rPr>
          <w:spacing w:val="-11"/>
        </w:rPr>
        <w:t> </w:t>
      </w:r>
      <w:r>
        <w:rPr/>
        <w:t>pues</w:t>
      </w:r>
      <w:r>
        <w:rPr>
          <w:spacing w:val="-11"/>
        </w:rPr>
        <w:t> </w:t>
      </w:r>
      <w:r>
        <w:rPr/>
        <w:t>tanto</w:t>
      </w:r>
      <w:r>
        <w:rPr>
          <w:spacing w:val="-11"/>
        </w:rPr>
        <w:t> </w:t>
      </w:r>
      <w:r>
        <w:rPr/>
        <w:t>su</w:t>
      </w:r>
      <w:r>
        <w:rPr>
          <w:spacing w:val="-11"/>
        </w:rPr>
        <w:t> </w:t>
      </w:r>
      <w:r>
        <w:rPr/>
        <w:t>producción</w:t>
      </w:r>
      <w:r>
        <w:rPr>
          <w:spacing w:val="-11"/>
        </w:rPr>
        <w:t> </w:t>
      </w:r>
      <w:r>
        <w:rPr/>
        <w:t>en</w:t>
      </w:r>
      <w:r>
        <w:rPr>
          <w:spacing w:val="-11"/>
        </w:rPr>
        <w:t> </w:t>
      </w:r>
      <w:r>
        <w:rPr/>
        <w:t>otros</w:t>
      </w:r>
    </w:p>
    <w:p>
      <w:pPr>
        <w:spacing w:after="0" w:line="360" w:lineRule="auto"/>
        <w:jc w:val="both"/>
        <w:sectPr>
          <w:pgSz w:w="12240" w:h="15840"/>
          <w:pgMar w:header="0" w:footer="1035" w:top="1360" w:bottom="1220" w:left="1600" w:right="1580"/>
        </w:sectPr>
      </w:pPr>
    </w:p>
    <w:p>
      <w:pPr>
        <w:pStyle w:val="BodyText"/>
        <w:spacing w:line="360" w:lineRule="auto" w:before="50"/>
        <w:ind w:left="102" w:right="117"/>
        <w:jc w:val="both"/>
      </w:pPr>
      <w:r>
        <w:rPr/>
        <w:t>países como sus ventas en el exterior no representan ni la mitad de lo generado por Honda y Toyota (Mortimore y Barrón, 2005).</w:t>
      </w:r>
    </w:p>
    <w:p>
      <w:pPr>
        <w:pStyle w:val="BodyText"/>
        <w:spacing w:before="2"/>
        <w:rPr>
          <w:sz w:val="21"/>
        </w:rPr>
      </w:pPr>
    </w:p>
    <w:p>
      <w:pPr>
        <w:pStyle w:val="BodyText"/>
        <w:spacing w:line="360" w:lineRule="auto"/>
        <w:ind w:left="102" w:right="114"/>
        <w:jc w:val="both"/>
      </w:pPr>
      <w:r>
        <w:rPr/>
        <w:t>Esto ha obligado a las empresas americanas a adoptar nuevas estrategias comerciales que consisten sobretodo en reducir su integración vertical para bajar sus costos fijos y de mano de obra y disminuir sus contactos directos con todos los proveedores excepto las principales (Tier 1) para crear una pirámide más eficiente de compras (Mortimore y Barron, 2005).</w:t>
      </w:r>
    </w:p>
    <w:p>
      <w:pPr>
        <w:pStyle w:val="BodyText"/>
        <w:spacing w:before="3"/>
        <w:rPr>
          <w:sz w:val="21"/>
        </w:rPr>
      </w:pPr>
    </w:p>
    <w:p>
      <w:pPr>
        <w:pStyle w:val="BodyText"/>
        <w:spacing w:line="360" w:lineRule="auto"/>
        <w:ind w:left="102" w:right="117"/>
        <w:jc w:val="both"/>
      </w:pPr>
      <w:r>
        <w:rPr/>
        <w:t>En este sentido Velázquez (2005), menciona que la primera reacción de las empresas norteamericanas y europeas fue intentar reducir costos y aumentar la variedad de su producción mediante la especialización de sus plantas existentes en la producción de uno o muy</w:t>
      </w:r>
      <w:r>
        <w:rPr>
          <w:spacing w:val="-16"/>
        </w:rPr>
        <w:t> </w:t>
      </w:r>
      <w:r>
        <w:rPr/>
        <w:t>pocos</w:t>
      </w:r>
      <w:r>
        <w:rPr>
          <w:spacing w:val="-11"/>
        </w:rPr>
        <w:t> </w:t>
      </w:r>
      <w:r>
        <w:rPr/>
        <w:t>modelos,</w:t>
      </w:r>
      <w:r>
        <w:rPr>
          <w:spacing w:val="-11"/>
        </w:rPr>
        <w:t> </w:t>
      </w:r>
      <w:r>
        <w:rPr/>
        <w:t>recurriendo</w:t>
      </w:r>
      <w:r>
        <w:rPr>
          <w:spacing w:val="-12"/>
        </w:rPr>
        <w:t> </w:t>
      </w:r>
      <w:r>
        <w:rPr/>
        <w:t>a</w:t>
      </w:r>
      <w:r>
        <w:rPr>
          <w:spacing w:val="-12"/>
        </w:rPr>
        <w:t> </w:t>
      </w:r>
      <w:r>
        <w:rPr/>
        <w:t>importaciones</w:t>
      </w:r>
      <w:r>
        <w:rPr>
          <w:spacing w:val="-7"/>
        </w:rPr>
        <w:t> </w:t>
      </w:r>
      <w:r>
        <w:rPr/>
        <w:t>y</w:t>
      </w:r>
      <w:r>
        <w:rPr>
          <w:spacing w:val="-13"/>
        </w:rPr>
        <w:t> </w:t>
      </w:r>
      <w:r>
        <w:rPr/>
        <w:t>exportaciones</w:t>
      </w:r>
      <w:r>
        <w:rPr>
          <w:spacing w:val="-9"/>
        </w:rPr>
        <w:t> </w:t>
      </w:r>
      <w:r>
        <w:rPr/>
        <w:t>para</w:t>
      </w:r>
      <w:r>
        <w:rPr>
          <w:spacing w:val="-13"/>
        </w:rPr>
        <w:t> </w:t>
      </w:r>
      <w:r>
        <w:rPr/>
        <w:t>satisfacer</w:t>
      </w:r>
      <w:r>
        <w:rPr>
          <w:spacing w:val="-12"/>
        </w:rPr>
        <w:t> </w:t>
      </w:r>
      <w:r>
        <w:rPr/>
        <w:t>su</w:t>
      </w:r>
      <w:r>
        <w:rPr>
          <w:spacing w:val="-11"/>
        </w:rPr>
        <w:t> </w:t>
      </w:r>
      <w:r>
        <w:rPr/>
        <w:t>demanda a nivel mundial. Posteriormente han ido adoptando la nueva forma de organización en sus procesos</w:t>
      </w:r>
      <w:r>
        <w:rPr>
          <w:spacing w:val="-4"/>
        </w:rPr>
        <w:t> </w:t>
      </w:r>
      <w:r>
        <w:rPr/>
        <w:t>productivos.</w:t>
      </w:r>
    </w:p>
    <w:p>
      <w:pPr>
        <w:pStyle w:val="BodyText"/>
        <w:spacing w:before="7"/>
        <w:rPr>
          <w:sz w:val="21"/>
        </w:rPr>
      </w:pPr>
    </w:p>
    <w:p>
      <w:pPr>
        <w:pStyle w:val="Heading1"/>
        <w:numPr>
          <w:ilvl w:val="2"/>
          <w:numId w:val="8"/>
        </w:numPr>
        <w:tabs>
          <w:tab w:pos="702" w:val="left" w:leader="none"/>
        </w:tabs>
        <w:spacing w:line="240" w:lineRule="auto" w:before="0" w:after="0"/>
        <w:ind w:left="702" w:right="0" w:hanging="600"/>
        <w:jc w:val="both"/>
      </w:pPr>
      <w:bookmarkStart w:name="_TOC_250028" w:id="7"/>
      <w:r>
        <w:rPr/>
        <w:t>El sistema de producción</w:t>
      </w:r>
      <w:r>
        <w:rPr>
          <w:spacing w:val="-9"/>
        </w:rPr>
        <w:t> </w:t>
      </w:r>
      <w:bookmarkEnd w:id="7"/>
      <w:r>
        <w:rPr/>
        <w:t>modular</w:t>
      </w:r>
    </w:p>
    <w:p>
      <w:pPr>
        <w:pStyle w:val="BodyText"/>
        <w:spacing w:before="6"/>
        <w:rPr>
          <w:b/>
          <w:sz w:val="32"/>
        </w:rPr>
      </w:pPr>
    </w:p>
    <w:p>
      <w:pPr>
        <w:pStyle w:val="BodyText"/>
        <w:spacing w:line="360" w:lineRule="auto"/>
        <w:ind w:left="102" w:right="113"/>
        <w:jc w:val="both"/>
      </w:pPr>
      <w:r>
        <w:rPr/>
        <w:t>En la década de los noventa, ante la necesidad de las empresas transnacionales automotrices de Estados Unidos y Europa por enfrentar el desafío que representaba Japón, surgió otro factor que ha contribuido a modificar la forma de organización de la industria automotriz a partir del desarrollo de la informática y la microelectrónica, que junto con la generalización de la producción ajustada a otras industrias, han favorecido la introducción de una gran variedad de máquinas automáticas, máquinas de control numérico guiadas por computadora y sistemas automáticos de producción, lo que posibilitó la división de los productos en componentes, colocando a la integración en el centro del desarrollo de muchas industrias y marcando la transición de la arquitectura integral a la arquitectura modular (Velázquez, 2005).</w:t>
      </w:r>
    </w:p>
    <w:p>
      <w:pPr>
        <w:pStyle w:val="BodyText"/>
        <w:spacing w:before="4"/>
        <w:rPr>
          <w:sz w:val="21"/>
        </w:rPr>
      </w:pPr>
    </w:p>
    <w:p>
      <w:pPr>
        <w:pStyle w:val="BodyText"/>
        <w:spacing w:line="360" w:lineRule="auto" w:before="1"/>
        <w:ind w:left="102" w:right="118"/>
        <w:jc w:val="both"/>
      </w:pPr>
      <w:r>
        <w:rPr/>
        <w:t>Este modelo busca hacer más rentable el diseño y la manufactura de vehículos mediante el empleo de plataformas comunes que permiten una mayor coordinación y el uso múltiple de las partes mientras se mantienen la habilidad para adaptar modelos específicos de vehículos a gustos y condiciones de manejo locales. Esta estrategia requirió de redes de proveedores con presencia mundial y de una mayor coordinación de los esfuerzos globales de diseño. El</w:t>
      </w:r>
    </w:p>
    <w:p>
      <w:pPr>
        <w:spacing w:after="0" w:line="360" w:lineRule="auto"/>
        <w:jc w:val="both"/>
        <w:sectPr>
          <w:pgSz w:w="12240" w:h="15840"/>
          <w:pgMar w:header="0" w:footer="1035" w:top="1360" w:bottom="1220" w:left="1600" w:right="1580"/>
        </w:sectPr>
      </w:pPr>
    </w:p>
    <w:p>
      <w:pPr>
        <w:pStyle w:val="BodyText"/>
        <w:spacing w:line="360" w:lineRule="auto" w:before="50"/>
        <w:ind w:left="102" w:right="119"/>
        <w:jc w:val="both"/>
      </w:pPr>
      <w:r>
        <w:rPr/>
        <w:t>ensamblaje</w:t>
      </w:r>
      <w:r>
        <w:rPr>
          <w:spacing w:val="-4"/>
        </w:rPr>
        <w:t> </w:t>
      </w:r>
      <w:r>
        <w:rPr/>
        <w:t>modular</w:t>
      </w:r>
      <w:r>
        <w:rPr>
          <w:spacing w:val="-5"/>
        </w:rPr>
        <w:t> </w:t>
      </w:r>
      <w:r>
        <w:rPr/>
        <w:t>es</w:t>
      </w:r>
      <w:r>
        <w:rPr>
          <w:spacing w:val="-4"/>
        </w:rPr>
        <w:t> </w:t>
      </w:r>
      <w:r>
        <w:rPr/>
        <w:t>una</w:t>
      </w:r>
      <w:r>
        <w:rPr>
          <w:spacing w:val="-5"/>
        </w:rPr>
        <w:t> </w:t>
      </w:r>
      <w:r>
        <w:rPr/>
        <w:t>tendencia</w:t>
      </w:r>
      <w:r>
        <w:rPr>
          <w:spacing w:val="-4"/>
        </w:rPr>
        <w:t> </w:t>
      </w:r>
      <w:r>
        <w:rPr/>
        <w:t>nueva</w:t>
      </w:r>
      <w:r>
        <w:rPr>
          <w:spacing w:val="-5"/>
        </w:rPr>
        <w:t> </w:t>
      </w:r>
      <w:r>
        <w:rPr/>
        <w:t>que</w:t>
      </w:r>
      <w:r>
        <w:rPr>
          <w:spacing w:val="-5"/>
        </w:rPr>
        <w:t> </w:t>
      </w:r>
      <w:r>
        <w:rPr/>
        <w:t>no</w:t>
      </w:r>
      <w:r>
        <w:rPr>
          <w:spacing w:val="-4"/>
        </w:rPr>
        <w:t> </w:t>
      </w:r>
      <w:r>
        <w:rPr/>
        <w:t>se</w:t>
      </w:r>
      <w:r>
        <w:rPr>
          <w:spacing w:val="-5"/>
        </w:rPr>
        <w:t> </w:t>
      </w:r>
      <w:r>
        <w:rPr/>
        <w:t>ha</w:t>
      </w:r>
      <w:r>
        <w:rPr>
          <w:spacing w:val="-5"/>
        </w:rPr>
        <w:t> </w:t>
      </w:r>
      <w:r>
        <w:rPr/>
        <w:t>difundido</w:t>
      </w:r>
      <w:r>
        <w:rPr>
          <w:spacing w:val="-4"/>
        </w:rPr>
        <w:t> </w:t>
      </w:r>
      <w:r>
        <w:rPr/>
        <w:t>ampliamente,</w:t>
      </w:r>
      <w:r>
        <w:rPr>
          <w:spacing w:val="-2"/>
        </w:rPr>
        <w:t> </w:t>
      </w:r>
      <w:r>
        <w:rPr/>
        <w:t>pese</w:t>
      </w:r>
      <w:r>
        <w:rPr>
          <w:spacing w:val="-5"/>
        </w:rPr>
        <w:t> </w:t>
      </w:r>
      <w:r>
        <w:rPr/>
        <w:t>a</w:t>
      </w:r>
      <w:r>
        <w:rPr>
          <w:spacing w:val="-5"/>
        </w:rPr>
        <w:t> </w:t>
      </w:r>
      <w:r>
        <w:rPr/>
        <w:t>que ha mostrado resultados positivos en algunas de las empresas que lo han incorporado a sus sistemas productivos (CEPAL,</w:t>
      </w:r>
      <w:r>
        <w:rPr>
          <w:spacing w:val="-10"/>
        </w:rPr>
        <w:t> </w:t>
      </w:r>
      <w:r>
        <w:rPr/>
        <w:t>2003).</w:t>
      </w:r>
    </w:p>
    <w:p>
      <w:pPr>
        <w:pStyle w:val="BodyText"/>
        <w:spacing w:before="4"/>
        <w:rPr>
          <w:sz w:val="21"/>
        </w:rPr>
      </w:pPr>
    </w:p>
    <w:p>
      <w:pPr>
        <w:pStyle w:val="BodyText"/>
        <w:spacing w:line="360" w:lineRule="auto" w:before="1"/>
        <w:ind w:left="102" w:right="116"/>
        <w:jc w:val="both"/>
      </w:pPr>
      <w:r>
        <w:rPr/>
        <w:t>En la manufactura de vehículos, los productores de Estados Unidos y Europa realizan actualmente muchas menos funciones que en el pasado en las líneas de ensamblaje de sus plantas</w:t>
      </w:r>
      <w:r>
        <w:rPr>
          <w:spacing w:val="-6"/>
        </w:rPr>
        <w:t> </w:t>
      </w:r>
      <w:r>
        <w:rPr/>
        <w:t>modulares.</w:t>
      </w:r>
      <w:r>
        <w:rPr>
          <w:spacing w:val="-6"/>
        </w:rPr>
        <w:t> </w:t>
      </w:r>
      <w:r>
        <w:rPr/>
        <w:t>Así,</w:t>
      </w:r>
      <w:r>
        <w:rPr>
          <w:spacing w:val="-5"/>
        </w:rPr>
        <w:t> </w:t>
      </w:r>
      <w:r>
        <w:rPr/>
        <w:t>las</w:t>
      </w:r>
      <w:r>
        <w:rPr>
          <w:spacing w:val="-7"/>
        </w:rPr>
        <w:t> </w:t>
      </w:r>
      <w:r>
        <w:rPr/>
        <w:t>líneas</w:t>
      </w:r>
      <w:r>
        <w:rPr>
          <w:spacing w:val="-6"/>
        </w:rPr>
        <w:t> </w:t>
      </w:r>
      <w:r>
        <w:rPr/>
        <w:t>de</w:t>
      </w:r>
      <w:r>
        <w:rPr>
          <w:spacing w:val="-7"/>
        </w:rPr>
        <w:t> </w:t>
      </w:r>
      <w:r>
        <w:rPr/>
        <w:t>producción</w:t>
      </w:r>
      <w:r>
        <w:rPr>
          <w:spacing w:val="-6"/>
        </w:rPr>
        <w:t> </w:t>
      </w:r>
      <w:r>
        <w:rPr/>
        <w:t>se</w:t>
      </w:r>
      <w:r>
        <w:rPr>
          <w:spacing w:val="-7"/>
        </w:rPr>
        <w:t> </w:t>
      </w:r>
      <w:r>
        <w:rPr/>
        <w:t>coordinan</w:t>
      </w:r>
      <w:r>
        <w:rPr>
          <w:spacing w:val="-6"/>
        </w:rPr>
        <w:t> </w:t>
      </w:r>
      <w:r>
        <w:rPr/>
        <w:t>mejor</w:t>
      </w:r>
      <w:r>
        <w:rPr>
          <w:spacing w:val="-3"/>
        </w:rPr>
        <w:t> </w:t>
      </w:r>
      <w:r>
        <w:rPr/>
        <w:t>y</w:t>
      </w:r>
      <w:r>
        <w:rPr>
          <w:spacing w:val="-11"/>
        </w:rPr>
        <w:t> </w:t>
      </w:r>
      <w:r>
        <w:rPr/>
        <w:t>son</w:t>
      </w:r>
      <w:r>
        <w:rPr>
          <w:spacing w:val="-3"/>
        </w:rPr>
        <w:t> </w:t>
      </w:r>
      <w:r>
        <w:rPr/>
        <w:t>más</w:t>
      </w:r>
      <w:r>
        <w:rPr>
          <w:spacing w:val="-7"/>
        </w:rPr>
        <w:t> </w:t>
      </w:r>
      <w:r>
        <w:rPr/>
        <w:t>eficientes.</w:t>
      </w:r>
      <w:r>
        <w:rPr>
          <w:spacing w:val="-6"/>
        </w:rPr>
        <w:t> </w:t>
      </w:r>
      <w:r>
        <w:rPr/>
        <w:t>En estas nuevas plantas los trabajadores manejan módulos ensamblados previamente por los proveedores; los módulos quedan completamente armados en el área de recepción de las plantas de ensamblaje final, listos para ser incorporados a los vehículos (Carbajal,</w:t>
      </w:r>
      <w:r>
        <w:rPr>
          <w:spacing w:val="-13"/>
        </w:rPr>
        <w:t> </w:t>
      </w:r>
      <w:r>
        <w:rPr/>
        <w:t>2010).</w:t>
      </w:r>
    </w:p>
    <w:p>
      <w:pPr>
        <w:pStyle w:val="BodyText"/>
        <w:spacing w:before="4"/>
        <w:rPr>
          <w:sz w:val="21"/>
        </w:rPr>
      </w:pPr>
    </w:p>
    <w:p>
      <w:pPr>
        <w:pStyle w:val="BodyText"/>
        <w:spacing w:line="360" w:lineRule="auto" w:before="1"/>
        <w:ind w:left="102" w:right="116"/>
        <w:jc w:val="both"/>
      </w:pPr>
      <w:r>
        <w:rPr/>
        <w:t>En este sentido, a medida que los fabricantes de vehículos realizan menos actividades en las nuevas plantas de ensamblaje, los proveedores deben hacer cada vez más. Existen estimaciones</w:t>
      </w:r>
      <w:r>
        <w:rPr>
          <w:spacing w:val="-7"/>
        </w:rPr>
        <w:t> </w:t>
      </w:r>
      <w:r>
        <w:rPr/>
        <w:t>que</w:t>
      </w:r>
      <w:r>
        <w:rPr>
          <w:spacing w:val="-7"/>
        </w:rPr>
        <w:t> </w:t>
      </w:r>
      <w:r>
        <w:rPr/>
        <w:t>sugieren</w:t>
      </w:r>
      <w:r>
        <w:rPr>
          <w:spacing w:val="-6"/>
        </w:rPr>
        <w:t> </w:t>
      </w:r>
      <w:r>
        <w:rPr/>
        <w:t>que</w:t>
      </w:r>
      <w:r>
        <w:rPr>
          <w:spacing w:val="-7"/>
        </w:rPr>
        <w:t> </w:t>
      </w:r>
      <w:r>
        <w:rPr/>
        <w:t>el</w:t>
      </w:r>
      <w:r>
        <w:rPr>
          <w:spacing w:val="-6"/>
        </w:rPr>
        <w:t> </w:t>
      </w:r>
      <w:r>
        <w:rPr/>
        <w:t>75%</w:t>
      </w:r>
      <w:r>
        <w:rPr>
          <w:spacing w:val="-7"/>
        </w:rPr>
        <w:t> </w:t>
      </w:r>
      <w:r>
        <w:rPr/>
        <w:t>del</w:t>
      </w:r>
      <w:r>
        <w:rPr>
          <w:spacing w:val="-6"/>
        </w:rPr>
        <w:t> </w:t>
      </w:r>
      <w:r>
        <w:rPr/>
        <w:t>valor</w:t>
      </w:r>
      <w:r>
        <w:rPr>
          <w:spacing w:val="-7"/>
        </w:rPr>
        <w:t> </w:t>
      </w:r>
      <w:r>
        <w:rPr/>
        <w:t>del</w:t>
      </w:r>
      <w:r>
        <w:rPr>
          <w:spacing w:val="-6"/>
        </w:rPr>
        <w:t> </w:t>
      </w:r>
      <w:r>
        <w:rPr/>
        <w:t>vehículo</w:t>
      </w:r>
      <w:r>
        <w:rPr>
          <w:spacing w:val="-6"/>
        </w:rPr>
        <w:t> </w:t>
      </w:r>
      <w:r>
        <w:rPr/>
        <w:t>corresponde</w:t>
      </w:r>
      <w:r>
        <w:rPr>
          <w:spacing w:val="-7"/>
        </w:rPr>
        <w:t> </w:t>
      </w:r>
      <w:r>
        <w:rPr/>
        <w:t>a</w:t>
      </w:r>
      <w:r>
        <w:rPr>
          <w:spacing w:val="-5"/>
        </w:rPr>
        <w:t> </w:t>
      </w:r>
      <w:r>
        <w:rPr/>
        <w:t>solo</w:t>
      </w:r>
      <w:r>
        <w:rPr>
          <w:spacing w:val="-6"/>
        </w:rPr>
        <w:t> </w:t>
      </w:r>
      <w:r>
        <w:rPr/>
        <w:t>15</w:t>
      </w:r>
      <w:r>
        <w:rPr>
          <w:spacing w:val="-6"/>
        </w:rPr>
        <w:t> </w:t>
      </w:r>
      <w:r>
        <w:rPr/>
        <w:t>módulos, entre los cuales destacan, la suspensión, las puertas, techos interiores (que pueden incluir iluminación, techo corredizo, conexiones eléctricas, etc.), asientos, calefacción y aire acondicionado, tableros de instrumentos, y el tren motor. Es importante mencionar que en las plantas modulares más avanzadas, los principales proveedores son los responsables del ensamblaje del vehículo donde se colocan sus respectivos sistemas (CEPAL,</w:t>
      </w:r>
      <w:r>
        <w:rPr>
          <w:spacing w:val="-16"/>
        </w:rPr>
        <w:t> </w:t>
      </w:r>
      <w:r>
        <w:rPr/>
        <w:t>2003).</w:t>
      </w:r>
    </w:p>
    <w:p>
      <w:pPr>
        <w:pStyle w:val="BodyText"/>
        <w:spacing w:before="4"/>
        <w:rPr>
          <w:sz w:val="21"/>
        </w:rPr>
      </w:pPr>
    </w:p>
    <w:p>
      <w:pPr>
        <w:pStyle w:val="BodyText"/>
        <w:spacing w:line="360" w:lineRule="auto" w:before="1"/>
        <w:ind w:left="102" w:right="120"/>
        <w:jc w:val="both"/>
      </w:pPr>
      <w:r>
        <w:rPr/>
        <w:t>Otro punto a resaltar es que la adopción del proceso de ensamblaje modular o segmentado está vinculado al establecimiento de plantas de ensamblaje junto a las plantas de los proveedores, esto se debe a que los módulos más grandes son más difíciles de transportar. De esta manera la entrega de autopartes está sincronizada con la demanda y se ajusta a la secuencia de la línea de ensamblaje (CEPAL, 2003).</w:t>
      </w:r>
    </w:p>
    <w:p>
      <w:pPr>
        <w:spacing w:after="0" w:line="360" w:lineRule="auto"/>
        <w:jc w:val="both"/>
        <w:sectPr>
          <w:pgSz w:w="12240" w:h="15840"/>
          <w:pgMar w:header="0" w:footer="1035" w:top="1360" w:bottom="1220" w:left="1600" w:right="1580"/>
        </w:sectPr>
      </w:pPr>
    </w:p>
    <w:p>
      <w:pPr>
        <w:pStyle w:val="Heading1"/>
        <w:spacing w:before="55"/>
        <w:ind w:left="2133" w:right="119"/>
      </w:pPr>
      <w:r>
        <w:rPr/>
        <w:t>Cuadro 2.1. El sistema de producción modular</w:t>
      </w:r>
    </w:p>
    <w:p>
      <w:pPr>
        <w:pStyle w:val="BodyText"/>
        <w:spacing w:before="1"/>
        <w:rPr>
          <w:b/>
          <w:sz w:val="12"/>
        </w:rPr>
      </w:pPr>
    </w:p>
    <w:tbl>
      <w:tblPr>
        <w:tblW w:w="0" w:type="auto"/>
        <w:jc w:val="left"/>
        <w:tblInd w:w="125"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318"/>
        <w:gridCol w:w="3064"/>
        <w:gridCol w:w="3377"/>
      </w:tblGrid>
      <w:tr>
        <w:trPr>
          <w:trHeight w:val="273" w:hRule="exact"/>
        </w:trPr>
        <w:tc>
          <w:tcPr>
            <w:tcW w:w="2318" w:type="dxa"/>
            <w:tcBorders>
              <w:bottom w:val="single" w:sz="11" w:space="0" w:color="000000"/>
            </w:tcBorders>
            <w:shd w:val="clear" w:color="auto" w:fill="939F25"/>
          </w:tcPr>
          <w:p>
            <w:pPr>
              <w:pStyle w:val="TableParagraph"/>
              <w:spacing w:before="41"/>
              <w:ind w:left="479"/>
              <w:jc w:val="left"/>
              <w:rPr>
                <w:b/>
                <w:sz w:val="17"/>
              </w:rPr>
            </w:pPr>
            <w:r>
              <w:rPr>
                <w:b/>
                <w:sz w:val="17"/>
              </w:rPr>
              <w:t>Partes principales</w:t>
            </w:r>
          </w:p>
        </w:tc>
        <w:tc>
          <w:tcPr>
            <w:tcW w:w="3064" w:type="dxa"/>
            <w:tcBorders>
              <w:bottom w:val="single" w:sz="11" w:space="0" w:color="000000"/>
            </w:tcBorders>
            <w:shd w:val="clear" w:color="auto" w:fill="939F25"/>
          </w:tcPr>
          <w:p>
            <w:pPr>
              <w:pStyle w:val="TableParagraph"/>
              <w:spacing w:before="41"/>
              <w:ind w:left="1056" w:right="1051"/>
              <w:rPr>
                <w:b/>
                <w:sz w:val="17"/>
              </w:rPr>
            </w:pPr>
            <w:r>
              <w:rPr>
                <w:b/>
                <w:sz w:val="17"/>
              </w:rPr>
              <w:t>Módulo</w:t>
            </w:r>
          </w:p>
        </w:tc>
        <w:tc>
          <w:tcPr>
            <w:tcW w:w="3377" w:type="dxa"/>
            <w:tcBorders>
              <w:bottom w:val="single" w:sz="11" w:space="0" w:color="000000"/>
            </w:tcBorders>
            <w:shd w:val="clear" w:color="auto" w:fill="939F25"/>
          </w:tcPr>
          <w:p>
            <w:pPr>
              <w:pStyle w:val="TableParagraph"/>
              <w:spacing w:before="41"/>
              <w:ind w:left="1378" w:right="1379"/>
              <w:rPr>
                <w:b/>
                <w:sz w:val="17"/>
              </w:rPr>
            </w:pPr>
            <w:r>
              <w:rPr>
                <w:b/>
                <w:sz w:val="17"/>
              </w:rPr>
              <w:t>Sistema</w:t>
            </w:r>
          </w:p>
        </w:tc>
      </w:tr>
      <w:tr>
        <w:trPr>
          <w:trHeight w:val="220" w:hRule="exact"/>
        </w:trPr>
        <w:tc>
          <w:tcPr>
            <w:tcW w:w="2318" w:type="dxa"/>
            <w:vMerge w:val="restart"/>
            <w:tcBorders>
              <w:top w:val="single" w:sz="11" w:space="0" w:color="000000"/>
            </w:tcBorders>
          </w:tcPr>
          <w:p>
            <w:pPr>
              <w:pStyle w:val="TableParagraph"/>
              <w:jc w:val="left"/>
              <w:rPr>
                <w:b/>
                <w:sz w:val="16"/>
              </w:rPr>
            </w:pPr>
          </w:p>
          <w:p>
            <w:pPr>
              <w:pStyle w:val="TableParagraph"/>
              <w:jc w:val="left"/>
              <w:rPr>
                <w:b/>
                <w:sz w:val="16"/>
              </w:rPr>
            </w:pPr>
          </w:p>
          <w:p>
            <w:pPr>
              <w:pStyle w:val="TableParagraph"/>
              <w:jc w:val="left"/>
              <w:rPr>
                <w:b/>
                <w:sz w:val="16"/>
              </w:rPr>
            </w:pPr>
          </w:p>
          <w:p>
            <w:pPr>
              <w:pStyle w:val="TableParagraph"/>
              <w:jc w:val="left"/>
              <w:rPr>
                <w:b/>
                <w:sz w:val="16"/>
              </w:rPr>
            </w:pPr>
          </w:p>
          <w:p>
            <w:pPr>
              <w:pStyle w:val="TableParagraph"/>
              <w:jc w:val="left"/>
              <w:rPr>
                <w:b/>
                <w:sz w:val="16"/>
              </w:rPr>
            </w:pPr>
          </w:p>
          <w:p>
            <w:pPr>
              <w:pStyle w:val="TableParagraph"/>
              <w:jc w:val="left"/>
              <w:rPr>
                <w:b/>
                <w:sz w:val="16"/>
              </w:rPr>
            </w:pPr>
          </w:p>
          <w:p>
            <w:pPr>
              <w:pStyle w:val="TableParagraph"/>
              <w:spacing w:before="3"/>
              <w:jc w:val="left"/>
              <w:rPr>
                <w:b/>
                <w:sz w:val="15"/>
              </w:rPr>
            </w:pPr>
          </w:p>
          <w:p>
            <w:pPr>
              <w:pStyle w:val="TableParagraph"/>
              <w:spacing w:before="1"/>
              <w:ind w:left="599"/>
              <w:jc w:val="left"/>
              <w:rPr>
                <w:sz w:val="17"/>
              </w:rPr>
            </w:pPr>
            <w:r>
              <w:rPr>
                <w:sz w:val="17"/>
              </w:rPr>
              <w:t>Sistema interior</w:t>
            </w:r>
          </w:p>
        </w:tc>
        <w:tc>
          <w:tcPr>
            <w:tcW w:w="3064" w:type="dxa"/>
            <w:vMerge w:val="restart"/>
            <w:tcBorders>
              <w:top w:val="single" w:sz="11" w:space="0" w:color="000000"/>
            </w:tcBorders>
          </w:tcPr>
          <w:p>
            <w:pPr>
              <w:pStyle w:val="TableParagraph"/>
              <w:jc w:val="left"/>
              <w:rPr>
                <w:b/>
                <w:sz w:val="16"/>
              </w:rPr>
            </w:pPr>
          </w:p>
          <w:p>
            <w:pPr>
              <w:pStyle w:val="TableParagraph"/>
              <w:spacing w:before="1"/>
              <w:jc w:val="left"/>
              <w:rPr>
                <w:b/>
                <w:sz w:val="21"/>
              </w:rPr>
            </w:pPr>
          </w:p>
          <w:p>
            <w:pPr>
              <w:pStyle w:val="TableParagraph"/>
              <w:spacing w:before="1"/>
              <w:ind w:left="1049" w:right="1061"/>
              <w:rPr>
                <w:sz w:val="17"/>
              </w:rPr>
            </w:pPr>
            <w:r>
              <w:rPr>
                <w:sz w:val="17"/>
              </w:rPr>
              <w:t>Asientos</w:t>
            </w:r>
          </w:p>
        </w:tc>
        <w:tc>
          <w:tcPr>
            <w:tcW w:w="3377" w:type="dxa"/>
            <w:tcBorders>
              <w:top w:val="single" w:sz="11" w:space="0" w:color="000000"/>
              <w:right w:val="single" w:sz="11" w:space="0" w:color="000000"/>
            </w:tcBorders>
          </w:tcPr>
          <w:p>
            <w:pPr>
              <w:pStyle w:val="TableParagraph"/>
              <w:spacing w:before="1"/>
              <w:ind w:left="27"/>
              <w:jc w:val="left"/>
              <w:rPr>
                <w:sz w:val="17"/>
              </w:rPr>
            </w:pPr>
            <w:r>
              <w:rPr>
                <w:sz w:val="17"/>
              </w:rPr>
              <w:t>Marco o Armazón</w:t>
            </w:r>
          </w:p>
        </w:tc>
      </w:tr>
      <w:tr>
        <w:trPr>
          <w:trHeight w:val="213" w:hRule="exact"/>
        </w:trPr>
        <w:tc>
          <w:tcPr>
            <w:tcW w:w="2318" w:type="dxa"/>
            <w:vMerge/>
          </w:tcPr>
          <w:p>
            <w:pPr/>
          </w:p>
        </w:tc>
        <w:tc>
          <w:tcPr>
            <w:tcW w:w="3064" w:type="dxa"/>
            <w:vMerge/>
          </w:tcPr>
          <w:p>
            <w:pPr/>
          </w:p>
        </w:tc>
        <w:tc>
          <w:tcPr>
            <w:tcW w:w="3377" w:type="dxa"/>
            <w:tcBorders>
              <w:right w:val="single" w:sz="11" w:space="0" w:color="000000"/>
            </w:tcBorders>
          </w:tcPr>
          <w:p>
            <w:pPr>
              <w:pStyle w:val="TableParagraph"/>
              <w:spacing w:before="1"/>
              <w:ind w:left="27"/>
              <w:jc w:val="left"/>
              <w:rPr>
                <w:sz w:val="17"/>
              </w:rPr>
            </w:pPr>
            <w:r>
              <w:rPr>
                <w:sz w:val="17"/>
              </w:rPr>
              <w:t>Tela</w:t>
            </w:r>
          </w:p>
        </w:tc>
      </w:tr>
      <w:tr>
        <w:trPr>
          <w:trHeight w:val="213" w:hRule="exact"/>
        </w:trPr>
        <w:tc>
          <w:tcPr>
            <w:tcW w:w="2318" w:type="dxa"/>
            <w:vMerge/>
          </w:tcPr>
          <w:p>
            <w:pPr/>
          </w:p>
        </w:tc>
        <w:tc>
          <w:tcPr>
            <w:tcW w:w="3064" w:type="dxa"/>
            <w:vMerge/>
          </w:tcPr>
          <w:p>
            <w:pPr/>
          </w:p>
        </w:tc>
        <w:tc>
          <w:tcPr>
            <w:tcW w:w="3377" w:type="dxa"/>
            <w:tcBorders>
              <w:right w:val="single" w:sz="11" w:space="0" w:color="000000"/>
            </w:tcBorders>
          </w:tcPr>
          <w:p>
            <w:pPr>
              <w:pStyle w:val="TableParagraph"/>
              <w:spacing w:before="1"/>
              <w:ind w:left="27"/>
              <w:jc w:val="left"/>
              <w:rPr>
                <w:sz w:val="17"/>
              </w:rPr>
            </w:pPr>
            <w:r>
              <w:rPr>
                <w:sz w:val="17"/>
              </w:rPr>
              <w:t>Espuma</w:t>
            </w:r>
          </w:p>
        </w:tc>
      </w:tr>
      <w:tr>
        <w:trPr>
          <w:trHeight w:val="213" w:hRule="exact"/>
        </w:trPr>
        <w:tc>
          <w:tcPr>
            <w:tcW w:w="2318" w:type="dxa"/>
            <w:vMerge/>
          </w:tcPr>
          <w:p>
            <w:pPr/>
          </w:p>
        </w:tc>
        <w:tc>
          <w:tcPr>
            <w:tcW w:w="3064" w:type="dxa"/>
            <w:vMerge/>
          </w:tcPr>
          <w:p>
            <w:pPr/>
          </w:p>
        </w:tc>
        <w:tc>
          <w:tcPr>
            <w:tcW w:w="3377" w:type="dxa"/>
            <w:tcBorders>
              <w:bottom w:val="single" w:sz="5" w:space="0" w:color="000000"/>
              <w:right w:val="single" w:sz="11" w:space="0" w:color="000000"/>
            </w:tcBorders>
          </w:tcPr>
          <w:p>
            <w:pPr>
              <w:pStyle w:val="TableParagraph"/>
              <w:spacing w:before="1"/>
              <w:ind w:left="27"/>
              <w:jc w:val="left"/>
              <w:rPr>
                <w:sz w:val="17"/>
              </w:rPr>
            </w:pPr>
            <w:r>
              <w:rPr>
                <w:sz w:val="17"/>
              </w:rPr>
              <w:t>Mecanismos  de ajuste</w:t>
            </w:r>
          </w:p>
        </w:tc>
      </w:tr>
      <w:tr>
        <w:trPr>
          <w:trHeight w:val="213" w:hRule="exact"/>
        </w:trPr>
        <w:tc>
          <w:tcPr>
            <w:tcW w:w="2318" w:type="dxa"/>
            <w:vMerge/>
          </w:tcPr>
          <w:p>
            <w:pPr/>
          </w:p>
        </w:tc>
        <w:tc>
          <w:tcPr>
            <w:tcW w:w="3064" w:type="dxa"/>
            <w:vMerge/>
          </w:tcPr>
          <w:p>
            <w:pPr/>
          </w:p>
        </w:tc>
        <w:tc>
          <w:tcPr>
            <w:tcW w:w="3377" w:type="dxa"/>
            <w:tcBorders>
              <w:top w:val="single" w:sz="5" w:space="0" w:color="000000"/>
              <w:right w:val="single" w:sz="11" w:space="0" w:color="000000"/>
            </w:tcBorders>
          </w:tcPr>
          <w:p>
            <w:pPr>
              <w:pStyle w:val="TableParagraph"/>
              <w:spacing w:before="1"/>
              <w:ind w:left="27"/>
              <w:jc w:val="left"/>
              <w:rPr>
                <w:sz w:val="17"/>
              </w:rPr>
            </w:pPr>
            <w:r>
              <w:rPr>
                <w:sz w:val="17"/>
              </w:rPr>
              <w:t>Fabricación del asiento</w:t>
            </w:r>
          </w:p>
        </w:tc>
      </w:tr>
      <w:tr>
        <w:trPr>
          <w:trHeight w:val="213" w:hRule="exact"/>
        </w:trPr>
        <w:tc>
          <w:tcPr>
            <w:tcW w:w="2318" w:type="dxa"/>
            <w:vMerge/>
          </w:tcPr>
          <w:p>
            <w:pPr/>
          </w:p>
        </w:tc>
        <w:tc>
          <w:tcPr>
            <w:tcW w:w="3064" w:type="dxa"/>
            <w:vMerge w:val="restart"/>
          </w:tcPr>
          <w:p>
            <w:pPr>
              <w:pStyle w:val="TableParagraph"/>
              <w:spacing w:before="7"/>
              <w:jc w:val="left"/>
              <w:rPr>
                <w:b/>
                <w:sz w:val="18"/>
              </w:rPr>
            </w:pPr>
          </w:p>
          <w:p>
            <w:pPr>
              <w:pStyle w:val="TableParagraph"/>
              <w:ind w:left="1049" w:right="1061"/>
              <w:rPr>
                <w:sz w:val="17"/>
              </w:rPr>
            </w:pPr>
            <w:r>
              <w:rPr>
                <w:sz w:val="17"/>
              </w:rPr>
              <w:t>Interiores</w:t>
            </w:r>
          </w:p>
        </w:tc>
        <w:tc>
          <w:tcPr>
            <w:tcW w:w="3377" w:type="dxa"/>
            <w:tcBorders>
              <w:right w:val="single" w:sz="11" w:space="0" w:color="000000"/>
            </w:tcBorders>
          </w:tcPr>
          <w:p>
            <w:pPr>
              <w:pStyle w:val="TableParagraph"/>
              <w:spacing w:before="1"/>
              <w:ind w:left="27"/>
              <w:jc w:val="left"/>
              <w:rPr>
                <w:sz w:val="17"/>
              </w:rPr>
            </w:pPr>
            <w:r>
              <w:rPr>
                <w:sz w:val="17"/>
              </w:rPr>
              <w:t>Techo interior</w:t>
            </w:r>
          </w:p>
        </w:tc>
      </w:tr>
      <w:tr>
        <w:trPr>
          <w:trHeight w:val="213" w:hRule="exact"/>
        </w:trPr>
        <w:tc>
          <w:tcPr>
            <w:tcW w:w="2318" w:type="dxa"/>
            <w:vMerge/>
          </w:tcPr>
          <w:p>
            <w:pPr/>
          </w:p>
        </w:tc>
        <w:tc>
          <w:tcPr>
            <w:tcW w:w="3064" w:type="dxa"/>
            <w:vMerge/>
          </w:tcPr>
          <w:p>
            <w:pPr/>
          </w:p>
        </w:tc>
        <w:tc>
          <w:tcPr>
            <w:tcW w:w="3377" w:type="dxa"/>
            <w:tcBorders>
              <w:right w:val="single" w:sz="11" w:space="0" w:color="000000"/>
            </w:tcBorders>
          </w:tcPr>
          <w:p>
            <w:pPr>
              <w:pStyle w:val="TableParagraph"/>
              <w:spacing w:before="1"/>
              <w:ind w:left="27"/>
              <w:jc w:val="left"/>
              <w:rPr>
                <w:sz w:val="17"/>
              </w:rPr>
            </w:pPr>
            <w:r>
              <w:rPr>
                <w:sz w:val="17"/>
              </w:rPr>
              <w:t>Paneles interiores</w:t>
            </w:r>
          </w:p>
        </w:tc>
      </w:tr>
      <w:tr>
        <w:trPr>
          <w:trHeight w:val="213" w:hRule="exact"/>
        </w:trPr>
        <w:tc>
          <w:tcPr>
            <w:tcW w:w="2318" w:type="dxa"/>
            <w:vMerge/>
          </w:tcPr>
          <w:p>
            <w:pPr/>
          </w:p>
        </w:tc>
        <w:tc>
          <w:tcPr>
            <w:tcW w:w="3064" w:type="dxa"/>
            <w:vMerge/>
          </w:tcPr>
          <w:p>
            <w:pPr/>
          </w:p>
        </w:tc>
        <w:tc>
          <w:tcPr>
            <w:tcW w:w="3377" w:type="dxa"/>
            <w:tcBorders>
              <w:right w:val="single" w:sz="11" w:space="0" w:color="000000"/>
            </w:tcBorders>
          </w:tcPr>
          <w:p>
            <w:pPr>
              <w:pStyle w:val="TableParagraph"/>
              <w:spacing w:before="1"/>
              <w:ind w:left="27"/>
              <w:jc w:val="left"/>
              <w:rPr>
                <w:sz w:val="17"/>
              </w:rPr>
            </w:pPr>
            <w:r>
              <w:rPr>
                <w:sz w:val="17"/>
              </w:rPr>
              <w:t>Terminaciones</w:t>
            </w:r>
          </w:p>
        </w:tc>
      </w:tr>
      <w:tr>
        <w:trPr>
          <w:trHeight w:val="213" w:hRule="exact"/>
        </w:trPr>
        <w:tc>
          <w:tcPr>
            <w:tcW w:w="2318" w:type="dxa"/>
            <w:vMerge/>
          </w:tcPr>
          <w:p>
            <w:pPr/>
          </w:p>
        </w:tc>
        <w:tc>
          <w:tcPr>
            <w:tcW w:w="3064" w:type="dxa"/>
            <w:vMerge w:val="restart"/>
          </w:tcPr>
          <w:p>
            <w:pPr>
              <w:pStyle w:val="TableParagraph"/>
              <w:jc w:val="left"/>
              <w:rPr>
                <w:b/>
                <w:sz w:val="16"/>
              </w:rPr>
            </w:pPr>
          </w:p>
          <w:p>
            <w:pPr>
              <w:pStyle w:val="TableParagraph"/>
              <w:spacing w:before="1"/>
              <w:jc w:val="left"/>
              <w:rPr>
                <w:b/>
                <w:sz w:val="21"/>
              </w:rPr>
            </w:pPr>
          </w:p>
          <w:p>
            <w:pPr>
              <w:pStyle w:val="TableParagraph"/>
              <w:spacing w:before="1"/>
              <w:ind w:left="852"/>
              <w:jc w:val="left"/>
              <w:rPr>
                <w:sz w:val="17"/>
              </w:rPr>
            </w:pPr>
            <w:r>
              <w:rPr>
                <w:sz w:val="17"/>
              </w:rPr>
              <w:t>Módulo conductor</w:t>
            </w:r>
          </w:p>
        </w:tc>
        <w:tc>
          <w:tcPr>
            <w:tcW w:w="3377" w:type="dxa"/>
            <w:tcBorders>
              <w:right w:val="single" w:sz="11" w:space="0" w:color="000000"/>
            </w:tcBorders>
          </w:tcPr>
          <w:p>
            <w:pPr>
              <w:pStyle w:val="TableParagraph"/>
              <w:spacing w:before="1"/>
              <w:ind w:left="27"/>
              <w:jc w:val="left"/>
              <w:rPr>
                <w:sz w:val="17"/>
              </w:rPr>
            </w:pPr>
            <w:r>
              <w:rPr>
                <w:sz w:val="17"/>
              </w:rPr>
              <w:t>Paneles  de instrumentos</w:t>
            </w:r>
          </w:p>
        </w:tc>
      </w:tr>
      <w:tr>
        <w:trPr>
          <w:trHeight w:val="213" w:hRule="exact"/>
        </w:trPr>
        <w:tc>
          <w:tcPr>
            <w:tcW w:w="2318" w:type="dxa"/>
            <w:vMerge/>
          </w:tcPr>
          <w:p>
            <w:pPr/>
          </w:p>
        </w:tc>
        <w:tc>
          <w:tcPr>
            <w:tcW w:w="3064" w:type="dxa"/>
            <w:vMerge/>
          </w:tcPr>
          <w:p>
            <w:pPr/>
          </w:p>
        </w:tc>
        <w:tc>
          <w:tcPr>
            <w:tcW w:w="3377" w:type="dxa"/>
            <w:tcBorders>
              <w:bottom w:val="single" w:sz="5" w:space="0" w:color="000000"/>
              <w:right w:val="single" w:sz="11" w:space="0" w:color="000000"/>
            </w:tcBorders>
          </w:tcPr>
          <w:p>
            <w:pPr>
              <w:pStyle w:val="TableParagraph"/>
              <w:spacing w:before="1"/>
              <w:ind w:left="27"/>
              <w:jc w:val="left"/>
              <w:rPr>
                <w:sz w:val="17"/>
              </w:rPr>
            </w:pPr>
            <w:r>
              <w:rPr>
                <w:sz w:val="17"/>
              </w:rPr>
              <w:t>Medidores</w:t>
            </w:r>
          </w:p>
        </w:tc>
      </w:tr>
      <w:tr>
        <w:trPr>
          <w:trHeight w:val="213" w:hRule="exact"/>
        </w:trPr>
        <w:tc>
          <w:tcPr>
            <w:tcW w:w="2318" w:type="dxa"/>
            <w:vMerge/>
          </w:tcPr>
          <w:p>
            <w:pPr/>
          </w:p>
        </w:tc>
        <w:tc>
          <w:tcPr>
            <w:tcW w:w="3064" w:type="dxa"/>
            <w:vMerge/>
          </w:tcPr>
          <w:p>
            <w:pPr/>
          </w:p>
        </w:tc>
        <w:tc>
          <w:tcPr>
            <w:tcW w:w="3377" w:type="dxa"/>
            <w:tcBorders>
              <w:top w:val="single" w:sz="5" w:space="0" w:color="000000"/>
              <w:right w:val="single" w:sz="11" w:space="0" w:color="000000"/>
            </w:tcBorders>
          </w:tcPr>
          <w:p>
            <w:pPr>
              <w:pStyle w:val="TableParagraph"/>
              <w:spacing w:before="1"/>
              <w:ind w:left="27"/>
              <w:jc w:val="left"/>
              <w:rPr>
                <w:sz w:val="17"/>
              </w:rPr>
            </w:pPr>
            <w:r>
              <w:rPr>
                <w:sz w:val="17"/>
              </w:rPr>
              <w:t>Palanca de cambios</w:t>
            </w:r>
          </w:p>
        </w:tc>
      </w:tr>
      <w:tr>
        <w:trPr>
          <w:trHeight w:val="213" w:hRule="exact"/>
        </w:trPr>
        <w:tc>
          <w:tcPr>
            <w:tcW w:w="2318" w:type="dxa"/>
            <w:vMerge/>
          </w:tcPr>
          <w:p>
            <w:pPr/>
          </w:p>
        </w:tc>
        <w:tc>
          <w:tcPr>
            <w:tcW w:w="3064" w:type="dxa"/>
            <w:vMerge/>
          </w:tcPr>
          <w:p>
            <w:pPr/>
          </w:p>
        </w:tc>
        <w:tc>
          <w:tcPr>
            <w:tcW w:w="3377" w:type="dxa"/>
            <w:tcBorders>
              <w:right w:val="single" w:sz="11" w:space="0" w:color="000000"/>
            </w:tcBorders>
          </w:tcPr>
          <w:p>
            <w:pPr>
              <w:pStyle w:val="TableParagraph"/>
              <w:spacing w:before="1"/>
              <w:ind w:left="27"/>
              <w:jc w:val="left"/>
              <w:rPr>
                <w:sz w:val="17"/>
              </w:rPr>
            </w:pPr>
            <w:r>
              <w:rPr>
                <w:sz w:val="17"/>
              </w:rPr>
              <w:t>Manubrio</w:t>
            </w:r>
          </w:p>
        </w:tc>
      </w:tr>
      <w:tr>
        <w:trPr>
          <w:trHeight w:val="207" w:hRule="exact"/>
        </w:trPr>
        <w:tc>
          <w:tcPr>
            <w:tcW w:w="2318" w:type="dxa"/>
            <w:vMerge/>
            <w:tcBorders>
              <w:bottom w:val="single" w:sz="11" w:space="0" w:color="000000"/>
            </w:tcBorders>
          </w:tcPr>
          <w:p>
            <w:pPr/>
          </w:p>
        </w:tc>
        <w:tc>
          <w:tcPr>
            <w:tcW w:w="3064" w:type="dxa"/>
            <w:vMerge/>
            <w:tcBorders>
              <w:bottom w:val="single" w:sz="11" w:space="0" w:color="000000"/>
            </w:tcBorders>
          </w:tcPr>
          <w:p>
            <w:pPr/>
          </w:p>
        </w:tc>
        <w:tc>
          <w:tcPr>
            <w:tcW w:w="3377" w:type="dxa"/>
            <w:tcBorders>
              <w:bottom w:val="single" w:sz="11" w:space="0" w:color="000000"/>
              <w:right w:val="single" w:sz="11" w:space="0" w:color="000000"/>
            </w:tcBorders>
          </w:tcPr>
          <w:p>
            <w:pPr>
              <w:pStyle w:val="TableParagraph"/>
              <w:spacing w:before="1"/>
              <w:ind w:left="27"/>
              <w:jc w:val="left"/>
              <w:rPr>
                <w:sz w:val="17"/>
              </w:rPr>
            </w:pPr>
            <w:r>
              <w:rPr>
                <w:sz w:val="17"/>
              </w:rPr>
              <w:t>Terminaciones</w:t>
            </w:r>
          </w:p>
        </w:tc>
      </w:tr>
      <w:tr>
        <w:trPr>
          <w:trHeight w:val="220" w:hRule="exact"/>
        </w:trPr>
        <w:tc>
          <w:tcPr>
            <w:tcW w:w="2318" w:type="dxa"/>
            <w:vMerge w:val="restart"/>
            <w:tcBorders>
              <w:top w:val="single" w:sz="11" w:space="0" w:color="000000"/>
            </w:tcBorders>
          </w:tcPr>
          <w:p>
            <w:pPr>
              <w:pStyle w:val="TableParagraph"/>
              <w:jc w:val="left"/>
              <w:rPr>
                <w:b/>
                <w:sz w:val="16"/>
              </w:rPr>
            </w:pPr>
          </w:p>
          <w:p>
            <w:pPr>
              <w:pStyle w:val="TableParagraph"/>
              <w:jc w:val="left"/>
              <w:rPr>
                <w:b/>
                <w:sz w:val="16"/>
              </w:rPr>
            </w:pPr>
          </w:p>
          <w:p>
            <w:pPr>
              <w:pStyle w:val="TableParagraph"/>
              <w:jc w:val="left"/>
              <w:rPr>
                <w:b/>
                <w:sz w:val="16"/>
              </w:rPr>
            </w:pPr>
          </w:p>
          <w:p>
            <w:pPr>
              <w:pStyle w:val="TableParagraph"/>
              <w:jc w:val="left"/>
              <w:rPr>
                <w:b/>
                <w:sz w:val="16"/>
              </w:rPr>
            </w:pPr>
          </w:p>
          <w:p>
            <w:pPr>
              <w:pStyle w:val="TableParagraph"/>
              <w:jc w:val="left"/>
              <w:rPr>
                <w:b/>
                <w:sz w:val="16"/>
              </w:rPr>
            </w:pPr>
          </w:p>
          <w:p>
            <w:pPr>
              <w:pStyle w:val="TableParagraph"/>
              <w:spacing w:before="9"/>
              <w:jc w:val="left"/>
              <w:rPr>
                <w:b/>
                <w:sz w:val="12"/>
              </w:rPr>
            </w:pPr>
          </w:p>
          <w:p>
            <w:pPr>
              <w:pStyle w:val="TableParagraph"/>
              <w:ind w:left="79"/>
              <w:jc w:val="left"/>
              <w:rPr>
                <w:sz w:val="17"/>
              </w:rPr>
            </w:pPr>
            <w:r>
              <w:rPr>
                <w:sz w:val="17"/>
              </w:rPr>
              <w:t>Sistema eléctrico y electrónico</w:t>
            </w:r>
          </w:p>
        </w:tc>
        <w:tc>
          <w:tcPr>
            <w:tcW w:w="3064" w:type="dxa"/>
            <w:vMerge w:val="restart"/>
            <w:tcBorders>
              <w:top w:val="single" w:sz="11" w:space="0" w:color="000000"/>
            </w:tcBorders>
          </w:tcPr>
          <w:p>
            <w:pPr>
              <w:pStyle w:val="TableParagraph"/>
              <w:spacing w:before="7"/>
              <w:jc w:val="left"/>
              <w:rPr>
                <w:b/>
                <w:sz w:val="18"/>
              </w:rPr>
            </w:pPr>
          </w:p>
          <w:p>
            <w:pPr>
              <w:pStyle w:val="TableParagraph"/>
              <w:ind w:left="1055" w:right="1061"/>
              <w:rPr>
                <w:sz w:val="17"/>
              </w:rPr>
            </w:pPr>
            <w:r>
              <w:rPr>
                <w:sz w:val="17"/>
              </w:rPr>
              <w:t>Encendido</w:t>
            </w:r>
          </w:p>
        </w:tc>
        <w:tc>
          <w:tcPr>
            <w:tcW w:w="3377" w:type="dxa"/>
            <w:tcBorders>
              <w:top w:val="single" w:sz="11" w:space="0" w:color="000000"/>
              <w:right w:val="single" w:sz="11" w:space="0" w:color="000000"/>
            </w:tcBorders>
          </w:tcPr>
          <w:p>
            <w:pPr>
              <w:pStyle w:val="TableParagraph"/>
              <w:spacing w:before="1"/>
              <w:ind w:left="27"/>
              <w:jc w:val="left"/>
              <w:rPr>
                <w:sz w:val="17"/>
              </w:rPr>
            </w:pPr>
            <w:r>
              <w:rPr>
                <w:sz w:val="17"/>
              </w:rPr>
              <w:t>Sensores  de control del motor</w:t>
            </w:r>
          </w:p>
        </w:tc>
      </w:tr>
      <w:tr>
        <w:trPr>
          <w:trHeight w:val="213" w:hRule="exact"/>
        </w:trPr>
        <w:tc>
          <w:tcPr>
            <w:tcW w:w="2318" w:type="dxa"/>
            <w:vMerge/>
          </w:tcPr>
          <w:p>
            <w:pPr/>
          </w:p>
        </w:tc>
        <w:tc>
          <w:tcPr>
            <w:tcW w:w="3064" w:type="dxa"/>
            <w:vMerge/>
          </w:tcPr>
          <w:p>
            <w:pPr/>
          </w:p>
        </w:tc>
        <w:tc>
          <w:tcPr>
            <w:tcW w:w="3377" w:type="dxa"/>
            <w:tcBorders>
              <w:right w:val="single" w:sz="11" w:space="0" w:color="000000"/>
            </w:tcBorders>
          </w:tcPr>
          <w:p>
            <w:pPr>
              <w:pStyle w:val="TableParagraph"/>
              <w:spacing w:before="1"/>
              <w:ind w:left="27"/>
              <w:jc w:val="left"/>
              <w:rPr>
                <w:sz w:val="17"/>
              </w:rPr>
            </w:pPr>
            <w:r>
              <w:rPr>
                <w:sz w:val="17"/>
              </w:rPr>
              <w:t>Cables, bujías, distribuidor</w:t>
            </w:r>
          </w:p>
        </w:tc>
      </w:tr>
      <w:tr>
        <w:trPr>
          <w:trHeight w:val="213" w:hRule="exact"/>
        </w:trPr>
        <w:tc>
          <w:tcPr>
            <w:tcW w:w="2318" w:type="dxa"/>
            <w:vMerge/>
          </w:tcPr>
          <w:p>
            <w:pPr/>
          </w:p>
        </w:tc>
        <w:tc>
          <w:tcPr>
            <w:tcW w:w="3064" w:type="dxa"/>
            <w:vMerge/>
            <w:tcBorders>
              <w:bottom w:val="single" w:sz="5" w:space="0" w:color="000000"/>
            </w:tcBorders>
          </w:tcPr>
          <w:p>
            <w:pPr/>
          </w:p>
        </w:tc>
        <w:tc>
          <w:tcPr>
            <w:tcW w:w="3377" w:type="dxa"/>
            <w:tcBorders>
              <w:bottom w:val="single" w:sz="5" w:space="0" w:color="000000"/>
              <w:right w:val="single" w:sz="11" w:space="0" w:color="000000"/>
            </w:tcBorders>
          </w:tcPr>
          <w:p>
            <w:pPr>
              <w:pStyle w:val="TableParagraph"/>
              <w:spacing w:before="1"/>
              <w:ind w:left="27"/>
              <w:jc w:val="left"/>
              <w:rPr>
                <w:sz w:val="17"/>
              </w:rPr>
            </w:pPr>
            <w:r>
              <w:rPr>
                <w:sz w:val="17"/>
              </w:rPr>
              <w:t>Alternador</w:t>
            </w:r>
          </w:p>
        </w:tc>
      </w:tr>
      <w:tr>
        <w:trPr>
          <w:trHeight w:val="213" w:hRule="exact"/>
        </w:trPr>
        <w:tc>
          <w:tcPr>
            <w:tcW w:w="2318" w:type="dxa"/>
            <w:vMerge/>
          </w:tcPr>
          <w:p>
            <w:pPr/>
          </w:p>
        </w:tc>
        <w:tc>
          <w:tcPr>
            <w:tcW w:w="3064" w:type="dxa"/>
            <w:vMerge w:val="restart"/>
            <w:tcBorders>
              <w:top w:val="single" w:sz="5" w:space="0" w:color="000000"/>
            </w:tcBorders>
          </w:tcPr>
          <w:p>
            <w:pPr>
              <w:pStyle w:val="TableParagraph"/>
              <w:spacing w:before="7"/>
              <w:jc w:val="left"/>
              <w:rPr>
                <w:b/>
                <w:sz w:val="18"/>
              </w:rPr>
            </w:pPr>
          </w:p>
          <w:p>
            <w:pPr>
              <w:pStyle w:val="TableParagraph"/>
              <w:ind w:left="772"/>
              <w:jc w:val="left"/>
              <w:rPr>
                <w:sz w:val="17"/>
              </w:rPr>
            </w:pPr>
            <w:r>
              <w:rPr>
                <w:sz w:val="17"/>
              </w:rPr>
              <w:t>Electrónica de chasis</w:t>
            </w:r>
          </w:p>
        </w:tc>
        <w:tc>
          <w:tcPr>
            <w:tcW w:w="3377" w:type="dxa"/>
            <w:tcBorders>
              <w:top w:val="single" w:sz="5" w:space="0" w:color="000000"/>
              <w:right w:val="single" w:sz="11" w:space="0" w:color="000000"/>
            </w:tcBorders>
          </w:tcPr>
          <w:p>
            <w:pPr>
              <w:pStyle w:val="TableParagraph"/>
              <w:spacing w:before="1"/>
              <w:ind w:left="27"/>
              <w:jc w:val="left"/>
              <w:rPr>
                <w:sz w:val="17"/>
              </w:rPr>
            </w:pPr>
            <w:r>
              <w:rPr>
                <w:sz w:val="17"/>
              </w:rPr>
              <w:t>Mecanismos  de suspensión y transmisión</w:t>
            </w:r>
          </w:p>
        </w:tc>
      </w:tr>
      <w:tr>
        <w:trPr>
          <w:trHeight w:val="213" w:hRule="exact"/>
        </w:trPr>
        <w:tc>
          <w:tcPr>
            <w:tcW w:w="2318" w:type="dxa"/>
            <w:vMerge/>
          </w:tcPr>
          <w:p>
            <w:pPr/>
          </w:p>
        </w:tc>
        <w:tc>
          <w:tcPr>
            <w:tcW w:w="3064" w:type="dxa"/>
            <w:vMerge/>
          </w:tcPr>
          <w:p>
            <w:pPr/>
          </w:p>
        </w:tc>
        <w:tc>
          <w:tcPr>
            <w:tcW w:w="3377" w:type="dxa"/>
            <w:tcBorders>
              <w:right w:val="single" w:sz="11" w:space="0" w:color="000000"/>
            </w:tcBorders>
          </w:tcPr>
          <w:p>
            <w:pPr>
              <w:pStyle w:val="TableParagraph"/>
              <w:spacing w:before="1"/>
              <w:ind w:left="27"/>
              <w:jc w:val="left"/>
              <w:rPr>
                <w:sz w:val="17"/>
              </w:rPr>
            </w:pPr>
            <w:r>
              <w:rPr>
                <w:sz w:val="17"/>
              </w:rPr>
              <w:t>Arnés  de cables</w:t>
            </w:r>
          </w:p>
        </w:tc>
      </w:tr>
      <w:tr>
        <w:trPr>
          <w:trHeight w:val="213" w:hRule="exact"/>
        </w:trPr>
        <w:tc>
          <w:tcPr>
            <w:tcW w:w="2318" w:type="dxa"/>
            <w:vMerge/>
          </w:tcPr>
          <w:p>
            <w:pPr/>
          </w:p>
        </w:tc>
        <w:tc>
          <w:tcPr>
            <w:tcW w:w="3064" w:type="dxa"/>
            <w:vMerge/>
          </w:tcPr>
          <w:p>
            <w:pPr/>
          </w:p>
        </w:tc>
        <w:tc>
          <w:tcPr>
            <w:tcW w:w="3377" w:type="dxa"/>
            <w:tcBorders>
              <w:right w:val="single" w:sz="11" w:space="0" w:color="000000"/>
            </w:tcBorders>
          </w:tcPr>
          <w:p>
            <w:pPr>
              <w:pStyle w:val="TableParagraph"/>
              <w:spacing w:before="1"/>
              <w:ind w:left="27"/>
              <w:jc w:val="left"/>
              <w:rPr>
                <w:sz w:val="17"/>
              </w:rPr>
            </w:pPr>
            <w:r>
              <w:rPr>
                <w:sz w:val="17"/>
              </w:rPr>
              <w:t>Antibloqueo de frenos</w:t>
            </w:r>
          </w:p>
        </w:tc>
      </w:tr>
      <w:tr>
        <w:trPr>
          <w:trHeight w:val="213" w:hRule="exact"/>
        </w:trPr>
        <w:tc>
          <w:tcPr>
            <w:tcW w:w="2318" w:type="dxa"/>
            <w:vMerge/>
          </w:tcPr>
          <w:p>
            <w:pPr/>
          </w:p>
        </w:tc>
        <w:tc>
          <w:tcPr>
            <w:tcW w:w="3064" w:type="dxa"/>
            <w:vMerge w:val="restart"/>
          </w:tcPr>
          <w:p>
            <w:pPr>
              <w:pStyle w:val="TableParagraph"/>
              <w:jc w:val="left"/>
              <w:rPr>
                <w:b/>
                <w:sz w:val="16"/>
              </w:rPr>
            </w:pPr>
          </w:p>
          <w:p>
            <w:pPr>
              <w:pStyle w:val="TableParagraph"/>
              <w:spacing w:before="1"/>
              <w:jc w:val="left"/>
              <w:rPr>
                <w:b/>
                <w:sz w:val="21"/>
              </w:rPr>
            </w:pPr>
          </w:p>
          <w:p>
            <w:pPr>
              <w:pStyle w:val="TableParagraph"/>
              <w:spacing w:before="1"/>
              <w:ind w:left="732"/>
              <w:jc w:val="left"/>
              <w:rPr>
                <w:sz w:val="17"/>
              </w:rPr>
            </w:pPr>
            <w:r>
              <w:rPr>
                <w:sz w:val="17"/>
              </w:rPr>
              <w:t>Electrónica del interior</w:t>
            </w:r>
          </w:p>
        </w:tc>
        <w:tc>
          <w:tcPr>
            <w:tcW w:w="3377" w:type="dxa"/>
            <w:tcBorders>
              <w:right w:val="single" w:sz="11" w:space="0" w:color="000000"/>
            </w:tcBorders>
          </w:tcPr>
          <w:p>
            <w:pPr>
              <w:pStyle w:val="TableParagraph"/>
              <w:spacing w:before="1"/>
              <w:ind w:left="27"/>
              <w:jc w:val="left"/>
              <w:rPr>
                <w:sz w:val="17"/>
              </w:rPr>
            </w:pPr>
            <w:r>
              <w:rPr>
                <w:sz w:val="17"/>
              </w:rPr>
              <w:t>Sonido</w:t>
            </w:r>
          </w:p>
        </w:tc>
      </w:tr>
      <w:tr>
        <w:trPr>
          <w:trHeight w:val="213" w:hRule="exact"/>
        </w:trPr>
        <w:tc>
          <w:tcPr>
            <w:tcW w:w="2318" w:type="dxa"/>
            <w:vMerge/>
          </w:tcPr>
          <w:p>
            <w:pPr/>
          </w:p>
        </w:tc>
        <w:tc>
          <w:tcPr>
            <w:tcW w:w="3064" w:type="dxa"/>
            <w:vMerge/>
          </w:tcPr>
          <w:p>
            <w:pPr/>
          </w:p>
        </w:tc>
        <w:tc>
          <w:tcPr>
            <w:tcW w:w="3377" w:type="dxa"/>
            <w:tcBorders>
              <w:right w:val="single" w:sz="11" w:space="0" w:color="000000"/>
            </w:tcBorders>
          </w:tcPr>
          <w:p>
            <w:pPr>
              <w:pStyle w:val="TableParagraph"/>
              <w:spacing w:before="1"/>
              <w:ind w:left="27"/>
              <w:jc w:val="left"/>
              <w:rPr>
                <w:sz w:val="17"/>
              </w:rPr>
            </w:pPr>
            <w:r>
              <w:rPr>
                <w:sz w:val="17"/>
              </w:rPr>
              <w:t>Luces</w:t>
            </w:r>
          </w:p>
        </w:tc>
      </w:tr>
      <w:tr>
        <w:trPr>
          <w:trHeight w:val="213" w:hRule="exact"/>
        </w:trPr>
        <w:tc>
          <w:tcPr>
            <w:tcW w:w="2318" w:type="dxa"/>
            <w:vMerge/>
          </w:tcPr>
          <w:p>
            <w:pPr/>
          </w:p>
        </w:tc>
        <w:tc>
          <w:tcPr>
            <w:tcW w:w="3064" w:type="dxa"/>
            <w:vMerge/>
          </w:tcPr>
          <w:p>
            <w:pPr/>
          </w:p>
        </w:tc>
        <w:tc>
          <w:tcPr>
            <w:tcW w:w="3377" w:type="dxa"/>
            <w:tcBorders>
              <w:bottom w:val="single" w:sz="5" w:space="0" w:color="000000"/>
              <w:right w:val="single" w:sz="11" w:space="0" w:color="000000"/>
            </w:tcBorders>
          </w:tcPr>
          <w:p>
            <w:pPr>
              <w:pStyle w:val="TableParagraph"/>
              <w:spacing w:before="1"/>
              <w:ind w:left="27"/>
              <w:jc w:val="left"/>
              <w:rPr>
                <w:sz w:val="17"/>
              </w:rPr>
            </w:pPr>
            <w:r>
              <w:rPr>
                <w:sz w:val="17"/>
              </w:rPr>
              <w:t>Aire  acondicionado</w:t>
            </w:r>
          </w:p>
        </w:tc>
      </w:tr>
      <w:tr>
        <w:trPr>
          <w:trHeight w:val="213" w:hRule="exact"/>
        </w:trPr>
        <w:tc>
          <w:tcPr>
            <w:tcW w:w="2318" w:type="dxa"/>
            <w:vMerge/>
          </w:tcPr>
          <w:p>
            <w:pPr/>
          </w:p>
        </w:tc>
        <w:tc>
          <w:tcPr>
            <w:tcW w:w="3064" w:type="dxa"/>
            <w:vMerge/>
          </w:tcPr>
          <w:p>
            <w:pPr/>
          </w:p>
        </w:tc>
        <w:tc>
          <w:tcPr>
            <w:tcW w:w="3377" w:type="dxa"/>
            <w:tcBorders>
              <w:top w:val="single" w:sz="5" w:space="0" w:color="000000"/>
              <w:right w:val="single" w:sz="11" w:space="0" w:color="000000"/>
            </w:tcBorders>
          </w:tcPr>
          <w:p>
            <w:pPr>
              <w:pStyle w:val="TableParagraph"/>
              <w:spacing w:before="1"/>
              <w:ind w:left="27"/>
              <w:jc w:val="left"/>
              <w:rPr>
                <w:sz w:val="17"/>
              </w:rPr>
            </w:pPr>
            <w:r>
              <w:rPr>
                <w:sz w:val="17"/>
              </w:rPr>
              <w:t>Navegación</w:t>
            </w:r>
          </w:p>
        </w:tc>
      </w:tr>
      <w:tr>
        <w:trPr>
          <w:trHeight w:val="207" w:hRule="exact"/>
        </w:trPr>
        <w:tc>
          <w:tcPr>
            <w:tcW w:w="2318" w:type="dxa"/>
            <w:vMerge/>
            <w:tcBorders>
              <w:bottom w:val="single" w:sz="11" w:space="0" w:color="000000"/>
            </w:tcBorders>
          </w:tcPr>
          <w:p>
            <w:pPr/>
          </w:p>
        </w:tc>
        <w:tc>
          <w:tcPr>
            <w:tcW w:w="3064" w:type="dxa"/>
            <w:vMerge/>
            <w:tcBorders>
              <w:bottom w:val="single" w:sz="11" w:space="0" w:color="000000"/>
            </w:tcBorders>
          </w:tcPr>
          <w:p>
            <w:pPr/>
          </w:p>
        </w:tc>
        <w:tc>
          <w:tcPr>
            <w:tcW w:w="3377" w:type="dxa"/>
            <w:tcBorders>
              <w:bottom w:val="single" w:sz="11" w:space="0" w:color="000000"/>
              <w:right w:val="single" w:sz="11" w:space="0" w:color="000000"/>
            </w:tcBorders>
          </w:tcPr>
          <w:p>
            <w:pPr>
              <w:pStyle w:val="TableParagraph"/>
              <w:spacing w:before="1"/>
              <w:ind w:left="27"/>
              <w:jc w:val="left"/>
              <w:rPr>
                <w:sz w:val="17"/>
              </w:rPr>
            </w:pPr>
            <w:r>
              <w:rPr>
                <w:sz w:val="17"/>
              </w:rPr>
              <w:t>Bolsa de aire</w:t>
            </w:r>
          </w:p>
        </w:tc>
      </w:tr>
      <w:tr>
        <w:trPr>
          <w:trHeight w:val="220" w:hRule="exact"/>
        </w:trPr>
        <w:tc>
          <w:tcPr>
            <w:tcW w:w="2318" w:type="dxa"/>
            <w:vMerge w:val="restart"/>
            <w:tcBorders>
              <w:top w:val="single" w:sz="11" w:space="0" w:color="000000"/>
            </w:tcBorders>
          </w:tcPr>
          <w:p>
            <w:pPr>
              <w:pStyle w:val="TableParagraph"/>
              <w:jc w:val="left"/>
              <w:rPr>
                <w:b/>
                <w:sz w:val="16"/>
              </w:rPr>
            </w:pPr>
          </w:p>
          <w:p>
            <w:pPr>
              <w:pStyle w:val="TableParagraph"/>
              <w:jc w:val="left"/>
              <w:rPr>
                <w:b/>
                <w:sz w:val="16"/>
              </w:rPr>
            </w:pPr>
          </w:p>
          <w:p>
            <w:pPr>
              <w:pStyle w:val="TableParagraph"/>
              <w:jc w:val="left"/>
              <w:rPr>
                <w:b/>
                <w:sz w:val="16"/>
              </w:rPr>
            </w:pPr>
          </w:p>
          <w:p>
            <w:pPr>
              <w:pStyle w:val="TableParagraph"/>
              <w:jc w:val="left"/>
              <w:rPr>
                <w:b/>
                <w:sz w:val="16"/>
              </w:rPr>
            </w:pPr>
          </w:p>
          <w:p>
            <w:pPr>
              <w:pStyle w:val="TableParagraph"/>
              <w:spacing w:before="6"/>
              <w:jc w:val="left"/>
              <w:rPr>
                <w:b/>
                <w:sz w:val="19"/>
              </w:rPr>
            </w:pPr>
          </w:p>
          <w:p>
            <w:pPr>
              <w:pStyle w:val="TableParagraph"/>
              <w:ind w:left="572"/>
              <w:jc w:val="left"/>
              <w:rPr>
                <w:sz w:val="17"/>
              </w:rPr>
            </w:pPr>
            <w:r>
              <w:rPr>
                <w:sz w:val="17"/>
              </w:rPr>
              <w:t>Sistemas Chasis</w:t>
            </w:r>
          </w:p>
        </w:tc>
        <w:tc>
          <w:tcPr>
            <w:tcW w:w="3064" w:type="dxa"/>
            <w:vMerge w:val="restart"/>
            <w:tcBorders>
              <w:top w:val="single" w:sz="11" w:space="0" w:color="000000"/>
            </w:tcBorders>
          </w:tcPr>
          <w:p>
            <w:pPr>
              <w:pStyle w:val="TableParagraph"/>
              <w:spacing w:before="7"/>
              <w:jc w:val="left"/>
              <w:rPr>
                <w:b/>
                <w:sz w:val="18"/>
              </w:rPr>
            </w:pPr>
          </w:p>
          <w:p>
            <w:pPr>
              <w:pStyle w:val="TableParagraph"/>
              <w:ind w:left="1056" w:right="1054"/>
              <w:rPr>
                <w:sz w:val="17"/>
              </w:rPr>
            </w:pPr>
            <w:r>
              <w:rPr>
                <w:sz w:val="17"/>
              </w:rPr>
              <w:t>Tren motor</w:t>
            </w:r>
          </w:p>
        </w:tc>
        <w:tc>
          <w:tcPr>
            <w:tcW w:w="3377" w:type="dxa"/>
            <w:tcBorders>
              <w:top w:val="single" w:sz="11" w:space="0" w:color="000000"/>
              <w:right w:val="single" w:sz="11" w:space="0" w:color="000000"/>
            </w:tcBorders>
          </w:tcPr>
          <w:p>
            <w:pPr>
              <w:pStyle w:val="TableParagraph"/>
              <w:spacing w:before="1"/>
              <w:ind w:left="27"/>
              <w:jc w:val="left"/>
              <w:rPr>
                <w:sz w:val="17"/>
              </w:rPr>
            </w:pPr>
            <w:r>
              <w:rPr>
                <w:sz w:val="17"/>
              </w:rPr>
              <w:t>Motor</w:t>
            </w:r>
          </w:p>
        </w:tc>
      </w:tr>
      <w:tr>
        <w:trPr>
          <w:trHeight w:val="213" w:hRule="exact"/>
        </w:trPr>
        <w:tc>
          <w:tcPr>
            <w:tcW w:w="2318" w:type="dxa"/>
            <w:vMerge/>
          </w:tcPr>
          <w:p>
            <w:pPr/>
          </w:p>
        </w:tc>
        <w:tc>
          <w:tcPr>
            <w:tcW w:w="3064" w:type="dxa"/>
            <w:vMerge/>
          </w:tcPr>
          <w:p>
            <w:pPr/>
          </w:p>
        </w:tc>
        <w:tc>
          <w:tcPr>
            <w:tcW w:w="3377" w:type="dxa"/>
            <w:tcBorders>
              <w:right w:val="single" w:sz="11" w:space="0" w:color="000000"/>
            </w:tcBorders>
          </w:tcPr>
          <w:p>
            <w:pPr>
              <w:pStyle w:val="TableParagraph"/>
              <w:spacing w:before="1"/>
              <w:ind w:left="27"/>
              <w:jc w:val="left"/>
              <w:rPr>
                <w:sz w:val="17"/>
              </w:rPr>
            </w:pPr>
            <w:r>
              <w:rPr>
                <w:sz w:val="17"/>
              </w:rPr>
              <w:t>Ejes</w:t>
            </w:r>
          </w:p>
        </w:tc>
      </w:tr>
      <w:tr>
        <w:trPr>
          <w:trHeight w:val="213" w:hRule="exact"/>
        </w:trPr>
        <w:tc>
          <w:tcPr>
            <w:tcW w:w="2318" w:type="dxa"/>
            <w:vMerge/>
          </w:tcPr>
          <w:p>
            <w:pPr/>
          </w:p>
        </w:tc>
        <w:tc>
          <w:tcPr>
            <w:tcW w:w="3064" w:type="dxa"/>
            <w:vMerge/>
          </w:tcPr>
          <w:p>
            <w:pPr/>
          </w:p>
        </w:tc>
        <w:tc>
          <w:tcPr>
            <w:tcW w:w="3377" w:type="dxa"/>
            <w:tcBorders>
              <w:right w:val="single" w:sz="11" w:space="0" w:color="000000"/>
            </w:tcBorders>
          </w:tcPr>
          <w:p>
            <w:pPr>
              <w:pStyle w:val="TableParagraph"/>
              <w:spacing w:before="1"/>
              <w:ind w:left="27"/>
              <w:jc w:val="left"/>
              <w:rPr>
                <w:sz w:val="17"/>
              </w:rPr>
            </w:pPr>
            <w:r>
              <w:rPr>
                <w:sz w:val="17"/>
              </w:rPr>
              <w:t>Transmición</w:t>
            </w:r>
          </w:p>
        </w:tc>
      </w:tr>
      <w:tr>
        <w:trPr>
          <w:trHeight w:val="213" w:hRule="exact"/>
        </w:trPr>
        <w:tc>
          <w:tcPr>
            <w:tcW w:w="2318" w:type="dxa"/>
            <w:vMerge/>
          </w:tcPr>
          <w:p>
            <w:pPr/>
          </w:p>
        </w:tc>
        <w:tc>
          <w:tcPr>
            <w:tcW w:w="3064" w:type="dxa"/>
            <w:vMerge w:val="restart"/>
          </w:tcPr>
          <w:p>
            <w:pPr>
              <w:pStyle w:val="TableParagraph"/>
              <w:jc w:val="left"/>
              <w:rPr>
                <w:b/>
                <w:sz w:val="16"/>
              </w:rPr>
            </w:pPr>
          </w:p>
          <w:p>
            <w:pPr>
              <w:pStyle w:val="TableParagraph"/>
              <w:spacing w:before="137"/>
              <w:ind w:left="1056" w:right="1061"/>
              <w:rPr>
                <w:sz w:val="17"/>
              </w:rPr>
            </w:pPr>
            <w:r>
              <w:rPr>
                <w:sz w:val="17"/>
              </w:rPr>
              <w:t>Chasis móvil</w:t>
            </w:r>
          </w:p>
        </w:tc>
        <w:tc>
          <w:tcPr>
            <w:tcW w:w="3377" w:type="dxa"/>
            <w:tcBorders>
              <w:bottom w:val="single" w:sz="5" w:space="0" w:color="000000"/>
              <w:right w:val="single" w:sz="11" w:space="0" w:color="000000"/>
            </w:tcBorders>
          </w:tcPr>
          <w:p>
            <w:pPr>
              <w:pStyle w:val="TableParagraph"/>
              <w:spacing w:before="1"/>
              <w:ind w:left="27"/>
              <w:jc w:val="left"/>
              <w:rPr>
                <w:sz w:val="17"/>
              </w:rPr>
            </w:pPr>
            <w:r>
              <w:rPr>
                <w:sz w:val="17"/>
              </w:rPr>
              <w:t>Suspensión</w:t>
            </w:r>
          </w:p>
        </w:tc>
      </w:tr>
      <w:tr>
        <w:trPr>
          <w:trHeight w:val="213" w:hRule="exact"/>
        </w:trPr>
        <w:tc>
          <w:tcPr>
            <w:tcW w:w="2318" w:type="dxa"/>
            <w:vMerge/>
          </w:tcPr>
          <w:p>
            <w:pPr/>
          </w:p>
        </w:tc>
        <w:tc>
          <w:tcPr>
            <w:tcW w:w="3064" w:type="dxa"/>
            <w:vMerge/>
          </w:tcPr>
          <w:p>
            <w:pPr/>
          </w:p>
        </w:tc>
        <w:tc>
          <w:tcPr>
            <w:tcW w:w="3377" w:type="dxa"/>
            <w:tcBorders>
              <w:top w:val="single" w:sz="5" w:space="0" w:color="000000"/>
              <w:right w:val="single" w:sz="11" w:space="0" w:color="000000"/>
            </w:tcBorders>
          </w:tcPr>
          <w:p>
            <w:pPr>
              <w:pStyle w:val="TableParagraph"/>
              <w:spacing w:before="1"/>
              <w:ind w:left="27"/>
              <w:jc w:val="left"/>
              <w:rPr>
                <w:sz w:val="17"/>
              </w:rPr>
            </w:pPr>
            <w:r>
              <w:rPr>
                <w:sz w:val="17"/>
              </w:rPr>
              <w:t>Frenos</w:t>
            </w:r>
          </w:p>
        </w:tc>
      </w:tr>
      <w:tr>
        <w:trPr>
          <w:trHeight w:val="213" w:hRule="exact"/>
        </w:trPr>
        <w:tc>
          <w:tcPr>
            <w:tcW w:w="2318" w:type="dxa"/>
            <w:vMerge/>
          </w:tcPr>
          <w:p>
            <w:pPr/>
          </w:p>
        </w:tc>
        <w:tc>
          <w:tcPr>
            <w:tcW w:w="3064" w:type="dxa"/>
            <w:vMerge/>
          </w:tcPr>
          <w:p>
            <w:pPr/>
          </w:p>
        </w:tc>
        <w:tc>
          <w:tcPr>
            <w:tcW w:w="3377" w:type="dxa"/>
            <w:tcBorders>
              <w:right w:val="single" w:sz="11" w:space="0" w:color="000000"/>
            </w:tcBorders>
          </w:tcPr>
          <w:p>
            <w:pPr>
              <w:pStyle w:val="TableParagraph"/>
              <w:spacing w:before="1"/>
              <w:ind w:left="27"/>
              <w:jc w:val="left"/>
              <w:rPr>
                <w:sz w:val="17"/>
              </w:rPr>
            </w:pPr>
            <w:r>
              <w:rPr>
                <w:sz w:val="17"/>
              </w:rPr>
              <w:t>Ruedas  y neumáticos</w:t>
            </w:r>
          </w:p>
        </w:tc>
      </w:tr>
      <w:tr>
        <w:trPr>
          <w:trHeight w:val="213" w:hRule="exact"/>
        </w:trPr>
        <w:tc>
          <w:tcPr>
            <w:tcW w:w="2318" w:type="dxa"/>
            <w:vMerge/>
          </w:tcPr>
          <w:p>
            <w:pPr/>
          </w:p>
        </w:tc>
        <w:tc>
          <w:tcPr>
            <w:tcW w:w="3064" w:type="dxa"/>
            <w:vMerge/>
          </w:tcPr>
          <w:p>
            <w:pPr/>
          </w:p>
        </w:tc>
        <w:tc>
          <w:tcPr>
            <w:tcW w:w="3377" w:type="dxa"/>
            <w:tcBorders>
              <w:right w:val="single" w:sz="11" w:space="0" w:color="000000"/>
            </w:tcBorders>
          </w:tcPr>
          <w:p>
            <w:pPr>
              <w:pStyle w:val="TableParagraph"/>
              <w:spacing w:before="1"/>
              <w:ind w:left="27"/>
              <w:jc w:val="left"/>
              <w:rPr>
                <w:sz w:val="17"/>
              </w:rPr>
            </w:pPr>
            <w:r>
              <w:rPr>
                <w:sz w:val="17"/>
              </w:rPr>
              <w:t>Amortiguadores</w:t>
            </w:r>
          </w:p>
        </w:tc>
      </w:tr>
      <w:tr>
        <w:trPr>
          <w:trHeight w:val="213" w:hRule="exact"/>
        </w:trPr>
        <w:tc>
          <w:tcPr>
            <w:tcW w:w="2318" w:type="dxa"/>
            <w:vMerge/>
          </w:tcPr>
          <w:p>
            <w:pPr/>
          </w:p>
        </w:tc>
        <w:tc>
          <w:tcPr>
            <w:tcW w:w="3064" w:type="dxa"/>
            <w:vMerge w:val="restart"/>
          </w:tcPr>
          <w:p>
            <w:pPr>
              <w:pStyle w:val="TableParagraph"/>
              <w:spacing w:before="7"/>
              <w:jc w:val="left"/>
              <w:rPr>
                <w:b/>
                <w:sz w:val="18"/>
              </w:rPr>
            </w:pPr>
          </w:p>
          <w:p>
            <w:pPr>
              <w:pStyle w:val="TableParagraph"/>
              <w:ind w:left="146"/>
              <w:jc w:val="left"/>
              <w:rPr>
                <w:sz w:val="17"/>
              </w:rPr>
            </w:pPr>
            <w:r>
              <w:rPr>
                <w:sz w:val="17"/>
              </w:rPr>
              <w:t>Módulos  "esquina"  delantera y trasera</w:t>
            </w:r>
          </w:p>
        </w:tc>
        <w:tc>
          <w:tcPr>
            <w:tcW w:w="3377" w:type="dxa"/>
            <w:tcBorders>
              <w:right w:val="single" w:sz="11" w:space="0" w:color="000000"/>
            </w:tcBorders>
          </w:tcPr>
          <w:p>
            <w:pPr>
              <w:pStyle w:val="TableParagraph"/>
              <w:spacing w:before="1"/>
              <w:ind w:left="27"/>
              <w:jc w:val="left"/>
              <w:rPr>
                <w:sz w:val="17"/>
              </w:rPr>
            </w:pPr>
            <w:r>
              <w:rPr>
                <w:sz w:val="17"/>
              </w:rPr>
              <w:t>Terminaciones</w:t>
            </w:r>
          </w:p>
        </w:tc>
      </w:tr>
      <w:tr>
        <w:trPr>
          <w:trHeight w:val="213" w:hRule="exact"/>
        </w:trPr>
        <w:tc>
          <w:tcPr>
            <w:tcW w:w="2318" w:type="dxa"/>
            <w:vMerge/>
          </w:tcPr>
          <w:p>
            <w:pPr/>
          </w:p>
        </w:tc>
        <w:tc>
          <w:tcPr>
            <w:tcW w:w="3064" w:type="dxa"/>
            <w:vMerge/>
          </w:tcPr>
          <w:p>
            <w:pPr/>
          </w:p>
        </w:tc>
        <w:tc>
          <w:tcPr>
            <w:tcW w:w="3377" w:type="dxa"/>
            <w:tcBorders>
              <w:right w:val="single" w:sz="11" w:space="0" w:color="000000"/>
            </w:tcBorders>
          </w:tcPr>
          <w:p>
            <w:pPr>
              <w:pStyle w:val="TableParagraph"/>
              <w:spacing w:before="1"/>
              <w:ind w:left="27"/>
              <w:jc w:val="left"/>
              <w:rPr>
                <w:sz w:val="17"/>
              </w:rPr>
            </w:pPr>
            <w:r>
              <w:rPr>
                <w:sz w:val="17"/>
              </w:rPr>
              <w:t>Radiador</w:t>
            </w:r>
          </w:p>
        </w:tc>
      </w:tr>
      <w:tr>
        <w:trPr>
          <w:trHeight w:val="206" w:hRule="exact"/>
        </w:trPr>
        <w:tc>
          <w:tcPr>
            <w:tcW w:w="2318" w:type="dxa"/>
            <w:vMerge/>
            <w:tcBorders>
              <w:bottom w:val="single" w:sz="11" w:space="0" w:color="000000"/>
            </w:tcBorders>
          </w:tcPr>
          <w:p>
            <w:pPr/>
          </w:p>
        </w:tc>
        <w:tc>
          <w:tcPr>
            <w:tcW w:w="3064" w:type="dxa"/>
            <w:vMerge/>
            <w:tcBorders>
              <w:bottom w:val="single" w:sz="11" w:space="0" w:color="000000"/>
            </w:tcBorders>
          </w:tcPr>
          <w:p>
            <w:pPr/>
          </w:p>
        </w:tc>
        <w:tc>
          <w:tcPr>
            <w:tcW w:w="3377" w:type="dxa"/>
            <w:tcBorders>
              <w:bottom w:val="single" w:sz="11" w:space="0" w:color="000000"/>
              <w:right w:val="single" w:sz="11" w:space="0" w:color="000000"/>
            </w:tcBorders>
          </w:tcPr>
          <w:p>
            <w:pPr>
              <w:pStyle w:val="TableParagraph"/>
              <w:spacing w:before="1"/>
              <w:ind w:left="27"/>
              <w:jc w:val="left"/>
              <w:rPr>
                <w:sz w:val="17"/>
              </w:rPr>
            </w:pPr>
            <w:r>
              <w:rPr>
                <w:sz w:val="17"/>
              </w:rPr>
              <w:t>Ventilador</w:t>
            </w:r>
          </w:p>
        </w:tc>
      </w:tr>
    </w:tbl>
    <w:p>
      <w:pPr>
        <w:spacing w:before="131"/>
        <w:ind w:left="102" w:right="0" w:firstLine="0"/>
        <w:jc w:val="both"/>
        <w:rPr>
          <w:sz w:val="20"/>
        </w:rPr>
      </w:pPr>
      <w:r>
        <w:rPr>
          <w:sz w:val="20"/>
        </w:rPr>
        <w:t>Fuente: Elaboración propia con base en CEPAL (2003).</w:t>
      </w:r>
    </w:p>
    <w:p>
      <w:pPr>
        <w:pStyle w:val="BodyText"/>
        <w:rPr>
          <w:sz w:val="20"/>
        </w:rPr>
      </w:pPr>
    </w:p>
    <w:p>
      <w:pPr>
        <w:pStyle w:val="BodyText"/>
        <w:spacing w:line="360" w:lineRule="auto" w:before="127"/>
        <w:ind w:left="102" w:right="121"/>
        <w:jc w:val="both"/>
      </w:pPr>
      <w:r>
        <w:rPr/>
        <w:t>La idea central de este sistema consiste en unir diversos componentes en un solo ensamble llamado módulo o segmento, que permita simplificar el ensamble final de los vehículos. La agrupación de diversos módulos conforma un sistema modular (Carbajal, 2013). Esto puede observarse en el cuadro 2.1 donde se hace referencia a los módulos más importantes del sistema interior, eléctrico y electrónico y chasis.</w:t>
      </w:r>
    </w:p>
    <w:p>
      <w:pPr>
        <w:pStyle w:val="BodyText"/>
        <w:spacing w:before="2"/>
        <w:rPr>
          <w:sz w:val="21"/>
        </w:rPr>
      </w:pPr>
    </w:p>
    <w:p>
      <w:pPr>
        <w:pStyle w:val="BodyText"/>
        <w:spacing w:line="360" w:lineRule="auto"/>
        <w:ind w:left="102" w:right="119"/>
        <w:jc w:val="both"/>
      </w:pPr>
      <w:r>
        <w:rPr/>
        <w:t>Sin embargo, la producción modular no ha logrado superar las ventajas del llamado Toyotismo, sistema que ha llevado a Toyota a convertirse en el líder mundial del sector en calidad de vehículos </w:t>
      </w:r>
      <w:r>
        <w:rPr>
          <w:spacing w:val="-3"/>
        </w:rPr>
        <w:t>y, </w:t>
      </w:r>
      <w:r>
        <w:rPr/>
        <w:t>recientemente, en el principal productor y vendedor de vehículos en el mundo. Estudiosos del tema señalan que esto se relaciona en gran medida con la</w:t>
      </w:r>
      <w:r>
        <w:rPr>
          <w:spacing w:val="-23"/>
        </w:rPr>
        <w:t> </w:t>
      </w:r>
      <w:r>
        <w:rPr/>
        <w:t>fortaleza y el papel que juegan los proveedores dentro de la cadena (EIU y McKinsey &amp; Co.,</w:t>
      </w:r>
      <w:r>
        <w:rPr>
          <w:spacing w:val="-14"/>
        </w:rPr>
        <w:t> </w:t>
      </w:r>
      <w:r>
        <w:rPr/>
        <w:t>1999).</w:t>
      </w:r>
    </w:p>
    <w:p>
      <w:pPr>
        <w:spacing w:after="0" w:line="360" w:lineRule="auto"/>
        <w:jc w:val="both"/>
        <w:sectPr>
          <w:pgSz w:w="12240" w:h="15840"/>
          <w:pgMar w:header="0" w:footer="1035" w:top="1360" w:bottom="1220" w:left="1600" w:right="1580"/>
        </w:sectPr>
      </w:pPr>
    </w:p>
    <w:p>
      <w:pPr>
        <w:pStyle w:val="BodyText"/>
        <w:spacing w:line="360" w:lineRule="auto" w:before="50"/>
        <w:ind w:left="102" w:right="120"/>
        <w:jc w:val="both"/>
      </w:pPr>
      <w:r>
        <w:rPr/>
        <w:t>Toyota otorga una mayor importancia a la relación con sus proveedores, los incentiva a realizar</w:t>
      </w:r>
      <w:r>
        <w:rPr>
          <w:spacing w:val="-13"/>
        </w:rPr>
        <w:t> </w:t>
      </w:r>
      <w:r>
        <w:rPr/>
        <w:t>inversiones</w:t>
      </w:r>
      <w:r>
        <w:rPr>
          <w:spacing w:val="-12"/>
        </w:rPr>
        <w:t> </w:t>
      </w:r>
      <w:r>
        <w:rPr/>
        <w:t>en</w:t>
      </w:r>
      <w:r>
        <w:rPr>
          <w:spacing w:val="-12"/>
        </w:rPr>
        <w:t> </w:t>
      </w:r>
      <w:r>
        <w:rPr/>
        <w:t>equipo</w:t>
      </w:r>
      <w:r>
        <w:rPr>
          <w:spacing w:val="-12"/>
        </w:rPr>
        <w:t> </w:t>
      </w:r>
      <w:r>
        <w:rPr/>
        <w:t>especializado</w:t>
      </w:r>
      <w:r>
        <w:rPr>
          <w:spacing w:val="-10"/>
        </w:rPr>
        <w:t> </w:t>
      </w:r>
      <w:r>
        <w:rPr/>
        <w:t>y</w:t>
      </w:r>
      <w:r>
        <w:rPr>
          <w:spacing w:val="-16"/>
        </w:rPr>
        <w:t> </w:t>
      </w:r>
      <w:r>
        <w:rPr/>
        <w:t>en</w:t>
      </w:r>
      <w:r>
        <w:rPr>
          <w:spacing w:val="-12"/>
        </w:rPr>
        <w:t> </w:t>
      </w:r>
      <w:r>
        <w:rPr/>
        <w:t>la</w:t>
      </w:r>
      <w:r>
        <w:rPr>
          <w:spacing w:val="-10"/>
        </w:rPr>
        <w:t> </w:t>
      </w:r>
      <w:r>
        <w:rPr/>
        <w:t>capacitación</w:t>
      </w:r>
      <w:r>
        <w:rPr>
          <w:spacing w:val="-12"/>
        </w:rPr>
        <w:t> </w:t>
      </w:r>
      <w:r>
        <w:rPr/>
        <w:t>de</w:t>
      </w:r>
      <w:r>
        <w:rPr>
          <w:spacing w:val="-13"/>
        </w:rPr>
        <w:t> </w:t>
      </w:r>
      <w:r>
        <w:rPr/>
        <w:t>recursos</w:t>
      </w:r>
      <w:r>
        <w:rPr>
          <w:spacing w:val="-12"/>
        </w:rPr>
        <w:t> </w:t>
      </w:r>
      <w:r>
        <w:rPr/>
        <w:t>humanos,</w:t>
      </w:r>
      <w:r>
        <w:rPr>
          <w:spacing w:val="-12"/>
        </w:rPr>
        <w:t> </w:t>
      </w:r>
      <w:r>
        <w:rPr/>
        <w:t>lo</w:t>
      </w:r>
      <w:r>
        <w:rPr>
          <w:spacing w:val="-12"/>
        </w:rPr>
        <w:t> </w:t>
      </w:r>
      <w:r>
        <w:rPr/>
        <w:t>que a</w:t>
      </w:r>
      <w:r>
        <w:rPr>
          <w:spacing w:val="-11"/>
        </w:rPr>
        <w:t> </w:t>
      </w:r>
      <w:r>
        <w:rPr/>
        <w:t>su</w:t>
      </w:r>
      <w:r>
        <w:rPr>
          <w:spacing w:val="-9"/>
        </w:rPr>
        <w:t> </w:t>
      </w:r>
      <w:r>
        <w:rPr/>
        <w:t>vez</w:t>
      </w:r>
      <w:r>
        <w:rPr>
          <w:spacing w:val="-8"/>
        </w:rPr>
        <w:t> </w:t>
      </w:r>
      <w:r>
        <w:rPr/>
        <w:t>provoca</w:t>
      </w:r>
      <w:r>
        <w:rPr>
          <w:spacing w:val="-11"/>
        </w:rPr>
        <w:t> </w:t>
      </w:r>
      <w:r>
        <w:rPr/>
        <w:t>que</w:t>
      </w:r>
      <w:r>
        <w:rPr>
          <w:spacing w:val="-11"/>
        </w:rPr>
        <w:t> </w:t>
      </w:r>
      <w:r>
        <w:rPr/>
        <w:t>estos</w:t>
      </w:r>
      <w:r>
        <w:rPr>
          <w:spacing w:val="-9"/>
        </w:rPr>
        <w:t> </w:t>
      </w:r>
      <w:r>
        <w:rPr/>
        <w:t>proveedores</w:t>
      </w:r>
      <w:r>
        <w:rPr>
          <w:spacing w:val="-9"/>
        </w:rPr>
        <w:t> </w:t>
      </w:r>
      <w:r>
        <w:rPr/>
        <w:t>establezcan</w:t>
      </w:r>
      <w:r>
        <w:rPr>
          <w:spacing w:val="-10"/>
        </w:rPr>
        <w:t> </w:t>
      </w:r>
      <w:r>
        <w:rPr/>
        <w:t>relaciones</w:t>
      </w:r>
      <w:r>
        <w:rPr>
          <w:spacing w:val="-10"/>
        </w:rPr>
        <w:t> </w:t>
      </w:r>
      <w:r>
        <w:rPr/>
        <w:t>parecidas</w:t>
      </w:r>
      <w:r>
        <w:rPr>
          <w:spacing w:val="-9"/>
        </w:rPr>
        <w:t> </w:t>
      </w:r>
      <w:r>
        <w:rPr/>
        <w:t>con</w:t>
      </w:r>
      <w:r>
        <w:rPr>
          <w:spacing w:val="-10"/>
        </w:rPr>
        <w:t> </w:t>
      </w:r>
      <w:r>
        <w:rPr/>
        <w:t>los</w:t>
      </w:r>
      <w:r>
        <w:rPr>
          <w:spacing w:val="-9"/>
        </w:rPr>
        <w:t> </w:t>
      </w:r>
      <w:r>
        <w:rPr/>
        <w:t>proveedores de</w:t>
      </w:r>
      <w:r>
        <w:rPr>
          <w:spacing w:val="-5"/>
        </w:rPr>
        <w:t> </w:t>
      </w:r>
      <w:r>
        <w:rPr/>
        <w:t>segundo</w:t>
      </w:r>
      <w:r>
        <w:rPr>
          <w:spacing w:val="-4"/>
        </w:rPr>
        <w:t> </w:t>
      </w:r>
      <w:r>
        <w:rPr/>
        <w:t>nivel</w:t>
      </w:r>
      <w:r>
        <w:rPr>
          <w:spacing w:val="-1"/>
        </w:rPr>
        <w:t> </w:t>
      </w:r>
      <w:r>
        <w:rPr/>
        <w:t>y</w:t>
      </w:r>
      <w:r>
        <w:rPr>
          <w:spacing w:val="-6"/>
        </w:rPr>
        <w:t> </w:t>
      </w:r>
      <w:r>
        <w:rPr/>
        <w:t>así</w:t>
      </w:r>
      <w:r>
        <w:rPr>
          <w:spacing w:val="-3"/>
        </w:rPr>
        <w:t> </w:t>
      </w:r>
      <w:r>
        <w:rPr/>
        <w:t>de</w:t>
      </w:r>
      <w:r>
        <w:rPr>
          <w:spacing w:val="-3"/>
        </w:rPr>
        <w:t> </w:t>
      </w:r>
      <w:r>
        <w:rPr/>
        <w:t>manera</w:t>
      </w:r>
      <w:r>
        <w:rPr>
          <w:spacing w:val="-6"/>
        </w:rPr>
        <w:t> </w:t>
      </w:r>
      <w:r>
        <w:rPr/>
        <w:t>sucesiva,</w:t>
      </w:r>
      <w:r>
        <w:rPr>
          <w:spacing w:val="-4"/>
        </w:rPr>
        <w:t> </w:t>
      </w:r>
      <w:r>
        <w:rPr/>
        <w:t>generando</w:t>
      </w:r>
      <w:r>
        <w:rPr>
          <w:spacing w:val="-4"/>
        </w:rPr>
        <w:t> </w:t>
      </w:r>
      <w:r>
        <w:rPr/>
        <w:t>de</w:t>
      </w:r>
      <w:r>
        <w:rPr>
          <w:spacing w:val="-5"/>
        </w:rPr>
        <w:t> </w:t>
      </w:r>
      <w:r>
        <w:rPr/>
        <w:t>esta</w:t>
      </w:r>
      <w:r>
        <w:rPr>
          <w:spacing w:val="-4"/>
        </w:rPr>
        <w:t> </w:t>
      </w:r>
      <w:r>
        <w:rPr/>
        <w:t>forma</w:t>
      </w:r>
      <w:r>
        <w:rPr>
          <w:spacing w:val="-4"/>
        </w:rPr>
        <w:t> </w:t>
      </w:r>
      <w:r>
        <w:rPr/>
        <w:t>beneficios</w:t>
      </w:r>
      <w:r>
        <w:rPr>
          <w:spacing w:val="-3"/>
        </w:rPr>
        <w:t> </w:t>
      </w:r>
      <w:r>
        <w:rPr/>
        <w:t>a</w:t>
      </w:r>
      <w:r>
        <w:rPr>
          <w:spacing w:val="-5"/>
        </w:rPr>
        <w:t> </w:t>
      </w:r>
      <w:r>
        <w:rPr/>
        <w:t>largo</w:t>
      </w:r>
      <w:r>
        <w:rPr>
          <w:spacing w:val="-4"/>
        </w:rPr>
        <w:t> </w:t>
      </w:r>
      <w:r>
        <w:rPr/>
        <w:t>plazo en términos de productividad y de precio (CEPAL,</w:t>
      </w:r>
      <w:r>
        <w:rPr>
          <w:spacing w:val="-11"/>
        </w:rPr>
        <w:t> </w:t>
      </w:r>
      <w:r>
        <w:rPr/>
        <w:t>2005).</w:t>
      </w:r>
    </w:p>
    <w:p>
      <w:pPr>
        <w:pStyle w:val="BodyText"/>
        <w:spacing w:before="4"/>
        <w:rPr>
          <w:sz w:val="21"/>
        </w:rPr>
      </w:pPr>
    </w:p>
    <w:p>
      <w:pPr>
        <w:pStyle w:val="BodyText"/>
        <w:spacing w:line="360" w:lineRule="auto" w:before="1"/>
        <w:ind w:left="102" w:right="117"/>
        <w:jc w:val="both"/>
      </w:pPr>
      <w:r>
        <w:rPr/>
        <w:t>En</w:t>
      </w:r>
      <w:r>
        <w:rPr>
          <w:spacing w:val="-8"/>
        </w:rPr>
        <w:t> </w:t>
      </w:r>
      <w:r>
        <w:rPr/>
        <w:t>contraste,</w:t>
      </w:r>
      <w:r>
        <w:rPr>
          <w:spacing w:val="-7"/>
        </w:rPr>
        <w:t> </w:t>
      </w:r>
      <w:r>
        <w:rPr/>
        <w:t>las</w:t>
      </w:r>
      <w:r>
        <w:rPr>
          <w:spacing w:val="-8"/>
        </w:rPr>
        <w:t> </w:t>
      </w:r>
      <w:r>
        <w:rPr/>
        <w:t>empresas</w:t>
      </w:r>
      <w:r>
        <w:rPr>
          <w:spacing w:val="-7"/>
        </w:rPr>
        <w:t> </w:t>
      </w:r>
      <w:r>
        <w:rPr/>
        <w:t>norteamericanas</w:t>
      </w:r>
      <w:r>
        <w:rPr>
          <w:spacing w:val="-7"/>
        </w:rPr>
        <w:t> </w:t>
      </w:r>
      <w:r>
        <w:rPr/>
        <w:t>dan</w:t>
      </w:r>
      <w:r>
        <w:rPr>
          <w:spacing w:val="-7"/>
        </w:rPr>
        <w:t> </w:t>
      </w:r>
      <w:r>
        <w:rPr/>
        <w:t>una</w:t>
      </w:r>
      <w:r>
        <w:rPr>
          <w:spacing w:val="-8"/>
        </w:rPr>
        <w:t> </w:t>
      </w:r>
      <w:r>
        <w:rPr/>
        <w:t>menor</w:t>
      </w:r>
      <w:r>
        <w:rPr>
          <w:spacing w:val="-8"/>
        </w:rPr>
        <w:t> </w:t>
      </w:r>
      <w:r>
        <w:rPr/>
        <w:t>importancia</w:t>
      </w:r>
      <w:r>
        <w:rPr>
          <w:spacing w:val="-5"/>
        </w:rPr>
        <w:t> </w:t>
      </w:r>
      <w:r>
        <w:rPr/>
        <w:t>a</w:t>
      </w:r>
      <w:r>
        <w:rPr>
          <w:spacing w:val="-8"/>
        </w:rPr>
        <w:t> </w:t>
      </w:r>
      <w:r>
        <w:rPr/>
        <w:t>su</w:t>
      </w:r>
      <w:r>
        <w:rPr>
          <w:spacing w:val="-7"/>
        </w:rPr>
        <w:t> </w:t>
      </w:r>
      <w:r>
        <w:rPr/>
        <w:t>relación</w:t>
      </w:r>
      <w:r>
        <w:rPr>
          <w:spacing w:val="-7"/>
        </w:rPr>
        <w:t> </w:t>
      </w:r>
      <w:r>
        <w:rPr/>
        <w:t>con</w:t>
      </w:r>
      <w:r>
        <w:rPr>
          <w:spacing w:val="-7"/>
        </w:rPr>
        <w:t> </w:t>
      </w:r>
      <w:r>
        <w:rPr/>
        <w:t>sus proveedores, presentándose en ocasiones conflictos, pues se cuenta con contratos a corto plazo</w:t>
      </w:r>
      <w:r>
        <w:rPr>
          <w:spacing w:val="-10"/>
        </w:rPr>
        <w:t> </w:t>
      </w:r>
      <w:r>
        <w:rPr/>
        <w:t>y</w:t>
      </w:r>
      <w:r>
        <w:rPr>
          <w:spacing w:val="-18"/>
        </w:rPr>
        <w:t> </w:t>
      </w:r>
      <w:r>
        <w:rPr/>
        <w:t>con</w:t>
      </w:r>
      <w:r>
        <w:rPr>
          <w:spacing w:val="-12"/>
        </w:rPr>
        <w:t> </w:t>
      </w:r>
      <w:r>
        <w:rPr/>
        <w:t>múltiples</w:t>
      </w:r>
      <w:r>
        <w:rPr>
          <w:spacing w:val="-12"/>
        </w:rPr>
        <w:t> </w:t>
      </w:r>
      <w:r>
        <w:rPr/>
        <w:t>proveedores</w:t>
      </w:r>
      <w:r>
        <w:rPr>
          <w:spacing w:val="-12"/>
        </w:rPr>
        <w:t> </w:t>
      </w:r>
      <w:r>
        <w:rPr/>
        <w:t>que</w:t>
      </w:r>
      <w:r>
        <w:rPr>
          <w:spacing w:val="-13"/>
        </w:rPr>
        <w:t> </w:t>
      </w:r>
      <w:r>
        <w:rPr/>
        <w:t>se</w:t>
      </w:r>
      <w:r>
        <w:rPr>
          <w:spacing w:val="-13"/>
        </w:rPr>
        <w:t> </w:t>
      </w:r>
      <w:r>
        <w:rPr/>
        <w:t>encuentran</w:t>
      </w:r>
      <w:r>
        <w:rPr>
          <w:spacing w:val="-12"/>
        </w:rPr>
        <w:t> </w:t>
      </w:r>
      <w:r>
        <w:rPr/>
        <w:t>compitiendo</w:t>
      </w:r>
      <w:r>
        <w:rPr>
          <w:spacing w:val="-12"/>
        </w:rPr>
        <w:t> </w:t>
      </w:r>
      <w:r>
        <w:rPr/>
        <w:t>para</w:t>
      </w:r>
      <w:r>
        <w:rPr>
          <w:spacing w:val="-14"/>
        </w:rPr>
        <w:t> </w:t>
      </w:r>
      <w:r>
        <w:rPr/>
        <w:t>mantener</w:t>
      </w:r>
      <w:r>
        <w:rPr>
          <w:spacing w:val="-13"/>
        </w:rPr>
        <w:t> </w:t>
      </w:r>
      <w:r>
        <w:rPr/>
        <w:t>su</w:t>
      </w:r>
      <w:r>
        <w:rPr>
          <w:spacing w:val="-12"/>
        </w:rPr>
        <w:t> </w:t>
      </w:r>
      <w:r>
        <w:rPr/>
        <w:t>posición, además</w:t>
      </w:r>
      <w:r>
        <w:rPr>
          <w:spacing w:val="-9"/>
        </w:rPr>
        <w:t> </w:t>
      </w:r>
      <w:r>
        <w:rPr/>
        <w:t>esta</w:t>
      </w:r>
      <w:r>
        <w:rPr>
          <w:spacing w:val="-6"/>
        </w:rPr>
        <w:t> </w:t>
      </w:r>
      <w:r>
        <w:rPr/>
        <w:t>relación</w:t>
      </w:r>
      <w:r>
        <w:rPr>
          <w:spacing w:val="-8"/>
        </w:rPr>
        <w:t> </w:t>
      </w:r>
      <w:r>
        <w:rPr/>
        <w:t>exige</w:t>
      </w:r>
      <w:r>
        <w:rPr>
          <w:spacing w:val="-10"/>
        </w:rPr>
        <w:t> </w:t>
      </w:r>
      <w:r>
        <w:rPr/>
        <w:t>continuas</w:t>
      </w:r>
      <w:r>
        <w:rPr>
          <w:spacing w:val="-8"/>
        </w:rPr>
        <w:t> </w:t>
      </w:r>
      <w:r>
        <w:rPr/>
        <w:t>reducciones</w:t>
      </w:r>
      <w:r>
        <w:rPr>
          <w:spacing w:val="-7"/>
        </w:rPr>
        <w:t> </w:t>
      </w:r>
      <w:r>
        <w:rPr/>
        <w:t>en</w:t>
      </w:r>
      <w:r>
        <w:rPr>
          <w:spacing w:val="-9"/>
        </w:rPr>
        <w:t> </w:t>
      </w:r>
      <w:r>
        <w:rPr/>
        <w:t>los</w:t>
      </w:r>
      <w:r>
        <w:rPr>
          <w:spacing w:val="-8"/>
        </w:rPr>
        <w:t> </w:t>
      </w:r>
      <w:r>
        <w:rPr/>
        <w:t>precios,</w:t>
      </w:r>
      <w:r>
        <w:rPr>
          <w:spacing w:val="-8"/>
        </w:rPr>
        <w:t> </w:t>
      </w:r>
      <w:r>
        <w:rPr/>
        <w:t>provocando</w:t>
      </w:r>
      <w:r>
        <w:rPr>
          <w:spacing w:val="-7"/>
        </w:rPr>
        <w:t> </w:t>
      </w:r>
      <w:r>
        <w:rPr/>
        <w:t>que</w:t>
      </w:r>
      <w:r>
        <w:rPr>
          <w:spacing w:val="-10"/>
        </w:rPr>
        <w:t> </w:t>
      </w:r>
      <w:r>
        <w:rPr/>
        <w:t>las</w:t>
      </w:r>
      <w:r>
        <w:rPr>
          <w:spacing w:val="-9"/>
        </w:rPr>
        <w:t> </w:t>
      </w:r>
      <w:r>
        <w:rPr/>
        <w:t>grandes empresas</w:t>
      </w:r>
      <w:r>
        <w:rPr>
          <w:spacing w:val="-6"/>
        </w:rPr>
        <w:t> </w:t>
      </w:r>
      <w:r>
        <w:rPr/>
        <w:t>se</w:t>
      </w:r>
      <w:r>
        <w:rPr>
          <w:spacing w:val="-7"/>
        </w:rPr>
        <w:t> </w:t>
      </w:r>
      <w:r>
        <w:rPr/>
        <w:t>adueñen</w:t>
      </w:r>
      <w:r>
        <w:rPr>
          <w:spacing w:val="-9"/>
        </w:rPr>
        <w:t> </w:t>
      </w:r>
      <w:r>
        <w:rPr/>
        <w:t>de</w:t>
      </w:r>
      <w:r>
        <w:rPr>
          <w:spacing w:val="-7"/>
        </w:rPr>
        <w:t> </w:t>
      </w:r>
      <w:r>
        <w:rPr/>
        <w:t>las</w:t>
      </w:r>
      <w:r>
        <w:rPr>
          <w:spacing w:val="-8"/>
        </w:rPr>
        <w:t> </w:t>
      </w:r>
      <w:r>
        <w:rPr/>
        <w:t>mejoras</w:t>
      </w:r>
      <w:r>
        <w:rPr>
          <w:spacing w:val="-6"/>
        </w:rPr>
        <w:t> </w:t>
      </w:r>
      <w:r>
        <w:rPr/>
        <w:t>productivas</w:t>
      </w:r>
      <w:r>
        <w:rPr>
          <w:spacing w:val="-8"/>
        </w:rPr>
        <w:t> </w:t>
      </w:r>
      <w:r>
        <w:rPr/>
        <w:t>mientras</w:t>
      </w:r>
      <w:r>
        <w:rPr>
          <w:spacing w:val="-8"/>
        </w:rPr>
        <w:t> </w:t>
      </w:r>
      <w:r>
        <w:rPr/>
        <w:t>que</w:t>
      </w:r>
      <w:r>
        <w:rPr>
          <w:spacing w:val="-7"/>
        </w:rPr>
        <w:t> </w:t>
      </w:r>
      <w:r>
        <w:rPr/>
        <w:t>el</w:t>
      </w:r>
      <w:r>
        <w:rPr>
          <w:spacing w:val="-6"/>
        </w:rPr>
        <w:t> </w:t>
      </w:r>
      <w:r>
        <w:rPr/>
        <w:t>proveedor</w:t>
      </w:r>
      <w:r>
        <w:rPr>
          <w:spacing w:val="-7"/>
        </w:rPr>
        <w:t> </w:t>
      </w:r>
      <w:r>
        <w:rPr/>
        <w:t>asume</w:t>
      </w:r>
      <w:r>
        <w:rPr>
          <w:spacing w:val="-9"/>
        </w:rPr>
        <w:t> </w:t>
      </w:r>
      <w:r>
        <w:rPr/>
        <w:t>los</w:t>
      </w:r>
      <w:r>
        <w:rPr>
          <w:spacing w:val="-8"/>
        </w:rPr>
        <w:t> </w:t>
      </w:r>
      <w:r>
        <w:rPr/>
        <w:t>costos, desmotivando al proveedor de mejorar en sus productividad. (EIU/McKeinsey &amp;Co.,</w:t>
      </w:r>
      <w:r>
        <w:rPr>
          <w:spacing w:val="-33"/>
        </w:rPr>
        <w:t> </w:t>
      </w:r>
      <w:r>
        <w:rPr/>
        <w:t>1999).</w:t>
      </w:r>
    </w:p>
    <w:p>
      <w:pPr>
        <w:pStyle w:val="BodyText"/>
        <w:spacing w:before="4"/>
        <w:rPr>
          <w:sz w:val="21"/>
        </w:rPr>
      </w:pPr>
    </w:p>
    <w:p>
      <w:pPr>
        <w:pStyle w:val="BodyText"/>
        <w:spacing w:line="360" w:lineRule="auto" w:before="1"/>
        <w:ind w:left="102" w:right="117"/>
        <w:jc w:val="both"/>
      </w:pPr>
      <w:r>
        <w:rPr/>
        <w:t>Gritton</w:t>
      </w:r>
      <w:r>
        <w:rPr>
          <w:spacing w:val="-3"/>
        </w:rPr>
        <w:t> </w:t>
      </w:r>
      <w:r>
        <w:rPr/>
        <w:t>(2003)</w:t>
      </w:r>
      <w:r>
        <w:rPr>
          <w:spacing w:val="-5"/>
        </w:rPr>
        <w:t> </w:t>
      </w:r>
      <w:r>
        <w:rPr/>
        <w:t>señala</w:t>
      </w:r>
      <w:r>
        <w:rPr>
          <w:spacing w:val="-4"/>
        </w:rPr>
        <w:t> </w:t>
      </w:r>
      <w:r>
        <w:rPr/>
        <w:t>que</w:t>
      </w:r>
      <w:r>
        <w:rPr>
          <w:spacing w:val="-3"/>
        </w:rPr>
        <w:t> </w:t>
      </w:r>
      <w:r>
        <w:rPr/>
        <w:t>una</w:t>
      </w:r>
      <w:r>
        <w:rPr>
          <w:spacing w:val="-5"/>
        </w:rPr>
        <w:t> </w:t>
      </w:r>
      <w:r>
        <w:rPr/>
        <w:t>parte</w:t>
      </w:r>
      <w:r>
        <w:rPr>
          <w:spacing w:val="-5"/>
        </w:rPr>
        <w:t> </w:t>
      </w:r>
      <w:r>
        <w:rPr/>
        <w:t>fundamental</w:t>
      </w:r>
      <w:r>
        <w:rPr>
          <w:spacing w:val="-3"/>
        </w:rPr>
        <w:t> </w:t>
      </w:r>
      <w:r>
        <w:rPr/>
        <w:t>del</w:t>
      </w:r>
      <w:r>
        <w:rPr>
          <w:spacing w:val="-3"/>
        </w:rPr>
        <w:t> </w:t>
      </w:r>
      <w:r>
        <w:rPr/>
        <w:t>éxito</w:t>
      </w:r>
      <w:r>
        <w:rPr>
          <w:spacing w:val="-4"/>
        </w:rPr>
        <w:t> </w:t>
      </w:r>
      <w:r>
        <w:rPr/>
        <w:t>de</w:t>
      </w:r>
      <w:r>
        <w:rPr>
          <w:spacing w:val="-5"/>
        </w:rPr>
        <w:t> </w:t>
      </w:r>
      <w:r>
        <w:rPr/>
        <w:t>Toyota</w:t>
      </w:r>
      <w:r>
        <w:rPr>
          <w:spacing w:val="-4"/>
        </w:rPr>
        <w:t> </w:t>
      </w:r>
      <w:r>
        <w:rPr/>
        <w:t>a</w:t>
      </w:r>
      <w:r>
        <w:rPr>
          <w:spacing w:val="-5"/>
        </w:rPr>
        <w:t> </w:t>
      </w:r>
      <w:r>
        <w:rPr/>
        <w:t>nivel</w:t>
      </w:r>
      <w:r>
        <w:rPr>
          <w:spacing w:val="-2"/>
        </w:rPr>
        <w:t> </w:t>
      </w:r>
      <w:r>
        <w:rPr/>
        <w:t>mundial</w:t>
      </w:r>
      <w:r>
        <w:rPr>
          <w:spacing w:val="-3"/>
        </w:rPr>
        <w:t> </w:t>
      </w:r>
      <w:r>
        <w:rPr/>
        <w:t>se</w:t>
      </w:r>
      <w:r>
        <w:rPr>
          <w:spacing w:val="-5"/>
        </w:rPr>
        <w:t> </w:t>
      </w:r>
      <w:r>
        <w:rPr/>
        <w:t>basa en la construcción de relaciones duraderas con los integrantes de su sistema, lo que ha permitido el beneficio mutuo y un crecimiento estable a largo plazo. En este</w:t>
      </w:r>
      <w:r>
        <w:rPr>
          <w:spacing w:val="-40"/>
        </w:rPr>
        <w:t> </w:t>
      </w:r>
      <w:r>
        <w:rPr/>
        <w:t>sentido, Toyota ha logrado construir en América del Norte una base de aproximadamente 500 proveedores para sostener la producción de sus plantas de ensamblaje ubicadas en Alabama, Kentucky, West Virginia, California y Ontario, cuya producción se orienta básicamente al mercado de Estados Unidos (CEPAL,</w:t>
      </w:r>
      <w:r>
        <w:rPr>
          <w:spacing w:val="-6"/>
        </w:rPr>
        <w:t> </w:t>
      </w:r>
      <w:r>
        <w:rPr/>
        <w:t>2003).</w:t>
      </w:r>
    </w:p>
    <w:p>
      <w:pPr>
        <w:pStyle w:val="BodyText"/>
        <w:spacing w:before="2"/>
        <w:rPr>
          <w:sz w:val="21"/>
        </w:rPr>
      </w:pPr>
    </w:p>
    <w:p>
      <w:pPr>
        <w:pStyle w:val="BodyText"/>
        <w:spacing w:line="360" w:lineRule="auto"/>
        <w:ind w:left="102" w:right="117"/>
        <w:jc w:val="both"/>
      </w:pPr>
      <w:r>
        <w:rPr/>
        <w:t>A partir de estos cambios en la industria automotriz, la conformación del sector y las</w:t>
      </w:r>
      <w:r>
        <w:rPr>
          <w:spacing w:val="-40"/>
        </w:rPr>
        <w:t> </w:t>
      </w:r>
      <w:r>
        <w:rPr/>
        <w:t>formas de organización e interrelación se han modificado considerablemente. El eje central siguen siendo las empresas armadoras, y a partir de ellas se integran una serie de proveedores que se especializan en un producto o proceso específico, que a su vez forma parte de otro, de tal manera</w:t>
      </w:r>
      <w:r>
        <w:rPr>
          <w:spacing w:val="-8"/>
        </w:rPr>
        <w:t> </w:t>
      </w:r>
      <w:r>
        <w:rPr/>
        <w:t>que</w:t>
      </w:r>
      <w:r>
        <w:rPr>
          <w:spacing w:val="-7"/>
        </w:rPr>
        <w:t> </w:t>
      </w:r>
      <w:r>
        <w:rPr/>
        <w:t>se</w:t>
      </w:r>
      <w:r>
        <w:rPr>
          <w:spacing w:val="-7"/>
        </w:rPr>
        <w:t> </w:t>
      </w:r>
      <w:r>
        <w:rPr/>
        <w:t>conforma</w:t>
      </w:r>
      <w:r>
        <w:rPr>
          <w:spacing w:val="-4"/>
        </w:rPr>
        <w:t> </w:t>
      </w:r>
      <w:r>
        <w:rPr/>
        <w:t>un</w:t>
      </w:r>
      <w:r>
        <w:rPr>
          <w:spacing w:val="-6"/>
        </w:rPr>
        <w:t> </w:t>
      </w:r>
      <w:r>
        <w:rPr/>
        <w:t>complejo</w:t>
      </w:r>
      <w:r>
        <w:rPr>
          <w:spacing w:val="-6"/>
        </w:rPr>
        <w:t> </w:t>
      </w:r>
      <w:r>
        <w:rPr/>
        <w:t>sistema</w:t>
      </w:r>
      <w:r>
        <w:rPr>
          <w:spacing w:val="-7"/>
        </w:rPr>
        <w:t> </w:t>
      </w:r>
      <w:r>
        <w:rPr/>
        <w:t>de</w:t>
      </w:r>
      <w:r>
        <w:rPr>
          <w:spacing w:val="-7"/>
        </w:rPr>
        <w:t> </w:t>
      </w:r>
      <w:r>
        <w:rPr/>
        <w:t>proveeduría</w:t>
      </w:r>
      <w:r>
        <w:rPr>
          <w:spacing w:val="-7"/>
        </w:rPr>
        <w:t> </w:t>
      </w:r>
      <w:r>
        <w:rPr/>
        <w:t>que</w:t>
      </w:r>
      <w:r>
        <w:rPr>
          <w:spacing w:val="-7"/>
        </w:rPr>
        <w:t> </w:t>
      </w:r>
      <w:r>
        <w:rPr/>
        <w:t>se</w:t>
      </w:r>
      <w:r>
        <w:rPr>
          <w:spacing w:val="-7"/>
        </w:rPr>
        <w:t> </w:t>
      </w:r>
      <w:r>
        <w:rPr/>
        <w:t>desarrolla</w:t>
      </w:r>
      <w:r>
        <w:rPr>
          <w:spacing w:val="-7"/>
        </w:rPr>
        <w:t> </w:t>
      </w:r>
      <w:r>
        <w:rPr/>
        <w:t>dentro</w:t>
      </w:r>
      <w:r>
        <w:rPr>
          <w:spacing w:val="-6"/>
        </w:rPr>
        <w:t> </w:t>
      </w:r>
      <w:r>
        <w:rPr/>
        <w:t>de</w:t>
      </w:r>
      <w:r>
        <w:rPr>
          <w:spacing w:val="-7"/>
        </w:rPr>
        <w:t> </w:t>
      </w:r>
      <w:r>
        <w:rPr/>
        <w:t>una estructura piramidal (Velázquez,</w:t>
      </w:r>
      <w:r>
        <w:rPr>
          <w:spacing w:val="-7"/>
        </w:rPr>
        <w:t> </w:t>
      </w:r>
      <w:r>
        <w:rPr/>
        <w:t>2005).</w:t>
      </w:r>
    </w:p>
    <w:p>
      <w:pPr>
        <w:pStyle w:val="BodyText"/>
        <w:spacing w:before="2"/>
        <w:rPr>
          <w:sz w:val="21"/>
        </w:rPr>
      </w:pPr>
    </w:p>
    <w:p>
      <w:pPr>
        <w:pStyle w:val="BodyText"/>
        <w:spacing w:line="360" w:lineRule="auto"/>
        <w:ind w:left="102" w:right="116"/>
        <w:jc w:val="both"/>
      </w:pPr>
      <w:r>
        <w:rPr/>
        <w:t>Otra</w:t>
      </w:r>
      <w:r>
        <w:rPr>
          <w:spacing w:val="-13"/>
        </w:rPr>
        <w:t> </w:t>
      </w:r>
      <w:r>
        <w:rPr/>
        <w:t>tendencia</w:t>
      </w:r>
      <w:r>
        <w:rPr>
          <w:spacing w:val="-12"/>
        </w:rPr>
        <w:t> </w:t>
      </w:r>
      <w:r>
        <w:rPr/>
        <w:t>actual</w:t>
      </w:r>
      <w:r>
        <w:rPr>
          <w:spacing w:val="-6"/>
        </w:rPr>
        <w:t> </w:t>
      </w:r>
      <w:r>
        <w:rPr/>
        <w:t>y</w:t>
      </w:r>
      <w:r>
        <w:rPr>
          <w:spacing w:val="-16"/>
        </w:rPr>
        <w:t> </w:t>
      </w:r>
      <w:r>
        <w:rPr/>
        <w:t>cada</w:t>
      </w:r>
      <w:r>
        <w:rPr>
          <w:spacing w:val="-12"/>
        </w:rPr>
        <w:t> </w:t>
      </w:r>
      <w:r>
        <w:rPr/>
        <w:t>vez</w:t>
      </w:r>
      <w:r>
        <w:rPr>
          <w:spacing w:val="-10"/>
        </w:rPr>
        <w:t> </w:t>
      </w:r>
      <w:r>
        <w:rPr/>
        <w:t>más</w:t>
      </w:r>
      <w:r>
        <w:rPr>
          <w:spacing w:val="-11"/>
        </w:rPr>
        <w:t> </w:t>
      </w:r>
      <w:r>
        <w:rPr/>
        <w:t>frecuente</w:t>
      </w:r>
      <w:r>
        <w:rPr>
          <w:spacing w:val="-12"/>
        </w:rPr>
        <w:t> </w:t>
      </w:r>
      <w:r>
        <w:rPr/>
        <w:t>en</w:t>
      </w:r>
      <w:r>
        <w:rPr>
          <w:spacing w:val="-11"/>
        </w:rPr>
        <w:t> </w:t>
      </w:r>
      <w:r>
        <w:rPr/>
        <w:t>la</w:t>
      </w:r>
      <w:r>
        <w:rPr>
          <w:spacing w:val="-12"/>
        </w:rPr>
        <w:t> </w:t>
      </w:r>
      <w:r>
        <w:rPr/>
        <w:t>producción</w:t>
      </w:r>
      <w:r>
        <w:rPr>
          <w:spacing w:val="-8"/>
        </w:rPr>
        <w:t> </w:t>
      </w:r>
      <w:r>
        <w:rPr/>
        <w:t>de</w:t>
      </w:r>
      <w:r>
        <w:rPr>
          <w:spacing w:val="-12"/>
        </w:rPr>
        <w:t> </w:t>
      </w:r>
      <w:r>
        <w:rPr/>
        <w:t>vehículos</w:t>
      </w:r>
      <w:r>
        <w:rPr>
          <w:spacing w:val="-10"/>
        </w:rPr>
        <w:t> </w:t>
      </w:r>
      <w:r>
        <w:rPr/>
        <w:t>a</w:t>
      </w:r>
      <w:r>
        <w:rPr>
          <w:spacing w:val="-12"/>
        </w:rPr>
        <w:t> </w:t>
      </w:r>
      <w:r>
        <w:rPr/>
        <w:t>nivel</w:t>
      </w:r>
      <w:r>
        <w:rPr>
          <w:spacing w:val="-11"/>
        </w:rPr>
        <w:t> </w:t>
      </w:r>
      <w:r>
        <w:rPr/>
        <w:t>mundial relacionada con la producción modular tiene que ver con la consolidación por parte de las empresas transnacionales de grandes plataformas como base para la producción y</w:t>
      </w:r>
      <w:r>
        <w:rPr>
          <w:spacing w:val="-19"/>
        </w:rPr>
        <w:t> </w:t>
      </w:r>
      <w:r>
        <w:rPr/>
        <w:t>desarrollo</w:t>
      </w:r>
    </w:p>
    <w:p>
      <w:pPr>
        <w:spacing w:after="0" w:line="360" w:lineRule="auto"/>
        <w:jc w:val="both"/>
        <w:sectPr>
          <w:pgSz w:w="12240" w:h="15840"/>
          <w:pgMar w:header="0" w:footer="1035" w:top="1360" w:bottom="1220" w:left="1600" w:right="1580"/>
        </w:sectPr>
      </w:pPr>
    </w:p>
    <w:p>
      <w:pPr>
        <w:pStyle w:val="BodyText"/>
        <w:spacing w:line="360" w:lineRule="auto" w:before="55"/>
        <w:ind w:left="122" w:right="116"/>
        <w:jc w:val="both"/>
      </w:pPr>
      <w:r>
        <w:rPr/>
        <w:t>de vehículos</w:t>
      </w:r>
      <w:r>
        <w:rPr>
          <w:position w:val="9"/>
          <w:sz w:val="16"/>
        </w:rPr>
        <w:t>4</w:t>
      </w:r>
      <w:r>
        <w:rPr/>
        <w:t>. Las plataformas tienen la capacidad de diseñar, desarrollar y construir múltiples modelos usando un sistema de partes y de módulos comunes con componentes relacionados; es decir, se consideran </w:t>
      </w:r>
      <w:r>
        <w:rPr>
          <w:i/>
        </w:rPr>
        <w:t>fixed points </w:t>
      </w:r>
      <w:r>
        <w:rPr/>
        <w:t>(puntos fijos) o sistemas comunes que permiten que diversos vehículos puedan ser construidos en la misma plataforma de fabricación (Carbajal, 2010).</w:t>
      </w:r>
    </w:p>
    <w:p>
      <w:pPr>
        <w:pStyle w:val="BodyText"/>
        <w:spacing w:before="4"/>
        <w:rPr>
          <w:sz w:val="21"/>
        </w:rPr>
      </w:pPr>
    </w:p>
    <w:p>
      <w:pPr>
        <w:pStyle w:val="BodyText"/>
        <w:spacing w:line="360" w:lineRule="auto" w:before="1"/>
        <w:ind w:left="122" w:right="117"/>
        <w:jc w:val="both"/>
      </w:pPr>
      <w:r>
        <w:rPr/>
        <w:t>La utilización de estas estrategias de plataformas tiene como finalidad que las empresas logren aumentar sus beneficios a través del incremento en sus volúmenes de producción, alcanzado los máximos rendimientos de inversión, incrementando economías de escala y la flexibilidad en los procesos. Para el año 2005 las principales empresas transnacionales con los más altos niveles de producción contaban al menos con una plataforma (Carbajal,</w:t>
      </w:r>
      <w:r>
        <w:rPr>
          <w:spacing w:val="-35"/>
        </w:rPr>
        <w:t> </w:t>
      </w:r>
      <w:r>
        <w:rPr/>
        <w:t>2013).</w:t>
      </w:r>
    </w:p>
    <w:p>
      <w:pPr>
        <w:pStyle w:val="BodyText"/>
        <w:spacing w:before="2"/>
        <w:rPr>
          <w:sz w:val="21"/>
        </w:rPr>
      </w:pPr>
    </w:p>
    <w:p>
      <w:pPr>
        <w:pStyle w:val="BodyText"/>
        <w:spacing w:line="360" w:lineRule="auto"/>
        <w:ind w:left="122" w:right="120"/>
        <w:jc w:val="both"/>
      </w:pPr>
      <w:r>
        <w:rPr/>
        <w:t>Lo anterior muestra como la industria automotriz es una de las más dinámicas a nivel mundial, que se ha caracterizado por profundas transformaciones que han hecho que en la actualidad las empresas dedicadas al ensamblaje aporten cada vez menos en el proceso productivo</w:t>
      </w:r>
      <w:r>
        <w:rPr>
          <w:spacing w:val="-7"/>
        </w:rPr>
        <w:t> </w:t>
      </w:r>
      <w:r>
        <w:rPr/>
        <w:t>de</w:t>
      </w:r>
      <w:r>
        <w:rPr>
          <w:spacing w:val="-8"/>
        </w:rPr>
        <w:t> </w:t>
      </w:r>
      <w:r>
        <w:rPr/>
        <w:t>automóviles</w:t>
      </w:r>
      <w:r>
        <w:rPr>
          <w:spacing w:val="-5"/>
        </w:rPr>
        <w:t> </w:t>
      </w:r>
      <w:r>
        <w:rPr/>
        <w:t>y</w:t>
      </w:r>
      <w:r>
        <w:rPr>
          <w:spacing w:val="-12"/>
        </w:rPr>
        <w:t> </w:t>
      </w:r>
      <w:r>
        <w:rPr/>
        <w:t>en</w:t>
      </w:r>
      <w:r>
        <w:rPr>
          <w:spacing w:val="-7"/>
        </w:rPr>
        <w:t> </w:t>
      </w:r>
      <w:r>
        <w:rPr/>
        <w:t>contraste</w:t>
      </w:r>
      <w:r>
        <w:rPr>
          <w:spacing w:val="-7"/>
        </w:rPr>
        <w:t> </w:t>
      </w:r>
      <w:r>
        <w:rPr/>
        <w:t>los</w:t>
      </w:r>
      <w:r>
        <w:rPr>
          <w:spacing w:val="-7"/>
        </w:rPr>
        <w:t> </w:t>
      </w:r>
      <w:r>
        <w:rPr/>
        <w:t>proveedores</w:t>
      </w:r>
      <w:r>
        <w:rPr>
          <w:spacing w:val="-7"/>
        </w:rPr>
        <w:t> </w:t>
      </w:r>
      <w:r>
        <w:rPr/>
        <w:t>adquieren</w:t>
      </w:r>
      <w:r>
        <w:rPr>
          <w:spacing w:val="-7"/>
        </w:rPr>
        <w:t> </w:t>
      </w:r>
      <w:r>
        <w:rPr/>
        <w:t>cada</w:t>
      </w:r>
      <w:r>
        <w:rPr>
          <w:spacing w:val="-8"/>
        </w:rPr>
        <w:t> </w:t>
      </w:r>
      <w:r>
        <w:rPr/>
        <w:t>día</w:t>
      </w:r>
      <w:r>
        <w:rPr>
          <w:spacing w:val="-8"/>
        </w:rPr>
        <w:t> </w:t>
      </w:r>
      <w:r>
        <w:rPr/>
        <w:t>más</w:t>
      </w:r>
      <w:r>
        <w:rPr>
          <w:spacing w:val="-8"/>
        </w:rPr>
        <w:t> </w:t>
      </w:r>
      <w:r>
        <w:rPr/>
        <w:t>una</w:t>
      </w:r>
      <w:r>
        <w:rPr>
          <w:spacing w:val="-8"/>
        </w:rPr>
        <w:t> </w:t>
      </w:r>
      <w:r>
        <w:rPr/>
        <w:t>mayor responsabilidad en dicho</w:t>
      </w:r>
      <w:r>
        <w:rPr>
          <w:spacing w:val="-6"/>
        </w:rPr>
        <w:t> </w:t>
      </w:r>
      <w:r>
        <w:rPr/>
        <w:t>proceso.</w:t>
      </w:r>
    </w:p>
    <w:p>
      <w:pPr>
        <w:pStyle w:val="BodyText"/>
        <w:spacing w:before="9"/>
        <w:rPr>
          <w:sz w:val="21"/>
        </w:rPr>
      </w:pPr>
    </w:p>
    <w:p>
      <w:pPr>
        <w:pStyle w:val="Heading1"/>
        <w:numPr>
          <w:ilvl w:val="2"/>
          <w:numId w:val="8"/>
        </w:numPr>
        <w:tabs>
          <w:tab w:pos="722" w:val="left" w:leader="none"/>
        </w:tabs>
        <w:spacing w:line="240" w:lineRule="auto" w:before="0" w:after="0"/>
        <w:ind w:left="722" w:right="0" w:hanging="600"/>
        <w:jc w:val="both"/>
      </w:pPr>
      <w:bookmarkStart w:name="_TOC_250027" w:id="8"/>
      <w:r>
        <w:rPr/>
        <w:t>Tendencias recientes de la industria automotriz en el</w:t>
      </w:r>
      <w:r>
        <w:rPr>
          <w:spacing w:val="-22"/>
        </w:rPr>
        <w:t> </w:t>
      </w:r>
      <w:bookmarkEnd w:id="8"/>
      <w:r>
        <w:rPr/>
        <w:t>mundo</w:t>
      </w:r>
    </w:p>
    <w:p>
      <w:pPr>
        <w:pStyle w:val="BodyText"/>
        <w:spacing w:before="4"/>
        <w:rPr>
          <w:b/>
          <w:sz w:val="32"/>
        </w:rPr>
      </w:pPr>
    </w:p>
    <w:p>
      <w:pPr>
        <w:pStyle w:val="BodyText"/>
        <w:spacing w:line="360" w:lineRule="auto"/>
        <w:ind w:left="122" w:right="115"/>
        <w:jc w:val="both"/>
      </w:pPr>
      <w:r>
        <w:rPr/>
        <w:t>El desarrollo de la tecnología en términos generales ha generado que los automóviles sean cada vez más electrónicos y menos mecánicos. Actualmente un automóvil tiene el doble de funciones electrónicas que uno fabricado en la década de los noventa; esta característica contribuye con 40% del costo total de la unidad, la cual incluye sistemas eléctricos y diseño de software (Santarini, 2006). Este autor señala que una multitud de sistemas eléctricos, sensores electrónicos y dispositivos que los activan han tomado el mando y monitoreo del funcionamiento</w:t>
      </w:r>
      <w:r>
        <w:rPr>
          <w:spacing w:val="-7"/>
        </w:rPr>
        <w:t> </w:t>
      </w:r>
      <w:r>
        <w:rPr/>
        <w:t>del</w:t>
      </w:r>
      <w:r>
        <w:rPr>
          <w:spacing w:val="-7"/>
        </w:rPr>
        <w:t> </w:t>
      </w:r>
      <w:r>
        <w:rPr/>
        <w:t>vehículo.</w:t>
      </w:r>
      <w:r>
        <w:rPr>
          <w:spacing w:val="-7"/>
        </w:rPr>
        <w:t> </w:t>
      </w:r>
      <w:r>
        <w:rPr/>
        <w:t>Además</w:t>
      </w:r>
      <w:r>
        <w:rPr>
          <w:spacing w:val="-8"/>
        </w:rPr>
        <w:t> </w:t>
      </w:r>
      <w:r>
        <w:rPr/>
        <w:t>los</w:t>
      </w:r>
      <w:r>
        <w:rPr>
          <w:spacing w:val="-7"/>
        </w:rPr>
        <w:t> </w:t>
      </w:r>
      <w:r>
        <w:rPr/>
        <w:t>sistemas</w:t>
      </w:r>
      <w:r>
        <w:rPr>
          <w:spacing w:val="-7"/>
        </w:rPr>
        <w:t> </w:t>
      </w:r>
      <w:r>
        <w:rPr/>
        <w:t>electrónicos</w:t>
      </w:r>
      <w:r>
        <w:rPr>
          <w:spacing w:val="-7"/>
        </w:rPr>
        <w:t> </w:t>
      </w:r>
      <w:r>
        <w:rPr/>
        <w:t>permiten</w:t>
      </w:r>
      <w:r>
        <w:rPr>
          <w:spacing w:val="-7"/>
        </w:rPr>
        <w:t> </w:t>
      </w:r>
      <w:r>
        <w:rPr/>
        <w:t>resolver</w:t>
      </w:r>
      <w:r>
        <w:rPr>
          <w:spacing w:val="-8"/>
        </w:rPr>
        <w:t> </w:t>
      </w:r>
      <w:r>
        <w:rPr/>
        <w:t>problemas</w:t>
      </w:r>
    </w:p>
    <w:p>
      <w:pPr>
        <w:pStyle w:val="BodyText"/>
        <w:rPr>
          <w:sz w:val="20"/>
        </w:rPr>
      </w:pPr>
    </w:p>
    <w:p>
      <w:pPr>
        <w:pStyle w:val="BodyText"/>
        <w:rPr>
          <w:sz w:val="20"/>
        </w:rPr>
      </w:pPr>
    </w:p>
    <w:p>
      <w:pPr>
        <w:pStyle w:val="BodyText"/>
        <w:rPr>
          <w:sz w:val="20"/>
        </w:rPr>
      </w:pPr>
    </w:p>
    <w:p>
      <w:pPr>
        <w:pStyle w:val="BodyText"/>
        <w:spacing w:before="6"/>
        <w:rPr>
          <w:sz w:val="11"/>
        </w:rPr>
      </w:pPr>
      <w:r>
        <w:rPr/>
        <w:pict>
          <v:line style="position:absolute;mso-position-horizontal-relative:page;mso-position-vertical-relative:paragraph;z-index:1144;mso-wrap-distance-left:0;mso-wrap-distance-right:0" from="85.103996pt,8.882704pt" to="229.123996pt,8.882704pt" stroked="true" strokeweight=".599980pt" strokecolor="#000000">
            <w10:wrap type="topAndBottom"/>
          </v:line>
        </w:pict>
      </w:r>
    </w:p>
    <w:p>
      <w:pPr>
        <w:spacing w:line="276" w:lineRule="auto" w:before="72"/>
        <w:ind w:left="122" w:right="119" w:firstLine="0"/>
        <w:jc w:val="both"/>
        <w:rPr>
          <w:sz w:val="20"/>
        </w:rPr>
      </w:pPr>
      <w:r>
        <w:rPr>
          <w:position w:val="7"/>
          <w:sz w:val="13"/>
        </w:rPr>
        <w:t>4 </w:t>
      </w:r>
      <w:r>
        <w:rPr>
          <w:sz w:val="20"/>
        </w:rPr>
        <w:t>Una plataforma es una base común para la fabricación de diferentes tipos de vehículos, cuyo perímetro más habitual</w:t>
      </w:r>
      <w:r>
        <w:rPr>
          <w:spacing w:val="-5"/>
          <w:sz w:val="20"/>
        </w:rPr>
        <w:t> </w:t>
      </w:r>
      <w:r>
        <w:rPr>
          <w:sz w:val="20"/>
        </w:rPr>
        <w:t>se</w:t>
      </w:r>
      <w:r>
        <w:rPr>
          <w:spacing w:val="-5"/>
          <w:sz w:val="20"/>
        </w:rPr>
        <w:t> </w:t>
      </w:r>
      <w:r>
        <w:rPr>
          <w:sz w:val="20"/>
        </w:rPr>
        <w:t>compone</w:t>
      </w:r>
      <w:r>
        <w:rPr>
          <w:spacing w:val="-5"/>
          <w:sz w:val="20"/>
        </w:rPr>
        <w:t> </w:t>
      </w:r>
      <w:r>
        <w:rPr>
          <w:sz w:val="20"/>
        </w:rPr>
        <w:t>del</w:t>
      </w:r>
      <w:r>
        <w:rPr>
          <w:spacing w:val="-5"/>
          <w:sz w:val="20"/>
        </w:rPr>
        <w:t> </w:t>
      </w:r>
      <w:r>
        <w:rPr>
          <w:sz w:val="20"/>
        </w:rPr>
        <w:t>grupo</w:t>
      </w:r>
      <w:r>
        <w:rPr>
          <w:spacing w:val="-4"/>
          <w:sz w:val="20"/>
        </w:rPr>
        <w:t> </w:t>
      </w:r>
      <w:r>
        <w:rPr>
          <w:sz w:val="20"/>
        </w:rPr>
        <w:t>motopropulsor,</w:t>
      </w:r>
      <w:r>
        <w:rPr>
          <w:spacing w:val="-5"/>
          <w:sz w:val="20"/>
        </w:rPr>
        <w:t> </w:t>
      </w:r>
      <w:r>
        <w:rPr>
          <w:sz w:val="20"/>
        </w:rPr>
        <w:t>la</w:t>
      </w:r>
      <w:r>
        <w:rPr>
          <w:spacing w:val="-5"/>
          <w:sz w:val="20"/>
        </w:rPr>
        <w:t> </w:t>
      </w:r>
      <w:r>
        <w:rPr>
          <w:sz w:val="20"/>
        </w:rPr>
        <w:t>plataforma</w:t>
      </w:r>
      <w:r>
        <w:rPr>
          <w:spacing w:val="-5"/>
          <w:sz w:val="20"/>
        </w:rPr>
        <w:t> </w:t>
      </w:r>
      <w:r>
        <w:rPr>
          <w:sz w:val="20"/>
        </w:rPr>
        <w:t>y</w:t>
      </w:r>
      <w:r>
        <w:rPr>
          <w:spacing w:val="-9"/>
          <w:sz w:val="20"/>
        </w:rPr>
        <w:t> </w:t>
      </w:r>
      <w:r>
        <w:rPr>
          <w:sz w:val="20"/>
        </w:rPr>
        <w:t>estructura</w:t>
      </w:r>
      <w:r>
        <w:rPr>
          <w:spacing w:val="-5"/>
          <w:sz w:val="20"/>
        </w:rPr>
        <w:t> </w:t>
      </w:r>
      <w:r>
        <w:rPr>
          <w:sz w:val="20"/>
        </w:rPr>
        <w:t>de</w:t>
      </w:r>
      <w:r>
        <w:rPr>
          <w:spacing w:val="-5"/>
          <w:sz w:val="20"/>
        </w:rPr>
        <w:t> </w:t>
      </w:r>
      <w:r>
        <w:rPr>
          <w:sz w:val="20"/>
        </w:rPr>
        <w:t>chapa,</w:t>
      </w:r>
      <w:r>
        <w:rPr>
          <w:spacing w:val="-5"/>
          <w:sz w:val="20"/>
        </w:rPr>
        <w:t> </w:t>
      </w:r>
      <w:r>
        <w:rPr>
          <w:sz w:val="20"/>
        </w:rPr>
        <w:t>las</w:t>
      </w:r>
      <w:r>
        <w:rPr>
          <w:spacing w:val="-6"/>
          <w:sz w:val="20"/>
        </w:rPr>
        <w:t> </w:t>
      </w:r>
      <w:r>
        <w:rPr>
          <w:sz w:val="20"/>
        </w:rPr>
        <w:t>armaduras</w:t>
      </w:r>
      <w:r>
        <w:rPr>
          <w:spacing w:val="-6"/>
          <w:sz w:val="20"/>
        </w:rPr>
        <w:t> </w:t>
      </w:r>
      <w:r>
        <w:rPr>
          <w:sz w:val="20"/>
        </w:rPr>
        <w:t>de</w:t>
      </w:r>
      <w:r>
        <w:rPr>
          <w:spacing w:val="-5"/>
          <w:sz w:val="20"/>
        </w:rPr>
        <w:t> </w:t>
      </w:r>
      <w:r>
        <w:rPr>
          <w:sz w:val="20"/>
        </w:rPr>
        <w:t>asiento,</w:t>
      </w:r>
      <w:r>
        <w:rPr>
          <w:spacing w:val="-5"/>
          <w:sz w:val="20"/>
        </w:rPr>
        <w:t> </w:t>
      </w:r>
      <w:r>
        <w:rPr>
          <w:sz w:val="20"/>
        </w:rPr>
        <w:t>la dirección (columna, armadura de volante, mecanismo de dirección), el grupo climatizador, la refrigeración del motor, los sistemas de enlace al suelo y de transmisión, el sistema de escape, el depósito carburante y la arquitectura eléctrica/electrónica (Álvarez,</w:t>
      </w:r>
      <w:r>
        <w:rPr>
          <w:spacing w:val="-12"/>
          <w:sz w:val="20"/>
        </w:rPr>
        <w:t> </w:t>
      </w:r>
      <w:r>
        <w:rPr>
          <w:sz w:val="20"/>
        </w:rPr>
        <w:t>2002).</w:t>
      </w:r>
    </w:p>
    <w:p>
      <w:pPr>
        <w:spacing w:after="0" w:line="276" w:lineRule="auto"/>
        <w:jc w:val="both"/>
        <w:rPr>
          <w:sz w:val="20"/>
        </w:rPr>
        <w:sectPr>
          <w:pgSz w:w="12240" w:h="15840"/>
          <w:pgMar w:header="0" w:footer="1035" w:top="1340" w:bottom="1220" w:left="1580" w:right="1580"/>
        </w:sectPr>
      </w:pPr>
    </w:p>
    <w:p>
      <w:pPr>
        <w:pStyle w:val="BodyText"/>
        <w:spacing w:line="360" w:lineRule="auto" w:before="50"/>
        <w:ind w:left="102" w:right="122"/>
        <w:jc w:val="both"/>
      </w:pPr>
      <w:r>
        <w:rPr/>
        <w:t>en su operación, controlan el sistema de navegación y proporcionan unidades de entretenimiento (Veloso, </w:t>
      </w:r>
      <w:r>
        <w:rPr>
          <w:i/>
        </w:rPr>
        <w:t>et al</w:t>
      </w:r>
      <w:r>
        <w:rPr/>
        <w:t>., 2000).</w:t>
      </w:r>
    </w:p>
    <w:p>
      <w:pPr>
        <w:pStyle w:val="BodyText"/>
        <w:spacing w:before="2"/>
        <w:rPr>
          <w:sz w:val="21"/>
        </w:rPr>
      </w:pPr>
    </w:p>
    <w:p>
      <w:pPr>
        <w:pStyle w:val="BodyText"/>
        <w:spacing w:line="360" w:lineRule="auto"/>
        <w:ind w:left="102" w:right="118"/>
        <w:jc w:val="both"/>
      </w:pPr>
      <w:r>
        <w:rPr/>
        <w:t>De</w:t>
      </w:r>
      <w:r>
        <w:rPr>
          <w:spacing w:val="-9"/>
        </w:rPr>
        <w:t> </w:t>
      </w:r>
      <w:r>
        <w:rPr/>
        <w:t>esta</w:t>
      </w:r>
      <w:r>
        <w:rPr>
          <w:spacing w:val="-7"/>
        </w:rPr>
        <w:t> </w:t>
      </w:r>
      <w:r>
        <w:rPr/>
        <w:t>forma</w:t>
      </w:r>
      <w:r>
        <w:rPr>
          <w:spacing w:val="-8"/>
        </w:rPr>
        <w:t> </w:t>
      </w:r>
      <w:r>
        <w:rPr/>
        <w:t>las</w:t>
      </w:r>
      <w:r>
        <w:rPr>
          <w:spacing w:val="-8"/>
        </w:rPr>
        <w:t> </w:t>
      </w:r>
      <w:r>
        <w:rPr/>
        <w:t>grandes</w:t>
      </w:r>
      <w:r>
        <w:rPr>
          <w:spacing w:val="-7"/>
        </w:rPr>
        <w:t> </w:t>
      </w:r>
      <w:r>
        <w:rPr/>
        <w:t>ensambladoras</w:t>
      </w:r>
      <w:r>
        <w:rPr>
          <w:spacing w:val="-7"/>
        </w:rPr>
        <w:t> </w:t>
      </w:r>
      <w:r>
        <w:rPr/>
        <w:t>han</w:t>
      </w:r>
      <w:r>
        <w:rPr>
          <w:spacing w:val="-7"/>
        </w:rPr>
        <w:t> </w:t>
      </w:r>
      <w:r>
        <w:rPr/>
        <w:t>tenido</w:t>
      </w:r>
      <w:r>
        <w:rPr>
          <w:spacing w:val="-7"/>
        </w:rPr>
        <w:t> </w:t>
      </w:r>
      <w:r>
        <w:rPr/>
        <w:t>que</w:t>
      </w:r>
      <w:r>
        <w:rPr>
          <w:spacing w:val="-8"/>
        </w:rPr>
        <w:t> </w:t>
      </w:r>
      <w:r>
        <w:rPr/>
        <w:t>cambiar</w:t>
      </w:r>
      <w:r>
        <w:rPr>
          <w:spacing w:val="-8"/>
        </w:rPr>
        <w:t> </w:t>
      </w:r>
      <w:r>
        <w:rPr/>
        <w:t>los</w:t>
      </w:r>
      <w:r>
        <w:rPr>
          <w:spacing w:val="-7"/>
        </w:rPr>
        <w:t> </w:t>
      </w:r>
      <w:r>
        <w:rPr/>
        <w:t>sistemas</w:t>
      </w:r>
      <w:r>
        <w:rPr>
          <w:spacing w:val="-7"/>
        </w:rPr>
        <w:t> </w:t>
      </w:r>
      <w:r>
        <w:rPr/>
        <w:t>de</w:t>
      </w:r>
      <w:r>
        <w:rPr>
          <w:spacing w:val="-8"/>
        </w:rPr>
        <w:t> </w:t>
      </w:r>
      <w:r>
        <w:rPr/>
        <w:t>fabricación de automóviles, con el fin de poder atender los requerimientos de los mercados, en este sentido se han relacionado factores como las preferencias de los consumidores, rivalidad, niveles de competitividad y estrategias de las compañías automotrices en términos de la investigación, diseño e innovación, así como estrategias gubernamentales respecto al comercio exterior, seguridad y marco jurídico del medio ambiente (Carbajal,</w:t>
      </w:r>
      <w:r>
        <w:rPr>
          <w:spacing w:val="-9"/>
        </w:rPr>
        <w:t> </w:t>
      </w:r>
      <w:r>
        <w:rPr/>
        <w:t>2013).</w:t>
      </w:r>
    </w:p>
    <w:p>
      <w:pPr>
        <w:pStyle w:val="BodyText"/>
        <w:spacing w:before="2"/>
        <w:rPr>
          <w:sz w:val="21"/>
        </w:rPr>
      </w:pPr>
    </w:p>
    <w:p>
      <w:pPr>
        <w:pStyle w:val="BodyText"/>
        <w:spacing w:line="360" w:lineRule="auto"/>
        <w:ind w:left="102" w:right="116"/>
        <w:jc w:val="both"/>
      </w:pPr>
      <w:r>
        <w:rPr/>
        <w:t>En este sentido, los mercados se han hecho más heterogéneos dado que cada vez más las preferencias de los consumidores definen la función y el estilo del vehículo. El conjunto de todos estos nuevos paradigmas recayó en un nuevo modelo de producción llamado </w:t>
      </w:r>
      <w:r>
        <w:rPr>
          <w:i/>
        </w:rPr>
        <w:t>Mass </w:t>
      </w:r>
      <w:r>
        <w:rPr>
          <w:i/>
        </w:rPr>
        <w:t>Customization </w:t>
      </w:r>
      <w:r>
        <w:rPr/>
        <w:t>(personalización en masa) en el que las empresas productoras deben responder a un incremento en las expectativas de los consumidores en un mayor número de mercados, generando con ello una gran proliferación de segmentos y modelos con características personalizadas como la potencia, velocidad de crucero, controles internos automatizados, internet y GPS, vehículos híbridos con tracción manual y automática, etc. (Pine, 2006 y Anderson y Pine, 1997).</w:t>
      </w:r>
    </w:p>
    <w:p>
      <w:pPr>
        <w:pStyle w:val="BodyText"/>
        <w:spacing w:before="4"/>
        <w:rPr>
          <w:sz w:val="21"/>
        </w:rPr>
      </w:pPr>
    </w:p>
    <w:p>
      <w:pPr>
        <w:pStyle w:val="BodyText"/>
        <w:spacing w:line="360" w:lineRule="auto" w:before="1"/>
        <w:ind w:left="102" w:right="117"/>
        <w:jc w:val="both"/>
      </w:pPr>
      <w:r>
        <w:rPr/>
        <w:t>Además, los gobiernos han hecho hincapié en el daño al medio ambiente, por lo que se han emitido leyes enfocadas al control de las emisiones contaminantes y al ruido sobre todo en Estados</w:t>
      </w:r>
      <w:r>
        <w:rPr>
          <w:spacing w:val="-9"/>
        </w:rPr>
        <w:t> </w:t>
      </w:r>
      <w:r>
        <w:rPr/>
        <w:t>Unidos</w:t>
      </w:r>
      <w:r>
        <w:rPr>
          <w:spacing w:val="-4"/>
        </w:rPr>
        <w:t> </w:t>
      </w:r>
      <w:r>
        <w:rPr/>
        <w:t>y</w:t>
      </w:r>
      <w:r>
        <w:rPr>
          <w:spacing w:val="-11"/>
        </w:rPr>
        <w:t> </w:t>
      </w:r>
      <w:r>
        <w:rPr/>
        <w:t>en</w:t>
      </w:r>
      <w:r>
        <w:rPr>
          <w:spacing w:val="-9"/>
        </w:rPr>
        <w:t> </w:t>
      </w:r>
      <w:r>
        <w:rPr/>
        <w:t>países</w:t>
      </w:r>
      <w:r>
        <w:rPr>
          <w:spacing w:val="-9"/>
        </w:rPr>
        <w:t> </w:t>
      </w:r>
      <w:r>
        <w:rPr/>
        <w:t>europeos</w:t>
      </w:r>
      <w:r>
        <w:rPr>
          <w:spacing w:val="-6"/>
        </w:rPr>
        <w:t> </w:t>
      </w:r>
      <w:r>
        <w:rPr/>
        <w:t>como</w:t>
      </w:r>
      <w:r>
        <w:rPr>
          <w:spacing w:val="-8"/>
        </w:rPr>
        <w:t> </w:t>
      </w:r>
      <w:r>
        <w:rPr/>
        <w:t>Alemania,</w:t>
      </w:r>
      <w:r>
        <w:rPr>
          <w:spacing w:val="-9"/>
        </w:rPr>
        <w:t> </w:t>
      </w:r>
      <w:r>
        <w:rPr/>
        <w:t>Francia</w:t>
      </w:r>
      <w:r>
        <w:rPr>
          <w:spacing w:val="-5"/>
        </w:rPr>
        <w:t> </w:t>
      </w:r>
      <w:r>
        <w:rPr/>
        <w:t>y</w:t>
      </w:r>
      <w:r>
        <w:rPr>
          <w:spacing w:val="-13"/>
        </w:rPr>
        <w:t> </w:t>
      </w:r>
      <w:r>
        <w:rPr/>
        <w:t>España</w:t>
      </w:r>
      <w:r>
        <w:rPr>
          <w:spacing w:val="-7"/>
        </w:rPr>
        <w:t> </w:t>
      </w:r>
      <w:r>
        <w:rPr/>
        <w:t>(Carbajal,</w:t>
      </w:r>
      <w:r>
        <w:rPr>
          <w:spacing w:val="-8"/>
        </w:rPr>
        <w:t> </w:t>
      </w:r>
      <w:r>
        <w:rPr/>
        <w:t>2013).</w:t>
      </w:r>
      <w:r>
        <w:rPr>
          <w:spacing w:val="-7"/>
        </w:rPr>
        <w:t> </w:t>
      </w:r>
      <w:r>
        <w:rPr/>
        <w:t>En esta dirección la industria automotriz en el año 2006 invirtió aproximadamente 100 billones de euros desarrollando el futuro, tomando en sus prioridades reducir el consumo de </w:t>
      </w:r>
      <w:r>
        <w:rPr>
          <w:position w:val="2"/>
        </w:rPr>
        <w:t>combustible, lo que a su vez disminuye las emisiones de CO</w:t>
      </w:r>
      <w:r>
        <w:rPr>
          <w:sz w:val="16"/>
        </w:rPr>
        <w:t>2</w:t>
      </w:r>
      <w:r>
        <w:rPr>
          <w:position w:val="2"/>
        </w:rPr>
        <w:t>, causa principal del cambio </w:t>
      </w:r>
      <w:r>
        <w:rPr/>
        <w:t>climático, a través de las alternativas tecnológicas, por lo que sus esfuerzos se han enfocado en</w:t>
      </w:r>
      <w:r>
        <w:rPr>
          <w:spacing w:val="28"/>
        </w:rPr>
        <w:t> </w:t>
      </w:r>
      <w:r>
        <w:rPr/>
        <w:t>encontrar</w:t>
      </w:r>
      <w:r>
        <w:rPr>
          <w:spacing w:val="-18"/>
        </w:rPr>
        <w:t> </w:t>
      </w:r>
      <w:r>
        <w:rPr/>
        <w:t>sistemas</w:t>
      </w:r>
      <w:r>
        <w:rPr>
          <w:spacing w:val="-17"/>
        </w:rPr>
        <w:t> </w:t>
      </w:r>
      <w:r>
        <w:rPr/>
        <w:t>capaces</w:t>
      </w:r>
      <w:r>
        <w:rPr>
          <w:spacing w:val="-17"/>
        </w:rPr>
        <w:t> </w:t>
      </w:r>
      <w:r>
        <w:rPr/>
        <w:t>de</w:t>
      </w:r>
      <w:r>
        <w:rPr>
          <w:spacing w:val="-18"/>
        </w:rPr>
        <w:t> </w:t>
      </w:r>
      <w:r>
        <w:rPr/>
        <w:t>utilizar</w:t>
      </w:r>
      <w:r>
        <w:rPr>
          <w:spacing w:val="-18"/>
        </w:rPr>
        <w:t> </w:t>
      </w:r>
      <w:r>
        <w:rPr/>
        <w:t>combustibles</w:t>
      </w:r>
      <w:r>
        <w:rPr>
          <w:spacing w:val="-17"/>
        </w:rPr>
        <w:t> </w:t>
      </w:r>
      <w:r>
        <w:rPr/>
        <w:t>alternos</w:t>
      </w:r>
      <w:r>
        <w:rPr>
          <w:spacing w:val="-17"/>
        </w:rPr>
        <w:t> </w:t>
      </w:r>
      <w:r>
        <w:rPr/>
        <w:t>utilizando</w:t>
      </w:r>
      <w:r>
        <w:rPr>
          <w:spacing w:val="-17"/>
        </w:rPr>
        <w:t> </w:t>
      </w:r>
      <w:r>
        <w:rPr/>
        <w:t>para</w:t>
      </w:r>
      <w:r>
        <w:rPr>
          <w:spacing w:val="-14"/>
        </w:rPr>
        <w:t> </w:t>
      </w:r>
      <w:r>
        <w:rPr/>
        <w:t>ello</w:t>
      </w:r>
      <w:r>
        <w:rPr>
          <w:spacing w:val="-17"/>
        </w:rPr>
        <w:t> </w:t>
      </w:r>
      <w:r>
        <w:rPr/>
        <w:t>el</w:t>
      </w:r>
      <w:r>
        <w:rPr>
          <w:spacing w:val="-16"/>
        </w:rPr>
        <w:t> </w:t>
      </w:r>
      <w:r>
        <w:rPr/>
        <w:t>modelo de motor de combustión interna</w:t>
      </w:r>
      <w:r>
        <w:rPr>
          <w:spacing w:val="-10"/>
        </w:rPr>
        <w:t> </w:t>
      </w:r>
      <w:r>
        <w:rPr/>
        <w:t>(AMIA,2008).</w:t>
      </w:r>
    </w:p>
    <w:p>
      <w:pPr>
        <w:pStyle w:val="BodyText"/>
        <w:spacing w:before="2"/>
        <w:rPr>
          <w:sz w:val="21"/>
        </w:rPr>
      </w:pPr>
    </w:p>
    <w:p>
      <w:pPr>
        <w:pStyle w:val="BodyText"/>
        <w:spacing w:line="360" w:lineRule="auto" w:before="1"/>
        <w:ind w:left="102" w:right="118"/>
        <w:jc w:val="both"/>
      </w:pPr>
      <w:r>
        <w:rPr/>
        <w:t>Todas estas innovaciones en los sistemas de producción de vehículos para satisfacer la demanda de los consumidores y</w:t>
      </w:r>
      <w:r>
        <w:rPr>
          <w:spacing w:val="-42"/>
        </w:rPr>
        <w:t> </w:t>
      </w:r>
      <w:r>
        <w:rPr/>
        <w:t>las regulaciones gubernamentales, han sido posibles gracias a la tecnología. Sin embargo, estas innovaciones tecnológicas van mucho más allá, y se</w:t>
      </w:r>
      <w:r>
        <w:rPr>
          <w:spacing w:val="32"/>
        </w:rPr>
        <w:t> </w:t>
      </w:r>
      <w:r>
        <w:rPr/>
        <w:t>han</w:t>
      </w:r>
    </w:p>
    <w:p>
      <w:pPr>
        <w:spacing w:after="0" w:line="360" w:lineRule="auto"/>
        <w:jc w:val="both"/>
        <w:sectPr>
          <w:pgSz w:w="12240" w:h="15840"/>
          <w:pgMar w:header="0" w:footer="1035" w:top="1360" w:bottom="1220" w:left="1600" w:right="1580"/>
        </w:sectPr>
      </w:pPr>
    </w:p>
    <w:p>
      <w:pPr>
        <w:pStyle w:val="BodyText"/>
        <w:spacing w:line="360" w:lineRule="auto" w:before="50"/>
        <w:ind w:left="122" w:right="126"/>
        <w:jc w:val="both"/>
      </w:pPr>
      <w:r>
        <w:rPr/>
        <w:t>convertido en un factor fundamental que ha determinado el curso de esta industria como se verá a continuación.</w:t>
      </w:r>
    </w:p>
    <w:p>
      <w:pPr>
        <w:pStyle w:val="BodyText"/>
        <w:spacing w:before="7"/>
        <w:rPr>
          <w:sz w:val="21"/>
        </w:rPr>
      </w:pPr>
    </w:p>
    <w:p>
      <w:pPr>
        <w:pStyle w:val="Heading1"/>
        <w:numPr>
          <w:ilvl w:val="2"/>
          <w:numId w:val="8"/>
        </w:numPr>
        <w:tabs>
          <w:tab w:pos="722" w:val="left" w:leader="none"/>
        </w:tabs>
        <w:spacing w:line="240" w:lineRule="auto" w:before="0" w:after="0"/>
        <w:ind w:left="722" w:right="0" w:hanging="600"/>
        <w:jc w:val="both"/>
      </w:pPr>
      <w:bookmarkStart w:name="_TOC_250026" w:id="9"/>
      <w:r>
        <w:rPr/>
        <w:t>Las nuevas tecnologías</w:t>
      </w:r>
      <w:r>
        <w:rPr>
          <w:spacing w:val="-7"/>
        </w:rPr>
        <w:t> </w:t>
      </w:r>
      <w:bookmarkEnd w:id="9"/>
      <w:r>
        <w:rPr/>
        <w:t>híbridas</w:t>
      </w:r>
    </w:p>
    <w:p>
      <w:pPr>
        <w:pStyle w:val="BodyText"/>
        <w:spacing w:before="6"/>
        <w:rPr>
          <w:b/>
          <w:sz w:val="32"/>
        </w:rPr>
      </w:pPr>
    </w:p>
    <w:p>
      <w:pPr>
        <w:pStyle w:val="BodyText"/>
        <w:spacing w:line="360" w:lineRule="auto"/>
        <w:ind w:left="122" w:right="118"/>
        <w:jc w:val="both"/>
      </w:pPr>
      <w:r>
        <w:rPr/>
        <w:t>Como se observa, la industria automotriz siempre ha estado a la vanguardia en cuanto a innovación</w:t>
      </w:r>
      <w:r>
        <w:rPr>
          <w:spacing w:val="-6"/>
        </w:rPr>
        <w:t> </w:t>
      </w:r>
      <w:r>
        <w:rPr/>
        <w:t>tecnológica</w:t>
      </w:r>
      <w:r>
        <w:rPr>
          <w:spacing w:val="-7"/>
        </w:rPr>
        <w:t> </w:t>
      </w:r>
      <w:r>
        <w:rPr/>
        <w:t>se</w:t>
      </w:r>
      <w:r>
        <w:rPr>
          <w:spacing w:val="-7"/>
        </w:rPr>
        <w:t> </w:t>
      </w:r>
      <w:r>
        <w:rPr/>
        <w:t>refiere,</w:t>
      </w:r>
      <w:r>
        <w:rPr>
          <w:spacing w:val="-4"/>
        </w:rPr>
        <w:t> </w:t>
      </w:r>
      <w:r>
        <w:rPr/>
        <w:t>actualmente</w:t>
      </w:r>
      <w:r>
        <w:rPr>
          <w:spacing w:val="-4"/>
        </w:rPr>
        <w:t> </w:t>
      </w:r>
      <w:r>
        <w:rPr/>
        <w:t>ésta</w:t>
      </w:r>
      <w:r>
        <w:rPr>
          <w:spacing w:val="-7"/>
        </w:rPr>
        <w:t> </w:t>
      </w:r>
      <w:r>
        <w:rPr/>
        <w:t>ha</w:t>
      </w:r>
      <w:r>
        <w:rPr>
          <w:spacing w:val="-7"/>
        </w:rPr>
        <w:t> </w:t>
      </w:r>
      <w:r>
        <w:rPr/>
        <w:t>demostrado</w:t>
      </w:r>
      <w:r>
        <w:rPr>
          <w:spacing w:val="-4"/>
        </w:rPr>
        <w:t> </w:t>
      </w:r>
      <w:r>
        <w:rPr/>
        <w:t>su</w:t>
      </w:r>
      <w:r>
        <w:rPr>
          <w:spacing w:val="-6"/>
        </w:rPr>
        <w:t> </w:t>
      </w:r>
      <w:r>
        <w:rPr/>
        <w:t>capacidad</w:t>
      </w:r>
      <w:r>
        <w:rPr>
          <w:spacing w:val="-7"/>
        </w:rPr>
        <w:t> </w:t>
      </w:r>
      <w:r>
        <w:rPr/>
        <w:t>de</w:t>
      </w:r>
      <w:r>
        <w:rPr>
          <w:spacing w:val="-7"/>
        </w:rPr>
        <w:t> </w:t>
      </w:r>
      <w:r>
        <w:rPr/>
        <w:t>respuesta a los retos planteados en materia de movilidad sostenible. En este sentido el desarrollo de la industria automotriz va mucho más allá de mejorar los sistemas productivos, el funcionamiento y confiabilidad de las unidades y los sistemas electrónicos, pues las tecnologías</w:t>
      </w:r>
      <w:r>
        <w:rPr>
          <w:spacing w:val="-13"/>
        </w:rPr>
        <w:t> </w:t>
      </w:r>
      <w:r>
        <w:rPr/>
        <w:t>puestas</w:t>
      </w:r>
      <w:r>
        <w:rPr>
          <w:spacing w:val="-13"/>
        </w:rPr>
        <w:t> </w:t>
      </w:r>
      <w:r>
        <w:rPr/>
        <w:t>en</w:t>
      </w:r>
      <w:r>
        <w:rPr>
          <w:spacing w:val="-13"/>
        </w:rPr>
        <w:t> </w:t>
      </w:r>
      <w:r>
        <w:rPr/>
        <w:t>marcha</w:t>
      </w:r>
      <w:r>
        <w:rPr>
          <w:spacing w:val="-14"/>
        </w:rPr>
        <w:t> </w:t>
      </w:r>
      <w:r>
        <w:rPr/>
        <w:t>por</w:t>
      </w:r>
      <w:r>
        <w:rPr>
          <w:spacing w:val="-14"/>
        </w:rPr>
        <w:t> </w:t>
      </w:r>
      <w:r>
        <w:rPr/>
        <w:t>algunas</w:t>
      </w:r>
      <w:r>
        <w:rPr>
          <w:spacing w:val="-14"/>
        </w:rPr>
        <w:t> </w:t>
      </w:r>
      <w:r>
        <w:rPr/>
        <w:t>ensambladoras</w:t>
      </w:r>
      <w:r>
        <w:rPr>
          <w:spacing w:val="-13"/>
        </w:rPr>
        <w:t> </w:t>
      </w:r>
      <w:r>
        <w:rPr/>
        <w:t>como</w:t>
      </w:r>
      <w:r>
        <w:rPr>
          <w:spacing w:val="-13"/>
        </w:rPr>
        <w:t> </w:t>
      </w:r>
      <w:r>
        <w:rPr/>
        <w:t>una</w:t>
      </w:r>
      <w:r>
        <w:rPr>
          <w:spacing w:val="-14"/>
        </w:rPr>
        <w:t> </w:t>
      </w:r>
      <w:r>
        <w:rPr/>
        <w:t>estrategia</w:t>
      </w:r>
      <w:r>
        <w:rPr>
          <w:spacing w:val="-14"/>
        </w:rPr>
        <w:t> </w:t>
      </w:r>
      <w:r>
        <w:rPr/>
        <w:t>para</w:t>
      </w:r>
      <w:r>
        <w:rPr>
          <w:spacing w:val="-15"/>
        </w:rPr>
        <w:t> </w:t>
      </w:r>
      <w:r>
        <w:rPr/>
        <w:t>aumentar la</w:t>
      </w:r>
      <w:r>
        <w:rPr>
          <w:spacing w:val="-12"/>
        </w:rPr>
        <w:t> </w:t>
      </w:r>
      <w:r>
        <w:rPr/>
        <w:t>penetración</w:t>
      </w:r>
      <w:r>
        <w:rPr>
          <w:spacing w:val="-11"/>
        </w:rPr>
        <w:t> </w:t>
      </w:r>
      <w:r>
        <w:rPr/>
        <w:t>del</w:t>
      </w:r>
      <w:r>
        <w:rPr>
          <w:spacing w:val="-11"/>
        </w:rPr>
        <w:t> </w:t>
      </w:r>
      <w:r>
        <w:rPr/>
        <w:t>mercado</w:t>
      </w:r>
      <w:r>
        <w:rPr>
          <w:spacing w:val="-11"/>
        </w:rPr>
        <w:t> </w:t>
      </w:r>
      <w:r>
        <w:rPr/>
        <w:t>de</w:t>
      </w:r>
      <w:r>
        <w:rPr>
          <w:spacing w:val="-12"/>
        </w:rPr>
        <w:t> </w:t>
      </w:r>
      <w:r>
        <w:rPr/>
        <w:t>ciertos</w:t>
      </w:r>
      <w:r>
        <w:rPr>
          <w:spacing w:val="-10"/>
        </w:rPr>
        <w:t> </w:t>
      </w:r>
      <w:r>
        <w:rPr/>
        <w:t>modelos</w:t>
      </w:r>
      <w:r>
        <w:rPr>
          <w:spacing w:val="-11"/>
        </w:rPr>
        <w:t> </w:t>
      </w:r>
      <w:r>
        <w:rPr/>
        <w:t>en</w:t>
      </w:r>
      <w:r>
        <w:rPr>
          <w:spacing w:val="-11"/>
        </w:rPr>
        <w:t> </w:t>
      </w:r>
      <w:r>
        <w:rPr/>
        <w:t>particular,</w:t>
      </w:r>
      <w:r>
        <w:rPr>
          <w:spacing w:val="-11"/>
        </w:rPr>
        <w:t> </w:t>
      </w:r>
      <w:r>
        <w:rPr/>
        <w:t>tienen</w:t>
      </w:r>
      <w:r>
        <w:rPr>
          <w:spacing w:val="-11"/>
        </w:rPr>
        <w:t> </w:t>
      </w:r>
      <w:r>
        <w:rPr/>
        <w:t>que</w:t>
      </w:r>
      <w:r>
        <w:rPr>
          <w:spacing w:val="-12"/>
        </w:rPr>
        <w:t> </w:t>
      </w:r>
      <w:r>
        <w:rPr/>
        <w:t>ver</w:t>
      </w:r>
      <w:r>
        <w:rPr>
          <w:spacing w:val="-9"/>
        </w:rPr>
        <w:t> </w:t>
      </w:r>
      <w:r>
        <w:rPr/>
        <w:t>con</w:t>
      </w:r>
      <w:r>
        <w:rPr>
          <w:spacing w:val="-11"/>
        </w:rPr>
        <w:t> </w:t>
      </w:r>
      <w:r>
        <w:rPr/>
        <w:t>la</w:t>
      </w:r>
      <w:r>
        <w:rPr>
          <w:spacing w:val="-12"/>
        </w:rPr>
        <w:t> </w:t>
      </w:r>
      <w:r>
        <w:rPr/>
        <w:t>fabricación de vehículos</w:t>
      </w:r>
      <w:r>
        <w:rPr>
          <w:spacing w:val="-2"/>
        </w:rPr>
        <w:t> </w:t>
      </w:r>
      <w:r>
        <w:rPr/>
        <w:t>híbridos.</w:t>
      </w:r>
    </w:p>
    <w:p>
      <w:pPr>
        <w:pStyle w:val="BodyText"/>
        <w:spacing w:before="4"/>
        <w:rPr>
          <w:sz w:val="21"/>
        </w:rPr>
      </w:pPr>
    </w:p>
    <w:p>
      <w:pPr>
        <w:pStyle w:val="BodyText"/>
        <w:spacing w:line="360" w:lineRule="auto" w:before="1"/>
        <w:ind w:left="122" w:right="118"/>
        <w:jc w:val="both"/>
      </w:pPr>
      <w:r>
        <w:rPr/>
        <w:t>La situación mundial del petróleo en relación con la excesiva volatilidad que se ha dado en sus precios a partir de 2005 (Carbajal, 2013), y a que existe evidencia científica</w:t>
      </w:r>
      <w:r>
        <w:rPr>
          <w:spacing w:val="-36"/>
        </w:rPr>
        <w:t> </w:t>
      </w:r>
      <w:r>
        <w:rPr/>
        <w:t>contundente en</w:t>
      </w:r>
      <w:r>
        <w:rPr>
          <w:spacing w:val="-5"/>
        </w:rPr>
        <w:t> </w:t>
      </w:r>
      <w:r>
        <w:rPr/>
        <w:t>el</w:t>
      </w:r>
      <w:r>
        <w:rPr>
          <w:spacing w:val="-4"/>
        </w:rPr>
        <w:t> </w:t>
      </w:r>
      <w:r>
        <w:rPr/>
        <w:t>sentido</w:t>
      </w:r>
      <w:r>
        <w:rPr>
          <w:spacing w:val="-5"/>
        </w:rPr>
        <w:t> </w:t>
      </w:r>
      <w:r>
        <w:rPr/>
        <w:t>de</w:t>
      </w:r>
      <w:r>
        <w:rPr>
          <w:spacing w:val="-6"/>
        </w:rPr>
        <w:t> </w:t>
      </w:r>
      <w:r>
        <w:rPr/>
        <w:t>que</w:t>
      </w:r>
      <w:r>
        <w:rPr>
          <w:spacing w:val="-6"/>
        </w:rPr>
        <w:t> </w:t>
      </w:r>
      <w:r>
        <w:rPr/>
        <w:t>el</w:t>
      </w:r>
      <w:r>
        <w:rPr>
          <w:spacing w:val="-4"/>
        </w:rPr>
        <w:t> </w:t>
      </w:r>
      <w:r>
        <w:rPr/>
        <w:t>calentamiento</w:t>
      </w:r>
      <w:r>
        <w:rPr>
          <w:spacing w:val="-4"/>
        </w:rPr>
        <w:t> </w:t>
      </w:r>
      <w:r>
        <w:rPr/>
        <w:t>global</w:t>
      </w:r>
      <w:r>
        <w:rPr>
          <w:spacing w:val="-5"/>
        </w:rPr>
        <w:t> </w:t>
      </w:r>
      <w:r>
        <w:rPr/>
        <w:t>es</w:t>
      </w:r>
      <w:r>
        <w:rPr>
          <w:spacing w:val="-5"/>
        </w:rPr>
        <w:t> </w:t>
      </w:r>
      <w:r>
        <w:rPr/>
        <w:t>inducido</w:t>
      </w:r>
      <w:r>
        <w:rPr>
          <w:spacing w:val="-4"/>
        </w:rPr>
        <w:t> </w:t>
      </w:r>
      <w:r>
        <w:rPr/>
        <w:t>por</w:t>
      </w:r>
      <w:r>
        <w:rPr>
          <w:spacing w:val="-6"/>
        </w:rPr>
        <w:t> </w:t>
      </w:r>
      <w:r>
        <w:rPr/>
        <w:t>las</w:t>
      </w:r>
      <w:r>
        <w:rPr>
          <w:spacing w:val="-5"/>
        </w:rPr>
        <w:t> </w:t>
      </w:r>
      <w:r>
        <w:rPr/>
        <w:t>emisiones</w:t>
      </w:r>
      <w:r>
        <w:rPr>
          <w:spacing w:val="-5"/>
        </w:rPr>
        <w:t> </w:t>
      </w:r>
      <w:r>
        <w:rPr/>
        <w:t>de</w:t>
      </w:r>
      <w:r>
        <w:rPr>
          <w:spacing w:val="-6"/>
        </w:rPr>
        <w:t> </w:t>
      </w:r>
      <w:r>
        <w:rPr/>
        <w:t>gases</w:t>
      </w:r>
      <w:r>
        <w:rPr>
          <w:spacing w:val="-5"/>
        </w:rPr>
        <w:t> </w:t>
      </w:r>
      <w:r>
        <w:rPr/>
        <w:t>de</w:t>
      </w:r>
      <w:r>
        <w:rPr>
          <w:spacing w:val="-6"/>
        </w:rPr>
        <w:t> </w:t>
      </w:r>
      <w:r>
        <w:rPr/>
        <w:t>efecto invernadero en parte generadas por el sector transporte y que están intrínsecamente ligadas al consumo de combustibles fósiles obtenidos del petróleo, han orillado a la industria a explorar nuevas formas de propulsión en los vehículos (Centro Mario Molina para Estudios Estratégicos y Medio Ambiente,</w:t>
      </w:r>
      <w:r>
        <w:rPr>
          <w:spacing w:val="-7"/>
        </w:rPr>
        <w:t> </w:t>
      </w:r>
      <w:r>
        <w:rPr/>
        <w:t>2007).</w:t>
      </w:r>
    </w:p>
    <w:p>
      <w:pPr>
        <w:pStyle w:val="BodyText"/>
        <w:spacing w:before="10"/>
        <w:rPr>
          <w:sz w:val="19"/>
        </w:rPr>
      </w:pPr>
    </w:p>
    <w:p>
      <w:pPr>
        <w:pStyle w:val="BodyText"/>
        <w:spacing w:line="360" w:lineRule="auto"/>
        <w:ind w:left="122" w:right="115"/>
        <w:jc w:val="both"/>
      </w:pPr>
      <w:r>
        <w:rPr/>
        <w:t>Carbajal (2013), menciona que la industria automotriz se encuentra en un tercer</w:t>
      </w:r>
      <w:r>
        <w:rPr>
          <w:position w:val="9"/>
          <w:sz w:val="16"/>
        </w:rPr>
        <w:t>5 </w:t>
      </w:r>
      <w:r>
        <w:rPr/>
        <w:t>momento de transición a nivel mundial que está relacionado con el uso de las tecnologías hibridas. De acuerdo con lo anterior un vehículo híbrido combina un motor de combustión interna (térmico) con un motor eléctrico. La unidad de propulsión eléctrica alivia la carga del</w:t>
      </w:r>
      <w:r>
        <w:rPr>
          <w:spacing w:val="-14"/>
        </w:rPr>
        <w:t> </w:t>
      </w:r>
      <w:r>
        <w:rPr/>
        <w:t>motor térmico,</w:t>
      </w:r>
      <w:r>
        <w:rPr>
          <w:spacing w:val="-7"/>
        </w:rPr>
        <w:t> </w:t>
      </w:r>
      <w:r>
        <w:rPr/>
        <w:t>especialmente</w:t>
      </w:r>
      <w:r>
        <w:rPr>
          <w:spacing w:val="-6"/>
        </w:rPr>
        <w:t> </w:t>
      </w:r>
      <w:r>
        <w:rPr/>
        <w:t>en</w:t>
      </w:r>
      <w:r>
        <w:rPr>
          <w:spacing w:val="-7"/>
        </w:rPr>
        <w:t> </w:t>
      </w:r>
      <w:r>
        <w:rPr/>
        <w:t>situaciones</w:t>
      </w:r>
      <w:r>
        <w:rPr>
          <w:spacing w:val="-8"/>
        </w:rPr>
        <w:t> </w:t>
      </w:r>
      <w:r>
        <w:rPr/>
        <w:t>con</w:t>
      </w:r>
      <w:r>
        <w:rPr>
          <w:spacing w:val="-5"/>
        </w:rPr>
        <w:t> </w:t>
      </w:r>
      <w:r>
        <w:rPr/>
        <w:t>mayor</w:t>
      </w:r>
      <w:r>
        <w:rPr>
          <w:spacing w:val="-6"/>
        </w:rPr>
        <w:t> </w:t>
      </w:r>
      <w:r>
        <w:rPr/>
        <w:t>consumo</w:t>
      </w:r>
      <w:r>
        <w:rPr>
          <w:spacing w:val="-7"/>
        </w:rPr>
        <w:t> </w:t>
      </w:r>
      <w:r>
        <w:rPr/>
        <w:t>de</w:t>
      </w:r>
      <w:r>
        <w:rPr>
          <w:spacing w:val="-8"/>
        </w:rPr>
        <w:t> </w:t>
      </w:r>
      <w:r>
        <w:rPr/>
        <w:t>combustible,</w:t>
      </w:r>
      <w:r>
        <w:rPr>
          <w:spacing w:val="-6"/>
        </w:rPr>
        <w:t> </w:t>
      </w:r>
      <w:r>
        <w:rPr/>
        <w:t>como</w:t>
      </w:r>
      <w:r>
        <w:rPr>
          <w:spacing w:val="-7"/>
        </w:rPr>
        <w:t> </w:t>
      </w:r>
      <w:r>
        <w:rPr/>
        <w:t>al</w:t>
      </w:r>
      <w:r>
        <w:rPr>
          <w:spacing w:val="-4"/>
        </w:rPr>
        <w:t> </w:t>
      </w:r>
      <w:r>
        <w:rPr/>
        <w:t>arrancar o acelerar. La utilización sólo parcial de los combustibles fósiles, unida a la recuperación de energía que permite la hibridación (sistema de frenado cooperativo, descrito más adelante), </w:t>
      </w:r>
      <w:r>
        <w:rPr>
          <w:position w:val="2"/>
        </w:rPr>
        <w:t>reduce</w:t>
      </w:r>
      <w:r>
        <w:rPr>
          <w:spacing w:val="19"/>
          <w:position w:val="2"/>
        </w:rPr>
        <w:t> </w:t>
      </w:r>
      <w:r>
        <w:rPr>
          <w:position w:val="2"/>
        </w:rPr>
        <w:t>notablemente</w:t>
      </w:r>
      <w:r>
        <w:rPr>
          <w:spacing w:val="19"/>
          <w:position w:val="2"/>
        </w:rPr>
        <w:t> </w:t>
      </w:r>
      <w:r>
        <w:rPr>
          <w:position w:val="2"/>
        </w:rPr>
        <w:t>el</w:t>
      </w:r>
      <w:r>
        <w:rPr>
          <w:spacing w:val="20"/>
          <w:position w:val="2"/>
        </w:rPr>
        <w:t> </w:t>
      </w:r>
      <w:r>
        <w:rPr>
          <w:position w:val="2"/>
        </w:rPr>
        <w:t>consumo</w:t>
      </w:r>
      <w:r>
        <w:rPr>
          <w:spacing w:val="20"/>
          <w:position w:val="2"/>
        </w:rPr>
        <w:t> </w:t>
      </w:r>
      <w:r>
        <w:rPr>
          <w:position w:val="2"/>
        </w:rPr>
        <w:t>de</w:t>
      </w:r>
      <w:r>
        <w:rPr>
          <w:spacing w:val="19"/>
          <w:position w:val="2"/>
        </w:rPr>
        <w:t> </w:t>
      </w:r>
      <w:r>
        <w:rPr>
          <w:position w:val="2"/>
        </w:rPr>
        <w:t>combustible</w:t>
      </w:r>
      <w:r>
        <w:rPr>
          <w:spacing w:val="17"/>
          <w:position w:val="2"/>
        </w:rPr>
        <w:t> </w:t>
      </w:r>
      <w:r>
        <w:rPr>
          <w:position w:val="2"/>
        </w:rPr>
        <w:t>y</w:t>
      </w:r>
      <w:r>
        <w:rPr>
          <w:spacing w:val="17"/>
          <w:position w:val="2"/>
        </w:rPr>
        <w:t> </w:t>
      </w:r>
      <w:r>
        <w:rPr>
          <w:position w:val="2"/>
        </w:rPr>
        <w:t>las</w:t>
      </w:r>
      <w:r>
        <w:rPr>
          <w:spacing w:val="20"/>
          <w:position w:val="2"/>
        </w:rPr>
        <w:t> </w:t>
      </w:r>
      <w:r>
        <w:rPr>
          <w:position w:val="2"/>
        </w:rPr>
        <w:t>emisiones</w:t>
      </w:r>
      <w:r>
        <w:rPr>
          <w:spacing w:val="20"/>
          <w:position w:val="2"/>
        </w:rPr>
        <w:t> </w:t>
      </w:r>
      <w:r>
        <w:rPr>
          <w:position w:val="2"/>
        </w:rPr>
        <w:t>de</w:t>
      </w:r>
      <w:r>
        <w:rPr>
          <w:spacing w:val="24"/>
          <w:position w:val="2"/>
        </w:rPr>
        <w:t> </w:t>
      </w:r>
      <w:r>
        <w:rPr>
          <w:position w:val="2"/>
        </w:rPr>
        <w:t>CO</w:t>
      </w:r>
      <w:r>
        <w:rPr>
          <w:sz w:val="16"/>
        </w:rPr>
        <w:t>2 </w:t>
      </w:r>
      <w:r>
        <w:rPr>
          <w:spacing w:val="1"/>
          <w:sz w:val="16"/>
        </w:rPr>
        <w:t> </w:t>
      </w:r>
      <w:r>
        <w:rPr>
          <w:position w:val="2"/>
        </w:rPr>
        <w:t>en</w:t>
      </w:r>
      <w:r>
        <w:rPr>
          <w:spacing w:val="20"/>
          <w:position w:val="2"/>
        </w:rPr>
        <w:t> </w:t>
      </w:r>
      <w:r>
        <w:rPr>
          <w:position w:val="2"/>
        </w:rPr>
        <w:t>los</w:t>
      </w:r>
      <w:r>
        <w:rPr>
          <w:spacing w:val="21"/>
          <w:position w:val="2"/>
        </w:rPr>
        <w:t> </w:t>
      </w:r>
      <w:r>
        <w:rPr>
          <w:position w:val="2"/>
        </w:rPr>
        <w:t>vehículos</w:t>
      </w:r>
    </w:p>
    <w:p>
      <w:pPr>
        <w:pStyle w:val="BodyText"/>
        <w:rPr>
          <w:sz w:val="18"/>
        </w:rPr>
      </w:pPr>
      <w:r>
        <w:rPr/>
        <w:pict>
          <v:line style="position:absolute;mso-position-horizontal-relative:page;mso-position-vertical-relative:paragraph;z-index:1168;mso-wrap-distance-left:0;mso-wrap-distance-right:0" from="85.103996pt,12.637601pt" to="229.123996pt,12.637601pt" stroked="true" strokeweight=".60004pt" strokecolor="#000000">
            <w10:wrap type="topAndBottom"/>
          </v:line>
        </w:pict>
      </w:r>
    </w:p>
    <w:p>
      <w:pPr>
        <w:spacing w:before="70"/>
        <w:ind w:left="122" w:right="117" w:firstLine="0"/>
        <w:jc w:val="both"/>
        <w:rPr>
          <w:sz w:val="20"/>
        </w:rPr>
      </w:pPr>
      <w:r>
        <w:rPr>
          <w:position w:val="7"/>
          <w:sz w:val="13"/>
        </w:rPr>
        <w:t>5 </w:t>
      </w:r>
      <w:r>
        <w:rPr>
          <w:sz w:val="20"/>
        </w:rPr>
        <w:t>Existen dos grandes momentos en la evolución de la industria automotriz: primero, la utilización de la banda movible o línea de montaje a principios del siglo pasado por la empresa Ford; y, segundo el rediseño en la fabricación</w:t>
      </w:r>
      <w:r>
        <w:rPr>
          <w:spacing w:val="-15"/>
          <w:sz w:val="20"/>
        </w:rPr>
        <w:t> </w:t>
      </w:r>
      <w:r>
        <w:rPr>
          <w:sz w:val="20"/>
        </w:rPr>
        <w:t>de</w:t>
      </w:r>
      <w:r>
        <w:rPr>
          <w:spacing w:val="-14"/>
          <w:sz w:val="20"/>
        </w:rPr>
        <w:t> </w:t>
      </w:r>
      <w:r>
        <w:rPr>
          <w:sz w:val="20"/>
        </w:rPr>
        <w:t>vehículos</w:t>
      </w:r>
      <w:r>
        <w:rPr>
          <w:spacing w:val="-12"/>
          <w:sz w:val="20"/>
        </w:rPr>
        <w:t> </w:t>
      </w:r>
      <w:r>
        <w:rPr>
          <w:sz w:val="20"/>
        </w:rPr>
        <w:t>y</w:t>
      </w:r>
      <w:r>
        <w:rPr>
          <w:spacing w:val="-15"/>
          <w:sz w:val="20"/>
        </w:rPr>
        <w:t> </w:t>
      </w:r>
      <w:r>
        <w:rPr>
          <w:sz w:val="20"/>
        </w:rPr>
        <w:t>sus</w:t>
      </w:r>
      <w:r>
        <w:rPr>
          <w:spacing w:val="-12"/>
          <w:sz w:val="20"/>
        </w:rPr>
        <w:t> </w:t>
      </w:r>
      <w:r>
        <w:rPr>
          <w:sz w:val="20"/>
        </w:rPr>
        <w:t>partes</w:t>
      </w:r>
      <w:r>
        <w:rPr>
          <w:spacing w:val="-15"/>
          <w:sz w:val="20"/>
        </w:rPr>
        <w:t> </w:t>
      </w:r>
      <w:r>
        <w:rPr>
          <w:sz w:val="20"/>
        </w:rPr>
        <w:t>llevado</w:t>
      </w:r>
      <w:r>
        <w:rPr>
          <w:spacing w:val="-13"/>
          <w:sz w:val="20"/>
        </w:rPr>
        <w:t> </w:t>
      </w:r>
      <w:r>
        <w:rPr>
          <w:sz w:val="20"/>
        </w:rPr>
        <w:t>a</w:t>
      </w:r>
      <w:r>
        <w:rPr>
          <w:spacing w:val="-14"/>
          <w:sz w:val="20"/>
        </w:rPr>
        <w:t> </w:t>
      </w:r>
      <w:r>
        <w:rPr>
          <w:sz w:val="20"/>
        </w:rPr>
        <w:t>cabo</w:t>
      </w:r>
      <w:r>
        <w:rPr>
          <w:spacing w:val="-15"/>
          <w:sz w:val="20"/>
        </w:rPr>
        <w:t> </w:t>
      </w:r>
      <w:r>
        <w:rPr>
          <w:sz w:val="20"/>
        </w:rPr>
        <w:t>por</w:t>
      </w:r>
      <w:r>
        <w:rPr>
          <w:spacing w:val="-16"/>
          <w:sz w:val="20"/>
        </w:rPr>
        <w:t> </w:t>
      </w:r>
      <w:r>
        <w:rPr>
          <w:sz w:val="20"/>
        </w:rPr>
        <w:t>Toyota</w:t>
      </w:r>
      <w:r>
        <w:rPr>
          <w:spacing w:val="-14"/>
          <w:sz w:val="20"/>
        </w:rPr>
        <w:t> </w:t>
      </w:r>
      <w:r>
        <w:rPr>
          <w:sz w:val="20"/>
        </w:rPr>
        <w:t>en</w:t>
      </w:r>
      <w:r>
        <w:rPr>
          <w:spacing w:val="-15"/>
          <w:sz w:val="20"/>
        </w:rPr>
        <w:t> </w:t>
      </w:r>
      <w:r>
        <w:rPr>
          <w:sz w:val="20"/>
        </w:rPr>
        <w:t>Japón</w:t>
      </w:r>
      <w:r>
        <w:rPr>
          <w:spacing w:val="-15"/>
          <w:sz w:val="20"/>
        </w:rPr>
        <w:t> </w:t>
      </w:r>
      <w:r>
        <w:rPr>
          <w:sz w:val="20"/>
        </w:rPr>
        <w:t>al</w:t>
      </w:r>
      <w:r>
        <w:rPr>
          <w:spacing w:val="-14"/>
          <w:sz w:val="20"/>
        </w:rPr>
        <w:t> </w:t>
      </w:r>
      <w:r>
        <w:rPr>
          <w:sz w:val="20"/>
        </w:rPr>
        <w:t>finalizar</w:t>
      </w:r>
      <w:r>
        <w:rPr>
          <w:spacing w:val="-13"/>
          <w:sz w:val="20"/>
        </w:rPr>
        <w:t> </w:t>
      </w:r>
      <w:r>
        <w:rPr>
          <w:sz w:val="20"/>
        </w:rPr>
        <w:t>la</w:t>
      </w:r>
      <w:r>
        <w:rPr>
          <w:spacing w:val="-14"/>
          <w:sz w:val="20"/>
        </w:rPr>
        <w:t> </w:t>
      </w:r>
      <w:r>
        <w:rPr>
          <w:sz w:val="20"/>
        </w:rPr>
        <w:t>Segunda</w:t>
      </w:r>
      <w:r>
        <w:rPr>
          <w:spacing w:val="-14"/>
          <w:sz w:val="20"/>
        </w:rPr>
        <w:t> </w:t>
      </w:r>
      <w:r>
        <w:rPr>
          <w:sz w:val="20"/>
        </w:rPr>
        <w:t>Guerra</w:t>
      </w:r>
      <w:r>
        <w:rPr>
          <w:spacing w:val="-14"/>
          <w:sz w:val="20"/>
        </w:rPr>
        <w:t> </w:t>
      </w:r>
      <w:r>
        <w:rPr>
          <w:sz w:val="20"/>
        </w:rPr>
        <w:t>Mundial, (Mortimore y Barrón,</w:t>
      </w:r>
      <w:r>
        <w:rPr>
          <w:spacing w:val="-3"/>
          <w:sz w:val="20"/>
        </w:rPr>
        <w:t> </w:t>
      </w:r>
      <w:r>
        <w:rPr>
          <w:sz w:val="20"/>
        </w:rPr>
        <w:t>2005).</w:t>
      </w:r>
    </w:p>
    <w:p>
      <w:pPr>
        <w:spacing w:after="0"/>
        <w:jc w:val="both"/>
        <w:rPr>
          <w:sz w:val="20"/>
        </w:rPr>
        <w:sectPr>
          <w:pgSz w:w="12240" w:h="15840"/>
          <w:pgMar w:header="0" w:footer="1035" w:top="1360" w:bottom="1220" w:left="1580" w:right="1580"/>
        </w:sectPr>
      </w:pPr>
    </w:p>
    <w:p>
      <w:pPr>
        <w:pStyle w:val="BodyText"/>
        <w:spacing w:line="360" w:lineRule="auto" w:before="50"/>
        <w:ind w:left="102" w:right="118"/>
        <w:jc w:val="both"/>
      </w:pPr>
      <w:r>
        <w:rPr/>
        <w:t>híbridos, en especial en el tráfico urbano. En comparación con una unidad de propulsión convencional, el híbrido puede ahorrar hasta un 25% de combustible (ANFAC Research, 2103).</w:t>
      </w:r>
    </w:p>
    <w:p>
      <w:pPr>
        <w:pStyle w:val="BodyText"/>
        <w:spacing w:before="4"/>
        <w:rPr>
          <w:sz w:val="21"/>
        </w:rPr>
      </w:pPr>
    </w:p>
    <w:p>
      <w:pPr>
        <w:pStyle w:val="BodyText"/>
        <w:spacing w:line="360" w:lineRule="auto" w:before="1"/>
        <w:ind w:left="102" w:right="117"/>
        <w:jc w:val="both"/>
      </w:pPr>
      <w:r>
        <w:rPr/>
        <w:t>En otras palabras, los vehículos híbridos, que combinan la propulsión eléctrica con los motores de combustión interna, constituyen un claro referente de la implicación de los fabricantes</w:t>
      </w:r>
      <w:r>
        <w:rPr>
          <w:spacing w:val="-10"/>
        </w:rPr>
        <w:t> </w:t>
      </w:r>
      <w:r>
        <w:rPr/>
        <w:t>de</w:t>
      </w:r>
      <w:r>
        <w:rPr>
          <w:spacing w:val="-9"/>
        </w:rPr>
        <w:t> </w:t>
      </w:r>
      <w:r>
        <w:rPr/>
        <w:t>automóviles</w:t>
      </w:r>
      <w:r>
        <w:rPr>
          <w:spacing w:val="-10"/>
        </w:rPr>
        <w:t> </w:t>
      </w:r>
      <w:r>
        <w:rPr/>
        <w:t>con</w:t>
      </w:r>
      <w:r>
        <w:rPr>
          <w:spacing w:val="-10"/>
        </w:rPr>
        <w:t> </w:t>
      </w:r>
      <w:r>
        <w:rPr/>
        <w:t>la</w:t>
      </w:r>
      <w:r>
        <w:rPr>
          <w:spacing w:val="-11"/>
        </w:rPr>
        <w:t> </w:t>
      </w:r>
      <w:r>
        <w:rPr/>
        <w:t>producción</w:t>
      </w:r>
      <w:r>
        <w:rPr>
          <w:spacing w:val="-10"/>
        </w:rPr>
        <w:t> </w:t>
      </w:r>
      <w:r>
        <w:rPr/>
        <w:t>de</w:t>
      </w:r>
      <w:r>
        <w:rPr>
          <w:spacing w:val="-11"/>
        </w:rPr>
        <w:t> </w:t>
      </w:r>
      <w:r>
        <w:rPr/>
        <w:t>vehículos</w:t>
      </w:r>
      <w:r>
        <w:rPr>
          <w:spacing w:val="-10"/>
        </w:rPr>
        <w:t> </w:t>
      </w:r>
      <w:r>
        <w:rPr/>
        <w:t>cada</w:t>
      </w:r>
      <w:r>
        <w:rPr>
          <w:spacing w:val="-11"/>
        </w:rPr>
        <w:t> </w:t>
      </w:r>
      <w:r>
        <w:rPr/>
        <w:t>vez</w:t>
      </w:r>
      <w:r>
        <w:rPr>
          <w:spacing w:val="-9"/>
        </w:rPr>
        <w:t> </w:t>
      </w:r>
      <w:r>
        <w:rPr/>
        <w:t>más</w:t>
      </w:r>
      <w:r>
        <w:rPr>
          <w:spacing w:val="-10"/>
        </w:rPr>
        <w:t> </w:t>
      </w:r>
      <w:r>
        <w:rPr/>
        <w:t>limpios</w:t>
      </w:r>
      <w:r>
        <w:rPr>
          <w:spacing w:val="-7"/>
        </w:rPr>
        <w:t> </w:t>
      </w:r>
      <w:r>
        <w:rPr/>
        <w:t>y</w:t>
      </w:r>
      <w:r>
        <w:rPr>
          <w:spacing w:val="-15"/>
        </w:rPr>
        <w:t> </w:t>
      </w:r>
      <w:r>
        <w:rPr/>
        <w:t>eficientes.</w:t>
      </w:r>
    </w:p>
    <w:p>
      <w:pPr>
        <w:pStyle w:val="BodyText"/>
        <w:spacing w:before="3"/>
        <w:rPr>
          <w:sz w:val="21"/>
        </w:rPr>
      </w:pPr>
    </w:p>
    <w:p>
      <w:pPr>
        <w:pStyle w:val="BodyText"/>
        <w:spacing w:line="360" w:lineRule="auto"/>
        <w:ind w:left="102" w:right="117"/>
        <w:jc w:val="both"/>
      </w:pPr>
      <w:r>
        <w:rPr/>
        <w:t>Se</w:t>
      </w:r>
      <w:r>
        <w:rPr>
          <w:spacing w:val="-6"/>
        </w:rPr>
        <w:t> </w:t>
      </w:r>
      <w:r>
        <w:rPr/>
        <w:t>pueden</w:t>
      </w:r>
      <w:r>
        <w:rPr>
          <w:spacing w:val="-5"/>
        </w:rPr>
        <w:t> </w:t>
      </w:r>
      <w:r>
        <w:rPr/>
        <w:t>distinguir</w:t>
      </w:r>
      <w:r>
        <w:rPr>
          <w:spacing w:val="-4"/>
        </w:rPr>
        <w:t> </w:t>
      </w:r>
      <w:r>
        <w:rPr/>
        <w:t>diferentes</w:t>
      </w:r>
      <w:r>
        <w:rPr>
          <w:spacing w:val="-5"/>
        </w:rPr>
        <w:t> </w:t>
      </w:r>
      <w:r>
        <w:rPr/>
        <w:t>tipos</w:t>
      </w:r>
      <w:r>
        <w:rPr>
          <w:spacing w:val="-5"/>
        </w:rPr>
        <w:t> </w:t>
      </w:r>
      <w:r>
        <w:rPr/>
        <w:t>de</w:t>
      </w:r>
      <w:r>
        <w:rPr>
          <w:spacing w:val="-6"/>
        </w:rPr>
        <w:t> </w:t>
      </w:r>
      <w:r>
        <w:rPr/>
        <w:t>hibridación</w:t>
      </w:r>
      <w:r>
        <w:rPr>
          <w:spacing w:val="-4"/>
        </w:rPr>
        <w:t> </w:t>
      </w:r>
      <w:r>
        <w:rPr/>
        <w:t>en</w:t>
      </w:r>
      <w:r>
        <w:rPr>
          <w:spacing w:val="-5"/>
        </w:rPr>
        <w:t> </w:t>
      </w:r>
      <w:r>
        <w:rPr/>
        <w:t>función</w:t>
      </w:r>
      <w:r>
        <w:rPr>
          <w:spacing w:val="-4"/>
        </w:rPr>
        <w:t> </w:t>
      </w:r>
      <w:r>
        <w:rPr/>
        <w:t>del</w:t>
      </w:r>
      <w:r>
        <w:rPr>
          <w:spacing w:val="-4"/>
        </w:rPr>
        <w:t> </w:t>
      </w:r>
      <w:r>
        <w:rPr/>
        <w:t>grado</w:t>
      </w:r>
      <w:r>
        <w:rPr>
          <w:spacing w:val="-5"/>
        </w:rPr>
        <w:t> </w:t>
      </w:r>
      <w:r>
        <w:rPr/>
        <w:t>de</w:t>
      </w:r>
      <w:r>
        <w:rPr>
          <w:spacing w:val="-6"/>
        </w:rPr>
        <w:t> </w:t>
      </w:r>
      <w:r>
        <w:rPr/>
        <w:t>intervención</w:t>
      </w:r>
      <w:r>
        <w:rPr>
          <w:spacing w:val="-4"/>
        </w:rPr>
        <w:t> </w:t>
      </w:r>
      <w:r>
        <w:rPr/>
        <w:t>del motor</w:t>
      </w:r>
      <w:r>
        <w:rPr>
          <w:spacing w:val="-14"/>
        </w:rPr>
        <w:t> </w:t>
      </w:r>
      <w:r>
        <w:rPr/>
        <w:t>eléctrico</w:t>
      </w:r>
      <w:r>
        <w:rPr>
          <w:spacing w:val="-11"/>
        </w:rPr>
        <w:t> </w:t>
      </w:r>
      <w:r>
        <w:rPr/>
        <w:t>en</w:t>
      </w:r>
      <w:r>
        <w:rPr>
          <w:spacing w:val="-13"/>
        </w:rPr>
        <w:t> </w:t>
      </w:r>
      <w:r>
        <w:rPr/>
        <w:t>la</w:t>
      </w:r>
      <w:r>
        <w:rPr>
          <w:spacing w:val="-14"/>
        </w:rPr>
        <w:t> </w:t>
      </w:r>
      <w:r>
        <w:rPr/>
        <w:t>propulsión</w:t>
      </w:r>
      <w:r>
        <w:rPr>
          <w:spacing w:val="-13"/>
        </w:rPr>
        <w:t> </w:t>
      </w:r>
      <w:r>
        <w:rPr/>
        <w:t>del</w:t>
      </w:r>
      <w:r>
        <w:rPr>
          <w:spacing w:val="-13"/>
        </w:rPr>
        <w:t> </w:t>
      </w:r>
      <w:r>
        <w:rPr/>
        <w:t>vehículo</w:t>
      </w:r>
      <w:r>
        <w:rPr>
          <w:spacing w:val="-11"/>
        </w:rPr>
        <w:t> </w:t>
      </w:r>
      <w:r>
        <w:rPr/>
        <w:t>y</w:t>
      </w:r>
      <w:r>
        <w:rPr>
          <w:spacing w:val="-18"/>
        </w:rPr>
        <w:t> </w:t>
      </w:r>
      <w:r>
        <w:rPr/>
        <w:t>su</w:t>
      </w:r>
      <w:r>
        <w:rPr>
          <w:spacing w:val="-13"/>
        </w:rPr>
        <w:t> </w:t>
      </w:r>
      <w:r>
        <w:rPr/>
        <w:t>interacción</w:t>
      </w:r>
      <w:r>
        <w:rPr>
          <w:spacing w:val="-13"/>
        </w:rPr>
        <w:t> </w:t>
      </w:r>
      <w:r>
        <w:rPr/>
        <w:t>con</w:t>
      </w:r>
      <w:r>
        <w:rPr>
          <w:spacing w:val="-13"/>
        </w:rPr>
        <w:t> </w:t>
      </w:r>
      <w:r>
        <w:rPr/>
        <w:t>el</w:t>
      </w:r>
      <w:r>
        <w:rPr>
          <w:spacing w:val="-13"/>
        </w:rPr>
        <w:t> </w:t>
      </w:r>
      <w:r>
        <w:rPr/>
        <w:t>motor</w:t>
      </w:r>
      <w:r>
        <w:rPr>
          <w:spacing w:val="-14"/>
        </w:rPr>
        <w:t> </w:t>
      </w:r>
      <w:r>
        <w:rPr/>
        <w:t>térmico,</w:t>
      </w:r>
      <w:r>
        <w:rPr>
          <w:spacing w:val="-13"/>
        </w:rPr>
        <w:t> </w:t>
      </w:r>
      <w:r>
        <w:rPr/>
        <w:t>siguiendo a ANFAC Research, (2103) tenemos</w:t>
      </w:r>
      <w:r>
        <w:rPr>
          <w:spacing w:val="-9"/>
        </w:rPr>
        <w:t> </w:t>
      </w:r>
      <w:r>
        <w:rPr/>
        <w:t>que:</w:t>
      </w:r>
    </w:p>
    <w:p>
      <w:pPr>
        <w:pStyle w:val="BodyText"/>
        <w:spacing w:before="4"/>
        <w:rPr>
          <w:sz w:val="21"/>
        </w:rPr>
      </w:pPr>
    </w:p>
    <w:p>
      <w:pPr>
        <w:pStyle w:val="ListParagraph"/>
        <w:numPr>
          <w:ilvl w:val="0"/>
          <w:numId w:val="11"/>
        </w:numPr>
        <w:tabs>
          <w:tab w:pos="333" w:val="left" w:leader="none"/>
        </w:tabs>
        <w:spacing w:line="360" w:lineRule="auto" w:before="1" w:after="0"/>
        <w:ind w:left="102" w:right="118" w:firstLine="0"/>
        <w:jc w:val="both"/>
        <w:rPr>
          <w:sz w:val="24"/>
        </w:rPr>
      </w:pPr>
      <w:r>
        <w:rPr>
          <w:sz w:val="24"/>
        </w:rPr>
        <w:t>En</w:t>
      </w:r>
      <w:r>
        <w:rPr>
          <w:spacing w:val="-11"/>
          <w:sz w:val="24"/>
        </w:rPr>
        <w:t> </w:t>
      </w:r>
      <w:r>
        <w:rPr>
          <w:sz w:val="24"/>
        </w:rPr>
        <w:t>un</w:t>
      </w:r>
      <w:r>
        <w:rPr>
          <w:spacing w:val="-11"/>
          <w:sz w:val="24"/>
        </w:rPr>
        <w:t> </w:t>
      </w:r>
      <w:r>
        <w:rPr>
          <w:b/>
          <w:sz w:val="24"/>
        </w:rPr>
        <w:t>híbrido</w:t>
      </w:r>
      <w:r>
        <w:rPr>
          <w:b/>
          <w:spacing w:val="-11"/>
          <w:sz w:val="24"/>
        </w:rPr>
        <w:t> </w:t>
      </w:r>
      <w:r>
        <w:rPr>
          <w:b/>
          <w:sz w:val="24"/>
        </w:rPr>
        <w:t>en</w:t>
      </w:r>
      <w:r>
        <w:rPr>
          <w:b/>
          <w:spacing w:val="-10"/>
          <w:sz w:val="24"/>
        </w:rPr>
        <w:t> </w:t>
      </w:r>
      <w:r>
        <w:rPr>
          <w:b/>
          <w:sz w:val="24"/>
        </w:rPr>
        <w:t>serie</w:t>
      </w:r>
      <w:r>
        <w:rPr>
          <w:b/>
          <w:spacing w:val="-7"/>
          <w:sz w:val="24"/>
        </w:rPr>
        <w:t> </w:t>
      </w:r>
      <w:r>
        <w:rPr>
          <w:sz w:val="24"/>
        </w:rPr>
        <w:t>el</w:t>
      </w:r>
      <w:r>
        <w:rPr>
          <w:spacing w:val="-11"/>
          <w:sz w:val="24"/>
        </w:rPr>
        <w:t> </w:t>
      </w:r>
      <w:r>
        <w:rPr>
          <w:sz w:val="24"/>
        </w:rPr>
        <w:t>motor</w:t>
      </w:r>
      <w:r>
        <w:rPr>
          <w:spacing w:val="-12"/>
          <w:sz w:val="24"/>
        </w:rPr>
        <w:t> </w:t>
      </w:r>
      <w:r>
        <w:rPr>
          <w:sz w:val="24"/>
        </w:rPr>
        <w:t>térmico</w:t>
      </w:r>
      <w:r>
        <w:rPr>
          <w:spacing w:val="-11"/>
          <w:sz w:val="24"/>
        </w:rPr>
        <w:t> </w:t>
      </w:r>
      <w:r>
        <w:rPr>
          <w:sz w:val="24"/>
        </w:rPr>
        <w:t>no</w:t>
      </w:r>
      <w:r>
        <w:rPr>
          <w:spacing w:val="-9"/>
          <w:sz w:val="24"/>
        </w:rPr>
        <w:t> </w:t>
      </w:r>
      <w:r>
        <w:rPr>
          <w:sz w:val="24"/>
        </w:rPr>
        <w:t>proporciona</w:t>
      </w:r>
      <w:r>
        <w:rPr>
          <w:spacing w:val="-12"/>
          <w:sz w:val="24"/>
        </w:rPr>
        <w:t> </w:t>
      </w:r>
      <w:r>
        <w:rPr>
          <w:sz w:val="24"/>
        </w:rPr>
        <w:t>directamente</w:t>
      </w:r>
      <w:r>
        <w:rPr>
          <w:spacing w:val="-11"/>
          <w:sz w:val="24"/>
        </w:rPr>
        <w:t> </w:t>
      </w:r>
      <w:r>
        <w:rPr>
          <w:sz w:val="24"/>
        </w:rPr>
        <w:t>tracción</w:t>
      </w:r>
      <w:r>
        <w:rPr>
          <w:spacing w:val="-11"/>
          <w:sz w:val="24"/>
        </w:rPr>
        <w:t> </w:t>
      </w:r>
      <w:r>
        <w:rPr>
          <w:sz w:val="24"/>
        </w:rPr>
        <w:t>al</w:t>
      </w:r>
      <w:r>
        <w:rPr>
          <w:spacing w:val="-11"/>
          <w:sz w:val="24"/>
        </w:rPr>
        <w:t> </w:t>
      </w:r>
      <w:r>
        <w:rPr>
          <w:sz w:val="24"/>
        </w:rPr>
        <w:t>vehículo, sino que sólo funciona generando energía eléctrica para cargar la batería que sirve como fuente de energía al motor eléctrico. Es decir, en este tipo de vehículos la propulsión es únicamente eléctrica, por lo que es más habitual considerarlos como eléctricos: son los llamados</w:t>
      </w:r>
      <w:r>
        <w:rPr>
          <w:spacing w:val="-16"/>
          <w:sz w:val="24"/>
        </w:rPr>
        <w:t> </w:t>
      </w:r>
      <w:r>
        <w:rPr>
          <w:sz w:val="24"/>
        </w:rPr>
        <w:t>vehículos</w:t>
      </w:r>
      <w:r>
        <w:rPr>
          <w:spacing w:val="-13"/>
          <w:sz w:val="24"/>
        </w:rPr>
        <w:t> </w:t>
      </w:r>
      <w:r>
        <w:rPr>
          <w:sz w:val="24"/>
        </w:rPr>
        <w:t>eléctricos</w:t>
      </w:r>
      <w:r>
        <w:rPr>
          <w:spacing w:val="-16"/>
          <w:sz w:val="24"/>
        </w:rPr>
        <w:t> </w:t>
      </w:r>
      <w:r>
        <w:rPr>
          <w:sz w:val="24"/>
        </w:rPr>
        <w:t>de</w:t>
      </w:r>
      <w:r>
        <w:rPr>
          <w:spacing w:val="-14"/>
          <w:sz w:val="24"/>
        </w:rPr>
        <w:t> </w:t>
      </w:r>
      <w:r>
        <w:rPr>
          <w:sz w:val="24"/>
        </w:rPr>
        <w:t>“autonomía</w:t>
      </w:r>
      <w:r>
        <w:rPr>
          <w:spacing w:val="-14"/>
          <w:sz w:val="24"/>
        </w:rPr>
        <w:t> </w:t>
      </w:r>
      <w:r>
        <w:rPr>
          <w:sz w:val="24"/>
        </w:rPr>
        <w:t>extendida”</w:t>
      </w:r>
      <w:r>
        <w:rPr>
          <w:spacing w:val="-17"/>
          <w:sz w:val="24"/>
        </w:rPr>
        <w:t> </w:t>
      </w:r>
      <w:r>
        <w:rPr>
          <w:sz w:val="24"/>
        </w:rPr>
        <w:t>o</w:t>
      </w:r>
      <w:r>
        <w:rPr>
          <w:spacing w:val="-14"/>
          <w:sz w:val="24"/>
        </w:rPr>
        <w:t> </w:t>
      </w:r>
      <w:r>
        <w:rPr>
          <w:sz w:val="24"/>
        </w:rPr>
        <w:t>de</w:t>
      </w:r>
      <w:r>
        <w:rPr>
          <w:spacing w:val="-14"/>
          <w:sz w:val="24"/>
        </w:rPr>
        <w:t> </w:t>
      </w:r>
      <w:r>
        <w:rPr>
          <w:sz w:val="24"/>
        </w:rPr>
        <w:t>“rango</w:t>
      </w:r>
      <w:r>
        <w:rPr>
          <w:spacing w:val="-16"/>
          <w:sz w:val="24"/>
        </w:rPr>
        <w:t> </w:t>
      </w:r>
      <w:r>
        <w:rPr>
          <w:sz w:val="24"/>
        </w:rPr>
        <w:t>extendido”.</w:t>
      </w:r>
      <w:r>
        <w:rPr>
          <w:spacing w:val="-16"/>
          <w:sz w:val="24"/>
        </w:rPr>
        <w:t> </w:t>
      </w:r>
      <w:r>
        <w:rPr>
          <w:sz w:val="24"/>
        </w:rPr>
        <w:t>Otra</w:t>
      </w:r>
      <w:r>
        <w:rPr>
          <w:spacing w:val="-17"/>
          <w:sz w:val="24"/>
        </w:rPr>
        <w:t> </w:t>
      </w:r>
      <w:r>
        <w:rPr>
          <w:sz w:val="24"/>
        </w:rPr>
        <w:t>posible configuración de híbrido en serie se encuentra en los llamados vehículos “semi-híbridos”:</w:t>
      </w:r>
      <w:r>
        <w:rPr>
          <w:spacing w:val="-21"/>
          <w:sz w:val="24"/>
        </w:rPr>
        <w:t> </w:t>
      </w:r>
      <w:r>
        <w:rPr>
          <w:sz w:val="24"/>
        </w:rPr>
        <w:t>el motor eléctrico sólo actúa como asistente del motor térmico, proporcionándole energía adicional, pero sin conexión mecánica con las</w:t>
      </w:r>
      <w:r>
        <w:rPr>
          <w:spacing w:val="-7"/>
          <w:sz w:val="24"/>
        </w:rPr>
        <w:t> </w:t>
      </w:r>
      <w:r>
        <w:rPr>
          <w:sz w:val="24"/>
        </w:rPr>
        <w:t>ruedas.</w:t>
      </w:r>
    </w:p>
    <w:p>
      <w:pPr>
        <w:pStyle w:val="BodyText"/>
        <w:spacing w:before="4"/>
        <w:rPr>
          <w:sz w:val="21"/>
        </w:rPr>
      </w:pPr>
    </w:p>
    <w:p>
      <w:pPr>
        <w:pStyle w:val="ListParagraph"/>
        <w:numPr>
          <w:ilvl w:val="0"/>
          <w:numId w:val="11"/>
        </w:numPr>
        <w:tabs>
          <w:tab w:pos="414" w:val="left" w:leader="none"/>
        </w:tabs>
        <w:spacing w:line="360" w:lineRule="auto" w:before="1" w:after="0"/>
        <w:ind w:left="102" w:right="117" w:firstLine="0"/>
        <w:jc w:val="both"/>
        <w:rPr>
          <w:sz w:val="24"/>
        </w:rPr>
      </w:pPr>
      <w:r>
        <w:rPr>
          <w:sz w:val="24"/>
        </w:rPr>
        <w:t>Un </w:t>
      </w:r>
      <w:r>
        <w:rPr>
          <w:b/>
          <w:sz w:val="24"/>
        </w:rPr>
        <w:t>híbrido combinado </w:t>
      </w:r>
      <w:r>
        <w:rPr>
          <w:sz w:val="24"/>
        </w:rPr>
        <w:t>permite cualquier combinación entre ambos motores para proporcionar</w:t>
      </w:r>
      <w:r>
        <w:rPr>
          <w:spacing w:val="-6"/>
          <w:sz w:val="24"/>
        </w:rPr>
        <w:t> </w:t>
      </w:r>
      <w:r>
        <w:rPr>
          <w:sz w:val="24"/>
        </w:rPr>
        <w:t>tracción</w:t>
      </w:r>
      <w:r>
        <w:rPr>
          <w:spacing w:val="-4"/>
          <w:sz w:val="24"/>
        </w:rPr>
        <w:t> </w:t>
      </w:r>
      <w:r>
        <w:rPr>
          <w:sz w:val="24"/>
        </w:rPr>
        <w:t>al</w:t>
      </w:r>
      <w:r>
        <w:rPr>
          <w:spacing w:val="-2"/>
          <w:sz w:val="24"/>
        </w:rPr>
        <w:t> </w:t>
      </w:r>
      <w:r>
        <w:rPr>
          <w:sz w:val="24"/>
        </w:rPr>
        <w:t>vehículo</w:t>
      </w:r>
      <w:r>
        <w:rPr>
          <w:spacing w:val="-4"/>
          <w:sz w:val="24"/>
        </w:rPr>
        <w:t> </w:t>
      </w:r>
      <w:r>
        <w:rPr>
          <w:sz w:val="24"/>
        </w:rPr>
        <w:t>a</w:t>
      </w:r>
      <w:r>
        <w:rPr>
          <w:spacing w:val="-6"/>
          <w:sz w:val="24"/>
        </w:rPr>
        <w:t> </w:t>
      </w:r>
      <w:r>
        <w:rPr>
          <w:sz w:val="24"/>
        </w:rPr>
        <w:t>partir</w:t>
      </w:r>
      <w:r>
        <w:rPr>
          <w:spacing w:val="-5"/>
          <w:sz w:val="24"/>
        </w:rPr>
        <w:t> </w:t>
      </w:r>
      <w:r>
        <w:rPr>
          <w:sz w:val="24"/>
        </w:rPr>
        <w:t>del</w:t>
      </w:r>
      <w:r>
        <w:rPr>
          <w:spacing w:val="-4"/>
          <w:sz w:val="24"/>
        </w:rPr>
        <w:t> </w:t>
      </w:r>
      <w:r>
        <w:rPr>
          <w:sz w:val="24"/>
        </w:rPr>
        <w:t>motor</w:t>
      </w:r>
      <w:r>
        <w:rPr>
          <w:spacing w:val="-6"/>
          <w:sz w:val="24"/>
        </w:rPr>
        <w:t> </w:t>
      </w:r>
      <w:r>
        <w:rPr>
          <w:sz w:val="24"/>
        </w:rPr>
        <w:t>térmico</w:t>
      </w:r>
      <w:r>
        <w:rPr>
          <w:spacing w:val="-2"/>
          <w:sz w:val="24"/>
        </w:rPr>
        <w:t> </w:t>
      </w:r>
      <w:r>
        <w:rPr>
          <w:sz w:val="24"/>
        </w:rPr>
        <w:t>y/o</w:t>
      </w:r>
      <w:r>
        <w:rPr>
          <w:spacing w:val="-4"/>
          <w:sz w:val="24"/>
        </w:rPr>
        <w:t> </w:t>
      </w:r>
      <w:r>
        <w:rPr>
          <w:sz w:val="24"/>
        </w:rPr>
        <w:t>el</w:t>
      </w:r>
      <w:r>
        <w:rPr>
          <w:spacing w:val="-4"/>
          <w:sz w:val="24"/>
        </w:rPr>
        <w:t> </w:t>
      </w:r>
      <w:r>
        <w:rPr>
          <w:sz w:val="24"/>
        </w:rPr>
        <w:t>eléctrico,</w:t>
      </w:r>
      <w:r>
        <w:rPr>
          <w:spacing w:val="-5"/>
          <w:sz w:val="24"/>
        </w:rPr>
        <w:t> </w:t>
      </w:r>
      <w:r>
        <w:rPr>
          <w:sz w:val="24"/>
        </w:rPr>
        <w:t>engranados</w:t>
      </w:r>
      <w:r>
        <w:rPr>
          <w:spacing w:val="-5"/>
          <w:sz w:val="24"/>
        </w:rPr>
        <w:t> </w:t>
      </w:r>
      <w:r>
        <w:rPr>
          <w:sz w:val="24"/>
        </w:rPr>
        <w:t>a</w:t>
      </w:r>
      <w:r>
        <w:rPr>
          <w:spacing w:val="-6"/>
          <w:sz w:val="24"/>
        </w:rPr>
        <w:t> </w:t>
      </w:r>
      <w:r>
        <w:rPr>
          <w:sz w:val="24"/>
        </w:rPr>
        <w:t>un diferencial de tipo planetario para transmisión del par motor a las</w:t>
      </w:r>
      <w:r>
        <w:rPr>
          <w:spacing w:val="-15"/>
          <w:sz w:val="24"/>
        </w:rPr>
        <w:t> </w:t>
      </w:r>
      <w:r>
        <w:rPr>
          <w:sz w:val="24"/>
        </w:rPr>
        <w:t>ruedas.</w:t>
      </w:r>
    </w:p>
    <w:p>
      <w:pPr>
        <w:pStyle w:val="BodyText"/>
        <w:spacing w:before="2"/>
        <w:rPr>
          <w:sz w:val="21"/>
        </w:rPr>
      </w:pPr>
    </w:p>
    <w:p>
      <w:pPr>
        <w:pStyle w:val="ListParagraph"/>
        <w:numPr>
          <w:ilvl w:val="0"/>
          <w:numId w:val="11"/>
        </w:numPr>
        <w:tabs>
          <w:tab w:pos="347" w:val="left" w:leader="none"/>
        </w:tabs>
        <w:spacing w:line="360" w:lineRule="auto" w:before="0" w:after="0"/>
        <w:ind w:left="102" w:right="118" w:firstLine="0"/>
        <w:jc w:val="both"/>
        <w:rPr>
          <w:sz w:val="24"/>
        </w:rPr>
      </w:pPr>
      <w:r>
        <w:rPr>
          <w:sz w:val="24"/>
        </w:rPr>
        <w:t>En un </w:t>
      </w:r>
      <w:r>
        <w:rPr>
          <w:b/>
          <w:sz w:val="24"/>
        </w:rPr>
        <w:t>híbrido en paralelo </w:t>
      </w:r>
      <w:r>
        <w:rPr>
          <w:sz w:val="24"/>
        </w:rPr>
        <w:t>ambos motores transmiten potencia de propulsión al vehículo al mismo tiempo. En esta configuración, en lugar de desviar la potencia a través de un engranaje planetario, el sistema de control y de regulación distribuye los pares de accionamiento entre el motor eléctrico y el motor de</w:t>
      </w:r>
      <w:r>
        <w:rPr>
          <w:spacing w:val="-10"/>
          <w:sz w:val="24"/>
        </w:rPr>
        <w:t> </w:t>
      </w:r>
      <w:r>
        <w:rPr>
          <w:sz w:val="24"/>
        </w:rPr>
        <w:t>combustión.</w:t>
      </w:r>
    </w:p>
    <w:p>
      <w:pPr>
        <w:pStyle w:val="BodyText"/>
        <w:spacing w:before="2"/>
        <w:rPr>
          <w:sz w:val="21"/>
        </w:rPr>
      </w:pPr>
    </w:p>
    <w:p>
      <w:pPr>
        <w:pStyle w:val="BodyText"/>
        <w:spacing w:line="360" w:lineRule="auto"/>
        <w:ind w:left="102" w:right="118"/>
        <w:jc w:val="both"/>
      </w:pPr>
      <w:r>
        <w:rPr/>
        <w:t>El uso de estas nuevas tecnologías parece indicar que en los próximos años se generará una reestructuración en el sector a nivel mundial. Empresas como Toyota, que está a la vanguardia en el uso de estas nuevas tecnologías híbridas, está ganando terreno y lleva un importante camino recorrido en el campo de la I+D en nuevas tecnologías, lo que le ha</w:t>
      </w:r>
    </w:p>
    <w:p>
      <w:pPr>
        <w:spacing w:after="0" w:line="360" w:lineRule="auto"/>
        <w:jc w:val="both"/>
        <w:sectPr>
          <w:pgSz w:w="12240" w:h="15840"/>
          <w:pgMar w:header="0" w:footer="1035" w:top="1360" w:bottom="1220" w:left="1600" w:right="1580"/>
        </w:sectPr>
      </w:pPr>
    </w:p>
    <w:p>
      <w:pPr>
        <w:pStyle w:val="BodyText"/>
        <w:spacing w:line="360" w:lineRule="auto" w:before="50"/>
        <w:ind w:left="102" w:right="115"/>
        <w:jc w:val="both"/>
      </w:pPr>
      <w:r>
        <w:rPr/>
        <w:t>permitido la producción y venta en masa de vehículos híbridos desde mediados de los años noventa.</w:t>
      </w:r>
      <w:r>
        <w:rPr>
          <w:spacing w:val="-7"/>
        </w:rPr>
        <w:t> </w:t>
      </w:r>
      <w:r>
        <w:rPr/>
        <w:t>Por</w:t>
      </w:r>
      <w:r>
        <w:rPr>
          <w:spacing w:val="-7"/>
        </w:rPr>
        <w:t> </w:t>
      </w:r>
      <w:r>
        <w:rPr/>
        <w:t>el</w:t>
      </w:r>
      <w:r>
        <w:rPr>
          <w:spacing w:val="-6"/>
        </w:rPr>
        <w:t> </w:t>
      </w:r>
      <w:r>
        <w:rPr/>
        <w:t>contrario,</w:t>
      </w:r>
      <w:r>
        <w:rPr>
          <w:spacing w:val="-4"/>
        </w:rPr>
        <w:t> </w:t>
      </w:r>
      <w:r>
        <w:rPr/>
        <w:t>General</w:t>
      </w:r>
      <w:r>
        <w:rPr>
          <w:spacing w:val="-6"/>
        </w:rPr>
        <w:t> </w:t>
      </w:r>
      <w:r>
        <w:rPr/>
        <w:t>Motors,</w:t>
      </w:r>
      <w:r>
        <w:rPr>
          <w:spacing w:val="-7"/>
        </w:rPr>
        <w:t> </w:t>
      </w:r>
      <w:r>
        <w:rPr/>
        <w:t>empresa</w:t>
      </w:r>
      <w:r>
        <w:rPr>
          <w:spacing w:val="-7"/>
        </w:rPr>
        <w:t> </w:t>
      </w:r>
      <w:r>
        <w:rPr/>
        <w:t>que</w:t>
      </w:r>
      <w:r>
        <w:rPr>
          <w:spacing w:val="-7"/>
        </w:rPr>
        <w:t> </w:t>
      </w:r>
      <w:r>
        <w:rPr/>
        <w:t>por</w:t>
      </w:r>
      <w:r>
        <w:rPr>
          <w:spacing w:val="-7"/>
        </w:rPr>
        <w:t> </w:t>
      </w:r>
      <w:r>
        <w:rPr/>
        <w:t>muchos</w:t>
      </w:r>
      <w:r>
        <w:rPr>
          <w:spacing w:val="-7"/>
        </w:rPr>
        <w:t> </w:t>
      </w:r>
      <w:r>
        <w:rPr/>
        <w:t>años</w:t>
      </w:r>
      <w:r>
        <w:rPr>
          <w:spacing w:val="-6"/>
        </w:rPr>
        <w:t> </w:t>
      </w:r>
      <w:r>
        <w:rPr>
          <w:spacing w:val="2"/>
        </w:rPr>
        <w:t>ha</w:t>
      </w:r>
      <w:r>
        <w:rPr>
          <w:spacing w:val="-7"/>
        </w:rPr>
        <w:t> </w:t>
      </w:r>
      <w:r>
        <w:rPr/>
        <w:t>sido</w:t>
      </w:r>
      <w:r>
        <w:rPr>
          <w:spacing w:val="-6"/>
        </w:rPr>
        <w:t> </w:t>
      </w:r>
      <w:r>
        <w:rPr/>
        <w:t>el</w:t>
      </w:r>
      <w:r>
        <w:rPr>
          <w:spacing w:val="-6"/>
        </w:rPr>
        <w:t> </w:t>
      </w:r>
      <w:r>
        <w:rPr/>
        <w:t>principal productor de vehículos a nivel mundial se ha quedado rezagada en el uso de estas nuevas tecnologías que están moviendo al sector a nivel mundial y que sin duda se convierte en un factor esencial de competitividad (Carbajal,</w:t>
      </w:r>
      <w:r>
        <w:rPr>
          <w:spacing w:val="-8"/>
        </w:rPr>
        <w:t> </w:t>
      </w:r>
      <w:r>
        <w:rPr/>
        <w:t>2013).</w:t>
      </w:r>
    </w:p>
    <w:p>
      <w:pPr>
        <w:pStyle w:val="BodyText"/>
      </w:pPr>
    </w:p>
    <w:p>
      <w:pPr>
        <w:pStyle w:val="BodyText"/>
        <w:spacing w:line="360" w:lineRule="auto" w:before="143"/>
        <w:ind w:left="102" w:right="113"/>
        <w:jc w:val="both"/>
      </w:pPr>
      <w:r>
        <w:rPr/>
        <w:t>El</w:t>
      </w:r>
      <w:r>
        <w:rPr>
          <w:spacing w:val="-14"/>
        </w:rPr>
        <w:t> </w:t>
      </w:r>
      <w:r>
        <w:rPr/>
        <w:t>líder</w:t>
      </w:r>
      <w:r>
        <w:rPr>
          <w:spacing w:val="-16"/>
        </w:rPr>
        <w:t> </w:t>
      </w:r>
      <w:r>
        <w:rPr/>
        <w:t>mundial</w:t>
      </w:r>
      <w:r>
        <w:rPr>
          <w:spacing w:val="-14"/>
        </w:rPr>
        <w:t> </w:t>
      </w:r>
      <w:r>
        <w:rPr/>
        <w:t>en</w:t>
      </w:r>
      <w:r>
        <w:rPr>
          <w:spacing w:val="-14"/>
        </w:rPr>
        <w:t> </w:t>
      </w:r>
      <w:r>
        <w:rPr/>
        <w:t>inversión</w:t>
      </w:r>
      <w:r>
        <w:rPr>
          <w:spacing w:val="-14"/>
        </w:rPr>
        <w:t> </w:t>
      </w:r>
      <w:r>
        <w:rPr/>
        <w:t>en</w:t>
      </w:r>
      <w:r>
        <w:rPr>
          <w:spacing w:val="-14"/>
        </w:rPr>
        <w:t> </w:t>
      </w:r>
      <w:r>
        <w:rPr/>
        <w:t>nuevas</w:t>
      </w:r>
      <w:r>
        <w:rPr>
          <w:spacing w:val="-14"/>
        </w:rPr>
        <w:t> </w:t>
      </w:r>
      <w:r>
        <w:rPr/>
        <w:t>tecnologías</w:t>
      </w:r>
      <w:r>
        <w:rPr>
          <w:spacing w:val="-14"/>
        </w:rPr>
        <w:t> </w:t>
      </w:r>
      <w:r>
        <w:rPr/>
        <w:t>es</w:t>
      </w:r>
      <w:r>
        <w:rPr>
          <w:spacing w:val="-14"/>
        </w:rPr>
        <w:t> </w:t>
      </w:r>
      <w:r>
        <w:rPr/>
        <w:t>el</w:t>
      </w:r>
      <w:r>
        <w:rPr>
          <w:spacing w:val="-14"/>
        </w:rPr>
        <w:t> </w:t>
      </w:r>
      <w:r>
        <w:rPr/>
        <w:t>grupo</w:t>
      </w:r>
      <w:r>
        <w:rPr>
          <w:spacing w:val="-15"/>
        </w:rPr>
        <w:t> </w:t>
      </w:r>
      <w:r>
        <w:rPr/>
        <w:t>japonés</w:t>
      </w:r>
      <w:r>
        <w:rPr>
          <w:spacing w:val="-14"/>
        </w:rPr>
        <w:t> </w:t>
      </w:r>
      <w:r>
        <w:rPr/>
        <w:t>integrado</w:t>
      </w:r>
      <w:r>
        <w:rPr>
          <w:spacing w:val="-14"/>
        </w:rPr>
        <w:t> </w:t>
      </w:r>
      <w:r>
        <w:rPr/>
        <w:t>por</w:t>
      </w:r>
      <w:r>
        <w:rPr>
          <w:spacing w:val="-13"/>
        </w:rPr>
        <w:t> </w:t>
      </w:r>
      <w:r>
        <w:rPr/>
        <w:t>Toyota, Lexus, Hino y Daihatsu quien en abril de 2007 anunció que en ese año se invertirían 6,200 millones de euros (cantidad que representa 4% de sus ingresos por ventas) en investigación y desarrollo con la finalidad de desarrollar nuevas tecnologías de propulsión híbrida, así como intensificar las investigaciones de los coches movidos por pilas de hidrógeno y desarrollar</w:t>
      </w:r>
      <w:r>
        <w:rPr>
          <w:spacing w:val="-13"/>
        </w:rPr>
        <w:t> </w:t>
      </w:r>
      <w:r>
        <w:rPr/>
        <w:t>motores</w:t>
      </w:r>
      <w:r>
        <w:rPr>
          <w:spacing w:val="-12"/>
        </w:rPr>
        <w:t> </w:t>
      </w:r>
      <w:r>
        <w:rPr/>
        <w:t>que</w:t>
      </w:r>
      <w:r>
        <w:rPr>
          <w:spacing w:val="-13"/>
        </w:rPr>
        <w:t> </w:t>
      </w:r>
      <w:r>
        <w:rPr/>
        <w:t>funcionen</w:t>
      </w:r>
      <w:r>
        <w:rPr>
          <w:spacing w:val="-13"/>
        </w:rPr>
        <w:t> </w:t>
      </w:r>
      <w:r>
        <w:rPr/>
        <w:t>con</w:t>
      </w:r>
      <w:r>
        <w:rPr>
          <w:spacing w:val="-12"/>
        </w:rPr>
        <w:t> </w:t>
      </w:r>
      <w:r>
        <w:rPr/>
        <w:t>bioetanol.</w:t>
      </w:r>
      <w:r>
        <w:rPr>
          <w:spacing w:val="-12"/>
        </w:rPr>
        <w:t> </w:t>
      </w:r>
      <w:r>
        <w:rPr/>
        <w:t>En</w:t>
      </w:r>
      <w:r>
        <w:rPr>
          <w:spacing w:val="-12"/>
        </w:rPr>
        <w:t> </w:t>
      </w:r>
      <w:r>
        <w:rPr/>
        <w:t>2006,</w:t>
      </w:r>
      <w:r>
        <w:rPr>
          <w:spacing w:val="-12"/>
        </w:rPr>
        <w:t> </w:t>
      </w:r>
      <w:r>
        <w:rPr/>
        <w:t>este</w:t>
      </w:r>
      <w:r>
        <w:rPr>
          <w:spacing w:val="-12"/>
        </w:rPr>
        <w:t> </w:t>
      </w:r>
      <w:r>
        <w:rPr/>
        <w:t>grupo</w:t>
      </w:r>
      <w:r>
        <w:rPr>
          <w:spacing w:val="-11"/>
        </w:rPr>
        <w:t> </w:t>
      </w:r>
      <w:r>
        <w:rPr/>
        <w:t>invirtió</w:t>
      </w:r>
      <w:r>
        <w:rPr>
          <w:spacing w:val="-12"/>
        </w:rPr>
        <w:t> </w:t>
      </w:r>
      <w:r>
        <w:rPr/>
        <w:t>al</w:t>
      </w:r>
      <w:r>
        <w:rPr>
          <w:spacing w:val="-12"/>
        </w:rPr>
        <w:t> </w:t>
      </w:r>
      <w:r>
        <w:rPr/>
        <w:t>mismo</w:t>
      </w:r>
      <w:r>
        <w:rPr>
          <w:spacing w:val="-12"/>
        </w:rPr>
        <w:t> </w:t>
      </w:r>
      <w:r>
        <w:rPr/>
        <w:t>rubro 5,500 millones de euros  (Carbajal,</w:t>
      </w:r>
      <w:r>
        <w:rPr>
          <w:spacing w:val="-9"/>
        </w:rPr>
        <w:t> </w:t>
      </w:r>
      <w:r>
        <w:rPr/>
        <w:t>2013).</w:t>
      </w:r>
    </w:p>
    <w:p>
      <w:pPr>
        <w:pStyle w:val="BodyText"/>
      </w:pPr>
    </w:p>
    <w:p>
      <w:pPr>
        <w:pStyle w:val="BodyText"/>
        <w:spacing w:line="360" w:lineRule="auto" w:before="143"/>
        <w:ind w:left="102" w:right="114"/>
        <w:jc w:val="both"/>
      </w:pPr>
      <w:r>
        <w:rPr/>
        <w:t>Actualmente</w:t>
      </w:r>
      <w:r>
        <w:rPr>
          <w:spacing w:val="-17"/>
        </w:rPr>
        <w:t> </w:t>
      </w:r>
      <w:r>
        <w:rPr/>
        <w:t>Toyota</w:t>
      </w:r>
      <w:r>
        <w:rPr>
          <w:spacing w:val="-14"/>
        </w:rPr>
        <w:t> </w:t>
      </w:r>
      <w:r>
        <w:rPr/>
        <w:t>es</w:t>
      </w:r>
      <w:r>
        <w:rPr>
          <w:spacing w:val="-16"/>
        </w:rPr>
        <w:t> </w:t>
      </w:r>
      <w:r>
        <w:rPr/>
        <w:t>el</w:t>
      </w:r>
      <w:r>
        <w:rPr>
          <w:spacing w:val="-13"/>
        </w:rPr>
        <w:t> </w:t>
      </w:r>
      <w:r>
        <w:rPr/>
        <w:t>líder</w:t>
      </w:r>
      <w:r>
        <w:rPr>
          <w:spacing w:val="-17"/>
        </w:rPr>
        <w:t> </w:t>
      </w:r>
      <w:r>
        <w:rPr/>
        <w:t>indiscutible</w:t>
      </w:r>
      <w:r>
        <w:rPr>
          <w:spacing w:val="-16"/>
        </w:rPr>
        <w:t> </w:t>
      </w:r>
      <w:r>
        <w:rPr/>
        <w:t>de</w:t>
      </w:r>
      <w:r>
        <w:rPr>
          <w:spacing w:val="-17"/>
        </w:rPr>
        <w:t> </w:t>
      </w:r>
      <w:r>
        <w:rPr/>
        <w:t>la</w:t>
      </w:r>
      <w:r>
        <w:rPr>
          <w:spacing w:val="-14"/>
        </w:rPr>
        <w:t> </w:t>
      </w:r>
      <w:r>
        <w:rPr/>
        <w:t>tecnología</w:t>
      </w:r>
      <w:r>
        <w:rPr>
          <w:spacing w:val="-17"/>
        </w:rPr>
        <w:t> </w:t>
      </w:r>
      <w:r>
        <w:rPr/>
        <w:t>híbrida</w:t>
      </w:r>
      <w:r>
        <w:rPr>
          <w:spacing w:val="-14"/>
        </w:rPr>
        <w:t> </w:t>
      </w:r>
      <w:r>
        <w:rPr/>
        <w:t>de</w:t>
      </w:r>
      <w:r>
        <w:rPr>
          <w:spacing w:val="-17"/>
        </w:rPr>
        <w:t> </w:t>
      </w:r>
      <w:r>
        <w:rPr/>
        <w:t>hecho,</w:t>
      </w:r>
      <w:r>
        <w:rPr>
          <w:spacing w:val="-16"/>
        </w:rPr>
        <w:t> </w:t>
      </w:r>
      <w:r>
        <w:rPr/>
        <w:t>fueron</w:t>
      </w:r>
      <w:r>
        <w:rPr>
          <w:spacing w:val="-14"/>
        </w:rPr>
        <w:t> </w:t>
      </w:r>
      <w:r>
        <w:rPr/>
        <w:t>pioneros en</w:t>
      </w:r>
      <w:r>
        <w:rPr>
          <w:spacing w:val="-6"/>
        </w:rPr>
        <w:t> </w:t>
      </w:r>
      <w:r>
        <w:rPr/>
        <w:t>la</w:t>
      </w:r>
      <w:r>
        <w:rPr>
          <w:spacing w:val="-7"/>
        </w:rPr>
        <w:t> </w:t>
      </w:r>
      <w:r>
        <w:rPr/>
        <w:t>fabricación</w:t>
      </w:r>
      <w:r>
        <w:rPr>
          <w:spacing w:val="-6"/>
        </w:rPr>
        <w:t> </w:t>
      </w:r>
      <w:r>
        <w:rPr/>
        <w:t>en</w:t>
      </w:r>
      <w:r>
        <w:rPr>
          <w:spacing w:val="-6"/>
        </w:rPr>
        <w:t> </w:t>
      </w:r>
      <w:r>
        <w:rPr/>
        <w:t>serie</w:t>
      </w:r>
      <w:r>
        <w:rPr>
          <w:spacing w:val="-7"/>
        </w:rPr>
        <w:t> </w:t>
      </w:r>
      <w:r>
        <w:rPr/>
        <w:t>del</w:t>
      </w:r>
      <w:r>
        <w:rPr>
          <w:spacing w:val="-6"/>
        </w:rPr>
        <w:t> </w:t>
      </w:r>
      <w:r>
        <w:rPr/>
        <w:t>primer</w:t>
      </w:r>
      <w:r>
        <w:rPr>
          <w:spacing w:val="-7"/>
        </w:rPr>
        <w:t> </w:t>
      </w:r>
      <w:r>
        <w:rPr/>
        <w:t>coche</w:t>
      </w:r>
      <w:r>
        <w:rPr>
          <w:spacing w:val="-7"/>
        </w:rPr>
        <w:t> </w:t>
      </w:r>
      <w:r>
        <w:rPr/>
        <w:t>híbrido</w:t>
      </w:r>
      <w:r>
        <w:rPr>
          <w:spacing w:val="-6"/>
        </w:rPr>
        <w:t> </w:t>
      </w:r>
      <w:r>
        <w:rPr/>
        <w:t>a</w:t>
      </w:r>
      <w:r>
        <w:rPr>
          <w:spacing w:val="-7"/>
        </w:rPr>
        <w:t> </w:t>
      </w:r>
      <w:r>
        <w:rPr/>
        <w:t>nivel</w:t>
      </w:r>
      <w:r>
        <w:rPr>
          <w:spacing w:val="-6"/>
        </w:rPr>
        <w:t> </w:t>
      </w:r>
      <w:r>
        <w:rPr/>
        <w:t>mundial,</w:t>
      </w:r>
      <w:r>
        <w:rPr>
          <w:spacing w:val="-6"/>
        </w:rPr>
        <w:t> </w:t>
      </w:r>
      <w:r>
        <w:rPr/>
        <w:t>el</w:t>
      </w:r>
      <w:r>
        <w:rPr>
          <w:spacing w:val="-8"/>
        </w:rPr>
        <w:t> </w:t>
      </w:r>
      <w:r>
        <w:rPr/>
        <w:t>Prius,</w:t>
      </w:r>
      <w:r>
        <w:rPr>
          <w:spacing w:val="-9"/>
        </w:rPr>
        <w:t> </w:t>
      </w:r>
      <w:r>
        <w:rPr/>
        <w:t>a</w:t>
      </w:r>
      <w:r>
        <w:rPr>
          <w:spacing w:val="-7"/>
        </w:rPr>
        <w:t> </w:t>
      </w:r>
      <w:r>
        <w:rPr/>
        <w:t>los</w:t>
      </w:r>
      <w:r>
        <w:rPr>
          <w:spacing w:val="-6"/>
        </w:rPr>
        <w:t> </w:t>
      </w:r>
      <w:r>
        <w:rPr/>
        <w:t>que</w:t>
      </w:r>
      <w:r>
        <w:rPr>
          <w:spacing w:val="-5"/>
        </w:rPr>
        <w:t> </w:t>
      </w:r>
      <w:r>
        <w:rPr/>
        <w:t>se</w:t>
      </w:r>
      <w:r>
        <w:rPr>
          <w:spacing w:val="-7"/>
        </w:rPr>
        <w:t> </w:t>
      </w:r>
      <w:r>
        <w:rPr/>
        <w:t>unió en 2010 la versión híbrida del Auris </w:t>
      </w:r>
      <w:r>
        <w:rPr>
          <w:spacing w:val="-3"/>
        </w:rPr>
        <w:t>y, </w:t>
      </w:r>
      <w:r>
        <w:rPr/>
        <w:t>en el 2011, del Yaris (Lychnos, 2011). Así mismo ha contribuido enormemente a la venta de los más de 2 millones de vehículos híbridos en el mundo,</w:t>
      </w:r>
      <w:r>
        <w:rPr>
          <w:spacing w:val="-2"/>
        </w:rPr>
        <w:t> </w:t>
      </w:r>
      <w:r>
        <w:rPr/>
        <w:t>y</w:t>
      </w:r>
      <w:r>
        <w:rPr>
          <w:spacing w:val="-11"/>
        </w:rPr>
        <w:t> </w:t>
      </w:r>
      <w:r>
        <w:rPr/>
        <w:t>a</w:t>
      </w:r>
      <w:r>
        <w:rPr>
          <w:spacing w:val="-5"/>
        </w:rPr>
        <w:t> </w:t>
      </w:r>
      <w:r>
        <w:rPr/>
        <w:t>los</w:t>
      </w:r>
      <w:r>
        <w:rPr>
          <w:spacing w:val="-3"/>
        </w:rPr>
        <w:t> </w:t>
      </w:r>
      <w:r>
        <w:rPr/>
        <w:t>más</w:t>
      </w:r>
      <w:r>
        <w:rPr>
          <w:spacing w:val="-4"/>
        </w:rPr>
        <w:t> </w:t>
      </w:r>
      <w:r>
        <w:rPr/>
        <w:t>de</w:t>
      </w:r>
      <w:r>
        <w:rPr>
          <w:spacing w:val="-5"/>
        </w:rPr>
        <w:t> </w:t>
      </w:r>
      <w:r>
        <w:rPr/>
        <w:t>200</w:t>
      </w:r>
      <w:r>
        <w:rPr>
          <w:spacing w:val="-4"/>
        </w:rPr>
        <w:t> </w:t>
      </w:r>
      <w:r>
        <w:rPr/>
        <w:t>mil</w:t>
      </w:r>
      <w:r>
        <w:rPr>
          <w:spacing w:val="-6"/>
        </w:rPr>
        <w:t> </w:t>
      </w:r>
      <w:r>
        <w:rPr/>
        <w:t>en</w:t>
      </w:r>
      <w:r>
        <w:rPr>
          <w:spacing w:val="-4"/>
        </w:rPr>
        <w:t> </w:t>
      </w:r>
      <w:r>
        <w:rPr/>
        <w:t>Europa.</w:t>
      </w:r>
      <w:r>
        <w:rPr>
          <w:spacing w:val="-4"/>
        </w:rPr>
        <w:t> </w:t>
      </w:r>
      <w:r>
        <w:rPr/>
        <w:t>Se</w:t>
      </w:r>
      <w:r>
        <w:rPr>
          <w:spacing w:val="-5"/>
        </w:rPr>
        <w:t> </w:t>
      </w:r>
      <w:r>
        <w:rPr/>
        <w:t>estima</w:t>
      </w:r>
      <w:r>
        <w:rPr>
          <w:spacing w:val="-4"/>
        </w:rPr>
        <w:t> </w:t>
      </w:r>
      <w:r>
        <w:rPr/>
        <w:t>que</w:t>
      </w:r>
      <w:r>
        <w:rPr>
          <w:spacing w:val="-5"/>
        </w:rPr>
        <w:t> </w:t>
      </w:r>
      <w:r>
        <w:rPr/>
        <w:t>con</w:t>
      </w:r>
      <w:r>
        <w:rPr>
          <w:spacing w:val="-4"/>
        </w:rPr>
        <w:t> </w:t>
      </w:r>
      <w:r>
        <w:rPr/>
        <w:t>estos</w:t>
      </w:r>
      <w:r>
        <w:rPr>
          <w:spacing w:val="-3"/>
        </w:rPr>
        <w:t> </w:t>
      </w:r>
      <w:r>
        <w:rPr/>
        <w:t>2</w:t>
      </w:r>
      <w:r>
        <w:rPr>
          <w:spacing w:val="-4"/>
        </w:rPr>
        <w:t> </w:t>
      </w:r>
      <w:r>
        <w:rPr/>
        <w:t>millones</w:t>
      </w:r>
      <w:r>
        <w:rPr>
          <w:spacing w:val="-4"/>
        </w:rPr>
        <w:t> </w:t>
      </w:r>
      <w:r>
        <w:rPr/>
        <w:t>de</w:t>
      </w:r>
      <w:r>
        <w:rPr>
          <w:spacing w:val="-5"/>
        </w:rPr>
        <w:t> </w:t>
      </w:r>
      <w:r>
        <w:rPr/>
        <w:t>híbridos,</w:t>
      </w:r>
      <w:r>
        <w:rPr>
          <w:spacing w:val="-3"/>
        </w:rPr>
        <w:t> </w:t>
      </w:r>
      <w:r>
        <w:rPr/>
        <w:t>se </w:t>
      </w:r>
      <w:r>
        <w:rPr>
          <w:position w:val="2"/>
        </w:rPr>
        <w:t>ha evitado la emisión de 7.5 millones de toneladas de CO</w:t>
      </w:r>
      <w:r>
        <w:rPr>
          <w:sz w:val="16"/>
        </w:rPr>
        <w:t>2 </w:t>
      </w:r>
      <w:r>
        <w:rPr>
          <w:position w:val="2"/>
        </w:rPr>
        <w:t>y reducido el consumo de </w:t>
      </w:r>
      <w:r>
        <w:rPr/>
        <w:t>combustible en 2.7 millones de litros. El objetivo de largo plazo de Toyota es que todos los modelos estén dotados de la tecnología híbrida en 2020 (Van Dijck,</w:t>
      </w:r>
      <w:r>
        <w:rPr>
          <w:spacing w:val="-10"/>
        </w:rPr>
        <w:t> </w:t>
      </w:r>
      <w:r>
        <w:rPr/>
        <w:t>2103).</w:t>
      </w:r>
    </w:p>
    <w:p>
      <w:pPr>
        <w:pStyle w:val="BodyText"/>
      </w:pPr>
    </w:p>
    <w:p>
      <w:pPr>
        <w:pStyle w:val="BodyText"/>
        <w:spacing w:line="360" w:lineRule="auto" w:before="143"/>
        <w:ind w:left="102" w:right="119"/>
        <w:jc w:val="both"/>
      </w:pPr>
      <w:r>
        <w:rPr/>
        <w:t>La</w:t>
      </w:r>
      <w:r>
        <w:rPr>
          <w:spacing w:val="-7"/>
        </w:rPr>
        <w:t> </w:t>
      </w:r>
      <w:r>
        <w:rPr/>
        <w:t>alianza</w:t>
      </w:r>
      <w:r>
        <w:rPr>
          <w:spacing w:val="-10"/>
        </w:rPr>
        <w:t> </w:t>
      </w:r>
      <w:r>
        <w:rPr/>
        <w:t>Renault–Nissan</w:t>
      </w:r>
      <w:r>
        <w:rPr>
          <w:spacing w:val="-9"/>
        </w:rPr>
        <w:t> </w:t>
      </w:r>
      <w:r>
        <w:rPr/>
        <w:t>apuesta</w:t>
      </w:r>
      <w:r>
        <w:rPr>
          <w:spacing w:val="-9"/>
        </w:rPr>
        <w:t> </w:t>
      </w:r>
      <w:r>
        <w:rPr/>
        <w:t>con</w:t>
      </w:r>
      <w:r>
        <w:rPr>
          <w:spacing w:val="-9"/>
        </w:rPr>
        <w:t> </w:t>
      </w:r>
      <w:r>
        <w:rPr/>
        <w:t>fuerza</w:t>
      </w:r>
      <w:r>
        <w:rPr>
          <w:spacing w:val="-10"/>
        </w:rPr>
        <w:t> </w:t>
      </w:r>
      <w:r>
        <w:rPr/>
        <w:t>por</w:t>
      </w:r>
      <w:r>
        <w:rPr>
          <w:spacing w:val="-9"/>
        </w:rPr>
        <w:t> </w:t>
      </w:r>
      <w:r>
        <w:rPr/>
        <w:t>los</w:t>
      </w:r>
      <w:r>
        <w:rPr>
          <w:spacing w:val="-8"/>
        </w:rPr>
        <w:t> </w:t>
      </w:r>
      <w:r>
        <w:rPr/>
        <w:t>vehículos</w:t>
      </w:r>
      <w:r>
        <w:rPr>
          <w:spacing w:val="-8"/>
        </w:rPr>
        <w:t> </w:t>
      </w:r>
      <w:r>
        <w:rPr/>
        <w:t>eléctricos</w:t>
      </w:r>
      <w:r>
        <w:rPr>
          <w:spacing w:val="-8"/>
        </w:rPr>
        <w:t> </w:t>
      </w:r>
      <w:r>
        <w:rPr/>
        <w:t>puros</w:t>
      </w:r>
      <w:r>
        <w:rPr>
          <w:spacing w:val="-9"/>
        </w:rPr>
        <w:t> </w:t>
      </w:r>
      <w:r>
        <w:rPr/>
        <w:t>(que</w:t>
      </w:r>
      <w:r>
        <w:rPr>
          <w:spacing w:val="-10"/>
        </w:rPr>
        <w:t> </w:t>
      </w:r>
      <w:r>
        <w:rPr/>
        <w:t>pueden reconocerse bajo las siglas EV, Electric Vehicles o ZE, Zero Emissions), que no utilizan ningún tipo de carburante para moverse. Por eso la multinacional francesa lleva  </w:t>
      </w:r>
      <w:r>
        <w:rPr>
          <w:spacing w:val="42"/>
        </w:rPr>
        <w:t> </w:t>
      </w:r>
      <w:r>
        <w:rPr/>
        <w:t>invertidos</w:t>
      </w:r>
    </w:p>
    <w:p>
      <w:pPr>
        <w:pStyle w:val="BodyText"/>
        <w:spacing w:line="360" w:lineRule="auto" w:before="4"/>
        <w:ind w:left="102" w:right="119"/>
        <w:jc w:val="both"/>
      </w:pPr>
      <w:r>
        <w:rPr/>
        <w:t>4.000 millones de euros en los últimos años en el desarrollo de los vehículos eléctricos, incluyendo su pieza clave: las baterías. Fruto de ese esfuerzo, en 2012 Renault fué el primer fabricante que ofertó cuatro modelos de vehículos eléctricos: el familiar Fluence ZE y la furgoneta Kangoo ZE, a los que se sumará el deportivo Renault ZOE (Lychnos, 2011).</w:t>
      </w:r>
    </w:p>
    <w:p>
      <w:pPr>
        <w:spacing w:after="0" w:line="360" w:lineRule="auto"/>
        <w:jc w:val="both"/>
        <w:sectPr>
          <w:pgSz w:w="12240" w:h="15840"/>
          <w:pgMar w:header="0" w:footer="1035" w:top="1360" w:bottom="1220" w:left="1600" w:right="1580"/>
        </w:sectPr>
      </w:pPr>
    </w:p>
    <w:p>
      <w:pPr>
        <w:pStyle w:val="BodyText"/>
        <w:spacing w:line="360" w:lineRule="auto" w:before="50"/>
        <w:ind w:left="102" w:right="117"/>
        <w:jc w:val="both"/>
      </w:pPr>
      <w:r>
        <w:rPr/>
        <w:t>En España en un plano similar se mueve SEAT, que lidera el proyecto CENIT Verde, cofinanciado por el Ministerio de Ciencia e Innovación y en el que participan otras 15 empresas y 13 centros tecnológicos para impulsar la fabricación y comercialización de híbridos</w:t>
      </w:r>
      <w:r>
        <w:rPr>
          <w:spacing w:val="-11"/>
        </w:rPr>
        <w:t> </w:t>
      </w:r>
      <w:r>
        <w:rPr/>
        <w:t>enchufables</w:t>
      </w:r>
      <w:r>
        <w:rPr>
          <w:spacing w:val="-6"/>
        </w:rPr>
        <w:t> </w:t>
      </w:r>
      <w:r>
        <w:rPr/>
        <w:t>y</w:t>
      </w:r>
      <w:r>
        <w:rPr>
          <w:spacing w:val="-16"/>
        </w:rPr>
        <w:t> </w:t>
      </w:r>
      <w:r>
        <w:rPr/>
        <w:t>eléctricos.</w:t>
      </w:r>
      <w:r>
        <w:rPr>
          <w:spacing w:val="-8"/>
        </w:rPr>
        <w:t> </w:t>
      </w:r>
      <w:r>
        <w:rPr/>
        <w:t>La</w:t>
      </w:r>
      <w:r>
        <w:rPr>
          <w:spacing w:val="-10"/>
        </w:rPr>
        <w:t> </w:t>
      </w:r>
      <w:r>
        <w:rPr/>
        <w:t>marca</w:t>
      </w:r>
      <w:r>
        <w:rPr>
          <w:spacing w:val="-12"/>
        </w:rPr>
        <w:t> </w:t>
      </w:r>
      <w:r>
        <w:rPr/>
        <w:t>del</w:t>
      </w:r>
      <w:r>
        <w:rPr>
          <w:spacing w:val="-8"/>
        </w:rPr>
        <w:t> </w:t>
      </w:r>
      <w:r>
        <w:rPr/>
        <w:t>Grupo</w:t>
      </w:r>
      <w:r>
        <w:rPr>
          <w:spacing w:val="-11"/>
        </w:rPr>
        <w:t> </w:t>
      </w:r>
      <w:r>
        <w:rPr/>
        <w:t>Volkswagen</w:t>
      </w:r>
      <w:r>
        <w:rPr>
          <w:spacing w:val="-11"/>
        </w:rPr>
        <w:t> </w:t>
      </w:r>
      <w:r>
        <w:rPr/>
        <w:t>ha</w:t>
      </w:r>
      <w:r>
        <w:rPr>
          <w:spacing w:val="-12"/>
        </w:rPr>
        <w:t> </w:t>
      </w:r>
      <w:r>
        <w:rPr/>
        <w:t>comenzado</w:t>
      </w:r>
      <w:r>
        <w:rPr>
          <w:spacing w:val="-11"/>
        </w:rPr>
        <w:t> </w:t>
      </w:r>
      <w:r>
        <w:rPr/>
        <w:t>su</w:t>
      </w:r>
      <w:r>
        <w:rPr>
          <w:spacing w:val="-11"/>
        </w:rPr>
        <w:t> </w:t>
      </w:r>
      <w:r>
        <w:rPr/>
        <w:t>apuesta por los híbridos, y los responsables de su departamento de electromovilidad trabajan en el concepto de vehículo híbrido enchufable, que puede satisfacer a aquellos clientes para los cuales un eléctrico puro no es viable y que permite recorrer con electricidad los trayectos habituales pero con la seguridad de disponer de un motor de combustión para trayectos más largos (Lychnos,</w:t>
      </w:r>
      <w:r>
        <w:rPr>
          <w:spacing w:val="-7"/>
        </w:rPr>
        <w:t> </w:t>
      </w:r>
      <w:r>
        <w:rPr/>
        <w:t>2011).</w:t>
      </w:r>
    </w:p>
    <w:p>
      <w:pPr>
        <w:pStyle w:val="BodyText"/>
        <w:spacing w:before="4"/>
        <w:rPr>
          <w:sz w:val="21"/>
        </w:rPr>
      </w:pPr>
    </w:p>
    <w:p>
      <w:pPr>
        <w:pStyle w:val="BodyText"/>
        <w:spacing w:line="360" w:lineRule="auto" w:before="1"/>
        <w:ind w:left="102" w:right="116"/>
        <w:jc w:val="both"/>
      </w:pPr>
      <w:r>
        <w:rPr/>
        <w:t>Como</w:t>
      </w:r>
      <w:r>
        <w:rPr>
          <w:spacing w:val="-8"/>
        </w:rPr>
        <w:t> </w:t>
      </w:r>
      <w:r>
        <w:rPr/>
        <w:t>vemos</w:t>
      </w:r>
      <w:r>
        <w:rPr>
          <w:spacing w:val="-8"/>
        </w:rPr>
        <w:t> </w:t>
      </w:r>
      <w:r>
        <w:rPr/>
        <w:t>la</w:t>
      </w:r>
      <w:r>
        <w:rPr>
          <w:spacing w:val="-9"/>
        </w:rPr>
        <w:t> </w:t>
      </w:r>
      <w:r>
        <w:rPr/>
        <w:t>innovación</w:t>
      </w:r>
      <w:r>
        <w:rPr>
          <w:spacing w:val="-9"/>
        </w:rPr>
        <w:t> </w:t>
      </w:r>
      <w:r>
        <w:rPr/>
        <w:t>tecnológica</w:t>
      </w:r>
      <w:r>
        <w:rPr>
          <w:spacing w:val="-10"/>
        </w:rPr>
        <w:t> </w:t>
      </w:r>
      <w:r>
        <w:rPr/>
        <w:t>ha</w:t>
      </w:r>
      <w:r>
        <w:rPr>
          <w:spacing w:val="-8"/>
        </w:rPr>
        <w:t> </w:t>
      </w:r>
      <w:r>
        <w:rPr/>
        <w:t>sido</w:t>
      </w:r>
      <w:r>
        <w:rPr>
          <w:spacing w:val="-8"/>
        </w:rPr>
        <w:t> </w:t>
      </w:r>
      <w:r>
        <w:rPr/>
        <w:t>un</w:t>
      </w:r>
      <w:r>
        <w:rPr>
          <w:spacing w:val="-7"/>
        </w:rPr>
        <w:t> </w:t>
      </w:r>
      <w:r>
        <w:rPr/>
        <w:t>factor</w:t>
      </w:r>
      <w:r>
        <w:rPr>
          <w:spacing w:val="-6"/>
        </w:rPr>
        <w:t> </w:t>
      </w:r>
      <w:r>
        <w:rPr/>
        <w:t>muy</w:t>
      </w:r>
      <w:r>
        <w:rPr>
          <w:spacing w:val="-13"/>
        </w:rPr>
        <w:t> </w:t>
      </w:r>
      <w:r>
        <w:rPr/>
        <w:t>importante</w:t>
      </w:r>
      <w:r>
        <w:rPr>
          <w:spacing w:val="-5"/>
        </w:rPr>
        <w:t> </w:t>
      </w:r>
      <w:r>
        <w:rPr/>
        <w:t>en</w:t>
      </w:r>
      <w:r>
        <w:rPr>
          <w:spacing w:val="-9"/>
        </w:rPr>
        <w:t> </w:t>
      </w:r>
      <w:r>
        <w:rPr/>
        <w:t>la</w:t>
      </w:r>
      <w:r>
        <w:rPr>
          <w:spacing w:val="-9"/>
        </w:rPr>
        <w:t> </w:t>
      </w:r>
      <w:r>
        <w:rPr/>
        <w:t>evolución</w:t>
      </w:r>
      <w:r>
        <w:rPr>
          <w:spacing w:val="-9"/>
        </w:rPr>
        <w:t> </w:t>
      </w:r>
      <w:r>
        <w:rPr/>
        <w:t>del sector automotriz en el mundo pues en ella se basan las principales estrategias que las armadoras líderes en el ramo han seguido durante los últimos años para consolidar su presencia en el mundo como productores y vendedores de</w:t>
      </w:r>
      <w:r>
        <w:rPr>
          <w:spacing w:val="-9"/>
        </w:rPr>
        <w:t> </w:t>
      </w:r>
      <w:r>
        <w:rPr/>
        <w:t>vehículos.</w:t>
      </w:r>
    </w:p>
    <w:p>
      <w:pPr>
        <w:pStyle w:val="BodyText"/>
        <w:spacing w:before="5"/>
        <w:rPr>
          <w:sz w:val="21"/>
        </w:rPr>
      </w:pPr>
    </w:p>
    <w:p>
      <w:pPr>
        <w:pStyle w:val="BodyText"/>
        <w:spacing w:line="360" w:lineRule="auto"/>
        <w:ind w:left="102" w:right="118"/>
        <w:jc w:val="both"/>
      </w:pPr>
      <w:r>
        <w:rPr/>
        <w:t>Por lo tanto, la cadena productiva está dirigida por las grandes armadoras japonesas, norteamericanas</w:t>
      </w:r>
      <w:r>
        <w:rPr>
          <w:spacing w:val="1"/>
        </w:rPr>
        <w:t> </w:t>
      </w:r>
      <w:r>
        <w:rPr/>
        <w:t>y</w:t>
      </w:r>
      <w:r>
        <w:rPr>
          <w:spacing w:val="-11"/>
        </w:rPr>
        <w:t> </w:t>
      </w:r>
      <w:r>
        <w:rPr/>
        <w:t>europeas,</w:t>
      </w:r>
      <w:r>
        <w:rPr>
          <w:spacing w:val="-5"/>
        </w:rPr>
        <w:t> </w:t>
      </w:r>
      <w:r>
        <w:rPr/>
        <w:t>que</w:t>
      </w:r>
      <w:r>
        <w:rPr>
          <w:spacing w:val="-5"/>
        </w:rPr>
        <w:t> </w:t>
      </w:r>
      <w:r>
        <w:rPr/>
        <w:t>son</w:t>
      </w:r>
      <w:r>
        <w:rPr>
          <w:spacing w:val="-6"/>
        </w:rPr>
        <w:t> </w:t>
      </w:r>
      <w:r>
        <w:rPr/>
        <w:t>las</w:t>
      </w:r>
      <w:r>
        <w:rPr>
          <w:spacing w:val="-7"/>
        </w:rPr>
        <w:t> </w:t>
      </w:r>
      <w:r>
        <w:rPr/>
        <w:t>que</w:t>
      </w:r>
      <w:r>
        <w:rPr>
          <w:spacing w:val="-6"/>
        </w:rPr>
        <w:t> </w:t>
      </w:r>
      <w:r>
        <w:rPr/>
        <w:t>lideran</w:t>
      </w:r>
      <w:r>
        <w:rPr>
          <w:spacing w:val="-6"/>
        </w:rPr>
        <w:t> </w:t>
      </w:r>
      <w:r>
        <w:rPr/>
        <w:t>los</w:t>
      </w:r>
      <w:r>
        <w:rPr>
          <w:spacing w:val="-6"/>
        </w:rPr>
        <w:t> </w:t>
      </w:r>
      <w:r>
        <w:rPr/>
        <w:t>procesos</w:t>
      </w:r>
      <w:r>
        <w:rPr>
          <w:spacing w:val="-6"/>
        </w:rPr>
        <w:t> </w:t>
      </w:r>
      <w:r>
        <w:rPr/>
        <w:t>productivos</w:t>
      </w:r>
      <w:r>
        <w:rPr>
          <w:spacing w:val="-6"/>
        </w:rPr>
        <w:t> </w:t>
      </w:r>
      <w:r>
        <w:rPr/>
        <w:t>en</w:t>
      </w:r>
      <w:r>
        <w:rPr>
          <w:spacing w:val="-6"/>
        </w:rPr>
        <w:t> </w:t>
      </w:r>
      <w:r>
        <w:rPr/>
        <w:t>términos</w:t>
      </w:r>
      <w:r>
        <w:rPr>
          <w:spacing w:val="-6"/>
        </w:rPr>
        <w:t> </w:t>
      </w:r>
      <w:r>
        <w:rPr/>
        <w:t>de desarrollo tecnológico, aplicación de la inversión y además marcan las pautas a seguir a los grandes proveedores de autopartes, los cuáles si quieren permanecer en el mercado y ser competitivos</w:t>
      </w:r>
      <w:r>
        <w:rPr>
          <w:spacing w:val="-13"/>
        </w:rPr>
        <w:t> </w:t>
      </w:r>
      <w:r>
        <w:rPr/>
        <w:t>también</w:t>
      </w:r>
      <w:r>
        <w:rPr>
          <w:spacing w:val="-14"/>
        </w:rPr>
        <w:t> </w:t>
      </w:r>
      <w:r>
        <w:rPr/>
        <w:t>han</w:t>
      </w:r>
      <w:r>
        <w:rPr>
          <w:spacing w:val="-13"/>
        </w:rPr>
        <w:t> </w:t>
      </w:r>
      <w:r>
        <w:rPr/>
        <w:t>tenido</w:t>
      </w:r>
      <w:r>
        <w:rPr>
          <w:spacing w:val="-14"/>
        </w:rPr>
        <w:t> </w:t>
      </w:r>
      <w:r>
        <w:rPr/>
        <w:t>que</w:t>
      </w:r>
      <w:r>
        <w:rPr>
          <w:spacing w:val="-14"/>
        </w:rPr>
        <w:t> </w:t>
      </w:r>
      <w:r>
        <w:rPr/>
        <w:t>entrar</w:t>
      </w:r>
      <w:r>
        <w:rPr>
          <w:spacing w:val="-14"/>
        </w:rPr>
        <w:t> </w:t>
      </w:r>
      <w:r>
        <w:rPr/>
        <w:t>en</w:t>
      </w:r>
      <w:r>
        <w:rPr>
          <w:spacing w:val="-11"/>
        </w:rPr>
        <w:t> </w:t>
      </w:r>
      <w:r>
        <w:rPr/>
        <w:t>el</w:t>
      </w:r>
      <w:r>
        <w:rPr>
          <w:spacing w:val="-13"/>
        </w:rPr>
        <w:t> </w:t>
      </w:r>
      <w:r>
        <w:rPr/>
        <w:t>camino</w:t>
      </w:r>
      <w:r>
        <w:rPr>
          <w:spacing w:val="-13"/>
        </w:rPr>
        <w:t> </w:t>
      </w:r>
      <w:r>
        <w:rPr/>
        <w:t>del</w:t>
      </w:r>
      <w:r>
        <w:rPr>
          <w:spacing w:val="-13"/>
        </w:rPr>
        <w:t> </w:t>
      </w:r>
      <w:r>
        <w:rPr/>
        <w:t>desarrollo</w:t>
      </w:r>
      <w:r>
        <w:rPr>
          <w:spacing w:val="-13"/>
        </w:rPr>
        <w:t> </w:t>
      </w:r>
      <w:r>
        <w:rPr/>
        <w:t>de</w:t>
      </w:r>
      <w:r>
        <w:rPr>
          <w:spacing w:val="-12"/>
        </w:rPr>
        <w:t> </w:t>
      </w:r>
      <w:r>
        <w:rPr/>
        <w:t>nuevas</w:t>
      </w:r>
      <w:r>
        <w:rPr>
          <w:spacing w:val="-13"/>
        </w:rPr>
        <w:t> </w:t>
      </w:r>
      <w:r>
        <w:rPr/>
        <w:t>tecnologías y</w:t>
      </w:r>
      <w:r>
        <w:rPr>
          <w:spacing w:val="-14"/>
        </w:rPr>
        <w:t> </w:t>
      </w:r>
      <w:r>
        <w:rPr/>
        <w:t>partes</w:t>
      </w:r>
      <w:r>
        <w:rPr>
          <w:spacing w:val="-12"/>
        </w:rPr>
        <w:t> </w:t>
      </w:r>
      <w:r>
        <w:rPr/>
        <w:t>que</w:t>
      </w:r>
      <w:r>
        <w:rPr>
          <w:spacing w:val="-13"/>
        </w:rPr>
        <w:t> </w:t>
      </w:r>
      <w:r>
        <w:rPr/>
        <w:t>se</w:t>
      </w:r>
      <w:r>
        <w:rPr>
          <w:spacing w:val="-13"/>
        </w:rPr>
        <w:t> </w:t>
      </w:r>
      <w:r>
        <w:rPr/>
        <w:t>adecuen</w:t>
      </w:r>
      <w:r>
        <w:rPr>
          <w:spacing w:val="-12"/>
        </w:rPr>
        <w:t> </w:t>
      </w:r>
      <w:r>
        <w:rPr/>
        <w:t>a</w:t>
      </w:r>
      <w:r>
        <w:rPr>
          <w:spacing w:val="-13"/>
        </w:rPr>
        <w:t> </w:t>
      </w:r>
      <w:r>
        <w:rPr/>
        <w:t>los</w:t>
      </w:r>
      <w:r>
        <w:rPr>
          <w:spacing w:val="-10"/>
        </w:rPr>
        <w:t> </w:t>
      </w:r>
      <w:r>
        <w:rPr/>
        <w:t>nuevos</w:t>
      </w:r>
      <w:r>
        <w:rPr>
          <w:spacing w:val="-12"/>
        </w:rPr>
        <w:t> </w:t>
      </w:r>
      <w:r>
        <w:rPr/>
        <w:t>requerimientos</w:t>
      </w:r>
      <w:r>
        <w:rPr>
          <w:spacing w:val="-11"/>
        </w:rPr>
        <w:t> </w:t>
      </w:r>
      <w:r>
        <w:rPr/>
        <w:t>de</w:t>
      </w:r>
      <w:r>
        <w:rPr>
          <w:spacing w:val="-13"/>
        </w:rPr>
        <w:t> </w:t>
      </w:r>
      <w:r>
        <w:rPr/>
        <w:t>la</w:t>
      </w:r>
      <w:r>
        <w:rPr>
          <w:spacing w:val="-13"/>
        </w:rPr>
        <w:t> </w:t>
      </w:r>
      <w:r>
        <w:rPr/>
        <w:t>industria</w:t>
      </w:r>
      <w:r>
        <w:rPr>
          <w:spacing w:val="-13"/>
        </w:rPr>
        <w:t> </w:t>
      </w:r>
      <w:r>
        <w:rPr/>
        <w:t>terminal</w:t>
      </w:r>
      <w:r>
        <w:rPr>
          <w:spacing w:val="-12"/>
        </w:rPr>
        <w:t> </w:t>
      </w:r>
      <w:r>
        <w:rPr/>
        <w:t>(Carbajal,</w:t>
      </w:r>
      <w:r>
        <w:rPr>
          <w:spacing w:val="-12"/>
        </w:rPr>
        <w:t> </w:t>
      </w:r>
      <w:r>
        <w:rPr/>
        <w:t>2013).</w:t>
      </w:r>
    </w:p>
    <w:p>
      <w:pPr>
        <w:pStyle w:val="BodyText"/>
        <w:spacing w:before="10"/>
        <w:rPr>
          <w:sz w:val="21"/>
        </w:rPr>
      </w:pPr>
    </w:p>
    <w:p>
      <w:pPr>
        <w:pStyle w:val="Heading1"/>
        <w:numPr>
          <w:ilvl w:val="1"/>
          <w:numId w:val="12"/>
        </w:numPr>
        <w:tabs>
          <w:tab w:pos="522" w:val="left" w:leader="none"/>
        </w:tabs>
        <w:spacing w:line="240" w:lineRule="auto" w:before="0" w:after="0"/>
        <w:ind w:left="522" w:right="0" w:hanging="420"/>
        <w:jc w:val="both"/>
      </w:pPr>
      <w:bookmarkStart w:name="_TOC_250025" w:id="10"/>
      <w:r>
        <w:rPr/>
        <w:t>Distribución actual de la industria automotriz en el</w:t>
      </w:r>
      <w:r>
        <w:rPr>
          <w:spacing w:val="-16"/>
        </w:rPr>
        <w:t> </w:t>
      </w:r>
      <w:bookmarkEnd w:id="10"/>
      <w:r>
        <w:rPr/>
        <w:t>mundo</w:t>
      </w:r>
    </w:p>
    <w:p>
      <w:pPr>
        <w:pStyle w:val="BodyText"/>
        <w:spacing w:before="4"/>
        <w:rPr>
          <w:b/>
          <w:sz w:val="32"/>
        </w:rPr>
      </w:pPr>
    </w:p>
    <w:p>
      <w:pPr>
        <w:pStyle w:val="BodyText"/>
        <w:spacing w:line="360" w:lineRule="auto"/>
        <w:ind w:left="102" w:right="120"/>
        <w:jc w:val="both"/>
      </w:pPr>
      <w:r>
        <w:rPr/>
        <w:t>La</w:t>
      </w:r>
      <w:r>
        <w:rPr>
          <w:spacing w:val="-5"/>
        </w:rPr>
        <w:t> </w:t>
      </w:r>
      <w:r>
        <w:rPr/>
        <w:t>evolución</w:t>
      </w:r>
      <w:r>
        <w:rPr>
          <w:spacing w:val="-4"/>
        </w:rPr>
        <w:t> </w:t>
      </w:r>
      <w:r>
        <w:rPr/>
        <w:t>en</w:t>
      </w:r>
      <w:r>
        <w:rPr>
          <w:spacing w:val="-4"/>
        </w:rPr>
        <w:t> </w:t>
      </w:r>
      <w:r>
        <w:rPr/>
        <w:t>la</w:t>
      </w:r>
      <w:r>
        <w:rPr>
          <w:spacing w:val="-7"/>
        </w:rPr>
        <w:t> </w:t>
      </w:r>
      <w:r>
        <w:rPr/>
        <w:t>organización</w:t>
      </w:r>
      <w:r>
        <w:rPr>
          <w:spacing w:val="-6"/>
        </w:rPr>
        <w:t> </w:t>
      </w:r>
      <w:r>
        <w:rPr/>
        <w:t>de</w:t>
      </w:r>
      <w:r>
        <w:rPr>
          <w:spacing w:val="-7"/>
        </w:rPr>
        <w:t> </w:t>
      </w:r>
      <w:r>
        <w:rPr/>
        <w:t>los</w:t>
      </w:r>
      <w:r>
        <w:rPr>
          <w:spacing w:val="-6"/>
        </w:rPr>
        <w:t> </w:t>
      </w:r>
      <w:r>
        <w:rPr/>
        <w:t>sistemas</w:t>
      </w:r>
      <w:r>
        <w:rPr>
          <w:spacing w:val="-4"/>
        </w:rPr>
        <w:t> </w:t>
      </w:r>
      <w:r>
        <w:rPr/>
        <w:t>de</w:t>
      </w:r>
      <w:r>
        <w:rPr>
          <w:spacing w:val="-3"/>
        </w:rPr>
        <w:t> </w:t>
      </w:r>
      <w:r>
        <w:rPr/>
        <w:t>producción</w:t>
      </w:r>
      <w:r>
        <w:rPr>
          <w:spacing w:val="-6"/>
        </w:rPr>
        <w:t> </w:t>
      </w:r>
      <w:r>
        <w:rPr/>
        <w:t>de</w:t>
      </w:r>
      <w:r>
        <w:rPr>
          <w:spacing w:val="-7"/>
        </w:rPr>
        <w:t> </w:t>
      </w:r>
      <w:r>
        <w:rPr/>
        <w:t>la</w:t>
      </w:r>
      <w:r>
        <w:rPr>
          <w:spacing w:val="-5"/>
        </w:rPr>
        <w:t> </w:t>
      </w:r>
      <w:r>
        <w:rPr/>
        <w:t>industria</w:t>
      </w:r>
      <w:r>
        <w:rPr>
          <w:spacing w:val="-7"/>
        </w:rPr>
        <w:t> </w:t>
      </w:r>
      <w:r>
        <w:rPr/>
        <w:t>automotriz</w:t>
      </w:r>
      <w:r>
        <w:rPr>
          <w:spacing w:val="-5"/>
        </w:rPr>
        <w:t> </w:t>
      </w:r>
      <w:r>
        <w:rPr/>
        <w:t>dio pauta a que distintas empresas, industrias y países formaran una estrecha relación, lo que provocó la regionalización de redes de producción globales, las cuales privilegiaron sobre todo a las zonas con mano de obra barata y de gran tradición industrial (Basurto,</w:t>
      </w:r>
      <w:r>
        <w:rPr>
          <w:spacing w:val="-11"/>
        </w:rPr>
        <w:t> </w:t>
      </w:r>
      <w:r>
        <w:rPr/>
        <w:t>2013).</w:t>
      </w:r>
    </w:p>
    <w:p>
      <w:pPr>
        <w:pStyle w:val="BodyText"/>
        <w:spacing w:before="2"/>
        <w:rPr>
          <w:sz w:val="21"/>
        </w:rPr>
      </w:pPr>
    </w:p>
    <w:p>
      <w:pPr>
        <w:pStyle w:val="BodyText"/>
        <w:spacing w:line="360" w:lineRule="auto"/>
        <w:ind w:left="102" w:right="122"/>
        <w:jc w:val="both"/>
      </w:pPr>
      <w:r>
        <w:rPr/>
        <w:t>En este sentido, el propósito de este apartado es mostrar la conducta de los principales productores de automóviles y autopartes a nivel mundial, tanto a nivel regional como por país y al mismo tiempo presentar a las empresas líderes en el ramo.</w:t>
      </w:r>
    </w:p>
    <w:p>
      <w:pPr>
        <w:spacing w:after="0" w:line="360" w:lineRule="auto"/>
        <w:jc w:val="both"/>
        <w:sectPr>
          <w:pgSz w:w="12240" w:h="15840"/>
          <w:pgMar w:header="0" w:footer="1035" w:top="1360" w:bottom="1220" w:left="1600" w:right="1580"/>
        </w:sectPr>
      </w:pPr>
    </w:p>
    <w:p>
      <w:pPr>
        <w:pStyle w:val="Heading1"/>
        <w:numPr>
          <w:ilvl w:val="2"/>
          <w:numId w:val="12"/>
        </w:numPr>
        <w:tabs>
          <w:tab w:pos="702" w:val="left" w:leader="none"/>
        </w:tabs>
        <w:spacing w:line="240" w:lineRule="auto" w:before="55" w:after="0"/>
        <w:ind w:left="702" w:right="0" w:hanging="600"/>
        <w:jc w:val="both"/>
      </w:pPr>
      <w:bookmarkStart w:name="_TOC_250024" w:id="11"/>
      <w:r>
        <w:rPr/>
        <w:t>La producción de automóviles a nivel</w:t>
      </w:r>
      <w:r>
        <w:rPr>
          <w:spacing w:val="-11"/>
        </w:rPr>
        <w:t> </w:t>
      </w:r>
      <w:bookmarkEnd w:id="11"/>
      <w:r>
        <w:rPr/>
        <w:t>mundial</w:t>
      </w:r>
    </w:p>
    <w:p>
      <w:pPr>
        <w:pStyle w:val="BodyText"/>
        <w:spacing w:before="6"/>
        <w:rPr>
          <w:b/>
          <w:sz w:val="32"/>
        </w:rPr>
      </w:pPr>
    </w:p>
    <w:p>
      <w:pPr>
        <w:pStyle w:val="BodyText"/>
        <w:spacing w:line="360" w:lineRule="auto"/>
        <w:ind w:left="102" w:right="118"/>
        <w:jc w:val="both"/>
      </w:pPr>
      <w:r>
        <w:rPr/>
        <w:t>Gracias a las diversas transformaciones que ha sufrido la industria automotriz, para el año 2012 la producción automotriz a nivel mundial superó los 84 millones de vehículos incluyendo furgonetas, camiones y autobuses. En forma directa, el sector ocupó a alrededor de 9 millones de trabajadores y generó 50 millones de puestos de trabajo incluyendo los indirectos (OICA, 2014).</w:t>
      </w:r>
    </w:p>
    <w:p>
      <w:pPr>
        <w:pStyle w:val="BodyText"/>
        <w:spacing w:before="3"/>
        <w:rPr>
          <w:sz w:val="21"/>
        </w:rPr>
      </w:pPr>
    </w:p>
    <w:p>
      <w:pPr>
        <w:pStyle w:val="BodyText"/>
        <w:spacing w:line="360" w:lineRule="auto"/>
        <w:ind w:left="102" w:right="115"/>
        <w:jc w:val="both"/>
      </w:pPr>
      <w:r>
        <w:rPr/>
        <w:t>Si hablamos en términos de regiones, en la recomposición resalta el avance de la región de Asia-Oceanía, que sin considerar a Japón, ha sido la de mayor crecimiento en estos últimos años, al pasar de 13.5% en 2000 a 38.0% en 2011; sin duda este crecimiento se explica en gran</w:t>
      </w:r>
      <w:r>
        <w:rPr>
          <w:spacing w:val="-11"/>
        </w:rPr>
        <w:t> </w:t>
      </w:r>
      <w:r>
        <w:rPr/>
        <w:t>parte</w:t>
      </w:r>
      <w:r>
        <w:rPr>
          <w:spacing w:val="-12"/>
        </w:rPr>
        <w:t> </w:t>
      </w:r>
      <w:r>
        <w:rPr/>
        <w:t>por</w:t>
      </w:r>
      <w:r>
        <w:rPr>
          <w:spacing w:val="-12"/>
        </w:rPr>
        <w:t> </w:t>
      </w:r>
      <w:r>
        <w:rPr/>
        <w:t>la</w:t>
      </w:r>
      <w:r>
        <w:rPr>
          <w:spacing w:val="-9"/>
        </w:rPr>
        <w:t> </w:t>
      </w:r>
      <w:r>
        <w:rPr/>
        <w:t>dinámica</w:t>
      </w:r>
      <w:r>
        <w:rPr>
          <w:spacing w:val="-12"/>
        </w:rPr>
        <w:t> </w:t>
      </w:r>
      <w:r>
        <w:rPr/>
        <w:t>de</w:t>
      </w:r>
      <w:r>
        <w:rPr>
          <w:spacing w:val="-12"/>
        </w:rPr>
        <w:t> </w:t>
      </w:r>
      <w:r>
        <w:rPr/>
        <w:t>países</w:t>
      </w:r>
      <w:r>
        <w:rPr>
          <w:spacing w:val="-11"/>
        </w:rPr>
        <w:t> </w:t>
      </w:r>
      <w:r>
        <w:rPr/>
        <w:t>como</w:t>
      </w:r>
      <w:r>
        <w:rPr>
          <w:spacing w:val="-11"/>
        </w:rPr>
        <w:t> </w:t>
      </w:r>
      <w:r>
        <w:rPr/>
        <w:t>China</w:t>
      </w:r>
      <w:r>
        <w:rPr>
          <w:spacing w:val="-7"/>
        </w:rPr>
        <w:t> </w:t>
      </w:r>
      <w:r>
        <w:rPr/>
        <w:t>y</w:t>
      </w:r>
      <w:r>
        <w:rPr>
          <w:spacing w:val="-13"/>
        </w:rPr>
        <w:t> </w:t>
      </w:r>
      <w:r>
        <w:rPr/>
        <w:t>la</w:t>
      </w:r>
      <w:r>
        <w:rPr>
          <w:spacing w:val="-9"/>
        </w:rPr>
        <w:t> </w:t>
      </w:r>
      <w:r>
        <w:rPr/>
        <w:t>India,</w:t>
      </w:r>
      <w:r>
        <w:rPr>
          <w:spacing w:val="41"/>
        </w:rPr>
        <w:t> </w:t>
      </w:r>
      <w:r>
        <w:rPr/>
        <w:t>que</w:t>
      </w:r>
      <w:r>
        <w:rPr>
          <w:spacing w:val="-10"/>
        </w:rPr>
        <w:t> </w:t>
      </w:r>
      <w:r>
        <w:rPr/>
        <w:t>han</w:t>
      </w:r>
      <w:r>
        <w:rPr>
          <w:spacing w:val="-11"/>
        </w:rPr>
        <w:t> </w:t>
      </w:r>
      <w:r>
        <w:rPr/>
        <w:t>incrementado</w:t>
      </w:r>
      <w:r>
        <w:rPr>
          <w:spacing w:val="-11"/>
        </w:rPr>
        <w:t> </w:t>
      </w:r>
      <w:r>
        <w:rPr/>
        <w:t>de</w:t>
      </w:r>
      <w:r>
        <w:rPr>
          <w:spacing w:val="-12"/>
        </w:rPr>
        <w:t> </w:t>
      </w:r>
      <w:r>
        <w:rPr/>
        <w:t>manera importante su producción de vehículos, de tal forma que en 2011 se ubican en la primera y sexta</w:t>
      </w:r>
      <w:r>
        <w:rPr>
          <w:spacing w:val="-14"/>
        </w:rPr>
        <w:t> </w:t>
      </w:r>
      <w:r>
        <w:rPr/>
        <w:t>posición</w:t>
      </w:r>
      <w:r>
        <w:rPr>
          <w:spacing w:val="-13"/>
        </w:rPr>
        <w:t> </w:t>
      </w:r>
      <w:r>
        <w:rPr/>
        <w:t>en</w:t>
      </w:r>
      <w:r>
        <w:rPr>
          <w:spacing w:val="-13"/>
        </w:rPr>
        <w:t> </w:t>
      </w:r>
      <w:r>
        <w:rPr/>
        <w:t>el</w:t>
      </w:r>
      <w:r>
        <w:rPr>
          <w:spacing w:val="-13"/>
        </w:rPr>
        <w:t> </w:t>
      </w:r>
      <w:r>
        <w:rPr/>
        <w:t>ranking</w:t>
      </w:r>
      <w:r>
        <w:rPr>
          <w:spacing w:val="-13"/>
        </w:rPr>
        <w:t> </w:t>
      </w:r>
      <w:r>
        <w:rPr/>
        <w:t>mundial</w:t>
      </w:r>
      <w:r>
        <w:rPr>
          <w:spacing w:val="-13"/>
        </w:rPr>
        <w:t> </w:t>
      </w:r>
      <w:r>
        <w:rPr/>
        <w:t>de</w:t>
      </w:r>
      <w:r>
        <w:rPr>
          <w:spacing w:val="-14"/>
        </w:rPr>
        <w:t> </w:t>
      </w:r>
      <w:r>
        <w:rPr/>
        <w:t>manufactura</w:t>
      </w:r>
      <w:r>
        <w:rPr>
          <w:spacing w:val="-15"/>
        </w:rPr>
        <w:t> </w:t>
      </w:r>
      <w:r>
        <w:rPr/>
        <w:t>de</w:t>
      </w:r>
      <w:r>
        <w:rPr>
          <w:spacing w:val="-14"/>
        </w:rPr>
        <w:t> </w:t>
      </w:r>
      <w:r>
        <w:rPr/>
        <w:t>vehículos</w:t>
      </w:r>
      <w:r>
        <w:rPr>
          <w:spacing w:val="-13"/>
        </w:rPr>
        <w:t> </w:t>
      </w:r>
      <w:r>
        <w:rPr/>
        <w:t>respectivamente</w:t>
      </w:r>
      <w:r>
        <w:rPr>
          <w:spacing w:val="-14"/>
        </w:rPr>
        <w:t> </w:t>
      </w:r>
      <w:r>
        <w:rPr/>
        <w:t>(Carbajal, 2013).</w:t>
      </w:r>
    </w:p>
    <w:p>
      <w:pPr>
        <w:pStyle w:val="BodyText"/>
        <w:spacing w:before="5"/>
        <w:rPr>
          <w:sz w:val="21"/>
        </w:rPr>
      </w:pPr>
    </w:p>
    <w:p>
      <w:pPr>
        <w:pStyle w:val="BodyText"/>
        <w:spacing w:line="360" w:lineRule="auto"/>
        <w:ind w:left="102" w:right="118"/>
        <w:jc w:val="both"/>
      </w:pPr>
      <w:r>
        <w:rPr/>
        <w:t>La</w:t>
      </w:r>
      <w:r>
        <w:rPr>
          <w:spacing w:val="-2"/>
        </w:rPr>
        <w:t> </w:t>
      </w:r>
      <w:r>
        <w:rPr/>
        <w:t>consolidación</w:t>
      </w:r>
      <w:r>
        <w:rPr>
          <w:spacing w:val="-3"/>
        </w:rPr>
        <w:t> </w:t>
      </w:r>
      <w:r>
        <w:rPr/>
        <w:t>de</w:t>
      </w:r>
      <w:r>
        <w:rPr>
          <w:spacing w:val="-5"/>
        </w:rPr>
        <w:t> </w:t>
      </w:r>
      <w:r>
        <w:rPr/>
        <w:t>la</w:t>
      </w:r>
      <w:r>
        <w:rPr>
          <w:spacing w:val="-4"/>
        </w:rPr>
        <w:t> </w:t>
      </w:r>
      <w:r>
        <w:rPr/>
        <w:t>región</w:t>
      </w:r>
      <w:r>
        <w:rPr>
          <w:spacing w:val="-3"/>
        </w:rPr>
        <w:t> </w:t>
      </w:r>
      <w:r>
        <w:rPr/>
        <w:t>Asia-Oceanía</w:t>
      </w:r>
      <w:r>
        <w:rPr>
          <w:spacing w:val="-4"/>
        </w:rPr>
        <w:t> </w:t>
      </w:r>
      <w:r>
        <w:rPr/>
        <w:t>se</w:t>
      </w:r>
      <w:r>
        <w:rPr>
          <w:spacing w:val="-5"/>
        </w:rPr>
        <w:t> </w:t>
      </w:r>
      <w:r>
        <w:rPr/>
        <w:t>puede</w:t>
      </w:r>
      <w:r>
        <w:rPr>
          <w:spacing w:val="-5"/>
        </w:rPr>
        <w:t> </w:t>
      </w:r>
      <w:r>
        <w:rPr/>
        <w:t>observar</w:t>
      </w:r>
      <w:r>
        <w:rPr>
          <w:spacing w:val="-5"/>
        </w:rPr>
        <w:t> </w:t>
      </w:r>
      <w:r>
        <w:rPr/>
        <w:t>en</w:t>
      </w:r>
      <w:r>
        <w:rPr>
          <w:spacing w:val="-4"/>
        </w:rPr>
        <w:t> </w:t>
      </w:r>
      <w:r>
        <w:rPr/>
        <w:t>la</w:t>
      </w:r>
      <w:r>
        <w:rPr>
          <w:spacing w:val="-4"/>
        </w:rPr>
        <w:t> </w:t>
      </w:r>
      <w:r>
        <w:rPr/>
        <w:t>gráfica</w:t>
      </w:r>
      <w:r>
        <w:rPr>
          <w:spacing w:val="-2"/>
        </w:rPr>
        <w:t> </w:t>
      </w:r>
      <w:r>
        <w:rPr/>
        <w:t>2.1,</w:t>
      </w:r>
      <w:r>
        <w:rPr>
          <w:spacing w:val="-4"/>
        </w:rPr>
        <w:t> </w:t>
      </w:r>
      <w:r>
        <w:rPr/>
        <w:t>donde</w:t>
      </w:r>
      <w:r>
        <w:rPr>
          <w:spacing w:val="-5"/>
        </w:rPr>
        <w:t> </w:t>
      </w:r>
      <w:r>
        <w:rPr/>
        <w:t>dicha región ha sido la que concentra los mayores volúmenes de producción desde hace diez</w:t>
      </w:r>
      <w:r>
        <w:rPr>
          <w:spacing w:val="-33"/>
        </w:rPr>
        <w:t> </w:t>
      </w:r>
      <w:r>
        <w:rPr/>
        <w:t>años. Para el año 2014, su producción fue de 47,372,100 vehículos lo que representó un crecimiento del 3.4% con respecto al año anterior. Al interior de esta región los países que sobresalen en cuanto a sus volúmenes de producción son: China, India, Pakistán y</w:t>
      </w:r>
      <w:r>
        <w:rPr>
          <w:spacing w:val="-17"/>
        </w:rPr>
        <w:t> </w:t>
      </w:r>
      <w:r>
        <w:rPr/>
        <w:t>Taiwán.</w:t>
      </w:r>
    </w:p>
    <w:p>
      <w:pPr>
        <w:pStyle w:val="BodyText"/>
        <w:spacing w:before="2"/>
        <w:rPr>
          <w:sz w:val="21"/>
        </w:rPr>
      </w:pPr>
    </w:p>
    <w:p>
      <w:pPr>
        <w:pStyle w:val="BodyText"/>
        <w:spacing w:line="360" w:lineRule="auto"/>
        <w:ind w:left="102" w:right="120"/>
        <w:jc w:val="both"/>
      </w:pPr>
      <w:r>
        <w:rPr/>
        <w:t>Por otro lado, es posible apreciar que la región de América ha ido poco a poco ganando terreno</w:t>
      </w:r>
      <w:r>
        <w:rPr>
          <w:spacing w:val="-7"/>
        </w:rPr>
        <w:t> </w:t>
      </w:r>
      <w:r>
        <w:rPr/>
        <w:t>en</w:t>
      </w:r>
      <w:r>
        <w:rPr>
          <w:spacing w:val="-9"/>
        </w:rPr>
        <w:t> </w:t>
      </w:r>
      <w:r>
        <w:rPr/>
        <w:t>los</w:t>
      </w:r>
      <w:r>
        <w:rPr>
          <w:spacing w:val="-6"/>
        </w:rPr>
        <w:t> </w:t>
      </w:r>
      <w:r>
        <w:rPr/>
        <w:t>niveles</w:t>
      </w:r>
      <w:r>
        <w:rPr>
          <w:spacing w:val="-8"/>
        </w:rPr>
        <w:t> </w:t>
      </w:r>
      <w:r>
        <w:rPr/>
        <w:t>de</w:t>
      </w:r>
      <w:r>
        <w:rPr>
          <w:spacing w:val="-7"/>
        </w:rPr>
        <w:t> </w:t>
      </w:r>
      <w:r>
        <w:rPr/>
        <w:t>producción,</w:t>
      </w:r>
      <w:r>
        <w:rPr>
          <w:spacing w:val="-9"/>
        </w:rPr>
        <w:t> </w:t>
      </w:r>
      <w:r>
        <w:rPr/>
        <w:t>lo</w:t>
      </w:r>
      <w:r>
        <w:rPr>
          <w:spacing w:val="-6"/>
        </w:rPr>
        <w:t> </w:t>
      </w:r>
      <w:r>
        <w:rPr/>
        <w:t>que</w:t>
      </w:r>
      <w:r>
        <w:rPr>
          <w:spacing w:val="-10"/>
        </w:rPr>
        <w:t> </w:t>
      </w:r>
      <w:r>
        <w:rPr/>
        <w:t>ha</w:t>
      </w:r>
      <w:r>
        <w:rPr>
          <w:spacing w:val="-10"/>
        </w:rPr>
        <w:t> </w:t>
      </w:r>
      <w:r>
        <w:rPr/>
        <w:t>ocasionado</w:t>
      </w:r>
      <w:r>
        <w:rPr>
          <w:spacing w:val="-9"/>
        </w:rPr>
        <w:t> </w:t>
      </w:r>
      <w:r>
        <w:rPr/>
        <w:t>una</w:t>
      </w:r>
      <w:r>
        <w:rPr>
          <w:spacing w:val="-10"/>
        </w:rPr>
        <w:t> </w:t>
      </w:r>
      <w:r>
        <w:rPr/>
        <w:t>disminución</w:t>
      </w:r>
      <w:r>
        <w:rPr>
          <w:spacing w:val="-6"/>
        </w:rPr>
        <w:t> </w:t>
      </w:r>
      <w:r>
        <w:rPr/>
        <w:t>en</w:t>
      </w:r>
      <w:r>
        <w:rPr>
          <w:spacing w:val="-9"/>
        </w:rPr>
        <w:t> </w:t>
      </w:r>
      <w:r>
        <w:rPr/>
        <w:t>la</w:t>
      </w:r>
      <w:r>
        <w:rPr>
          <w:spacing w:val="-9"/>
        </w:rPr>
        <w:t> </w:t>
      </w:r>
      <w:r>
        <w:rPr/>
        <w:t>producción de vehículos Europea; para el año 2005 la región Europea presentaba mayor producción de autos</w:t>
      </w:r>
      <w:r>
        <w:rPr>
          <w:spacing w:val="-6"/>
        </w:rPr>
        <w:t> </w:t>
      </w:r>
      <w:r>
        <w:rPr/>
        <w:t>que</w:t>
      </w:r>
      <w:r>
        <w:rPr>
          <w:spacing w:val="-7"/>
        </w:rPr>
        <w:t> </w:t>
      </w:r>
      <w:r>
        <w:rPr/>
        <w:t>América,</w:t>
      </w:r>
      <w:r>
        <w:rPr>
          <w:spacing w:val="-6"/>
        </w:rPr>
        <w:t> </w:t>
      </w:r>
      <w:r>
        <w:rPr/>
        <w:t>sin</w:t>
      </w:r>
      <w:r>
        <w:rPr>
          <w:spacing w:val="-6"/>
        </w:rPr>
        <w:t> </w:t>
      </w:r>
      <w:r>
        <w:rPr/>
        <w:t>embargo</w:t>
      </w:r>
      <w:r>
        <w:rPr>
          <w:spacing w:val="-6"/>
        </w:rPr>
        <w:t> </w:t>
      </w:r>
      <w:r>
        <w:rPr/>
        <w:t>a</w:t>
      </w:r>
      <w:r>
        <w:rPr>
          <w:spacing w:val="-7"/>
        </w:rPr>
        <w:t> </w:t>
      </w:r>
      <w:r>
        <w:rPr/>
        <w:t>partir</w:t>
      </w:r>
      <w:r>
        <w:rPr>
          <w:spacing w:val="-7"/>
        </w:rPr>
        <w:t> </w:t>
      </w:r>
      <w:r>
        <w:rPr/>
        <w:t>del</w:t>
      </w:r>
      <w:r>
        <w:rPr>
          <w:spacing w:val="-6"/>
        </w:rPr>
        <w:t> </w:t>
      </w:r>
      <w:r>
        <w:rPr/>
        <w:t>2012</w:t>
      </w:r>
      <w:r>
        <w:rPr>
          <w:spacing w:val="-4"/>
        </w:rPr>
        <w:t> </w:t>
      </w:r>
      <w:r>
        <w:rPr/>
        <w:t>la</w:t>
      </w:r>
      <w:r>
        <w:rPr>
          <w:spacing w:val="-7"/>
        </w:rPr>
        <w:t> </w:t>
      </w:r>
      <w:r>
        <w:rPr/>
        <w:t>situación</w:t>
      </w:r>
      <w:r>
        <w:rPr>
          <w:spacing w:val="-6"/>
        </w:rPr>
        <w:t> </w:t>
      </w:r>
      <w:r>
        <w:rPr/>
        <w:t>cambió</w:t>
      </w:r>
      <w:r>
        <w:rPr>
          <w:spacing w:val="-6"/>
        </w:rPr>
        <w:t> </w:t>
      </w:r>
      <w:r>
        <w:rPr/>
        <w:t>en</w:t>
      </w:r>
      <w:r>
        <w:rPr>
          <w:spacing w:val="-4"/>
        </w:rPr>
        <w:t> </w:t>
      </w:r>
      <w:r>
        <w:rPr/>
        <w:t>favor</w:t>
      </w:r>
      <w:r>
        <w:rPr>
          <w:spacing w:val="-7"/>
        </w:rPr>
        <w:t> </w:t>
      </w:r>
      <w:r>
        <w:rPr/>
        <w:t>de</w:t>
      </w:r>
      <w:r>
        <w:rPr>
          <w:spacing w:val="-7"/>
        </w:rPr>
        <w:t> </w:t>
      </w:r>
      <w:r>
        <w:rPr/>
        <w:t>esta</w:t>
      </w:r>
      <w:r>
        <w:rPr>
          <w:spacing w:val="-4"/>
        </w:rPr>
        <w:t> </w:t>
      </w:r>
      <w:r>
        <w:rPr/>
        <w:t>última región (véase gráfica</w:t>
      </w:r>
      <w:r>
        <w:rPr>
          <w:spacing w:val="-4"/>
        </w:rPr>
        <w:t> </w:t>
      </w:r>
      <w:r>
        <w:rPr/>
        <w:t>2.1).</w:t>
      </w:r>
    </w:p>
    <w:p>
      <w:pPr>
        <w:spacing w:after="0" w:line="360" w:lineRule="auto"/>
        <w:jc w:val="both"/>
        <w:sectPr>
          <w:pgSz w:w="12240" w:h="15840"/>
          <w:pgMar w:header="0" w:footer="1035" w:top="1360" w:bottom="1220" w:left="1600" w:right="1580"/>
        </w:sectPr>
      </w:pPr>
    </w:p>
    <w:p>
      <w:pPr>
        <w:pStyle w:val="Heading1"/>
        <w:spacing w:before="55"/>
        <w:ind w:right="403"/>
        <w:jc w:val="center"/>
      </w:pPr>
      <w:r>
        <w:rPr/>
        <w:t>Gráfica 2.1. Producción mundial de vehículos por región, 2005-2014.</w:t>
      </w:r>
    </w:p>
    <w:p>
      <w:pPr>
        <w:spacing w:before="139"/>
        <w:ind w:left="383" w:right="345" w:firstLine="0"/>
        <w:jc w:val="center"/>
        <w:rPr>
          <w:b/>
          <w:sz w:val="24"/>
        </w:rPr>
      </w:pPr>
      <w:r>
        <w:rPr/>
        <w:pict>
          <v:group style="position:absolute;margin-left:106.904999pt;margin-top:27.238134pt;width:397.6pt;height:170.8pt;mso-position-horizontal-relative:page;mso-position-vertical-relative:paragraph;z-index:1216;mso-wrap-distance-left:0;mso-wrap-distance-right:0" coordorigin="2138,545" coordsize="7952,3416">
            <v:shape style="position:absolute;left:3238;top:773;width:6624;height:2306" type="#_x0000_t75" stroked="false">
              <v:imagedata r:id="rId9" o:title=""/>
            </v:shape>
            <v:line style="position:absolute" from="9631,2849" to="9862,2849" stroked="true" strokeweight=".72pt" strokecolor="#d9d9d9"/>
            <v:line style="position:absolute" from="9514,2849" to="9550,2849" stroked="true" strokeweight=".72pt" strokecolor="#d9d9d9"/>
            <v:line style="position:absolute" from="9394,2849" to="9430,2849" stroked="true" strokeweight=".72pt" strokecolor="#d9d9d9"/>
            <v:line style="position:absolute" from="8969,2849" to="9310,2849" stroked="true" strokeweight=".72pt" strokecolor="#d9d9d9"/>
            <v:line style="position:absolute" from="8851,2849" to="8887,2849" stroked="true" strokeweight=".72pt" strokecolor="#d9d9d9"/>
            <v:line style="position:absolute" from="8731,2849" to="8767,2849" stroked="true" strokeweight=".72pt" strokecolor="#d9d9d9"/>
            <v:line style="position:absolute" from="8306,2849" to="8647,2849" stroked="true" strokeweight=".72pt" strokecolor="#d9d9d9"/>
            <v:line style="position:absolute" from="8189,2849" to="8225,2849" stroked="true" strokeweight=".72pt" strokecolor="#d9d9d9"/>
            <v:line style="position:absolute" from="8069,2849" to="8105,2849" stroked="true" strokeweight=".72pt" strokecolor="#d9d9d9"/>
            <v:line style="position:absolute" from="7644,2849" to="7985,2849" stroked="true" strokeweight=".72pt" strokecolor="#d9d9d9"/>
            <v:line style="position:absolute" from="7526,2849" to="7562,2849" stroked="true" strokeweight=".72pt" strokecolor="#d9d9d9"/>
            <v:line style="position:absolute" from="7406,2849" to="7442,2849" stroked="true" strokeweight=".72pt" strokecolor="#d9d9d9"/>
            <v:line style="position:absolute" from="6982,2849" to="7322,2849" stroked="true" strokeweight=".72pt" strokecolor="#d9d9d9"/>
            <v:line style="position:absolute" from="6864,2849" to="6900,2849" stroked="true" strokeweight=".72pt" strokecolor="#d9d9d9"/>
            <v:line style="position:absolute" from="6744,2849" to="6780,2849" stroked="true" strokeweight=".72pt" strokecolor="#d9d9d9"/>
            <v:line style="position:absolute" from="6319,2849" to="6660,2849" stroked="true" strokeweight=".72pt" strokecolor="#d9d9d9"/>
            <v:line style="position:absolute" from="6202,2849" to="6238,2849" stroked="true" strokeweight=".72pt" strokecolor="#d9d9d9"/>
            <v:line style="position:absolute" from="6082,2849" to="6118,2849" stroked="true" strokeweight=".72pt" strokecolor="#d9d9d9"/>
            <v:line style="position:absolute" from="5657,2849" to="5998,2849" stroked="true" strokeweight=".72pt" strokecolor="#d9d9d9"/>
            <v:line style="position:absolute" from="5539,2849" to="5575,2849" stroked="true" strokeweight=".72pt" strokecolor="#d9d9d9"/>
            <v:line style="position:absolute" from="5419,2849" to="5455,2849" stroked="true" strokeweight=".72pt" strokecolor="#d9d9d9"/>
            <v:line style="position:absolute" from="4994,2849" to="5335,2849" stroked="true" strokeweight=".72pt" strokecolor="#d9d9d9"/>
            <v:line style="position:absolute" from="4877,2849" to="4913,2849" stroked="true" strokeweight=".72pt" strokecolor="#d9d9d9"/>
            <v:line style="position:absolute" from="4757,2849" to="4793,2849" stroked="true" strokeweight=".72pt" strokecolor="#d9d9d9"/>
            <v:line style="position:absolute" from="4332,2849" to="4673,2849" stroked="true" strokeweight=".72pt" strokecolor="#d9d9d9"/>
            <v:line style="position:absolute" from="4214,2849" to="4250,2849" stroked="true" strokeweight=".72pt" strokecolor="#d9d9d9"/>
            <v:line style="position:absolute" from="4094,2849" to="4130,2849" stroked="true" strokeweight=".72pt" strokecolor="#d9d9d9"/>
            <v:line style="position:absolute" from="3670,2849" to="4010,2849" stroked="true" strokeweight=".72pt" strokecolor="#d9d9d9"/>
            <v:line style="position:absolute" from="3552,2849" to="3588,2849" stroked="true" strokeweight=".72pt" strokecolor="#d9d9d9"/>
            <v:line style="position:absolute" from="3432,2849" to="3468,2849" stroked="true" strokeweight=".72pt" strokecolor="#d9d9d9"/>
            <v:line style="position:absolute" from="3238,2849" to="3350,2849" stroked="true" strokeweight=".72pt" strokecolor="#d9d9d9"/>
            <v:line style="position:absolute" from="9631,2619" to="9862,2619" stroked="true" strokeweight=".72pt" strokecolor="#d9d9d9"/>
            <v:line style="position:absolute" from="9514,2619" to="9550,2619" stroked="true" strokeweight=".72pt" strokecolor="#d9d9d9"/>
            <v:line style="position:absolute" from="9394,2619" to="9430,2619" stroked="true" strokeweight=".72pt" strokecolor="#d9d9d9"/>
            <v:line style="position:absolute" from="8969,2619" to="9310,2619" stroked="true" strokeweight=".72pt" strokecolor="#d9d9d9"/>
            <v:line style="position:absolute" from="8851,2619" to="8887,2619" stroked="true" strokeweight=".72pt" strokecolor="#d9d9d9"/>
            <v:line style="position:absolute" from="8731,2619" to="8767,2619" stroked="true" strokeweight=".72pt" strokecolor="#d9d9d9"/>
            <v:line style="position:absolute" from="8306,2619" to="8647,2619" stroked="true" strokeweight=".72pt" strokecolor="#d9d9d9"/>
            <v:line style="position:absolute" from="8189,2619" to="8225,2619" stroked="true" strokeweight=".72pt" strokecolor="#d9d9d9"/>
            <v:line style="position:absolute" from="8069,2619" to="8105,2619" stroked="true" strokeweight=".72pt" strokecolor="#d9d9d9"/>
            <v:line style="position:absolute" from="7644,2619" to="7985,2619" stroked="true" strokeweight=".72pt" strokecolor="#d9d9d9"/>
            <v:line style="position:absolute" from="7526,2619" to="7562,2619" stroked="true" strokeweight=".72pt" strokecolor="#d9d9d9"/>
            <v:line style="position:absolute" from="7406,2619" to="7442,2619" stroked="true" strokeweight=".72pt" strokecolor="#d9d9d9"/>
            <v:line style="position:absolute" from="6982,2619" to="7322,2619" stroked="true" strokeweight=".72pt" strokecolor="#d9d9d9"/>
            <v:line style="position:absolute" from="6864,2619" to="6900,2619" stroked="true" strokeweight=".72pt" strokecolor="#d9d9d9"/>
            <v:line style="position:absolute" from="6744,2619" to="6780,2619" stroked="true" strokeweight=".72pt" strokecolor="#d9d9d9"/>
            <v:line style="position:absolute" from="6319,2619" to="6660,2619" stroked="true" strokeweight=".72pt" strokecolor="#d9d9d9"/>
            <v:line style="position:absolute" from="6202,2619" to="6238,2619" stroked="true" strokeweight=".72pt" strokecolor="#d9d9d9"/>
            <v:line style="position:absolute" from="6082,2619" to="6118,2619" stroked="true" strokeweight=".72pt" strokecolor="#d9d9d9"/>
            <v:line style="position:absolute" from="5657,2619" to="5998,2619" stroked="true" strokeweight=".72pt" strokecolor="#d9d9d9"/>
            <v:line style="position:absolute" from="5539,2619" to="5575,2619" stroked="true" strokeweight=".72pt" strokecolor="#d9d9d9"/>
            <v:line style="position:absolute" from="5419,2619" to="5455,2619" stroked="true" strokeweight=".72pt" strokecolor="#d9d9d9"/>
            <v:line style="position:absolute" from="4994,2619" to="5335,2619" stroked="true" strokeweight=".72pt" strokecolor="#d9d9d9"/>
            <v:line style="position:absolute" from="4877,2619" to="4913,2619" stroked="true" strokeweight=".72pt" strokecolor="#d9d9d9"/>
            <v:line style="position:absolute" from="4757,2619" to="4793,2619" stroked="true" strokeweight=".72pt" strokecolor="#d9d9d9"/>
            <v:line style="position:absolute" from="4332,2619" to="4673,2619" stroked="true" strokeweight=".72pt" strokecolor="#d9d9d9"/>
            <v:line style="position:absolute" from="4214,2619" to="4250,2619" stroked="true" strokeweight=".72pt" strokecolor="#d9d9d9"/>
            <v:line style="position:absolute" from="4094,2619" to="4130,2619" stroked="true" strokeweight=".72pt" strokecolor="#d9d9d9"/>
            <v:line style="position:absolute" from="3670,2619" to="4010,2619" stroked="true" strokeweight=".72pt" strokecolor="#d9d9d9"/>
            <v:line style="position:absolute" from="3552,2619" to="3588,2619" stroked="true" strokeweight=".72pt" strokecolor="#d9d9d9"/>
            <v:line style="position:absolute" from="3432,2619" to="3468,2619" stroked="true" strokeweight=".72pt" strokecolor="#d9d9d9"/>
            <v:line style="position:absolute" from="3238,2619" to="3350,2619" stroked="true" strokeweight=".72pt" strokecolor="#d9d9d9"/>
            <v:line style="position:absolute" from="9631,2388" to="9862,2388" stroked="true" strokeweight=".72pt" strokecolor="#d9d9d9"/>
            <v:line style="position:absolute" from="9514,2388" to="9550,2388" stroked="true" strokeweight=".72pt" strokecolor="#d9d9d9"/>
            <v:line style="position:absolute" from="9394,2388" to="9430,2388" stroked="true" strokeweight=".72pt" strokecolor="#d9d9d9"/>
            <v:line style="position:absolute" from="8969,2388" to="9310,2388" stroked="true" strokeweight=".72pt" strokecolor="#d9d9d9"/>
            <v:line style="position:absolute" from="8851,2388" to="8887,2388" stroked="true" strokeweight=".72pt" strokecolor="#d9d9d9"/>
            <v:line style="position:absolute" from="8731,2388" to="8767,2388" stroked="true" strokeweight=".72pt" strokecolor="#d9d9d9"/>
            <v:line style="position:absolute" from="8306,2388" to="8647,2388" stroked="true" strokeweight=".72pt" strokecolor="#d9d9d9"/>
            <v:line style="position:absolute" from="8189,2388" to="8225,2388" stroked="true" strokeweight=".72pt" strokecolor="#d9d9d9"/>
            <v:line style="position:absolute" from="8069,2388" to="8105,2388" stroked="true" strokeweight=".72pt" strokecolor="#d9d9d9"/>
            <v:line style="position:absolute" from="7644,2388" to="7985,2388" stroked="true" strokeweight=".72pt" strokecolor="#d9d9d9"/>
            <v:line style="position:absolute" from="7526,2388" to="7562,2388" stroked="true" strokeweight=".72pt" strokecolor="#d9d9d9"/>
            <v:line style="position:absolute" from="7406,2388" to="7442,2388" stroked="true" strokeweight=".72pt" strokecolor="#d9d9d9"/>
            <v:line style="position:absolute" from="6982,2388" to="7322,2388" stroked="true" strokeweight=".72pt" strokecolor="#d9d9d9"/>
            <v:line style="position:absolute" from="6864,2388" to="6900,2388" stroked="true" strokeweight=".72pt" strokecolor="#d9d9d9"/>
            <v:line style="position:absolute" from="6744,2388" to="6780,2388" stroked="true" strokeweight=".72pt" strokecolor="#d9d9d9"/>
            <v:line style="position:absolute" from="6319,2388" to="6660,2388" stroked="true" strokeweight=".72pt" strokecolor="#d9d9d9"/>
            <v:line style="position:absolute" from="6082,2388" to="6238,2388" stroked="true" strokeweight=".72pt" strokecolor="#d9d9d9"/>
            <v:line style="position:absolute" from="5657,2388" to="5998,2388" stroked="true" strokeweight=".72pt" strokecolor="#d9d9d9"/>
            <v:line style="position:absolute" from="5539,2388" to="5575,2388" stroked="true" strokeweight=".72pt" strokecolor="#d9d9d9"/>
            <v:line style="position:absolute" from="5419,2388" to="5455,2388" stroked="true" strokeweight=".72pt" strokecolor="#d9d9d9"/>
            <v:line style="position:absolute" from="4994,2388" to="5335,2388" stroked="true" strokeweight=".72pt" strokecolor="#d9d9d9"/>
            <v:line style="position:absolute" from="4877,2388" to="4913,2388" stroked="true" strokeweight=".72pt" strokecolor="#d9d9d9"/>
            <v:line style="position:absolute" from="4757,2388" to="4793,2388" stroked="true" strokeweight=".72pt" strokecolor="#d9d9d9"/>
            <v:line style="position:absolute" from="4332,2388" to="4673,2388" stroked="true" strokeweight=".72pt" strokecolor="#d9d9d9"/>
            <v:line style="position:absolute" from="4214,2388" to="4250,2388" stroked="true" strokeweight=".72pt" strokecolor="#d9d9d9"/>
            <v:line style="position:absolute" from="4094,2388" to="4130,2388" stroked="true" strokeweight=".72pt" strokecolor="#d9d9d9"/>
            <v:line style="position:absolute" from="3670,2388" to="4010,2388" stroked="true" strokeweight=".72pt" strokecolor="#d9d9d9"/>
            <v:line style="position:absolute" from="3552,2388" to="3588,2388" stroked="true" strokeweight=".72pt" strokecolor="#d9d9d9"/>
            <v:line style="position:absolute" from="3432,2388" to="3468,2388" stroked="true" strokeweight=".72pt" strokecolor="#d9d9d9"/>
            <v:line style="position:absolute" from="3238,2388" to="3350,2388" stroked="true" strokeweight=".72pt" strokecolor="#d9d9d9"/>
            <v:line style="position:absolute" from="9631,2158" to="9862,2158" stroked="true" strokeweight=".72pt" strokecolor="#d9d9d9"/>
            <v:line style="position:absolute" from="9514,2158" to="9550,2158" stroked="true" strokeweight=".72pt" strokecolor="#d9d9d9"/>
            <v:line style="position:absolute" from="8969,2158" to="9430,2158" stroked="true" strokeweight=".72pt" strokecolor="#d9d9d9"/>
            <v:line style="position:absolute" from="8851,2158" to="8887,2158" stroked="true" strokeweight=".72pt" strokecolor="#d9d9d9"/>
            <v:line style="position:absolute" from="8306,2158" to="8767,2158" stroked="true" strokeweight=".72pt" strokecolor="#d9d9d9"/>
            <v:line style="position:absolute" from="7644,2158" to="8225,2158" stroked="true" strokeweight=".72pt" strokecolor="#d9d9d9"/>
            <v:line style="position:absolute" from="7406,2158" to="7562,2158" stroked="true" strokeweight=".72pt" strokecolor="#d9d9d9"/>
            <v:line style="position:absolute" from="6982,2158" to="7322,2158" stroked="true" strokeweight=".72pt" strokecolor="#d9d9d9"/>
            <v:line style="position:absolute" from="6319,2158" to="6900,2158" stroked="true" strokeweight=".72pt" strokecolor="#d9d9d9"/>
            <v:line style="position:absolute" from="5657,2158" to="6238,2158" stroked="true" strokeweight=".72pt" strokecolor="#d9d9d9"/>
            <v:line style="position:absolute" from="5419,2158" to="5575,2158" stroked="true" strokeweight=".72pt" strokecolor="#d9d9d9"/>
            <v:line style="position:absolute" from="4994,2158" to="5335,2158" stroked="true" strokeweight=".72pt" strokecolor="#d9d9d9"/>
            <v:line style="position:absolute" from="4757,2158" to="4913,2158" stroked="true" strokeweight=".72pt" strokecolor="#d9d9d9"/>
            <v:line style="position:absolute" from="4332,2158" to="4673,2158" stroked="true" strokeweight=".72pt" strokecolor="#d9d9d9"/>
            <v:line style="position:absolute" from="4094,2158" to="4250,2158" stroked="true" strokeweight=".72pt" strokecolor="#d9d9d9"/>
            <v:line style="position:absolute" from="3670,2158" to="4010,2158" stroked="true" strokeweight=".72pt" strokecolor="#d9d9d9"/>
            <v:line style="position:absolute" from="3432,2158" to="3588,2158" stroked="true" strokeweight=".72pt" strokecolor="#d9d9d9"/>
            <v:line style="position:absolute" from="3238,2158" to="3350,2158" stroked="true" strokeweight=".72pt" strokecolor="#d9d9d9"/>
            <v:line style="position:absolute" from="9631,1927" to="9862,1927" stroked="true" strokeweight=".72pt" strokecolor="#d9d9d9"/>
            <v:line style="position:absolute" from="8969,1927" to="9550,1927" stroked="true" strokeweight=".72pt" strokecolor="#d9d9d9"/>
            <v:line style="position:absolute" from="8306,1927" to="8887,1927" stroked="true" strokeweight=".72pt" strokecolor="#d9d9d9"/>
            <v:line style="position:absolute" from="7644,1927" to="8225,1927" stroked="true" strokeweight=".72pt" strokecolor="#d9d9d9"/>
            <v:line style="position:absolute" from="6982,1927" to="7562,1927" stroked="true" strokeweight=".72pt" strokecolor="#d9d9d9"/>
            <v:line style="position:absolute" from="6319,1927" to="6900,1927" stroked="true" strokeweight=".72pt" strokecolor="#d9d9d9"/>
            <v:line style="position:absolute" from="5657,1927" to="6238,1927" stroked="true" strokeweight=".72pt" strokecolor="#d9d9d9"/>
            <v:line style="position:absolute" from="4994,1927" to="5575,1927" stroked="true" strokeweight=".72pt" strokecolor="#d9d9d9"/>
            <v:line style="position:absolute" from="4332,1927" to="4913,1927" stroked="true" strokeweight=".72pt" strokecolor="#d9d9d9"/>
            <v:line style="position:absolute" from="3670,1927" to="4250,1927" stroked="true" strokeweight=".72pt" strokecolor="#d9d9d9"/>
            <v:line style="position:absolute" from="3238,1927" to="3588,1927" stroked="true" strokeweight=".72pt" strokecolor="#d9d9d9"/>
            <v:line style="position:absolute" from="9631,1697" to="9862,1697" stroked="true" strokeweight=".72pt" strokecolor="#d9d9d9"/>
            <v:line style="position:absolute" from="8969,1697" to="9550,1697" stroked="true" strokeweight=".72pt" strokecolor="#d9d9d9"/>
            <v:line style="position:absolute" from="8306,1697" to="8887,1697" stroked="true" strokeweight=".72pt" strokecolor="#d9d9d9"/>
            <v:line style="position:absolute" from="7644,1697" to="8225,1697" stroked="true" strokeweight=".72pt" strokecolor="#d9d9d9"/>
            <v:line style="position:absolute" from="6982,1697" to="7562,1697" stroked="true" strokeweight=".72pt" strokecolor="#d9d9d9"/>
            <v:line style="position:absolute" from="6319,1697" to="6900,1697" stroked="true" strokeweight=".72pt" strokecolor="#d9d9d9"/>
            <v:line style="position:absolute" from="5657,1697" to="6238,1697" stroked="true" strokeweight=".72pt" strokecolor="#d9d9d9"/>
            <v:line style="position:absolute" from="4994,1697" to="5575,1697" stroked="true" strokeweight=".72pt" strokecolor="#d9d9d9"/>
            <v:line style="position:absolute" from="3238,1697" to="4913,1697" stroked="true" strokeweight=".72pt" strokecolor="#d9d9d9"/>
            <v:line style="position:absolute" from="9631,1464" to="9862,1464" stroked="true" strokeweight=".72pt" strokecolor="#d9d9d9"/>
            <v:line style="position:absolute" from="8969,1464" to="9550,1464" stroked="true" strokeweight=".72pt" strokecolor="#d9d9d9"/>
            <v:line style="position:absolute" from="8306,1464" to="8887,1464" stroked="true" strokeweight=".72pt" strokecolor="#d9d9d9"/>
            <v:line style="position:absolute" from="7644,1464" to="8225,1464" stroked="true" strokeweight=".72pt" strokecolor="#d9d9d9"/>
            <v:line style="position:absolute" from="6982,1464" to="7562,1464" stroked="true" strokeweight=".72pt" strokecolor="#d9d9d9"/>
            <v:line style="position:absolute" from="3238,1464" to="6900,1464" stroked="true" strokeweight=".72pt" strokecolor="#d9d9d9"/>
            <v:line style="position:absolute" from="9631,1234" to="9862,1234" stroked="true" strokeweight=".72pt" strokecolor="#d9d9d9"/>
            <v:line style="position:absolute" from="8969,1234" to="9550,1234" stroked="true" strokeweight=".72pt" strokecolor="#d9d9d9"/>
            <v:line style="position:absolute" from="8306,1234" to="8887,1234" stroked="true" strokeweight=".72pt" strokecolor="#d9d9d9"/>
            <v:line style="position:absolute" from="7644,1234" to="8225,1234" stroked="true" strokeweight=".72pt" strokecolor="#d9d9d9"/>
            <v:line style="position:absolute" from="6982,1234" to="7562,1234" stroked="true" strokeweight=".72pt" strokecolor="#d9d9d9"/>
            <v:line style="position:absolute" from="3238,1234" to="6900,1234" stroked="true" strokeweight=".72pt" strokecolor="#d9d9d9"/>
            <v:line style="position:absolute" from="9631,1003" to="9862,1003" stroked="true" strokeweight=".72pt" strokecolor="#d9d9d9"/>
            <v:line style="position:absolute" from="8969,1003" to="9550,1003" stroked="true" strokeweight=".72pt" strokecolor="#d9d9d9"/>
            <v:line style="position:absolute" from="3238,1003" to="8887,1003" stroked="true" strokeweight=".72pt" strokecolor="#d9d9d9"/>
            <v:line style="position:absolute" from="3238,773" to="9862,773" stroked="true" strokeweight=".72pt" strokecolor="#d9d9d9"/>
            <v:line style="position:absolute" from="3238,773" to="3238,3079" stroked="true" strokeweight=".72pt" strokecolor="#d9d9d9"/>
            <v:line style="position:absolute" from="3900,773" to="3900,3079" stroked="true" strokeweight=".72pt" strokecolor="#d9d9d9"/>
            <v:line style="position:absolute" from="4562,773" to="4562,3079" stroked="true" strokeweight=".72pt" strokecolor="#d9d9d9"/>
            <v:line style="position:absolute" from="5225,773" to="5225,3079" stroked="true" strokeweight=".72pt" strokecolor="#d9d9d9"/>
            <v:line style="position:absolute" from="5887,773" to="5887,3079" stroked="true" strokeweight=".72pt" strokecolor="#d9d9d9"/>
            <v:line style="position:absolute" from="6550,773" to="6550,3079" stroked="true" strokeweight=".72pt" strokecolor="#d9d9d9"/>
            <v:line style="position:absolute" from="7212,773" to="7212,3079" stroked="true" strokeweight=".72pt" strokecolor="#d9d9d9"/>
            <v:line style="position:absolute" from="7874,773" to="7874,3079" stroked="true" strokeweight=".72pt" strokecolor="#d9d9d9"/>
            <v:line style="position:absolute" from="8537,773" to="8537,3079" stroked="true" strokeweight=".72pt" strokecolor="#d9d9d9"/>
            <v:line style="position:absolute" from="9199,773" to="9199,3079" stroked="true" strokeweight=".72pt" strokecolor="#d9d9d9"/>
            <v:line style="position:absolute" from="9862,773" to="9862,3079" stroked="true" strokeweight=".72pt" strokecolor="#d9d9d9"/>
            <v:line style="position:absolute" from="3391,2119" to="3391,3079" stroked="true" strokeweight="4.08pt" strokecolor="#539e39"/>
            <v:line style="position:absolute" from="4052,2093" to="4052,3079" stroked="true" strokeweight="4.2pt" strokecolor="#539e39"/>
            <v:line style="position:absolute" from="4715,2026" to="4715,3079" stroked="true" strokeweight="4.2pt" strokecolor="#539e39"/>
            <v:line style="position:absolute" from="5377,2076" to="5377,3079" stroked="true" strokeweight="4.2pt" strokecolor="#539e39"/>
            <v:line style="position:absolute" from="6040,2295" to="6040,3079" stroked="true" strokeweight="4.2pt" strokecolor="#539e39"/>
            <v:line style="position:absolute" from="6702,2167" to="6702,3079" stroked="true" strokeweight="4.2pt" strokecolor="#539e39"/>
            <v:line style="position:absolute" from="7364,2115" to="7364,3079" stroked="true" strokeweight="4.2pt" strokecolor="#539e39"/>
            <v:line style="position:absolute" from="8027,2165" to="8027,3079" stroked="true" strokeweight="4.2pt" strokecolor="#539e39"/>
            <v:line style="position:absolute" from="8689,2160" to="8689,3079" stroked="true" strokeweight="4.2pt" strokecolor="#539e39"/>
            <v:line style="position:absolute" from="9352,2141" to="9352,3079" stroked="true" strokeweight="4.2pt" strokecolor="#539e39"/>
            <v:line style="position:absolute" from="3510,2189" to="3510,3079" stroked="true" strokeweight="4.2pt" strokecolor="#89b833"/>
            <v:line style="position:absolute" from="4172,2199" to="4172,3079" stroked="true" strokeweight="4.2pt" strokecolor="#89b833"/>
            <v:line style="position:absolute" from="4835,2196" to="4835,3079" stroked="true" strokeweight="4.2pt" strokecolor="#89b833"/>
            <v:line style="position:absolute" from="5497,2299" to="5497,3079" stroked="true" strokeweight="4.2pt" strokecolor="#89b833"/>
            <v:line style="position:absolute" from="6160,2503" to="6160,3079" stroked="true" strokeweight="4.2pt" strokecolor="#89b833"/>
            <v:line style="position:absolute" from="6822,2326" to="6822,3079" stroked="true" strokeweight="4.2pt" strokecolor="#89b833"/>
            <v:line style="position:absolute" from="7484,2259" to="7484,3079" stroked="true" strokeweight="4.2pt" strokecolor="#89b833"/>
            <v:line style="position:absolute" from="8147,2153" to="8147,3079" stroked="true" strokeweight="4.2pt" strokecolor="#89b833"/>
            <v:line style="position:absolute" from="8809,2105" to="8809,3079" stroked="true" strokeweight="4.2pt" strokecolor="#89b833"/>
            <v:line style="position:absolute" from="9472,2098" to="9472,3079" stroked="true" strokeweight="4.2pt" strokecolor="#89b833"/>
            <v:line style="position:absolute" from="3629,1889" to="3629,3079" stroked="true" strokeweight="4.08pt" strokecolor="#c0cf39"/>
            <v:line style="position:absolute" from="4291,1779" to="4291,3079" stroked="true" strokeweight="4.08pt" strokecolor="#c0cf39"/>
            <v:line style="position:absolute" from="4954,1663" to="4954,3079" stroked="true" strokeweight="4.08pt" strokecolor="#c0cf39"/>
            <v:line style="position:absolute" from="5616,1637" to="5616,3079" stroked="true" strokeweight="4.08pt" strokecolor="#c0cf39"/>
            <v:line style="position:absolute" from="6278,1615" to="6278,3079" stroked="true" strokeweight="4.08pt" strokecolor="#c0cf39"/>
            <v:line style="position:absolute" from="6941,1191" to="6941,3079" stroked="true" strokeweight="4.08pt" strokecolor="#c0cf39"/>
            <v:line style="position:absolute" from="7603,1207" to="7603,3079" stroked="true" strokeweight="4.08pt" strokecolor="#c0cf39"/>
            <v:line style="position:absolute" from="8266,1063" to="8266,3079" stroked="true" strokeweight="4.08pt" strokecolor="#c0cf39"/>
            <v:line style="position:absolute" from="8928,965" to="8928,3079" stroked="true" strokeweight="4.08pt" strokecolor="#c0cf39"/>
            <v:line style="position:absolute" from="9590,895" to="9590,3079" stroked="true" strokeweight="4.08pt" strokecolor="#c0cf39"/>
            <v:line style="position:absolute" from="3706,3067" to="3790,3067" stroked="true" strokeweight="1.2pt" strokecolor="#019576"/>
            <v:line style="position:absolute" from="4368,3067" to="4452,3067" stroked="true" strokeweight="1.2pt" strokecolor="#019576"/>
            <v:line style="position:absolute" from="5030,3067" to="5114,3067" stroked="true" strokeweight="1.2pt" strokecolor="#019576"/>
            <v:line style="position:absolute" from="5693,3066" to="5777,3066" stroked="true" strokeweight="1.32pt" strokecolor="#019576"/>
            <v:line style="position:absolute" from="6355,3071" to="6439,3071" stroked="true" strokeweight=".84pt" strokecolor="#019576"/>
            <v:line style="position:absolute" from="7018,3069" to="7102,3069" stroked="true" strokeweight="1.08pt" strokecolor="#019576"/>
            <v:line style="position:absolute" from="7680,3067" to="7764,3067" stroked="true" strokeweight="1.2pt" strokecolor="#019576"/>
            <v:line style="position:absolute" from="8342,3066" to="8426,3066" stroked="true" strokeweight="1.32pt" strokecolor="#019576"/>
            <v:line style="position:absolute" from="9005,3065" to="9089,3065" stroked="true" strokeweight="1.44pt" strokecolor="#019576"/>
            <v:line style="position:absolute" from="9667,3064" to="9751,3064" stroked="true" strokeweight="1.56pt" strokecolor="#019576"/>
            <v:line style="position:absolute" from="3238,3079" to="9862,3079" stroked="true" strokeweight=".72pt" strokecolor="#d9d9d9"/>
            <v:shape style="position:absolute;left:2146;top:552;width:7937;height:3401" type="#_x0000_t202" filled="false" stroked="true" strokeweight=".72pt" strokecolor="#d9d9d9">
              <v:textbox inset="0,0,0,0">
                <w:txbxContent>
                  <w:p>
                    <w:pPr>
                      <w:spacing w:before="102"/>
                      <w:ind w:left="122" w:right="0" w:firstLine="0"/>
                      <w:jc w:val="left"/>
                      <w:rPr>
                        <w:sz w:val="18"/>
                      </w:rPr>
                    </w:pPr>
                    <w:r>
                      <w:rPr>
                        <w:color w:val="585858"/>
                        <w:sz w:val="18"/>
                      </w:rPr>
                      <w:t>50,000,000</w:t>
                    </w:r>
                  </w:p>
                  <w:p>
                    <w:pPr>
                      <w:spacing w:before="23"/>
                      <w:ind w:left="122" w:right="0" w:firstLine="0"/>
                      <w:jc w:val="left"/>
                      <w:rPr>
                        <w:sz w:val="18"/>
                      </w:rPr>
                    </w:pPr>
                    <w:r>
                      <w:rPr>
                        <w:color w:val="585858"/>
                        <w:sz w:val="18"/>
                      </w:rPr>
                      <w:t>45,000,000</w:t>
                    </w:r>
                  </w:p>
                  <w:p>
                    <w:pPr>
                      <w:spacing w:before="24"/>
                      <w:ind w:left="122" w:right="0" w:firstLine="0"/>
                      <w:jc w:val="left"/>
                      <w:rPr>
                        <w:sz w:val="18"/>
                      </w:rPr>
                    </w:pPr>
                    <w:r>
                      <w:rPr>
                        <w:color w:val="585858"/>
                        <w:sz w:val="18"/>
                      </w:rPr>
                      <w:t>40,000,000</w:t>
                    </w:r>
                  </w:p>
                  <w:p>
                    <w:pPr>
                      <w:spacing w:before="24"/>
                      <w:ind w:left="122" w:right="0" w:firstLine="0"/>
                      <w:jc w:val="left"/>
                      <w:rPr>
                        <w:sz w:val="18"/>
                      </w:rPr>
                    </w:pPr>
                    <w:r>
                      <w:rPr>
                        <w:color w:val="585858"/>
                        <w:sz w:val="18"/>
                      </w:rPr>
                      <w:t>35,000,000</w:t>
                    </w:r>
                  </w:p>
                  <w:p>
                    <w:pPr>
                      <w:spacing w:before="24"/>
                      <w:ind w:left="122" w:right="0" w:firstLine="0"/>
                      <w:jc w:val="left"/>
                      <w:rPr>
                        <w:sz w:val="18"/>
                      </w:rPr>
                    </w:pPr>
                    <w:r>
                      <w:rPr>
                        <w:color w:val="585858"/>
                        <w:sz w:val="18"/>
                      </w:rPr>
                      <w:t>30,000,000</w:t>
                    </w:r>
                  </w:p>
                  <w:p>
                    <w:pPr>
                      <w:spacing w:before="23"/>
                      <w:ind w:left="122" w:right="0" w:firstLine="0"/>
                      <w:jc w:val="left"/>
                      <w:rPr>
                        <w:sz w:val="18"/>
                      </w:rPr>
                    </w:pPr>
                    <w:r>
                      <w:rPr>
                        <w:color w:val="585858"/>
                        <w:sz w:val="18"/>
                      </w:rPr>
                      <w:t>25,000,000</w:t>
                    </w:r>
                  </w:p>
                  <w:p>
                    <w:pPr>
                      <w:spacing w:before="24"/>
                      <w:ind w:left="122" w:right="0" w:firstLine="0"/>
                      <w:jc w:val="left"/>
                      <w:rPr>
                        <w:sz w:val="18"/>
                      </w:rPr>
                    </w:pPr>
                    <w:r>
                      <w:rPr>
                        <w:color w:val="585858"/>
                        <w:sz w:val="18"/>
                      </w:rPr>
                      <w:t>20,000,000</w:t>
                    </w:r>
                  </w:p>
                  <w:p>
                    <w:pPr>
                      <w:spacing w:before="24"/>
                      <w:ind w:left="122" w:right="0" w:firstLine="0"/>
                      <w:jc w:val="left"/>
                      <w:rPr>
                        <w:sz w:val="18"/>
                      </w:rPr>
                    </w:pPr>
                    <w:r>
                      <w:rPr>
                        <w:color w:val="585858"/>
                        <w:sz w:val="18"/>
                      </w:rPr>
                      <w:t>15,000,000</w:t>
                    </w:r>
                  </w:p>
                  <w:p>
                    <w:pPr>
                      <w:spacing w:before="24"/>
                      <w:ind w:left="122" w:right="0" w:firstLine="0"/>
                      <w:jc w:val="left"/>
                      <w:rPr>
                        <w:sz w:val="18"/>
                      </w:rPr>
                    </w:pPr>
                    <w:r>
                      <w:rPr>
                        <w:color w:val="585858"/>
                        <w:sz w:val="18"/>
                      </w:rPr>
                      <w:t>10,000,000</w:t>
                    </w:r>
                  </w:p>
                  <w:p>
                    <w:pPr>
                      <w:spacing w:before="24"/>
                      <w:ind w:left="212" w:right="0" w:firstLine="0"/>
                      <w:jc w:val="left"/>
                      <w:rPr>
                        <w:sz w:val="18"/>
                      </w:rPr>
                    </w:pPr>
                    <w:r>
                      <w:rPr>
                        <w:color w:val="585858"/>
                        <w:sz w:val="18"/>
                      </w:rPr>
                      <w:t>5,000,000</w:t>
                    </w:r>
                  </w:p>
                  <w:p>
                    <w:pPr>
                      <w:spacing w:before="23"/>
                      <w:ind w:left="842" w:right="0" w:firstLine="0"/>
                      <w:jc w:val="left"/>
                      <w:rPr>
                        <w:sz w:val="18"/>
                      </w:rPr>
                    </w:pPr>
                    <w:r>
                      <w:rPr>
                        <w:color w:val="585858"/>
                        <w:w w:val="100"/>
                        <w:sz w:val="18"/>
                      </w:rPr>
                      <w:t>0</w:t>
                    </w:r>
                  </w:p>
                  <w:p>
                    <w:pPr>
                      <w:tabs>
                        <w:tab w:pos="1899" w:val="left" w:leader="none"/>
                        <w:tab w:pos="2562" w:val="left" w:leader="none"/>
                        <w:tab w:pos="3224" w:val="left" w:leader="none"/>
                        <w:tab w:pos="3887" w:val="left" w:leader="none"/>
                        <w:tab w:pos="4549" w:val="left" w:leader="none"/>
                        <w:tab w:pos="5212" w:val="left" w:leader="none"/>
                        <w:tab w:pos="5874" w:val="left" w:leader="none"/>
                        <w:tab w:pos="6537" w:val="left" w:leader="none"/>
                        <w:tab w:pos="7199" w:val="left" w:leader="none"/>
                      </w:tabs>
                      <w:spacing w:before="5"/>
                      <w:ind w:left="1237" w:right="0" w:firstLine="0"/>
                      <w:jc w:val="left"/>
                      <w:rPr>
                        <w:sz w:val="18"/>
                      </w:rPr>
                    </w:pPr>
                    <w:r>
                      <w:rPr>
                        <w:color w:val="585858"/>
                        <w:sz w:val="18"/>
                      </w:rPr>
                      <w:t>2005</w:t>
                      <w:tab/>
                      <w:t>2006</w:t>
                      <w:tab/>
                      <w:t>2007</w:t>
                      <w:tab/>
                      <w:t>2008</w:t>
                      <w:tab/>
                      <w:t>2009</w:t>
                      <w:tab/>
                      <w:t>2010</w:t>
                      <w:tab/>
                      <w:t>2011</w:t>
                      <w:tab/>
                      <w:t>2012</w:t>
                      <w:tab/>
                      <w:t>2013</w:t>
                      <w:tab/>
                      <w:t>2014</w:t>
                    </w:r>
                  </w:p>
                  <w:p>
                    <w:pPr>
                      <w:spacing w:line="240" w:lineRule="auto" w:before="3"/>
                      <w:rPr>
                        <w:b/>
                        <w:sz w:val="15"/>
                      </w:rPr>
                    </w:pPr>
                  </w:p>
                  <w:p>
                    <w:pPr>
                      <w:tabs>
                        <w:tab w:pos="2876" w:val="left" w:leader="none"/>
                        <w:tab w:pos="4056" w:val="left" w:leader="none"/>
                        <w:tab w:pos="5696" w:val="left" w:leader="none"/>
                      </w:tabs>
                      <w:spacing w:before="1"/>
                      <w:ind w:left="1806" w:right="0" w:firstLine="0"/>
                      <w:jc w:val="left"/>
                      <w:rPr>
                        <w:sz w:val="18"/>
                      </w:rPr>
                    </w:pPr>
                    <w:r>
                      <w:rPr>
                        <w:color w:val="585858"/>
                        <w:sz w:val="18"/>
                      </w:rPr>
                      <w:t>EUROPA</w:t>
                      <w:tab/>
                      <w:t>AMERICA</w:t>
                      <w:tab/>
                      <w:t>ASIA-OCEANIA</w:t>
                      <w:tab/>
                      <w:t>AFRICA</w:t>
                    </w:r>
                  </w:p>
                </w:txbxContent>
              </v:textbox>
              <w10:wrap type="none"/>
            </v:shape>
            <w10:wrap type="topAndBottom"/>
          </v:group>
        </w:pict>
      </w:r>
      <w:r>
        <w:rPr>
          <w:b/>
          <w:sz w:val="24"/>
        </w:rPr>
        <w:t>Número de unidades</w:t>
      </w:r>
    </w:p>
    <w:p>
      <w:pPr>
        <w:spacing w:before="118"/>
        <w:ind w:left="383" w:right="396" w:firstLine="0"/>
        <w:jc w:val="center"/>
        <w:rPr>
          <w:sz w:val="18"/>
        </w:rPr>
      </w:pPr>
      <w:r>
        <w:rPr>
          <w:sz w:val="18"/>
        </w:rPr>
        <w:t>Fuente: Elaboración propia con datos de OICA (2014).</w:t>
      </w:r>
    </w:p>
    <w:p>
      <w:pPr>
        <w:pStyle w:val="BodyText"/>
        <w:rPr>
          <w:sz w:val="18"/>
        </w:rPr>
      </w:pPr>
    </w:p>
    <w:p>
      <w:pPr>
        <w:pStyle w:val="BodyText"/>
        <w:spacing w:line="360" w:lineRule="auto" w:before="135"/>
        <w:ind w:left="102" w:right="117"/>
        <w:jc w:val="both"/>
      </w:pPr>
      <w:r>
        <w:rPr/>
        <w:pict>
          <v:line style="position:absolute;mso-position-horizontal-relative:page;mso-position-vertical-relative:paragraph;z-index:-501616" from="189.360001pt,-42.276859pt" to="193.800001pt,-42.276859pt" stroked="true" strokeweight="4.440pt" strokecolor="#539e39">
            <w10:wrap type="none"/>
          </v:line>
        </w:pict>
      </w:r>
      <w:r>
        <w:rPr/>
        <w:pict>
          <v:line style="position:absolute;mso-position-horizontal-relative:page;mso-position-vertical-relative:paragraph;z-index:-501592" from="245.039993pt,-42.276859pt" to="249.599993pt,-42.276859pt" stroked="true" strokeweight="4.440pt" strokecolor="#89b833">
            <w10:wrap type="none"/>
          </v:line>
        </w:pict>
      </w:r>
      <w:r>
        <w:rPr/>
        <w:pict>
          <v:line style="position:absolute;mso-position-horizontal-relative:page;mso-position-vertical-relative:paragraph;z-index:-501568" from="304.079987pt,-42.276859pt" to="308.519987pt,-42.276859pt" stroked="true" strokeweight="4.440pt" strokecolor="#c0cf39">
            <w10:wrap type="none"/>
          </v:line>
        </w:pict>
      </w:r>
      <w:r>
        <w:rPr/>
        <w:pict>
          <v:line style="position:absolute;mso-position-horizontal-relative:page;mso-position-vertical-relative:paragraph;z-index:-501544" from="386.040009pt,-42.276859pt" to="390.480009pt,-42.276859pt" stroked="true" strokeweight="4.440pt" strokecolor="#019576">
            <w10:wrap type="none"/>
          </v:line>
        </w:pict>
      </w:r>
      <w:r>
        <w:rPr/>
        <w:t>Al</w:t>
      </w:r>
      <w:r>
        <w:rPr>
          <w:spacing w:val="-9"/>
        </w:rPr>
        <w:t> </w:t>
      </w:r>
      <w:r>
        <w:rPr/>
        <w:t>realizar</w:t>
      </w:r>
      <w:r>
        <w:rPr>
          <w:spacing w:val="-7"/>
        </w:rPr>
        <w:t> </w:t>
      </w:r>
      <w:r>
        <w:rPr/>
        <w:t>el</w:t>
      </w:r>
      <w:r>
        <w:rPr>
          <w:spacing w:val="-8"/>
        </w:rPr>
        <w:t> </w:t>
      </w:r>
      <w:r>
        <w:rPr/>
        <w:t>análisis</w:t>
      </w:r>
      <w:r>
        <w:rPr>
          <w:spacing w:val="-8"/>
        </w:rPr>
        <w:t> </w:t>
      </w:r>
      <w:r>
        <w:rPr/>
        <w:t>a</w:t>
      </w:r>
      <w:r>
        <w:rPr>
          <w:spacing w:val="-7"/>
        </w:rPr>
        <w:t> </w:t>
      </w:r>
      <w:r>
        <w:rPr/>
        <w:t>nivel</w:t>
      </w:r>
      <w:r>
        <w:rPr>
          <w:spacing w:val="-9"/>
        </w:rPr>
        <w:t> </w:t>
      </w:r>
      <w:r>
        <w:rPr/>
        <w:t>de</w:t>
      </w:r>
      <w:r>
        <w:rPr>
          <w:spacing w:val="-10"/>
        </w:rPr>
        <w:t> </w:t>
      </w:r>
      <w:r>
        <w:rPr/>
        <w:t>países,</w:t>
      </w:r>
      <w:r>
        <w:rPr>
          <w:spacing w:val="-8"/>
        </w:rPr>
        <w:t> </w:t>
      </w:r>
      <w:r>
        <w:rPr/>
        <w:t>se</w:t>
      </w:r>
      <w:r>
        <w:rPr>
          <w:spacing w:val="-7"/>
        </w:rPr>
        <w:t> </w:t>
      </w:r>
      <w:r>
        <w:rPr/>
        <w:t>encuentra</w:t>
      </w:r>
      <w:r>
        <w:rPr>
          <w:spacing w:val="-10"/>
        </w:rPr>
        <w:t> </w:t>
      </w:r>
      <w:r>
        <w:rPr/>
        <w:t>que</w:t>
      </w:r>
      <w:r>
        <w:rPr>
          <w:spacing w:val="-10"/>
        </w:rPr>
        <w:t> </w:t>
      </w:r>
      <w:r>
        <w:rPr/>
        <w:t>para</w:t>
      </w:r>
      <w:r>
        <w:rPr>
          <w:spacing w:val="-8"/>
        </w:rPr>
        <w:t> </w:t>
      </w:r>
      <w:r>
        <w:rPr/>
        <w:t>el</w:t>
      </w:r>
      <w:r>
        <w:rPr>
          <w:spacing w:val="-8"/>
        </w:rPr>
        <w:t> </w:t>
      </w:r>
      <w:r>
        <w:rPr/>
        <w:t>año</w:t>
      </w:r>
      <w:r>
        <w:rPr>
          <w:spacing w:val="-7"/>
        </w:rPr>
        <w:t> </w:t>
      </w:r>
      <w:r>
        <w:rPr/>
        <w:t>2013,</w:t>
      </w:r>
      <w:r>
        <w:rPr>
          <w:spacing w:val="-9"/>
        </w:rPr>
        <w:t> </w:t>
      </w:r>
      <w:r>
        <w:rPr>
          <w:spacing w:val="2"/>
        </w:rPr>
        <w:t>los</w:t>
      </w:r>
      <w:r>
        <w:rPr>
          <w:spacing w:val="-8"/>
        </w:rPr>
        <w:t> </w:t>
      </w:r>
      <w:r>
        <w:rPr/>
        <w:t>diez</w:t>
      </w:r>
      <w:r>
        <w:rPr>
          <w:spacing w:val="-8"/>
        </w:rPr>
        <w:t> </w:t>
      </w:r>
      <w:r>
        <w:rPr/>
        <w:t>países</w:t>
      </w:r>
      <w:r>
        <w:rPr>
          <w:spacing w:val="-9"/>
        </w:rPr>
        <w:t> </w:t>
      </w:r>
      <w:r>
        <w:rPr/>
        <w:t>que sobresalen en la producción de automóviles son: China, Estados Unidos, Japón, Alemania, Corea del Sur, India, Brasil, México, Tailandia y</w:t>
      </w:r>
      <w:r>
        <w:rPr>
          <w:spacing w:val="-4"/>
        </w:rPr>
        <w:t> </w:t>
      </w:r>
      <w:r>
        <w:rPr/>
        <w:t>otros.</w:t>
      </w:r>
    </w:p>
    <w:p>
      <w:pPr>
        <w:pStyle w:val="BodyText"/>
        <w:spacing w:before="4"/>
        <w:rPr>
          <w:sz w:val="21"/>
        </w:rPr>
      </w:pPr>
    </w:p>
    <w:p>
      <w:pPr>
        <w:pStyle w:val="BodyText"/>
        <w:spacing w:line="360" w:lineRule="auto" w:before="1"/>
        <w:ind w:left="102" w:right="115"/>
        <w:jc w:val="both"/>
      </w:pPr>
      <w:r>
        <w:rPr/>
        <w:t>En el cuadro 2.2 se muestra una comparación de los años 2010 y 2013 de la producción de los diez países líderes en la producción automotriz, se observa que para el año 2010 sobresalen cuatro países considerados pioneros en el impulso y desarrollo del sector automotor, Japón, EU, Alemania y Francia </w:t>
      </w:r>
      <w:r>
        <w:rPr>
          <w:spacing w:val="-3"/>
        </w:rPr>
        <w:t>y, </w:t>
      </w:r>
      <w:r>
        <w:rPr/>
        <w:t>seis economías de la semiperiferia, con China a la cabeza, además de Canadá, España, Corea del Sur, Brasil y México. Sin embargo,</w:t>
      </w:r>
      <w:r>
        <w:rPr>
          <w:spacing w:val="-34"/>
        </w:rPr>
        <w:t> </w:t>
      </w:r>
      <w:r>
        <w:rPr/>
        <w:t>dicha estructura cambia para el año 2013, quedando solo tres países pioneros, Japón, EU y Alemania (Basurto,</w:t>
      </w:r>
      <w:r>
        <w:rPr>
          <w:spacing w:val="-2"/>
        </w:rPr>
        <w:t> </w:t>
      </w:r>
      <w:r>
        <w:rPr/>
        <w:t>2013).</w:t>
      </w:r>
    </w:p>
    <w:p>
      <w:pPr>
        <w:spacing w:after="0" w:line="360" w:lineRule="auto"/>
        <w:jc w:val="both"/>
        <w:sectPr>
          <w:pgSz w:w="12240" w:h="15840"/>
          <w:pgMar w:header="0" w:footer="1035" w:top="1360" w:bottom="1220" w:left="1600" w:right="1580"/>
        </w:sectPr>
      </w:pPr>
    </w:p>
    <w:p>
      <w:pPr>
        <w:pStyle w:val="Heading1"/>
        <w:spacing w:line="360" w:lineRule="auto" w:before="55" w:after="5"/>
        <w:ind w:left="2348" w:right="119" w:hanging="2094"/>
      </w:pPr>
      <w:r>
        <w:rPr/>
        <w:t>Cuadro 2.2. Estadísticas de producción mundial de vehículos de los diez principales países productores en los años 2010 y 2013</w:t>
      </w:r>
    </w:p>
    <w:tbl>
      <w:tblPr>
        <w:tblW w:w="0" w:type="auto"/>
        <w:jc w:val="left"/>
        <w:tblInd w:w="12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67"/>
        <w:gridCol w:w="1116"/>
        <w:gridCol w:w="665"/>
        <w:gridCol w:w="1466"/>
        <w:gridCol w:w="1117"/>
        <w:gridCol w:w="667"/>
      </w:tblGrid>
      <w:tr>
        <w:trPr>
          <w:trHeight w:val="253" w:hRule="exact"/>
        </w:trPr>
        <w:tc>
          <w:tcPr>
            <w:tcW w:w="1467" w:type="dxa"/>
            <w:vMerge w:val="restart"/>
            <w:tcBorders>
              <w:right w:val="single" w:sz="40" w:space="0" w:color="E8F3D2"/>
            </w:tcBorders>
            <w:shd w:val="clear" w:color="auto" w:fill="A6A6A6"/>
          </w:tcPr>
          <w:p>
            <w:pPr>
              <w:pStyle w:val="TableParagraph"/>
              <w:spacing w:before="137"/>
              <w:ind w:left="530" w:right="486"/>
              <w:rPr>
                <w:b/>
                <w:sz w:val="20"/>
              </w:rPr>
            </w:pPr>
            <w:r>
              <w:rPr>
                <w:b/>
                <w:sz w:val="20"/>
              </w:rPr>
              <w:t>País</w:t>
            </w:r>
          </w:p>
        </w:tc>
        <w:tc>
          <w:tcPr>
            <w:tcW w:w="1781" w:type="dxa"/>
            <w:gridSpan w:val="2"/>
            <w:shd w:val="clear" w:color="auto" w:fill="A6A6A6"/>
          </w:tcPr>
          <w:p>
            <w:pPr>
              <w:pStyle w:val="TableParagraph"/>
              <w:ind w:left="124"/>
              <w:jc w:val="left"/>
              <w:rPr>
                <w:b/>
                <w:sz w:val="20"/>
              </w:rPr>
            </w:pPr>
            <w:r>
              <w:rPr>
                <w:b/>
                <w:sz w:val="20"/>
              </w:rPr>
              <w:t>Automóviles 2010</w:t>
            </w:r>
          </w:p>
        </w:tc>
        <w:tc>
          <w:tcPr>
            <w:tcW w:w="1466" w:type="dxa"/>
            <w:vMerge w:val="restart"/>
            <w:tcBorders>
              <w:left w:val="single" w:sz="41" w:space="0" w:color="E8F3D2"/>
              <w:right w:val="single" w:sz="41" w:space="0" w:color="E8F3D2"/>
            </w:tcBorders>
            <w:shd w:val="clear" w:color="auto" w:fill="A6A6A6"/>
          </w:tcPr>
          <w:p>
            <w:pPr>
              <w:pStyle w:val="TableParagraph"/>
              <w:spacing w:before="137"/>
              <w:ind w:left="483" w:right="483"/>
              <w:rPr>
                <w:b/>
                <w:sz w:val="20"/>
              </w:rPr>
            </w:pPr>
            <w:r>
              <w:rPr>
                <w:b/>
                <w:sz w:val="20"/>
              </w:rPr>
              <w:t>País</w:t>
            </w:r>
          </w:p>
        </w:tc>
        <w:tc>
          <w:tcPr>
            <w:tcW w:w="1784" w:type="dxa"/>
            <w:gridSpan w:val="2"/>
            <w:shd w:val="clear" w:color="auto" w:fill="A6A6A6"/>
          </w:tcPr>
          <w:p>
            <w:pPr>
              <w:pStyle w:val="TableParagraph"/>
              <w:ind w:left="127"/>
              <w:jc w:val="left"/>
              <w:rPr>
                <w:b/>
                <w:sz w:val="20"/>
              </w:rPr>
            </w:pPr>
            <w:r>
              <w:rPr>
                <w:b/>
                <w:sz w:val="20"/>
              </w:rPr>
              <w:t>Automóviles 2013</w:t>
            </w:r>
          </w:p>
        </w:tc>
      </w:tr>
      <w:tr>
        <w:trPr>
          <w:trHeight w:val="263" w:hRule="exact"/>
        </w:trPr>
        <w:tc>
          <w:tcPr>
            <w:tcW w:w="1467" w:type="dxa"/>
            <w:vMerge/>
            <w:tcBorders>
              <w:bottom w:val="single" w:sz="4" w:space="0" w:color="B9DB7C"/>
              <w:right w:val="single" w:sz="40" w:space="0" w:color="E8F3D2"/>
            </w:tcBorders>
            <w:shd w:val="clear" w:color="auto" w:fill="A6A6A6"/>
          </w:tcPr>
          <w:p>
            <w:pPr/>
          </w:p>
        </w:tc>
        <w:tc>
          <w:tcPr>
            <w:tcW w:w="1116" w:type="dxa"/>
            <w:tcBorders>
              <w:top w:val="single" w:sz="14" w:space="0" w:color="A6A6A6"/>
              <w:left w:val="thickThinMediumGap" w:sz="23" w:space="0" w:color="A6A6A6"/>
            </w:tcBorders>
            <w:shd w:val="clear" w:color="auto" w:fill="E8F3D2"/>
          </w:tcPr>
          <w:p>
            <w:pPr>
              <w:pStyle w:val="TableParagraph"/>
              <w:spacing w:line="228" w:lineRule="exact"/>
              <w:ind w:left="78" w:right="135"/>
              <w:rPr>
                <w:b/>
                <w:sz w:val="20"/>
              </w:rPr>
            </w:pPr>
            <w:r>
              <w:rPr>
                <w:b/>
                <w:sz w:val="20"/>
              </w:rPr>
              <w:t>Unidades</w:t>
            </w:r>
          </w:p>
        </w:tc>
        <w:tc>
          <w:tcPr>
            <w:tcW w:w="665" w:type="dxa"/>
            <w:tcBorders>
              <w:top w:val="single" w:sz="14" w:space="0" w:color="A6A6A6"/>
              <w:right w:val="single" w:sz="41" w:space="0" w:color="A6A6A6"/>
            </w:tcBorders>
            <w:shd w:val="clear" w:color="auto" w:fill="E8F3D2"/>
          </w:tcPr>
          <w:p>
            <w:pPr>
              <w:pStyle w:val="TableParagraph"/>
              <w:spacing w:line="228" w:lineRule="exact"/>
              <w:ind w:left="41"/>
              <w:rPr>
                <w:b/>
                <w:sz w:val="20"/>
              </w:rPr>
            </w:pPr>
            <w:r>
              <w:rPr>
                <w:b/>
                <w:w w:val="99"/>
                <w:sz w:val="20"/>
              </w:rPr>
              <w:t>%</w:t>
            </w:r>
          </w:p>
        </w:tc>
        <w:tc>
          <w:tcPr>
            <w:tcW w:w="1466" w:type="dxa"/>
            <w:vMerge/>
            <w:tcBorders>
              <w:left w:val="single" w:sz="41" w:space="0" w:color="E8F3D2"/>
              <w:right w:val="single" w:sz="41" w:space="0" w:color="E8F3D2"/>
            </w:tcBorders>
            <w:shd w:val="clear" w:color="auto" w:fill="A6A6A6"/>
          </w:tcPr>
          <w:p>
            <w:pPr/>
          </w:p>
        </w:tc>
        <w:tc>
          <w:tcPr>
            <w:tcW w:w="1117" w:type="dxa"/>
            <w:tcBorders>
              <w:top w:val="single" w:sz="14" w:space="0" w:color="A6A6A6"/>
              <w:left w:val="single" w:sz="41" w:space="0" w:color="A6A6A6"/>
            </w:tcBorders>
            <w:shd w:val="clear" w:color="auto" w:fill="E8F3D2"/>
          </w:tcPr>
          <w:p>
            <w:pPr>
              <w:pStyle w:val="TableParagraph"/>
              <w:spacing w:line="228" w:lineRule="exact"/>
              <w:ind w:right="154"/>
              <w:jc w:val="right"/>
              <w:rPr>
                <w:b/>
                <w:sz w:val="20"/>
              </w:rPr>
            </w:pPr>
            <w:r>
              <w:rPr>
                <w:b/>
                <w:w w:val="95"/>
                <w:sz w:val="20"/>
              </w:rPr>
              <w:t>Unidades</w:t>
            </w:r>
          </w:p>
        </w:tc>
        <w:tc>
          <w:tcPr>
            <w:tcW w:w="667" w:type="dxa"/>
            <w:tcBorders>
              <w:top w:val="single" w:sz="14" w:space="0" w:color="A6A6A6"/>
            </w:tcBorders>
            <w:shd w:val="clear" w:color="auto" w:fill="E8F3D2"/>
          </w:tcPr>
          <w:p>
            <w:pPr>
              <w:pStyle w:val="TableParagraph"/>
              <w:spacing w:line="228" w:lineRule="exact"/>
              <w:rPr>
                <w:b/>
                <w:sz w:val="20"/>
              </w:rPr>
            </w:pPr>
            <w:r>
              <w:rPr>
                <w:b/>
                <w:w w:val="99"/>
                <w:sz w:val="20"/>
              </w:rPr>
              <w:t>%</w:t>
            </w:r>
          </w:p>
        </w:tc>
      </w:tr>
      <w:tr>
        <w:trPr>
          <w:trHeight w:val="310" w:hRule="exact"/>
        </w:trPr>
        <w:tc>
          <w:tcPr>
            <w:tcW w:w="1467" w:type="dxa"/>
            <w:tcBorders>
              <w:top w:val="single" w:sz="4" w:space="0" w:color="B9DB7C"/>
            </w:tcBorders>
          </w:tcPr>
          <w:p>
            <w:pPr>
              <w:pStyle w:val="TableParagraph"/>
              <w:spacing w:line="223" w:lineRule="exact"/>
              <w:ind w:left="103"/>
              <w:jc w:val="left"/>
              <w:rPr>
                <w:sz w:val="20"/>
              </w:rPr>
            </w:pPr>
            <w:r>
              <w:rPr>
                <w:sz w:val="20"/>
              </w:rPr>
              <w:t>China</w:t>
            </w:r>
          </w:p>
        </w:tc>
        <w:tc>
          <w:tcPr>
            <w:tcW w:w="1116" w:type="dxa"/>
            <w:tcBorders>
              <w:top w:val="single" w:sz="8" w:space="0" w:color="000000"/>
            </w:tcBorders>
          </w:tcPr>
          <w:p>
            <w:pPr>
              <w:pStyle w:val="TableParagraph"/>
              <w:spacing w:line="218" w:lineRule="exact"/>
              <w:ind w:left="81" w:right="84"/>
              <w:rPr>
                <w:sz w:val="20"/>
              </w:rPr>
            </w:pPr>
            <w:r>
              <w:rPr>
                <w:sz w:val="20"/>
              </w:rPr>
              <w:t>18,264,667</w:t>
            </w:r>
          </w:p>
        </w:tc>
        <w:tc>
          <w:tcPr>
            <w:tcW w:w="665" w:type="dxa"/>
            <w:tcBorders>
              <w:top w:val="single" w:sz="8" w:space="0" w:color="000000"/>
            </w:tcBorders>
          </w:tcPr>
          <w:p>
            <w:pPr>
              <w:pStyle w:val="TableParagraph"/>
              <w:spacing w:line="218" w:lineRule="exact"/>
              <w:ind w:left="82" w:right="82"/>
              <w:rPr>
                <w:sz w:val="20"/>
              </w:rPr>
            </w:pPr>
            <w:r>
              <w:rPr>
                <w:sz w:val="20"/>
              </w:rPr>
              <w:t>23.53</w:t>
            </w:r>
          </w:p>
        </w:tc>
        <w:tc>
          <w:tcPr>
            <w:tcW w:w="1466" w:type="dxa"/>
          </w:tcPr>
          <w:p>
            <w:pPr>
              <w:pStyle w:val="TableParagraph"/>
              <w:spacing w:line="223" w:lineRule="exact"/>
              <w:ind w:left="103"/>
              <w:jc w:val="left"/>
              <w:rPr>
                <w:sz w:val="20"/>
              </w:rPr>
            </w:pPr>
            <w:r>
              <w:rPr>
                <w:sz w:val="20"/>
              </w:rPr>
              <w:t>China</w:t>
            </w:r>
          </w:p>
        </w:tc>
        <w:tc>
          <w:tcPr>
            <w:tcW w:w="1117" w:type="dxa"/>
            <w:tcBorders>
              <w:top w:val="single" w:sz="8" w:space="0" w:color="000000"/>
            </w:tcBorders>
          </w:tcPr>
          <w:p>
            <w:pPr>
              <w:pStyle w:val="TableParagraph"/>
              <w:spacing w:line="218" w:lineRule="exact"/>
              <w:ind w:right="102"/>
              <w:jc w:val="right"/>
              <w:rPr>
                <w:sz w:val="20"/>
              </w:rPr>
            </w:pPr>
            <w:r>
              <w:rPr>
                <w:w w:val="95"/>
                <w:sz w:val="20"/>
              </w:rPr>
              <w:t>22,116,825</w:t>
            </w:r>
          </w:p>
        </w:tc>
        <w:tc>
          <w:tcPr>
            <w:tcW w:w="667" w:type="dxa"/>
            <w:tcBorders>
              <w:top w:val="single" w:sz="8" w:space="0" w:color="000000"/>
            </w:tcBorders>
          </w:tcPr>
          <w:p>
            <w:pPr>
              <w:pStyle w:val="TableParagraph"/>
              <w:spacing w:line="218" w:lineRule="exact"/>
              <w:ind w:right="100"/>
              <w:jc w:val="right"/>
              <w:rPr>
                <w:sz w:val="20"/>
              </w:rPr>
            </w:pPr>
            <w:r>
              <w:rPr>
                <w:sz w:val="20"/>
              </w:rPr>
              <w:t>25.33</w:t>
            </w:r>
          </w:p>
        </w:tc>
      </w:tr>
      <w:tr>
        <w:trPr>
          <w:trHeight w:val="310" w:hRule="exact"/>
        </w:trPr>
        <w:tc>
          <w:tcPr>
            <w:tcW w:w="1467" w:type="dxa"/>
          </w:tcPr>
          <w:p>
            <w:pPr>
              <w:pStyle w:val="TableParagraph"/>
              <w:spacing w:line="223" w:lineRule="exact"/>
              <w:ind w:left="103"/>
              <w:jc w:val="left"/>
              <w:rPr>
                <w:sz w:val="20"/>
              </w:rPr>
            </w:pPr>
            <w:r>
              <w:rPr>
                <w:sz w:val="20"/>
              </w:rPr>
              <w:t>Japón</w:t>
            </w:r>
          </w:p>
        </w:tc>
        <w:tc>
          <w:tcPr>
            <w:tcW w:w="1116" w:type="dxa"/>
          </w:tcPr>
          <w:p>
            <w:pPr>
              <w:pStyle w:val="TableParagraph"/>
              <w:spacing w:line="223" w:lineRule="exact"/>
              <w:ind w:left="179" w:right="84"/>
              <w:rPr>
                <w:sz w:val="20"/>
              </w:rPr>
            </w:pPr>
            <w:r>
              <w:rPr>
                <w:sz w:val="20"/>
              </w:rPr>
              <w:t>9,625,940</w:t>
            </w:r>
          </w:p>
        </w:tc>
        <w:tc>
          <w:tcPr>
            <w:tcW w:w="665" w:type="dxa"/>
          </w:tcPr>
          <w:p>
            <w:pPr>
              <w:pStyle w:val="TableParagraph"/>
              <w:spacing w:line="223" w:lineRule="exact"/>
              <w:ind w:left="82" w:right="82"/>
              <w:rPr>
                <w:sz w:val="20"/>
              </w:rPr>
            </w:pPr>
            <w:r>
              <w:rPr>
                <w:sz w:val="20"/>
              </w:rPr>
              <w:t>12.4</w:t>
            </w:r>
          </w:p>
        </w:tc>
        <w:tc>
          <w:tcPr>
            <w:tcW w:w="1466" w:type="dxa"/>
          </w:tcPr>
          <w:p>
            <w:pPr>
              <w:pStyle w:val="TableParagraph"/>
              <w:spacing w:line="223" w:lineRule="exact"/>
              <w:ind w:left="103"/>
              <w:jc w:val="left"/>
              <w:rPr>
                <w:sz w:val="20"/>
              </w:rPr>
            </w:pPr>
            <w:r>
              <w:rPr>
                <w:sz w:val="20"/>
              </w:rPr>
              <w:t>Estados Unidos</w:t>
            </w:r>
          </w:p>
        </w:tc>
        <w:tc>
          <w:tcPr>
            <w:tcW w:w="1117" w:type="dxa"/>
          </w:tcPr>
          <w:p>
            <w:pPr>
              <w:pStyle w:val="TableParagraph"/>
              <w:spacing w:line="223" w:lineRule="exact"/>
              <w:ind w:right="102"/>
              <w:jc w:val="right"/>
              <w:rPr>
                <w:sz w:val="20"/>
              </w:rPr>
            </w:pPr>
            <w:r>
              <w:rPr>
                <w:w w:val="95"/>
                <w:sz w:val="20"/>
              </w:rPr>
              <w:t>11,045,902</w:t>
            </w:r>
          </w:p>
        </w:tc>
        <w:tc>
          <w:tcPr>
            <w:tcW w:w="667" w:type="dxa"/>
          </w:tcPr>
          <w:p>
            <w:pPr>
              <w:pStyle w:val="TableParagraph"/>
              <w:spacing w:line="223" w:lineRule="exact"/>
              <w:ind w:right="100"/>
              <w:jc w:val="right"/>
              <w:rPr>
                <w:sz w:val="20"/>
              </w:rPr>
            </w:pPr>
            <w:r>
              <w:rPr>
                <w:sz w:val="20"/>
              </w:rPr>
              <w:t>12.65</w:t>
            </w:r>
          </w:p>
        </w:tc>
      </w:tr>
      <w:tr>
        <w:trPr>
          <w:trHeight w:val="310" w:hRule="exact"/>
        </w:trPr>
        <w:tc>
          <w:tcPr>
            <w:tcW w:w="1467" w:type="dxa"/>
          </w:tcPr>
          <w:p>
            <w:pPr>
              <w:pStyle w:val="TableParagraph"/>
              <w:spacing w:line="223" w:lineRule="exact"/>
              <w:ind w:left="103"/>
              <w:jc w:val="left"/>
              <w:rPr>
                <w:sz w:val="20"/>
              </w:rPr>
            </w:pPr>
            <w:r>
              <w:rPr>
                <w:sz w:val="20"/>
              </w:rPr>
              <w:t>Estados Unidos</w:t>
            </w:r>
          </w:p>
        </w:tc>
        <w:tc>
          <w:tcPr>
            <w:tcW w:w="1116" w:type="dxa"/>
          </w:tcPr>
          <w:p>
            <w:pPr>
              <w:pStyle w:val="TableParagraph"/>
              <w:spacing w:line="223" w:lineRule="exact"/>
              <w:ind w:left="179" w:right="84"/>
              <w:rPr>
                <w:sz w:val="20"/>
              </w:rPr>
            </w:pPr>
            <w:r>
              <w:rPr>
                <w:sz w:val="20"/>
              </w:rPr>
              <w:t>7,761,443</w:t>
            </w:r>
          </w:p>
        </w:tc>
        <w:tc>
          <w:tcPr>
            <w:tcW w:w="665" w:type="dxa"/>
          </w:tcPr>
          <w:p>
            <w:pPr>
              <w:pStyle w:val="TableParagraph"/>
              <w:spacing w:line="223" w:lineRule="exact"/>
              <w:ind w:left="82" w:right="82"/>
              <w:rPr>
                <w:sz w:val="20"/>
              </w:rPr>
            </w:pPr>
            <w:r>
              <w:rPr>
                <w:sz w:val="20"/>
              </w:rPr>
              <w:t>10</w:t>
            </w:r>
          </w:p>
        </w:tc>
        <w:tc>
          <w:tcPr>
            <w:tcW w:w="1466" w:type="dxa"/>
          </w:tcPr>
          <w:p>
            <w:pPr>
              <w:pStyle w:val="TableParagraph"/>
              <w:spacing w:line="223" w:lineRule="exact"/>
              <w:ind w:left="103"/>
              <w:jc w:val="left"/>
              <w:rPr>
                <w:sz w:val="20"/>
              </w:rPr>
            </w:pPr>
            <w:r>
              <w:rPr>
                <w:sz w:val="20"/>
              </w:rPr>
              <w:t>Japón</w:t>
            </w:r>
          </w:p>
        </w:tc>
        <w:tc>
          <w:tcPr>
            <w:tcW w:w="1117" w:type="dxa"/>
          </w:tcPr>
          <w:p>
            <w:pPr>
              <w:pStyle w:val="TableParagraph"/>
              <w:spacing w:line="223" w:lineRule="exact"/>
              <w:ind w:right="101"/>
              <w:jc w:val="right"/>
              <w:rPr>
                <w:sz w:val="20"/>
              </w:rPr>
            </w:pPr>
            <w:r>
              <w:rPr>
                <w:w w:val="95"/>
                <w:sz w:val="20"/>
              </w:rPr>
              <w:t>9,630,070</w:t>
            </w:r>
          </w:p>
        </w:tc>
        <w:tc>
          <w:tcPr>
            <w:tcW w:w="667" w:type="dxa"/>
          </w:tcPr>
          <w:p>
            <w:pPr>
              <w:pStyle w:val="TableParagraph"/>
              <w:spacing w:line="223" w:lineRule="exact"/>
              <w:ind w:right="100"/>
              <w:jc w:val="right"/>
              <w:rPr>
                <w:sz w:val="20"/>
              </w:rPr>
            </w:pPr>
            <w:r>
              <w:rPr>
                <w:sz w:val="20"/>
              </w:rPr>
              <w:t>11.03</w:t>
            </w:r>
          </w:p>
        </w:tc>
      </w:tr>
      <w:tr>
        <w:trPr>
          <w:trHeight w:val="312" w:hRule="exact"/>
        </w:trPr>
        <w:tc>
          <w:tcPr>
            <w:tcW w:w="1467" w:type="dxa"/>
          </w:tcPr>
          <w:p>
            <w:pPr>
              <w:pStyle w:val="TableParagraph"/>
              <w:spacing w:line="226" w:lineRule="exact"/>
              <w:ind w:left="103"/>
              <w:jc w:val="left"/>
              <w:rPr>
                <w:sz w:val="20"/>
              </w:rPr>
            </w:pPr>
            <w:r>
              <w:rPr>
                <w:sz w:val="20"/>
              </w:rPr>
              <w:t>Alemania</w:t>
            </w:r>
          </w:p>
        </w:tc>
        <w:tc>
          <w:tcPr>
            <w:tcW w:w="1116" w:type="dxa"/>
          </w:tcPr>
          <w:p>
            <w:pPr>
              <w:pStyle w:val="TableParagraph"/>
              <w:spacing w:line="226" w:lineRule="exact"/>
              <w:ind w:left="179" w:right="84"/>
              <w:rPr>
                <w:sz w:val="20"/>
              </w:rPr>
            </w:pPr>
            <w:r>
              <w:rPr>
                <w:sz w:val="20"/>
              </w:rPr>
              <w:t>5,905,985</w:t>
            </w:r>
          </w:p>
        </w:tc>
        <w:tc>
          <w:tcPr>
            <w:tcW w:w="665" w:type="dxa"/>
          </w:tcPr>
          <w:p>
            <w:pPr>
              <w:pStyle w:val="TableParagraph"/>
              <w:spacing w:line="226" w:lineRule="exact"/>
              <w:ind w:left="82" w:right="82"/>
              <w:rPr>
                <w:sz w:val="20"/>
              </w:rPr>
            </w:pPr>
            <w:r>
              <w:rPr>
                <w:sz w:val="20"/>
              </w:rPr>
              <w:t>7.61</w:t>
            </w:r>
          </w:p>
        </w:tc>
        <w:tc>
          <w:tcPr>
            <w:tcW w:w="1466" w:type="dxa"/>
          </w:tcPr>
          <w:p>
            <w:pPr>
              <w:pStyle w:val="TableParagraph"/>
              <w:spacing w:line="226" w:lineRule="exact"/>
              <w:ind w:left="103"/>
              <w:jc w:val="left"/>
              <w:rPr>
                <w:sz w:val="20"/>
              </w:rPr>
            </w:pPr>
            <w:r>
              <w:rPr>
                <w:sz w:val="20"/>
              </w:rPr>
              <w:t>Alemania</w:t>
            </w:r>
          </w:p>
        </w:tc>
        <w:tc>
          <w:tcPr>
            <w:tcW w:w="1117" w:type="dxa"/>
          </w:tcPr>
          <w:p>
            <w:pPr>
              <w:pStyle w:val="TableParagraph"/>
              <w:spacing w:line="226" w:lineRule="exact"/>
              <w:ind w:right="101"/>
              <w:jc w:val="right"/>
              <w:rPr>
                <w:sz w:val="20"/>
              </w:rPr>
            </w:pPr>
            <w:r>
              <w:rPr>
                <w:w w:val="95"/>
                <w:sz w:val="20"/>
              </w:rPr>
              <w:t>5,718,222</w:t>
            </w:r>
          </w:p>
        </w:tc>
        <w:tc>
          <w:tcPr>
            <w:tcW w:w="667" w:type="dxa"/>
          </w:tcPr>
          <w:p>
            <w:pPr>
              <w:pStyle w:val="TableParagraph"/>
              <w:spacing w:line="226" w:lineRule="exact"/>
              <w:ind w:right="151"/>
              <w:jc w:val="right"/>
              <w:rPr>
                <w:sz w:val="20"/>
              </w:rPr>
            </w:pPr>
            <w:r>
              <w:rPr>
                <w:sz w:val="20"/>
              </w:rPr>
              <w:t>6.55</w:t>
            </w:r>
          </w:p>
        </w:tc>
      </w:tr>
      <w:tr>
        <w:trPr>
          <w:trHeight w:val="310" w:hRule="exact"/>
        </w:trPr>
        <w:tc>
          <w:tcPr>
            <w:tcW w:w="1467" w:type="dxa"/>
          </w:tcPr>
          <w:p>
            <w:pPr>
              <w:pStyle w:val="TableParagraph"/>
              <w:spacing w:line="223" w:lineRule="exact"/>
              <w:ind w:left="103"/>
              <w:jc w:val="left"/>
              <w:rPr>
                <w:sz w:val="20"/>
              </w:rPr>
            </w:pPr>
            <w:r>
              <w:rPr>
                <w:sz w:val="20"/>
              </w:rPr>
              <w:t>Corea del Sur</w:t>
            </w:r>
          </w:p>
        </w:tc>
        <w:tc>
          <w:tcPr>
            <w:tcW w:w="1116" w:type="dxa"/>
          </w:tcPr>
          <w:p>
            <w:pPr>
              <w:pStyle w:val="TableParagraph"/>
              <w:spacing w:line="223" w:lineRule="exact"/>
              <w:ind w:left="179" w:right="84"/>
              <w:rPr>
                <w:sz w:val="20"/>
              </w:rPr>
            </w:pPr>
            <w:r>
              <w:rPr>
                <w:sz w:val="20"/>
              </w:rPr>
              <w:t>4,271,941</w:t>
            </w:r>
          </w:p>
        </w:tc>
        <w:tc>
          <w:tcPr>
            <w:tcW w:w="665" w:type="dxa"/>
          </w:tcPr>
          <w:p>
            <w:pPr>
              <w:pStyle w:val="TableParagraph"/>
              <w:spacing w:line="223" w:lineRule="exact"/>
              <w:ind w:left="82" w:right="82"/>
              <w:rPr>
                <w:sz w:val="20"/>
              </w:rPr>
            </w:pPr>
            <w:r>
              <w:rPr>
                <w:sz w:val="20"/>
              </w:rPr>
              <w:t>5.5</w:t>
            </w:r>
          </w:p>
        </w:tc>
        <w:tc>
          <w:tcPr>
            <w:tcW w:w="1466" w:type="dxa"/>
          </w:tcPr>
          <w:p>
            <w:pPr>
              <w:pStyle w:val="TableParagraph"/>
              <w:spacing w:line="223" w:lineRule="exact"/>
              <w:ind w:left="103"/>
              <w:jc w:val="left"/>
              <w:rPr>
                <w:sz w:val="20"/>
              </w:rPr>
            </w:pPr>
            <w:r>
              <w:rPr>
                <w:sz w:val="20"/>
              </w:rPr>
              <w:t>Corea del Sur</w:t>
            </w:r>
          </w:p>
        </w:tc>
        <w:tc>
          <w:tcPr>
            <w:tcW w:w="1117" w:type="dxa"/>
          </w:tcPr>
          <w:p>
            <w:pPr>
              <w:pStyle w:val="TableParagraph"/>
              <w:spacing w:line="223" w:lineRule="exact"/>
              <w:ind w:right="101"/>
              <w:jc w:val="right"/>
              <w:rPr>
                <w:sz w:val="20"/>
              </w:rPr>
            </w:pPr>
            <w:r>
              <w:rPr>
                <w:w w:val="95"/>
                <w:sz w:val="20"/>
              </w:rPr>
              <w:t>4,521,429</w:t>
            </w:r>
          </w:p>
        </w:tc>
        <w:tc>
          <w:tcPr>
            <w:tcW w:w="667" w:type="dxa"/>
          </w:tcPr>
          <w:p>
            <w:pPr>
              <w:pStyle w:val="TableParagraph"/>
              <w:spacing w:line="223" w:lineRule="exact"/>
              <w:ind w:right="151"/>
              <w:jc w:val="right"/>
              <w:rPr>
                <w:sz w:val="20"/>
              </w:rPr>
            </w:pPr>
            <w:r>
              <w:rPr>
                <w:sz w:val="20"/>
              </w:rPr>
              <w:t>5.18</w:t>
            </w:r>
          </w:p>
        </w:tc>
      </w:tr>
      <w:tr>
        <w:trPr>
          <w:trHeight w:val="310" w:hRule="exact"/>
        </w:trPr>
        <w:tc>
          <w:tcPr>
            <w:tcW w:w="1467" w:type="dxa"/>
          </w:tcPr>
          <w:p>
            <w:pPr>
              <w:pStyle w:val="TableParagraph"/>
              <w:spacing w:line="224" w:lineRule="exact"/>
              <w:ind w:left="103"/>
              <w:jc w:val="left"/>
              <w:rPr>
                <w:sz w:val="20"/>
              </w:rPr>
            </w:pPr>
            <w:r>
              <w:rPr>
                <w:sz w:val="20"/>
              </w:rPr>
              <w:t>Brasil</w:t>
            </w:r>
          </w:p>
        </w:tc>
        <w:tc>
          <w:tcPr>
            <w:tcW w:w="1116" w:type="dxa"/>
          </w:tcPr>
          <w:p>
            <w:pPr>
              <w:pStyle w:val="TableParagraph"/>
              <w:spacing w:line="224" w:lineRule="exact"/>
              <w:ind w:left="179" w:right="84"/>
              <w:rPr>
                <w:sz w:val="20"/>
              </w:rPr>
            </w:pPr>
            <w:r>
              <w:rPr>
                <w:sz w:val="20"/>
              </w:rPr>
              <w:t>3,648,358</w:t>
            </w:r>
          </w:p>
        </w:tc>
        <w:tc>
          <w:tcPr>
            <w:tcW w:w="665" w:type="dxa"/>
          </w:tcPr>
          <w:p>
            <w:pPr>
              <w:pStyle w:val="TableParagraph"/>
              <w:spacing w:line="224" w:lineRule="exact"/>
              <w:ind w:left="82" w:right="82"/>
              <w:rPr>
                <w:sz w:val="20"/>
              </w:rPr>
            </w:pPr>
            <w:r>
              <w:rPr>
                <w:sz w:val="20"/>
              </w:rPr>
              <w:t>4.7</w:t>
            </w:r>
          </w:p>
        </w:tc>
        <w:tc>
          <w:tcPr>
            <w:tcW w:w="1466" w:type="dxa"/>
          </w:tcPr>
          <w:p>
            <w:pPr>
              <w:pStyle w:val="TableParagraph"/>
              <w:spacing w:line="224" w:lineRule="exact"/>
              <w:ind w:left="103"/>
              <w:jc w:val="left"/>
              <w:rPr>
                <w:sz w:val="20"/>
              </w:rPr>
            </w:pPr>
            <w:r>
              <w:rPr>
                <w:sz w:val="20"/>
              </w:rPr>
              <w:t>India</w:t>
            </w:r>
          </w:p>
        </w:tc>
        <w:tc>
          <w:tcPr>
            <w:tcW w:w="1117" w:type="dxa"/>
          </w:tcPr>
          <w:p>
            <w:pPr>
              <w:pStyle w:val="TableParagraph"/>
              <w:spacing w:line="224" w:lineRule="exact"/>
              <w:ind w:right="101"/>
              <w:jc w:val="right"/>
              <w:rPr>
                <w:sz w:val="20"/>
              </w:rPr>
            </w:pPr>
            <w:r>
              <w:rPr>
                <w:w w:val="95"/>
                <w:sz w:val="20"/>
              </w:rPr>
              <w:t>3,880,938</w:t>
            </w:r>
          </w:p>
        </w:tc>
        <w:tc>
          <w:tcPr>
            <w:tcW w:w="667" w:type="dxa"/>
          </w:tcPr>
          <w:p>
            <w:pPr>
              <w:pStyle w:val="TableParagraph"/>
              <w:spacing w:line="224" w:lineRule="exact"/>
              <w:ind w:right="151"/>
              <w:jc w:val="right"/>
              <w:rPr>
                <w:sz w:val="20"/>
              </w:rPr>
            </w:pPr>
            <w:r>
              <w:rPr>
                <w:sz w:val="20"/>
              </w:rPr>
              <w:t>4.45</w:t>
            </w:r>
          </w:p>
        </w:tc>
      </w:tr>
      <w:tr>
        <w:trPr>
          <w:trHeight w:val="310" w:hRule="exact"/>
        </w:trPr>
        <w:tc>
          <w:tcPr>
            <w:tcW w:w="1467" w:type="dxa"/>
          </w:tcPr>
          <w:p>
            <w:pPr>
              <w:pStyle w:val="TableParagraph"/>
              <w:spacing w:line="223" w:lineRule="exact"/>
              <w:ind w:left="103"/>
              <w:jc w:val="left"/>
              <w:rPr>
                <w:sz w:val="20"/>
              </w:rPr>
            </w:pPr>
            <w:r>
              <w:rPr>
                <w:sz w:val="20"/>
              </w:rPr>
              <w:t>India</w:t>
            </w:r>
          </w:p>
        </w:tc>
        <w:tc>
          <w:tcPr>
            <w:tcW w:w="1116" w:type="dxa"/>
          </w:tcPr>
          <w:p>
            <w:pPr>
              <w:pStyle w:val="TableParagraph"/>
              <w:spacing w:line="223" w:lineRule="exact"/>
              <w:ind w:left="179" w:right="84"/>
              <w:rPr>
                <w:sz w:val="20"/>
              </w:rPr>
            </w:pPr>
            <w:r>
              <w:rPr>
                <w:sz w:val="20"/>
              </w:rPr>
              <w:t>3,536,783</w:t>
            </w:r>
          </w:p>
        </w:tc>
        <w:tc>
          <w:tcPr>
            <w:tcW w:w="665" w:type="dxa"/>
          </w:tcPr>
          <w:p>
            <w:pPr>
              <w:pStyle w:val="TableParagraph"/>
              <w:spacing w:line="223" w:lineRule="exact"/>
              <w:ind w:left="82" w:right="82"/>
              <w:rPr>
                <w:sz w:val="20"/>
              </w:rPr>
            </w:pPr>
            <w:r>
              <w:rPr>
                <w:sz w:val="20"/>
              </w:rPr>
              <w:t>4.56</w:t>
            </w:r>
          </w:p>
        </w:tc>
        <w:tc>
          <w:tcPr>
            <w:tcW w:w="1466" w:type="dxa"/>
          </w:tcPr>
          <w:p>
            <w:pPr>
              <w:pStyle w:val="TableParagraph"/>
              <w:spacing w:line="223" w:lineRule="exact"/>
              <w:ind w:left="103"/>
              <w:jc w:val="left"/>
              <w:rPr>
                <w:sz w:val="20"/>
              </w:rPr>
            </w:pPr>
            <w:r>
              <w:rPr>
                <w:sz w:val="20"/>
              </w:rPr>
              <w:t>Brasil</w:t>
            </w:r>
          </w:p>
        </w:tc>
        <w:tc>
          <w:tcPr>
            <w:tcW w:w="1117" w:type="dxa"/>
          </w:tcPr>
          <w:p>
            <w:pPr>
              <w:pStyle w:val="TableParagraph"/>
              <w:spacing w:line="223" w:lineRule="exact"/>
              <w:ind w:right="101"/>
              <w:jc w:val="right"/>
              <w:rPr>
                <w:sz w:val="20"/>
              </w:rPr>
            </w:pPr>
            <w:r>
              <w:rPr>
                <w:w w:val="95"/>
                <w:sz w:val="20"/>
              </w:rPr>
              <w:t>3,740,418</w:t>
            </w:r>
          </w:p>
        </w:tc>
        <w:tc>
          <w:tcPr>
            <w:tcW w:w="667" w:type="dxa"/>
          </w:tcPr>
          <w:p>
            <w:pPr>
              <w:pStyle w:val="TableParagraph"/>
              <w:spacing w:line="223" w:lineRule="exact"/>
              <w:ind w:right="151"/>
              <w:jc w:val="right"/>
              <w:rPr>
                <w:sz w:val="20"/>
              </w:rPr>
            </w:pPr>
            <w:r>
              <w:rPr>
                <w:sz w:val="20"/>
              </w:rPr>
              <w:t>4.28</w:t>
            </w:r>
          </w:p>
        </w:tc>
      </w:tr>
      <w:tr>
        <w:trPr>
          <w:trHeight w:val="310" w:hRule="exact"/>
        </w:trPr>
        <w:tc>
          <w:tcPr>
            <w:tcW w:w="1467" w:type="dxa"/>
          </w:tcPr>
          <w:p>
            <w:pPr>
              <w:pStyle w:val="TableParagraph"/>
              <w:spacing w:line="223" w:lineRule="exact"/>
              <w:ind w:left="103"/>
              <w:jc w:val="left"/>
              <w:rPr>
                <w:sz w:val="20"/>
              </w:rPr>
            </w:pPr>
            <w:r>
              <w:rPr>
                <w:sz w:val="20"/>
              </w:rPr>
              <w:t>España</w:t>
            </w:r>
          </w:p>
        </w:tc>
        <w:tc>
          <w:tcPr>
            <w:tcW w:w="1116" w:type="dxa"/>
          </w:tcPr>
          <w:p>
            <w:pPr>
              <w:pStyle w:val="TableParagraph"/>
              <w:spacing w:line="223" w:lineRule="exact"/>
              <w:ind w:left="179" w:right="84"/>
              <w:rPr>
                <w:sz w:val="20"/>
              </w:rPr>
            </w:pPr>
            <w:r>
              <w:rPr>
                <w:sz w:val="20"/>
              </w:rPr>
              <w:t>2,387,900</w:t>
            </w:r>
          </w:p>
        </w:tc>
        <w:tc>
          <w:tcPr>
            <w:tcW w:w="665" w:type="dxa"/>
            <w:tcBorders>
              <w:right w:val="single" w:sz="41" w:space="0" w:color="D9D9D9"/>
            </w:tcBorders>
          </w:tcPr>
          <w:p>
            <w:pPr>
              <w:pStyle w:val="TableParagraph"/>
              <w:spacing w:line="223" w:lineRule="exact"/>
              <w:ind w:left="131" w:right="87"/>
              <w:rPr>
                <w:sz w:val="20"/>
              </w:rPr>
            </w:pPr>
            <w:r>
              <w:rPr>
                <w:sz w:val="20"/>
              </w:rPr>
              <w:t>3.08</w:t>
            </w:r>
          </w:p>
        </w:tc>
        <w:tc>
          <w:tcPr>
            <w:tcW w:w="1466" w:type="dxa"/>
            <w:shd w:val="clear" w:color="auto" w:fill="D9D9D9"/>
          </w:tcPr>
          <w:p>
            <w:pPr>
              <w:pStyle w:val="TableParagraph"/>
              <w:spacing w:line="223" w:lineRule="exact"/>
              <w:ind w:left="103"/>
              <w:jc w:val="left"/>
              <w:rPr>
                <w:sz w:val="20"/>
              </w:rPr>
            </w:pPr>
            <w:r>
              <w:rPr>
                <w:sz w:val="20"/>
              </w:rPr>
              <w:t>México</w:t>
            </w:r>
          </w:p>
        </w:tc>
        <w:tc>
          <w:tcPr>
            <w:tcW w:w="1117" w:type="dxa"/>
            <w:shd w:val="clear" w:color="auto" w:fill="D9D9D9"/>
          </w:tcPr>
          <w:p>
            <w:pPr>
              <w:pStyle w:val="TableParagraph"/>
              <w:spacing w:line="223" w:lineRule="exact"/>
              <w:ind w:right="101"/>
              <w:jc w:val="right"/>
              <w:rPr>
                <w:sz w:val="20"/>
              </w:rPr>
            </w:pPr>
            <w:r>
              <w:rPr>
                <w:w w:val="95"/>
                <w:sz w:val="20"/>
              </w:rPr>
              <w:t>3,052,395</w:t>
            </w:r>
          </w:p>
        </w:tc>
        <w:tc>
          <w:tcPr>
            <w:tcW w:w="667" w:type="dxa"/>
            <w:shd w:val="clear" w:color="auto" w:fill="D9D9D9"/>
          </w:tcPr>
          <w:p>
            <w:pPr>
              <w:pStyle w:val="TableParagraph"/>
              <w:spacing w:line="223" w:lineRule="exact"/>
              <w:ind w:right="201"/>
              <w:jc w:val="right"/>
              <w:rPr>
                <w:sz w:val="20"/>
              </w:rPr>
            </w:pPr>
            <w:r>
              <w:rPr>
                <w:sz w:val="20"/>
              </w:rPr>
              <w:t>3.5</w:t>
            </w:r>
          </w:p>
        </w:tc>
      </w:tr>
      <w:tr>
        <w:trPr>
          <w:trHeight w:val="310" w:hRule="exact"/>
        </w:trPr>
        <w:tc>
          <w:tcPr>
            <w:tcW w:w="1467" w:type="dxa"/>
            <w:shd w:val="clear" w:color="auto" w:fill="D9D9D9"/>
          </w:tcPr>
          <w:p>
            <w:pPr>
              <w:pStyle w:val="TableParagraph"/>
              <w:spacing w:line="223" w:lineRule="exact"/>
              <w:ind w:left="103"/>
              <w:jc w:val="left"/>
              <w:rPr>
                <w:sz w:val="20"/>
              </w:rPr>
            </w:pPr>
            <w:r>
              <w:rPr>
                <w:sz w:val="20"/>
              </w:rPr>
              <w:t>México</w:t>
            </w:r>
          </w:p>
        </w:tc>
        <w:tc>
          <w:tcPr>
            <w:tcW w:w="1116" w:type="dxa"/>
            <w:shd w:val="clear" w:color="auto" w:fill="D9D9D9"/>
          </w:tcPr>
          <w:p>
            <w:pPr>
              <w:pStyle w:val="TableParagraph"/>
              <w:spacing w:line="223" w:lineRule="exact"/>
              <w:ind w:left="179" w:right="84"/>
              <w:rPr>
                <w:sz w:val="20"/>
              </w:rPr>
            </w:pPr>
            <w:r>
              <w:rPr>
                <w:sz w:val="20"/>
              </w:rPr>
              <w:t>2,345,124</w:t>
            </w:r>
          </w:p>
        </w:tc>
        <w:tc>
          <w:tcPr>
            <w:tcW w:w="665" w:type="dxa"/>
            <w:shd w:val="clear" w:color="auto" w:fill="D9D9D9"/>
          </w:tcPr>
          <w:p>
            <w:pPr>
              <w:pStyle w:val="TableParagraph"/>
              <w:spacing w:line="223" w:lineRule="exact"/>
              <w:ind w:left="82" w:right="82"/>
              <w:rPr>
                <w:sz w:val="20"/>
              </w:rPr>
            </w:pPr>
            <w:r>
              <w:rPr>
                <w:sz w:val="20"/>
              </w:rPr>
              <w:t>3.02</w:t>
            </w:r>
          </w:p>
        </w:tc>
        <w:tc>
          <w:tcPr>
            <w:tcW w:w="1466" w:type="dxa"/>
            <w:tcBorders>
              <w:top w:val="single" w:sz="28" w:space="0" w:color="D9D9D9"/>
              <w:left w:val="single" w:sz="41" w:space="0" w:color="D9D9D9"/>
            </w:tcBorders>
          </w:tcPr>
          <w:p>
            <w:pPr>
              <w:pStyle w:val="TableParagraph"/>
              <w:spacing w:line="193" w:lineRule="exact"/>
              <w:ind w:left="56"/>
              <w:jc w:val="left"/>
              <w:rPr>
                <w:sz w:val="20"/>
              </w:rPr>
            </w:pPr>
            <w:r>
              <w:rPr>
                <w:sz w:val="20"/>
              </w:rPr>
              <w:t>Tailandia</w:t>
            </w:r>
          </w:p>
        </w:tc>
        <w:tc>
          <w:tcPr>
            <w:tcW w:w="1117" w:type="dxa"/>
            <w:tcBorders>
              <w:top w:val="single" w:sz="28" w:space="0" w:color="D9D9D9"/>
            </w:tcBorders>
          </w:tcPr>
          <w:p>
            <w:pPr>
              <w:pStyle w:val="TableParagraph"/>
              <w:spacing w:line="193" w:lineRule="exact"/>
              <w:ind w:right="101"/>
              <w:jc w:val="right"/>
              <w:rPr>
                <w:sz w:val="20"/>
              </w:rPr>
            </w:pPr>
            <w:r>
              <w:rPr>
                <w:w w:val="95"/>
                <w:sz w:val="20"/>
              </w:rPr>
              <w:t>2,532,577</w:t>
            </w:r>
          </w:p>
        </w:tc>
        <w:tc>
          <w:tcPr>
            <w:tcW w:w="667" w:type="dxa"/>
            <w:tcBorders>
              <w:top w:val="single" w:sz="28" w:space="0" w:color="D9D9D9"/>
            </w:tcBorders>
          </w:tcPr>
          <w:p>
            <w:pPr>
              <w:pStyle w:val="TableParagraph"/>
              <w:spacing w:line="193" w:lineRule="exact"/>
              <w:ind w:right="201"/>
              <w:jc w:val="right"/>
              <w:rPr>
                <w:sz w:val="20"/>
              </w:rPr>
            </w:pPr>
            <w:r>
              <w:rPr>
                <w:sz w:val="20"/>
              </w:rPr>
              <w:t>2.9</w:t>
            </w:r>
          </w:p>
        </w:tc>
      </w:tr>
      <w:tr>
        <w:trPr>
          <w:trHeight w:val="312" w:hRule="exact"/>
        </w:trPr>
        <w:tc>
          <w:tcPr>
            <w:tcW w:w="1467" w:type="dxa"/>
            <w:tcBorders>
              <w:top w:val="single" w:sz="28" w:space="0" w:color="D9D9D9"/>
            </w:tcBorders>
          </w:tcPr>
          <w:p>
            <w:pPr>
              <w:pStyle w:val="TableParagraph"/>
              <w:spacing w:line="196" w:lineRule="exact"/>
              <w:ind w:left="103"/>
              <w:jc w:val="left"/>
              <w:rPr>
                <w:sz w:val="20"/>
              </w:rPr>
            </w:pPr>
            <w:r>
              <w:rPr>
                <w:sz w:val="20"/>
              </w:rPr>
              <w:t>Francia</w:t>
            </w:r>
          </w:p>
        </w:tc>
        <w:tc>
          <w:tcPr>
            <w:tcW w:w="1116" w:type="dxa"/>
            <w:tcBorders>
              <w:top w:val="single" w:sz="28" w:space="0" w:color="D9D9D9"/>
            </w:tcBorders>
          </w:tcPr>
          <w:p>
            <w:pPr>
              <w:pStyle w:val="TableParagraph"/>
              <w:spacing w:line="196" w:lineRule="exact"/>
              <w:ind w:left="179" w:right="84"/>
              <w:rPr>
                <w:sz w:val="20"/>
              </w:rPr>
            </w:pPr>
            <w:r>
              <w:rPr>
                <w:sz w:val="20"/>
              </w:rPr>
              <w:t>2,227,742</w:t>
            </w:r>
          </w:p>
        </w:tc>
        <w:tc>
          <w:tcPr>
            <w:tcW w:w="665" w:type="dxa"/>
            <w:tcBorders>
              <w:top w:val="single" w:sz="28" w:space="0" w:color="D9D9D9"/>
            </w:tcBorders>
          </w:tcPr>
          <w:p>
            <w:pPr>
              <w:pStyle w:val="TableParagraph"/>
              <w:spacing w:line="196" w:lineRule="exact"/>
              <w:ind w:left="82" w:right="82"/>
              <w:rPr>
                <w:sz w:val="20"/>
              </w:rPr>
            </w:pPr>
            <w:r>
              <w:rPr>
                <w:sz w:val="20"/>
              </w:rPr>
              <w:t>2.87</w:t>
            </w:r>
          </w:p>
        </w:tc>
        <w:tc>
          <w:tcPr>
            <w:tcW w:w="1466" w:type="dxa"/>
          </w:tcPr>
          <w:p>
            <w:pPr>
              <w:pStyle w:val="TableParagraph"/>
              <w:spacing w:line="226" w:lineRule="exact"/>
              <w:ind w:left="103"/>
              <w:jc w:val="left"/>
              <w:rPr>
                <w:sz w:val="20"/>
              </w:rPr>
            </w:pPr>
            <w:r>
              <w:rPr>
                <w:sz w:val="20"/>
              </w:rPr>
              <w:t>Canadá</w:t>
            </w:r>
          </w:p>
        </w:tc>
        <w:tc>
          <w:tcPr>
            <w:tcW w:w="1117" w:type="dxa"/>
          </w:tcPr>
          <w:p>
            <w:pPr>
              <w:pStyle w:val="TableParagraph"/>
              <w:spacing w:line="226" w:lineRule="exact"/>
              <w:ind w:right="101"/>
              <w:jc w:val="right"/>
              <w:rPr>
                <w:sz w:val="20"/>
              </w:rPr>
            </w:pPr>
            <w:r>
              <w:rPr>
                <w:w w:val="95"/>
                <w:sz w:val="20"/>
              </w:rPr>
              <w:t>2,379,806</w:t>
            </w:r>
          </w:p>
        </w:tc>
        <w:tc>
          <w:tcPr>
            <w:tcW w:w="667" w:type="dxa"/>
          </w:tcPr>
          <w:p>
            <w:pPr>
              <w:pStyle w:val="TableParagraph"/>
              <w:spacing w:line="226" w:lineRule="exact"/>
              <w:ind w:right="151"/>
              <w:jc w:val="right"/>
              <w:rPr>
                <w:sz w:val="20"/>
              </w:rPr>
            </w:pPr>
            <w:r>
              <w:rPr>
                <w:sz w:val="20"/>
              </w:rPr>
              <w:t>2.73</w:t>
            </w:r>
          </w:p>
        </w:tc>
      </w:tr>
      <w:tr>
        <w:trPr>
          <w:trHeight w:val="310" w:hRule="exact"/>
        </w:trPr>
        <w:tc>
          <w:tcPr>
            <w:tcW w:w="1467" w:type="dxa"/>
          </w:tcPr>
          <w:p>
            <w:pPr>
              <w:pStyle w:val="TableParagraph"/>
              <w:spacing w:line="223" w:lineRule="exact"/>
              <w:ind w:left="103"/>
              <w:jc w:val="left"/>
              <w:rPr>
                <w:sz w:val="20"/>
              </w:rPr>
            </w:pPr>
            <w:r>
              <w:rPr>
                <w:sz w:val="20"/>
              </w:rPr>
              <w:t>Otros</w:t>
            </w:r>
          </w:p>
        </w:tc>
        <w:tc>
          <w:tcPr>
            <w:tcW w:w="1116" w:type="dxa"/>
          </w:tcPr>
          <w:p>
            <w:pPr>
              <w:pStyle w:val="TableParagraph"/>
              <w:spacing w:line="223" w:lineRule="exact"/>
              <w:ind w:left="81" w:right="84"/>
              <w:rPr>
                <w:sz w:val="20"/>
              </w:rPr>
            </w:pPr>
            <w:r>
              <w:rPr>
                <w:sz w:val="20"/>
              </w:rPr>
              <w:t>17,634,018</w:t>
            </w:r>
          </w:p>
        </w:tc>
        <w:tc>
          <w:tcPr>
            <w:tcW w:w="665" w:type="dxa"/>
          </w:tcPr>
          <w:p>
            <w:pPr>
              <w:pStyle w:val="TableParagraph"/>
              <w:spacing w:line="223" w:lineRule="exact"/>
              <w:ind w:left="82" w:right="82"/>
              <w:rPr>
                <w:sz w:val="20"/>
              </w:rPr>
            </w:pPr>
            <w:r>
              <w:rPr>
                <w:sz w:val="20"/>
              </w:rPr>
              <w:t>22.72</w:t>
            </w:r>
          </w:p>
        </w:tc>
        <w:tc>
          <w:tcPr>
            <w:tcW w:w="1466" w:type="dxa"/>
          </w:tcPr>
          <w:p>
            <w:pPr>
              <w:pStyle w:val="TableParagraph"/>
              <w:spacing w:line="223" w:lineRule="exact"/>
              <w:ind w:left="103"/>
              <w:jc w:val="left"/>
              <w:rPr>
                <w:sz w:val="20"/>
              </w:rPr>
            </w:pPr>
            <w:r>
              <w:rPr>
                <w:sz w:val="20"/>
              </w:rPr>
              <w:t>Otros</w:t>
            </w:r>
          </w:p>
        </w:tc>
        <w:tc>
          <w:tcPr>
            <w:tcW w:w="1117" w:type="dxa"/>
          </w:tcPr>
          <w:p>
            <w:pPr>
              <w:pStyle w:val="TableParagraph"/>
              <w:spacing w:line="223" w:lineRule="exact"/>
              <w:ind w:right="102"/>
              <w:jc w:val="right"/>
              <w:rPr>
                <w:sz w:val="20"/>
              </w:rPr>
            </w:pPr>
            <w:r>
              <w:rPr>
                <w:w w:val="95"/>
                <w:sz w:val="20"/>
              </w:rPr>
              <w:t>18,681,533</w:t>
            </w:r>
          </w:p>
        </w:tc>
        <w:tc>
          <w:tcPr>
            <w:tcW w:w="667" w:type="dxa"/>
          </w:tcPr>
          <w:p>
            <w:pPr>
              <w:pStyle w:val="TableParagraph"/>
              <w:spacing w:line="223" w:lineRule="exact"/>
              <w:ind w:right="151"/>
              <w:jc w:val="right"/>
              <w:rPr>
                <w:sz w:val="20"/>
              </w:rPr>
            </w:pPr>
            <w:r>
              <w:rPr>
                <w:sz w:val="20"/>
              </w:rPr>
              <w:t>21.4</w:t>
            </w:r>
          </w:p>
        </w:tc>
      </w:tr>
      <w:tr>
        <w:trPr>
          <w:trHeight w:val="310" w:hRule="exact"/>
        </w:trPr>
        <w:tc>
          <w:tcPr>
            <w:tcW w:w="1467" w:type="dxa"/>
            <w:shd w:val="clear" w:color="auto" w:fill="E8F3D2"/>
          </w:tcPr>
          <w:p>
            <w:pPr>
              <w:pStyle w:val="TableParagraph"/>
              <w:spacing w:line="228" w:lineRule="exact"/>
              <w:ind w:left="103"/>
              <w:jc w:val="left"/>
              <w:rPr>
                <w:b/>
                <w:sz w:val="20"/>
              </w:rPr>
            </w:pPr>
            <w:r>
              <w:rPr>
                <w:b/>
                <w:sz w:val="20"/>
              </w:rPr>
              <w:t>Total</w:t>
            </w:r>
          </w:p>
        </w:tc>
        <w:tc>
          <w:tcPr>
            <w:tcW w:w="1116" w:type="dxa"/>
            <w:shd w:val="clear" w:color="auto" w:fill="E8F3D2"/>
          </w:tcPr>
          <w:p>
            <w:pPr>
              <w:pStyle w:val="TableParagraph"/>
              <w:spacing w:line="228" w:lineRule="exact"/>
              <w:ind w:left="81" w:right="84"/>
              <w:rPr>
                <w:b/>
                <w:sz w:val="20"/>
              </w:rPr>
            </w:pPr>
            <w:r>
              <w:rPr>
                <w:b/>
                <w:sz w:val="20"/>
              </w:rPr>
              <w:t>77,609,901</w:t>
            </w:r>
          </w:p>
        </w:tc>
        <w:tc>
          <w:tcPr>
            <w:tcW w:w="665" w:type="dxa"/>
            <w:shd w:val="clear" w:color="auto" w:fill="E8F3D2"/>
          </w:tcPr>
          <w:p>
            <w:pPr>
              <w:pStyle w:val="TableParagraph"/>
              <w:spacing w:line="228" w:lineRule="exact"/>
              <w:ind w:left="82" w:right="82"/>
              <w:rPr>
                <w:b/>
                <w:sz w:val="20"/>
              </w:rPr>
            </w:pPr>
            <w:r>
              <w:rPr>
                <w:b/>
                <w:sz w:val="20"/>
              </w:rPr>
              <w:t>100</w:t>
            </w:r>
          </w:p>
        </w:tc>
        <w:tc>
          <w:tcPr>
            <w:tcW w:w="1466" w:type="dxa"/>
            <w:shd w:val="clear" w:color="auto" w:fill="E8F3D2"/>
          </w:tcPr>
          <w:p>
            <w:pPr>
              <w:pStyle w:val="TableParagraph"/>
              <w:spacing w:line="228" w:lineRule="exact"/>
              <w:ind w:left="103"/>
              <w:jc w:val="left"/>
              <w:rPr>
                <w:b/>
                <w:sz w:val="20"/>
              </w:rPr>
            </w:pPr>
            <w:r>
              <w:rPr>
                <w:b/>
                <w:sz w:val="20"/>
              </w:rPr>
              <w:t>Total</w:t>
            </w:r>
          </w:p>
        </w:tc>
        <w:tc>
          <w:tcPr>
            <w:tcW w:w="1117" w:type="dxa"/>
            <w:shd w:val="clear" w:color="auto" w:fill="E8F3D2"/>
          </w:tcPr>
          <w:p>
            <w:pPr>
              <w:pStyle w:val="TableParagraph"/>
              <w:spacing w:line="228" w:lineRule="exact"/>
              <w:ind w:right="102"/>
              <w:jc w:val="right"/>
              <w:rPr>
                <w:b/>
                <w:sz w:val="20"/>
              </w:rPr>
            </w:pPr>
            <w:r>
              <w:rPr>
                <w:b/>
                <w:w w:val="95"/>
                <w:sz w:val="20"/>
              </w:rPr>
              <w:t>87,300,115</w:t>
            </w:r>
          </w:p>
        </w:tc>
        <w:tc>
          <w:tcPr>
            <w:tcW w:w="667" w:type="dxa"/>
            <w:shd w:val="clear" w:color="auto" w:fill="E8F3D2"/>
          </w:tcPr>
          <w:p>
            <w:pPr>
              <w:pStyle w:val="TableParagraph"/>
              <w:spacing w:line="228" w:lineRule="exact"/>
              <w:ind w:right="175"/>
              <w:jc w:val="right"/>
              <w:rPr>
                <w:b/>
                <w:sz w:val="20"/>
              </w:rPr>
            </w:pPr>
            <w:r>
              <w:rPr>
                <w:b/>
                <w:sz w:val="20"/>
              </w:rPr>
              <w:t>100</w:t>
            </w:r>
          </w:p>
        </w:tc>
      </w:tr>
    </w:tbl>
    <w:p>
      <w:pPr>
        <w:spacing w:line="202" w:lineRule="exact" w:before="0"/>
        <w:ind w:left="2517" w:right="119" w:firstLine="0"/>
        <w:jc w:val="left"/>
        <w:rPr>
          <w:sz w:val="18"/>
        </w:rPr>
      </w:pPr>
      <w:r>
        <w:rPr>
          <w:sz w:val="18"/>
        </w:rPr>
        <w:t>Fuente: Elaboración propia con datos de OICA (2013).</w:t>
      </w:r>
    </w:p>
    <w:p>
      <w:pPr>
        <w:pStyle w:val="BodyText"/>
        <w:rPr>
          <w:sz w:val="18"/>
        </w:rPr>
      </w:pPr>
    </w:p>
    <w:p>
      <w:pPr>
        <w:pStyle w:val="BodyText"/>
        <w:spacing w:line="360" w:lineRule="auto" w:before="137"/>
        <w:ind w:left="102" w:right="115"/>
        <w:jc w:val="both"/>
      </w:pPr>
      <w:r>
        <w:rPr/>
        <w:t>Como se observa en este proceso de reestructuración, China se consolida como el gran productor del siglo XXI, con un aporte que es mayor en volumen al que suman los líderes del siglo XX. En contraste, existen países dentro del sector automotriz que han disminuido drásticamente su participación en la manufactura, como Francia y España, que </w:t>
      </w:r>
      <w:r>
        <w:rPr>
          <w:spacing w:val="-3"/>
        </w:rPr>
        <w:t>ya </w:t>
      </w:r>
      <w:r>
        <w:rPr/>
        <w:t>no</w:t>
      </w:r>
      <w:r>
        <w:rPr>
          <w:spacing w:val="-33"/>
        </w:rPr>
        <w:t> </w:t>
      </w:r>
      <w:r>
        <w:rPr/>
        <w:t>figuran dentro de los diez principales productores de autos en el mundo, sin embargo existen países en los que el sector se ha ido consolidando, estos son: Corea del Sur, la India y Brasil principalmente.</w:t>
      </w:r>
    </w:p>
    <w:p>
      <w:pPr>
        <w:pStyle w:val="BodyText"/>
        <w:spacing w:before="5"/>
        <w:rPr>
          <w:sz w:val="21"/>
        </w:rPr>
      </w:pPr>
    </w:p>
    <w:p>
      <w:pPr>
        <w:pStyle w:val="BodyText"/>
        <w:spacing w:line="360" w:lineRule="auto"/>
        <w:ind w:left="102" w:right="115"/>
        <w:jc w:val="both"/>
      </w:pPr>
      <w:r>
        <w:rPr/>
        <w:t>Para el caso de México se observa un avance durante el periodo de 2010 a 2013, pasó de ocupar</w:t>
      </w:r>
      <w:r>
        <w:rPr>
          <w:spacing w:val="-7"/>
        </w:rPr>
        <w:t> </w:t>
      </w:r>
      <w:r>
        <w:rPr/>
        <w:t>el</w:t>
      </w:r>
      <w:r>
        <w:rPr>
          <w:spacing w:val="-8"/>
        </w:rPr>
        <w:t> </w:t>
      </w:r>
      <w:r>
        <w:rPr/>
        <w:t>lugar</w:t>
      </w:r>
      <w:r>
        <w:rPr>
          <w:spacing w:val="-10"/>
        </w:rPr>
        <w:t> </w:t>
      </w:r>
      <w:r>
        <w:rPr/>
        <w:t>nueve</w:t>
      </w:r>
      <w:r>
        <w:rPr>
          <w:spacing w:val="-10"/>
        </w:rPr>
        <w:t> </w:t>
      </w:r>
      <w:r>
        <w:rPr/>
        <w:t>a</w:t>
      </w:r>
      <w:r>
        <w:rPr>
          <w:spacing w:val="-10"/>
        </w:rPr>
        <w:t> </w:t>
      </w:r>
      <w:r>
        <w:rPr/>
        <w:t>posicionarse</w:t>
      </w:r>
      <w:r>
        <w:rPr>
          <w:spacing w:val="-10"/>
        </w:rPr>
        <w:t> </w:t>
      </w:r>
      <w:r>
        <w:rPr/>
        <w:t>como</w:t>
      </w:r>
      <w:r>
        <w:rPr>
          <w:spacing w:val="-6"/>
        </w:rPr>
        <w:t> </w:t>
      </w:r>
      <w:r>
        <w:rPr/>
        <w:t>el</w:t>
      </w:r>
      <w:r>
        <w:rPr>
          <w:spacing w:val="-8"/>
        </w:rPr>
        <w:t> </w:t>
      </w:r>
      <w:r>
        <w:rPr/>
        <w:t>octavo</w:t>
      </w:r>
      <w:r>
        <w:rPr>
          <w:spacing w:val="-9"/>
        </w:rPr>
        <w:t> </w:t>
      </w:r>
      <w:r>
        <w:rPr/>
        <w:t>productor</w:t>
      </w:r>
      <w:r>
        <w:rPr>
          <w:spacing w:val="-9"/>
        </w:rPr>
        <w:t> </w:t>
      </w:r>
      <w:r>
        <w:rPr/>
        <w:t>de</w:t>
      </w:r>
      <w:r>
        <w:rPr>
          <w:spacing w:val="-10"/>
        </w:rPr>
        <w:t> </w:t>
      </w:r>
      <w:r>
        <w:rPr/>
        <w:t>vehículos</w:t>
      </w:r>
      <w:r>
        <w:rPr>
          <w:spacing w:val="-8"/>
        </w:rPr>
        <w:t> </w:t>
      </w:r>
      <w:r>
        <w:rPr/>
        <w:t>en</w:t>
      </w:r>
      <w:r>
        <w:rPr>
          <w:spacing w:val="-9"/>
        </w:rPr>
        <w:t> </w:t>
      </w:r>
      <w:r>
        <w:rPr/>
        <w:t>el</w:t>
      </w:r>
      <w:r>
        <w:rPr>
          <w:spacing w:val="-8"/>
        </w:rPr>
        <w:t> </w:t>
      </w:r>
      <w:r>
        <w:rPr/>
        <w:t>mundo.</w:t>
      </w:r>
      <w:r>
        <w:rPr>
          <w:spacing w:val="-7"/>
        </w:rPr>
        <w:t> </w:t>
      </w:r>
      <w:r>
        <w:rPr/>
        <w:t>No obstante actualmente ocupa el séptimo lugar como productor de vehículos en el mundo y es el segundo proveedor de Estados Unidos, con la comercialización de más de un millón 100 mil unidades en 2014 (AMIA,</w:t>
      </w:r>
      <w:r>
        <w:rPr>
          <w:spacing w:val="-7"/>
        </w:rPr>
        <w:t> </w:t>
      </w:r>
      <w:r>
        <w:rPr/>
        <w:t>2014).</w:t>
      </w:r>
    </w:p>
    <w:p>
      <w:pPr>
        <w:pStyle w:val="BodyText"/>
        <w:spacing w:before="2"/>
        <w:rPr>
          <w:sz w:val="21"/>
        </w:rPr>
      </w:pPr>
    </w:p>
    <w:p>
      <w:pPr>
        <w:pStyle w:val="BodyText"/>
        <w:spacing w:line="360" w:lineRule="auto"/>
        <w:ind w:left="102" w:right="117"/>
        <w:jc w:val="both"/>
      </w:pPr>
      <w:r>
        <w:rPr/>
        <w:t>Los</w:t>
      </w:r>
      <w:r>
        <w:rPr>
          <w:spacing w:val="-6"/>
        </w:rPr>
        <w:t> </w:t>
      </w:r>
      <w:r>
        <w:rPr/>
        <w:t>datos</w:t>
      </w:r>
      <w:r>
        <w:rPr>
          <w:spacing w:val="-6"/>
        </w:rPr>
        <w:t> </w:t>
      </w:r>
      <w:r>
        <w:rPr/>
        <w:t>anteriores</w:t>
      </w:r>
      <w:r>
        <w:rPr>
          <w:spacing w:val="-5"/>
        </w:rPr>
        <w:t> </w:t>
      </w:r>
      <w:r>
        <w:rPr/>
        <w:t>muestran</w:t>
      </w:r>
      <w:r>
        <w:rPr>
          <w:spacing w:val="-6"/>
        </w:rPr>
        <w:t> </w:t>
      </w:r>
      <w:r>
        <w:rPr/>
        <w:t>que</w:t>
      </w:r>
      <w:r>
        <w:rPr>
          <w:spacing w:val="-7"/>
        </w:rPr>
        <w:t> </w:t>
      </w:r>
      <w:r>
        <w:rPr/>
        <w:t>la</w:t>
      </w:r>
      <w:r>
        <w:rPr>
          <w:spacing w:val="-7"/>
        </w:rPr>
        <w:t> </w:t>
      </w:r>
      <w:r>
        <w:rPr/>
        <w:t>localización</w:t>
      </w:r>
      <w:r>
        <w:rPr>
          <w:spacing w:val="-3"/>
        </w:rPr>
        <w:t> </w:t>
      </w:r>
      <w:r>
        <w:rPr/>
        <w:t>actual</w:t>
      </w:r>
      <w:r>
        <w:rPr>
          <w:spacing w:val="-6"/>
        </w:rPr>
        <w:t> </w:t>
      </w:r>
      <w:r>
        <w:rPr/>
        <w:t>de</w:t>
      </w:r>
      <w:r>
        <w:rPr>
          <w:spacing w:val="-7"/>
        </w:rPr>
        <w:t> </w:t>
      </w:r>
      <w:r>
        <w:rPr/>
        <w:t>la</w:t>
      </w:r>
      <w:r>
        <w:rPr>
          <w:spacing w:val="-7"/>
        </w:rPr>
        <w:t> </w:t>
      </w:r>
      <w:r>
        <w:rPr/>
        <w:t>industria</w:t>
      </w:r>
      <w:r>
        <w:rPr>
          <w:spacing w:val="-7"/>
        </w:rPr>
        <w:t> </w:t>
      </w:r>
      <w:r>
        <w:rPr/>
        <w:t>automotriz</w:t>
      </w:r>
      <w:r>
        <w:rPr>
          <w:spacing w:val="-5"/>
        </w:rPr>
        <w:t> </w:t>
      </w:r>
      <w:r>
        <w:rPr/>
        <w:t>obedece</w:t>
      </w:r>
      <w:r>
        <w:rPr>
          <w:spacing w:val="-7"/>
        </w:rPr>
        <w:t> </w:t>
      </w:r>
      <w:r>
        <w:rPr/>
        <w:t>a estrategias empresariales que han optado por establecerse principalmente en regiones emergentes, lo que, de acuerdo con Basurto (2013), ha generado que las zonas industriales emergentes adquieran perfiles parecidos a los de las regiones</w:t>
      </w:r>
      <w:r>
        <w:rPr>
          <w:spacing w:val="-12"/>
        </w:rPr>
        <w:t> </w:t>
      </w:r>
      <w:r>
        <w:rPr/>
        <w:t>desarrolladas.</w:t>
      </w:r>
    </w:p>
    <w:p>
      <w:pPr>
        <w:spacing w:after="0" w:line="360" w:lineRule="auto"/>
        <w:jc w:val="both"/>
        <w:sectPr>
          <w:pgSz w:w="12240" w:h="15840"/>
          <w:pgMar w:header="0" w:footer="1035" w:top="1360" w:bottom="1220" w:left="1600" w:right="1580"/>
        </w:sectPr>
      </w:pPr>
    </w:p>
    <w:p>
      <w:pPr>
        <w:pStyle w:val="BodyText"/>
        <w:spacing w:line="360" w:lineRule="auto" w:before="50"/>
        <w:ind w:left="102" w:right="116"/>
        <w:jc w:val="both"/>
      </w:pPr>
      <w:r>
        <w:rPr/>
        <w:t>En cuanto a las empresas productoras de autos se encuentra que, para tanto para el año</w:t>
      </w:r>
      <w:r>
        <w:rPr>
          <w:spacing w:val="-14"/>
        </w:rPr>
        <w:t> </w:t>
      </w:r>
      <w:r>
        <w:rPr/>
        <w:t>2012 como 2013, el líder mundial en producción de automóviles fue Toyota con una producción que</w:t>
      </w:r>
      <w:r>
        <w:rPr>
          <w:spacing w:val="-8"/>
        </w:rPr>
        <w:t> </w:t>
      </w:r>
      <w:r>
        <w:rPr/>
        <w:t>rebasó</w:t>
      </w:r>
      <w:r>
        <w:rPr>
          <w:spacing w:val="-7"/>
        </w:rPr>
        <w:t> </w:t>
      </w:r>
      <w:r>
        <w:rPr/>
        <w:t>los</w:t>
      </w:r>
      <w:r>
        <w:rPr>
          <w:spacing w:val="-7"/>
        </w:rPr>
        <w:t> </w:t>
      </w:r>
      <w:r>
        <w:rPr/>
        <w:t>10</w:t>
      </w:r>
      <w:r>
        <w:rPr>
          <w:spacing w:val="-7"/>
        </w:rPr>
        <w:t> </w:t>
      </w:r>
      <w:r>
        <w:rPr/>
        <w:t>millones</w:t>
      </w:r>
      <w:r>
        <w:rPr>
          <w:spacing w:val="-7"/>
        </w:rPr>
        <w:t> </w:t>
      </w:r>
      <w:r>
        <w:rPr/>
        <w:t>de</w:t>
      </w:r>
      <w:r>
        <w:rPr>
          <w:spacing w:val="-8"/>
        </w:rPr>
        <w:t> </w:t>
      </w:r>
      <w:r>
        <w:rPr/>
        <w:t>automóviles,</w:t>
      </w:r>
      <w:r>
        <w:rPr>
          <w:spacing w:val="-7"/>
        </w:rPr>
        <w:t> </w:t>
      </w:r>
      <w:r>
        <w:rPr/>
        <w:t>seguida</w:t>
      </w:r>
      <w:r>
        <w:rPr>
          <w:spacing w:val="-8"/>
        </w:rPr>
        <w:t> </w:t>
      </w:r>
      <w:r>
        <w:rPr/>
        <w:t>por</w:t>
      </w:r>
      <w:r>
        <w:rPr>
          <w:spacing w:val="-8"/>
        </w:rPr>
        <w:t> </w:t>
      </w:r>
      <w:r>
        <w:rPr/>
        <w:t>General</w:t>
      </w:r>
      <w:r>
        <w:rPr>
          <w:spacing w:val="-7"/>
        </w:rPr>
        <w:t> </w:t>
      </w:r>
      <w:r>
        <w:rPr/>
        <w:t>Motors</w:t>
      </w:r>
      <w:r>
        <w:rPr>
          <w:spacing w:val="-5"/>
        </w:rPr>
        <w:t> </w:t>
      </w:r>
      <w:r>
        <w:rPr/>
        <w:t>y</w:t>
      </w:r>
      <w:r>
        <w:rPr>
          <w:spacing w:val="-12"/>
        </w:rPr>
        <w:t> </w:t>
      </w:r>
      <w:r>
        <w:rPr/>
        <w:t>Volkswagen,</w:t>
      </w:r>
      <w:r>
        <w:rPr>
          <w:spacing w:val="-7"/>
        </w:rPr>
        <w:t> </w:t>
      </w:r>
      <w:r>
        <w:rPr/>
        <w:t>cuyo volumen de producción rebasan los 9 millones de autos respectivamente. Asimismo se observan</w:t>
      </w:r>
      <w:r>
        <w:rPr>
          <w:spacing w:val="-9"/>
        </w:rPr>
        <w:t> </w:t>
      </w:r>
      <w:r>
        <w:rPr/>
        <w:t>dos</w:t>
      </w:r>
      <w:r>
        <w:rPr>
          <w:spacing w:val="-6"/>
        </w:rPr>
        <w:t> </w:t>
      </w:r>
      <w:r>
        <w:rPr/>
        <w:t>cambios</w:t>
      </w:r>
      <w:r>
        <w:rPr>
          <w:spacing w:val="-8"/>
        </w:rPr>
        <w:t> </w:t>
      </w:r>
      <w:r>
        <w:rPr/>
        <w:t>importantes,</w:t>
      </w:r>
      <w:r>
        <w:rPr>
          <w:spacing w:val="-9"/>
        </w:rPr>
        <w:t> </w:t>
      </w:r>
      <w:r>
        <w:rPr/>
        <w:t>el</w:t>
      </w:r>
      <w:r>
        <w:rPr>
          <w:spacing w:val="-8"/>
        </w:rPr>
        <w:t> </w:t>
      </w:r>
      <w:r>
        <w:rPr/>
        <w:t>primero</w:t>
      </w:r>
      <w:r>
        <w:rPr>
          <w:spacing w:val="-8"/>
        </w:rPr>
        <w:t> </w:t>
      </w:r>
      <w:r>
        <w:rPr/>
        <w:t>es</w:t>
      </w:r>
      <w:r>
        <w:rPr>
          <w:spacing w:val="-6"/>
        </w:rPr>
        <w:t> </w:t>
      </w:r>
      <w:r>
        <w:rPr/>
        <w:t>la</w:t>
      </w:r>
      <w:r>
        <w:rPr>
          <w:spacing w:val="-9"/>
        </w:rPr>
        <w:t> </w:t>
      </w:r>
      <w:r>
        <w:rPr/>
        <w:t>salida</w:t>
      </w:r>
      <w:r>
        <w:rPr>
          <w:spacing w:val="-10"/>
        </w:rPr>
        <w:t> </w:t>
      </w:r>
      <w:r>
        <w:rPr/>
        <w:t>del</w:t>
      </w:r>
      <w:r>
        <w:rPr>
          <w:spacing w:val="-8"/>
        </w:rPr>
        <w:t> </w:t>
      </w:r>
      <w:r>
        <w:rPr/>
        <w:t>ranking</w:t>
      </w:r>
      <w:r>
        <w:rPr>
          <w:spacing w:val="-8"/>
        </w:rPr>
        <w:t> </w:t>
      </w:r>
      <w:r>
        <w:rPr/>
        <w:t>de</w:t>
      </w:r>
      <w:r>
        <w:rPr>
          <w:spacing w:val="-10"/>
        </w:rPr>
        <w:t> </w:t>
      </w:r>
      <w:r>
        <w:rPr/>
        <w:t>la</w:t>
      </w:r>
      <w:r>
        <w:rPr>
          <w:spacing w:val="-7"/>
        </w:rPr>
        <w:t> </w:t>
      </w:r>
      <w:r>
        <w:rPr/>
        <w:t>empresa</w:t>
      </w:r>
      <w:r>
        <w:rPr>
          <w:spacing w:val="-9"/>
        </w:rPr>
        <w:t> </w:t>
      </w:r>
      <w:r>
        <w:rPr/>
        <w:t>Renault, debido al gran avance que tuvo la firma Fiat, quien en 2012 ocupaba el puesto número trece y un año después ocupó el séptimo lugar. El segundo es que en ninguno de los años mencionados se observa la presencia de una de las tres grandes firmas norteamericanas, la empresa</w:t>
      </w:r>
      <w:r>
        <w:rPr>
          <w:spacing w:val="-14"/>
        </w:rPr>
        <w:t> </w:t>
      </w:r>
      <w:r>
        <w:rPr/>
        <w:t>Chrysler,</w:t>
      </w:r>
      <w:r>
        <w:rPr>
          <w:spacing w:val="-13"/>
        </w:rPr>
        <w:t> </w:t>
      </w:r>
      <w:r>
        <w:rPr/>
        <w:t>quien</w:t>
      </w:r>
      <w:r>
        <w:rPr>
          <w:spacing w:val="-11"/>
        </w:rPr>
        <w:t> </w:t>
      </w:r>
      <w:r>
        <w:rPr/>
        <w:t>ha</w:t>
      </w:r>
      <w:r>
        <w:rPr>
          <w:spacing w:val="-14"/>
        </w:rPr>
        <w:t> </w:t>
      </w:r>
      <w:r>
        <w:rPr/>
        <w:t>visto</w:t>
      </w:r>
      <w:r>
        <w:rPr>
          <w:spacing w:val="-13"/>
        </w:rPr>
        <w:t> </w:t>
      </w:r>
      <w:r>
        <w:rPr/>
        <w:t>de</w:t>
      </w:r>
      <w:r>
        <w:rPr>
          <w:spacing w:val="-14"/>
        </w:rPr>
        <w:t> </w:t>
      </w:r>
      <w:r>
        <w:rPr/>
        <w:t>manera</w:t>
      </w:r>
      <w:r>
        <w:rPr>
          <w:spacing w:val="-15"/>
        </w:rPr>
        <w:t> </w:t>
      </w:r>
      <w:r>
        <w:rPr/>
        <w:t>significativa</w:t>
      </w:r>
      <w:r>
        <w:rPr>
          <w:spacing w:val="-14"/>
        </w:rPr>
        <w:t> </w:t>
      </w:r>
      <w:r>
        <w:rPr/>
        <w:t>una</w:t>
      </w:r>
      <w:r>
        <w:rPr>
          <w:spacing w:val="-13"/>
        </w:rPr>
        <w:t> </w:t>
      </w:r>
      <w:r>
        <w:rPr/>
        <w:t>disminución</w:t>
      </w:r>
      <w:r>
        <w:rPr>
          <w:spacing w:val="-13"/>
        </w:rPr>
        <w:t> </w:t>
      </w:r>
      <w:r>
        <w:rPr/>
        <w:t>de</w:t>
      </w:r>
      <w:r>
        <w:rPr>
          <w:spacing w:val="-14"/>
        </w:rPr>
        <w:t> </w:t>
      </w:r>
      <w:r>
        <w:rPr/>
        <w:t>su</w:t>
      </w:r>
      <w:r>
        <w:rPr>
          <w:spacing w:val="-13"/>
        </w:rPr>
        <w:t> </w:t>
      </w:r>
      <w:r>
        <w:rPr/>
        <w:t>participación a nivel mundial (véase cuadro</w:t>
      </w:r>
      <w:r>
        <w:rPr>
          <w:spacing w:val="-5"/>
        </w:rPr>
        <w:t> </w:t>
      </w:r>
      <w:r>
        <w:rPr/>
        <w:t>2.3).</w:t>
      </w:r>
    </w:p>
    <w:p>
      <w:pPr>
        <w:pStyle w:val="BodyText"/>
        <w:spacing w:before="7"/>
        <w:rPr>
          <w:sz w:val="21"/>
        </w:rPr>
      </w:pPr>
    </w:p>
    <w:p>
      <w:pPr>
        <w:pStyle w:val="Heading1"/>
        <w:spacing w:line="360" w:lineRule="auto" w:after="5"/>
        <w:ind w:left="3460" w:right="355" w:hanging="3109"/>
      </w:pPr>
      <w:r>
        <w:rPr/>
        <w:t>Cuadro 2.3. Empresas líderes en producción de vehículos a nivel mundial en 2013 Número de unidades</w:t>
      </w:r>
    </w:p>
    <w:tbl>
      <w:tblPr>
        <w:tblW w:w="0" w:type="auto"/>
        <w:jc w:val="left"/>
        <w:tblInd w:w="15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24"/>
        <w:gridCol w:w="1208"/>
        <w:gridCol w:w="1723"/>
        <w:gridCol w:w="1208"/>
      </w:tblGrid>
      <w:tr>
        <w:trPr>
          <w:trHeight w:val="326" w:hRule="exact"/>
        </w:trPr>
        <w:tc>
          <w:tcPr>
            <w:tcW w:w="2931" w:type="dxa"/>
            <w:gridSpan w:val="2"/>
            <w:shd w:val="clear" w:color="auto" w:fill="A6A6A6"/>
          </w:tcPr>
          <w:p>
            <w:pPr>
              <w:pStyle w:val="TableParagraph"/>
              <w:spacing w:before="30"/>
              <w:ind w:left="1221" w:right="1219"/>
              <w:rPr>
                <w:b/>
                <w:sz w:val="22"/>
              </w:rPr>
            </w:pPr>
            <w:r>
              <w:rPr>
                <w:b/>
                <w:sz w:val="22"/>
              </w:rPr>
              <w:t>2012</w:t>
            </w:r>
          </w:p>
        </w:tc>
        <w:tc>
          <w:tcPr>
            <w:tcW w:w="2931" w:type="dxa"/>
            <w:gridSpan w:val="2"/>
            <w:shd w:val="clear" w:color="auto" w:fill="A6A6A6"/>
          </w:tcPr>
          <w:p>
            <w:pPr>
              <w:pStyle w:val="TableParagraph"/>
              <w:spacing w:before="30"/>
              <w:ind w:left="1221" w:right="1220"/>
              <w:rPr>
                <w:b/>
                <w:sz w:val="22"/>
              </w:rPr>
            </w:pPr>
            <w:r>
              <w:rPr>
                <w:b/>
                <w:sz w:val="22"/>
              </w:rPr>
              <w:t>2013</w:t>
            </w:r>
          </w:p>
        </w:tc>
      </w:tr>
      <w:tr>
        <w:trPr>
          <w:trHeight w:val="324" w:hRule="exact"/>
        </w:trPr>
        <w:tc>
          <w:tcPr>
            <w:tcW w:w="1724" w:type="dxa"/>
            <w:tcBorders>
              <w:bottom w:val="single" w:sz="4" w:space="0" w:color="000000"/>
            </w:tcBorders>
          </w:tcPr>
          <w:p>
            <w:pPr>
              <w:pStyle w:val="TableParagraph"/>
              <w:spacing w:before="25"/>
              <w:ind w:left="103"/>
              <w:jc w:val="left"/>
              <w:rPr>
                <w:sz w:val="22"/>
              </w:rPr>
            </w:pPr>
            <w:r>
              <w:rPr>
                <w:sz w:val="22"/>
              </w:rPr>
              <w:t>Toyota</w:t>
            </w:r>
          </w:p>
        </w:tc>
        <w:tc>
          <w:tcPr>
            <w:tcW w:w="1208" w:type="dxa"/>
            <w:tcBorders>
              <w:bottom w:val="single" w:sz="4" w:space="0" w:color="000000"/>
            </w:tcBorders>
          </w:tcPr>
          <w:p>
            <w:pPr>
              <w:pStyle w:val="TableParagraph"/>
              <w:spacing w:before="25"/>
              <w:ind w:left="84" w:right="83"/>
              <w:rPr>
                <w:sz w:val="22"/>
              </w:rPr>
            </w:pPr>
            <w:r>
              <w:rPr>
                <w:sz w:val="22"/>
              </w:rPr>
              <w:t>10,104,424</w:t>
            </w:r>
          </w:p>
        </w:tc>
        <w:tc>
          <w:tcPr>
            <w:tcW w:w="1723" w:type="dxa"/>
            <w:tcBorders>
              <w:bottom w:val="single" w:sz="4" w:space="0" w:color="000000"/>
            </w:tcBorders>
          </w:tcPr>
          <w:p>
            <w:pPr>
              <w:pStyle w:val="TableParagraph"/>
              <w:spacing w:before="25"/>
              <w:ind w:left="103"/>
              <w:jc w:val="left"/>
              <w:rPr>
                <w:sz w:val="22"/>
              </w:rPr>
            </w:pPr>
            <w:r>
              <w:rPr>
                <w:sz w:val="22"/>
              </w:rPr>
              <w:t>Toyota</w:t>
            </w:r>
          </w:p>
        </w:tc>
        <w:tc>
          <w:tcPr>
            <w:tcW w:w="1208" w:type="dxa"/>
            <w:tcBorders>
              <w:bottom w:val="single" w:sz="4" w:space="0" w:color="000000"/>
            </w:tcBorders>
          </w:tcPr>
          <w:p>
            <w:pPr>
              <w:pStyle w:val="TableParagraph"/>
              <w:spacing w:before="25"/>
              <w:ind w:right="99"/>
              <w:jc w:val="right"/>
              <w:rPr>
                <w:sz w:val="22"/>
              </w:rPr>
            </w:pPr>
            <w:r>
              <w:rPr>
                <w:sz w:val="22"/>
              </w:rPr>
              <w:t>10,324,995</w:t>
            </w:r>
          </w:p>
        </w:tc>
      </w:tr>
      <w:tr>
        <w:trPr>
          <w:trHeight w:val="324" w:hRule="exact"/>
        </w:trPr>
        <w:tc>
          <w:tcPr>
            <w:tcW w:w="1724" w:type="dxa"/>
            <w:tcBorders>
              <w:top w:val="single" w:sz="4" w:space="0" w:color="000000"/>
            </w:tcBorders>
          </w:tcPr>
          <w:p>
            <w:pPr>
              <w:pStyle w:val="TableParagraph"/>
              <w:spacing w:before="25"/>
              <w:ind w:left="103"/>
              <w:jc w:val="left"/>
              <w:rPr>
                <w:sz w:val="22"/>
              </w:rPr>
            </w:pPr>
            <w:r>
              <w:rPr>
                <w:sz w:val="22"/>
              </w:rPr>
              <w:t>Gm</w:t>
            </w:r>
          </w:p>
        </w:tc>
        <w:tc>
          <w:tcPr>
            <w:tcW w:w="1208" w:type="dxa"/>
            <w:tcBorders>
              <w:top w:val="single" w:sz="4" w:space="0" w:color="000000"/>
            </w:tcBorders>
          </w:tcPr>
          <w:p>
            <w:pPr>
              <w:pStyle w:val="TableParagraph"/>
              <w:spacing w:before="25"/>
              <w:ind w:left="84" w:right="83"/>
              <w:rPr>
                <w:sz w:val="22"/>
              </w:rPr>
            </w:pPr>
            <w:r>
              <w:rPr>
                <w:sz w:val="22"/>
              </w:rPr>
              <w:t>9,285,425</w:t>
            </w:r>
          </w:p>
        </w:tc>
        <w:tc>
          <w:tcPr>
            <w:tcW w:w="1723" w:type="dxa"/>
            <w:tcBorders>
              <w:top w:val="single" w:sz="4" w:space="0" w:color="000000"/>
            </w:tcBorders>
          </w:tcPr>
          <w:p>
            <w:pPr>
              <w:pStyle w:val="TableParagraph"/>
              <w:spacing w:before="25"/>
              <w:ind w:left="103"/>
              <w:jc w:val="left"/>
              <w:rPr>
                <w:sz w:val="22"/>
              </w:rPr>
            </w:pPr>
            <w:r>
              <w:rPr>
                <w:sz w:val="22"/>
              </w:rPr>
              <w:t>Gm</w:t>
            </w:r>
          </w:p>
        </w:tc>
        <w:tc>
          <w:tcPr>
            <w:tcW w:w="1208" w:type="dxa"/>
            <w:tcBorders>
              <w:top w:val="single" w:sz="4" w:space="0" w:color="000000"/>
            </w:tcBorders>
          </w:tcPr>
          <w:p>
            <w:pPr>
              <w:pStyle w:val="TableParagraph"/>
              <w:spacing w:before="25"/>
              <w:ind w:right="154"/>
              <w:jc w:val="right"/>
              <w:rPr>
                <w:sz w:val="22"/>
              </w:rPr>
            </w:pPr>
            <w:r>
              <w:rPr>
                <w:sz w:val="22"/>
              </w:rPr>
              <w:t>9,628,912</w:t>
            </w:r>
          </w:p>
        </w:tc>
      </w:tr>
      <w:tr>
        <w:trPr>
          <w:trHeight w:val="326" w:hRule="exact"/>
        </w:trPr>
        <w:tc>
          <w:tcPr>
            <w:tcW w:w="1724" w:type="dxa"/>
          </w:tcPr>
          <w:p>
            <w:pPr>
              <w:pStyle w:val="TableParagraph"/>
              <w:spacing w:before="27"/>
              <w:ind w:left="103"/>
              <w:jc w:val="left"/>
              <w:rPr>
                <w:sz w:val="22"/>
              </w:rPr>
            </w:pPr>
            <w:r>
              <w:rPr>
                <w:sz w:val="22"/>
              </w:rPr>
              <w:t>Volkswagen</w:t>
            </w:r>
          </w:p>
        </w:tc>
        <w:tc>
          <w:tcPr>
            <w:tcW w:w="1208" w:type="dxa"/>
          </w:tcPr>
          <w:p>
            <w:pPr>
              <w:pStyle w:val="TableParagraph"/>
              <w:spacing w:before="27"/>
              <w:ind w:left="84" w:right="83"/>
              <w:rPr>
                <w:sz w:val="22"/>
              </w:rPr>
            </w:pPr>
            <w:r>
              <w:rPr>
                <w:sz w:val="22"/>
              </w:rPr>
              <w:t>9,254,742</w:t>
            </w:r>
          </w:p>
        </w:tc>
        <w:tc>
          <w:tcPr>
            <w:tcW w:w="1723" w:type="dxa"/>
          </w:tcPr>
          <w:p>
            <w:pPr>
              <w:pStyle w:val="TableParagraph"/>
              <w:spacing w:before="27"/>
              <w:ind w:left="103"/>
              <w:jc w:val="left"/>
              <w:rPr>
                <w:sz w:val="22"/>
              </w:rPr>
            </w:pPr>
            <w:r>
              <w:rPr>
                <w:sz w:val="22"/>
              </w:rPr>
              <w:t>Volkswagen</w:t>
            </w:r>
          </w:p>
        </w:tc>
        <w:tc>
          <w:tcPr>
            <w:tcW w:w="1208" w:type="dxa"/>
          </w:tcPr>
          <w:p>
            <w:pPr>
              <w:pStyle w:val="TableParagraph"/>
              <w:spacing w:before="27"/>
              <w:ind w:right="154"/>
              <w:jc w:val="right"/>
              <w:rPr>
                <w:sz w:val="22"/>
              </w:rPr>
            </w:pPr>
            <w:r>
              <w:rPr>
                <w:sz w:val="22"/>
              </w:rPr>
              <w:t>9,379,229</w:t>
            </w:r>
          </w:p>
        </w:tc>
      </w:tr>
      <w:tr>
        <w:trPr>
          <w:trHeight w:val="324" w:hRule="exact"/>
        </w:trPr>
        <w:tc>
          <w:tcPr>
            <w:tcW w:w="1724" w:type="dxa"/>
          </w:tcPr>
          <w:p>
            <w:pPr>
              <w:pStyle w:val="TableParagraph"/>
              <w:spacing w:before="25"/>
              <w:ind w:left="103"/>
              <w:jc w:val="left"/>
              <w:rPr>
                <w:sz w:val="22"/>
              </w:rPr>
            </w:pPr>
            <w:r>
              <w:rPr>
                <w:sz w:val="22"/>
              </w:rPr>
              <w:t>Hyundai</w:t>
            </w:r>
          </w:p>
        </w:tc>
        <w:tc>
          <w:tcPr>
            <w:tcW w:w="1208" w:type="dxa"/>
          </w:tcPr>
          <w:p>
            <w:pPr>
              <w:pStyle w:val="TableParagraph"/>
              <w:spacing w:before="25"/>
              <w:ind w:left="84" w:right="83"/>
              <w:rPr>
                <w:sz w:val="22"/>
              </w:rPr>
            </w:pPr>
            <w:r>
              <w:rPr>
                <w:sz w:val="22"/>
              </w:rPr>
              <w:t>7,126,413</w:t>
            </w:r>
          </w:p>
        </w:tc>
        <w:tc>
          <w:tcPr>
            <w:tcW w:w="1723" w:type="dxa"/>
          </w:tcPr>
          <w:p>
            <w:pPr>
              <w:pStyle w:val="TableParagraph"/>
              <w:spacing w:before="25"/>
              <w:ind w:left="103"/>
              <w:jc w:val="left"/>
              <w:rPr>
                <w:sz w:val="22"/>
              </w:rPr>
            </w:pPr>
            <w:r>
              <w:rPr>
                <w:sz w:val="22"/>
              </w:rPr>
              <w:t>Hyundai</w:t>
            </w:r>
          </w:p>
        </w:tc>
        <w:tc>
          <w:tcPr>
            <w:tcW w:w="1208" w:type="dxa"/>
          </w:tcPr>
          <w:p>
            <w:pPr>
              <w:pStyle w:val="TableParagraph"/>
              <w:spacing w:before="25"/>
              <w:ind w:right="154"/>
              <w:jc w:val="right"/>
              <w:rPr>
                <w:sz w:val="22"/>
              </w:rPr>
            </w:pPr>
            <w:r>
              <w:rPr>
                <w:sz w:val="22"/>
              </w:rPr>
              <w:t>7,233,080</w:t>
            </w:r>
          </w:p>
        </w:tc>
      </w:tr>
      <w:tr>
        <w:trPr>
          <w:trHeight w:val="326" w:hRule="exact"/>
        </w:trPr>
        <w:tc>
          <w:tcPr>
            <w:tcW w:w="1724" w:type="dxa"/>
          </w:tcPr>
          <w:p>
            <w:pPr>
              <w:pStyle w:val="TableParagraph"/>
              <w:spacing w:before="25"/>
              <w:ind w:left="103"/>
              <w:jc w:val="left"/>
              <w:rPr>
                <w:sz w:val="22"/>
              </w:rPr>
            </w:pPr>
            <w:r>
              <w:rPr>
                <w:sz w:val="22"/>
              </w:rPr>
              <w:t>Ford</w:t>
            </w:r>
          </w:p>
        </w:tc>
        <w:tc>
          <w:tcPr>
            <w:tcW w:w="1208" w:type="dxa"/>
          </w:tcPr>
          <w:p>
            <w:pPr>
              <w:pStyle w:val="TableParagraph"/>
              <w:spacing w:before="25"/>
              <w:ind w:left="84" w:right="83"/>
              <w:rPr>
                <w:sz w:val="22"/>
              </w:rPr>
            </w:pPr>
            <w:r>
              <w:rPr>
                <w:sz w:val="22"/>
              </w:rPr>
              <w:t>5,595,483</w:t>
            </w:r>
          </w:p>
        </w:tc>
        <w:tc>
          <w:tcPr>
            <w:tcW w:w="1723" w:type="dxa"/>
          </w:tcPr>
          <w:p>
            <w:pPr>
              <w:pStyle w:val="TableParagraph"/>
              <w:spacing w:before="25"/>
              <w:ind w:left="103"/>
              <w:jc w:val="left"/>
              <w:rPr>
                <w:sz w:val="22"/>
              </w:rPr>
            </w:pPr>
            <w:r>
              <w:rPr>
                <w:sz w:val="22"/>
              </w:rPr>
              <w:t>Ford</w:t>
            </w:r>
          </w:p>
        </w:tc>
        <w:tc>
          <w:tcPr>
            <w:tcW w:w="1208" w:type="dxa"/>
          </w:tcPr>
          <w:p>
            <w:pPr>
              <w:pStyle w:val="TableParagraph"/>
              <w:spacing w:before="25"/>
              <w:ind w:right="154"/>
              <w:jc w:val="right"/>
              <w:rPr>
                <w:sz w:val="22"/>
              </w:rPr>
            </w:pPr>
            <w:r>
              <w:rPr>
                <w:sz w:val="22"/>
              </w:rPr>
              <w:t>6,007,126</w:t>
            </w:r>
          </w:p>
        </w:tc>
      </w:tr>
      <w:tr>
        <w:trPr>
          <w:trHeight w:val="324" w:hRule="exact"/>
        </w:trPr>
        <w:tc>
          <w:tcPr>
            <w:tcW w:w="1724" w:type="dxa"/>
          </w:tcPr>
          <w:p>
            <w:pPr>
              <w:pStyle w:val="TableParagraph"/>
              <w:spacing w:before="25"/>
              <w:ind w:left="103"/>
              <w:jc w:val="left"/>
              <w:rPr>
                <w:sz w:val="22"/>
              </w:rPr>
            </w:pPr>
            <w:r>
              <w:rPr>
                <w:sz w:val="22"/>
              </w:rPr>
              <w:t>Nissan</w:t>
            </w:r>
          </w:p>
        </w:tc>
        <w:tc>
          <w:tcPr>
            <w:tcW w:w="1208" w:type="dxa"/>
          </w:tcPr>
          <w:p>
            <w:pPr>
              <w:pStyle w:val="TableParagraph"/>
              <w:spacing w:before="25"/>
              <w:ind w:left="84" w:right="83"/>
              <w:rPr>
                <w:sz w:val="22"/>
              </w:rPr>
            </w:pPr>
            <w:r>
              <w:rPr>
                <w:sz w:val="22"/>
              </w:rPr>
              <w:t>4,889,379</w:t>
            </w:r>
          </w:p>
        </w:tc>
        <w:tc>
          <w:tcPr>
            <w:tcW w:w="1723" w:type="dxa"/>
          </w:tcPr>
          <w:p>
            <w:pPr>
              <w:pStyle w:val="TableParagraph"/>
              <w:spacing w:before="25"/>
              <w:ind w:left="103"/>
              <w:jc w:val="left"/>
              <w:rPr>
                <w:sz w:val="22"/>
              </w:rPr>
            </w:pPr>
            <w:r>
              <w:rPr>
                <w:sz w:val="22"/>
              </w:rPr>
              <w:t>Nissan</w:t>
            </w:r>
          </w:p>
        </w:tc>
        <w:tc>
          <w:tcPr>
            <w:tcW w:w="1208" w:type="dxa"/>
          </w:tcPr>
          <w:p>
            <w:pPr>
              <w:pStyle w:val="TableParagraph"/>
              <w:spacing w:before="25"/>
              <w:ind w:right="154"/>
              <w:jc w:val="right"/>
              <w:rPr>
                <w:sz w:val="22"/>
              </w:rPr>
            </w:pPr>
            <w:r>
              <w:rPr>
                <w:sz w:val="22"/>
              </w:rPr>
              <w:t>4,950,924</w:t>
            </w:r>
          </w:p>
        </w:tc>
      </w:tr>
      <w:tr>
        <w:trPr>
          <w:trHeight w:val="326" w:hRule="exact"/>
        </w:trPr>
        <w:tc>
          <w:tcPr>
            <w:tcW w:w="1724" w:type="dxa"/>
          </w:tcPr>
          <w:p>
            <w:pPr>
              <w:pStyle w:val="TableParagraph"/>
              <w:spacing w:before="25"/>
              <w:ind w:left="103"/>
              <w:jc w:val="left"/>
              <w:rPr>
                <w:sz w:val="22"/>
              </w:rPr>
            </w:pPr>
            <w:r>
              <w:rPr>
                <w:sz w:val="22"/>
              </w:rPr>
              <w:t>Honda</w:t>
            </w:r>
          </w:p>
        </w:tc>
        <w:tc>
          <w:tcPr>
            <w:tcW w:w="1208" w:type="dxa"/>
          </w:tcPr>
          <w:p>
            <w:pPr>
              <w:pStyle w:val="TableParagraph"/>
              <w:spacing w:before="25"/>
              <w:ind w:left="84" w:right="83"/>
              <w:rPr>
                <w:sz w:val="22"/>
              </w:rPr>
            </w:pPr>
            <w:r>
              <w:rPr>
                <w:sz w:val="22"/>
              </w:rPr>
              <w:t>4,110,857</w:t>
            </w:r>
          </w:p>
        </w:tc>
        <w:tc>
          <w:tcPr>
            <w:tcW w:w="1723" w:type="dxa"/>
          </w:tcPr>
          <w:p>
            <w:pPr>
              <w:pStyle w:val="TableParagraph"/>
              <w:spacing w:before="25"/>
              <w:ind w:left="103"/>
              <w:jc w:val="left"/>
              <w:rPr>
                <w:sz w:val="22"/>
              </w:rPr>
            </w:pPr>
            <w:r>
              <w:rPr>
                <w:sz w:val="22"/>
              </w:rPr>
              <w:t>Fiat</w:t>
            </w:r>
          </w:p>
        </w:tc>
        <w:tc>
          <w:tcPr>
            <w:tcW w:w="1208" w:type="dxa"/>
          </w:tcPr>
          <w:p>
            <w:pPr>
              <w:pStyle w:val="TableParagraph"/>
              <w:spacing w:before="25"/>
              <w:ind w:right="154"/>
              <w:jc w:val="right"/>
              <w:rPr>
                <w:sz w:val="22"/>
              </w:rPr>
            </w:pPr>
            <w:r>
              <w:rPr>
                <w:sz w:val="22"/>
              </w:rPr>
              <w:t>4,681,704</w:t>
            </w:r>
          </w:p>
        </w:tc>
      </w:tr>
      <w:tr>
        <w:trPr>
          <w:trHeight w:val="324" w:hRule="exact"/>
        </w:trPr>
        <w:tc>
          <w:tcPr>
            <w:tcW w:w="1724" w:type="dxa"/>
          </w:tcPr>
          <w:p>
            <w:pPr>
              <w:pStyle w:val="TableParagraph"/>
              <w:spacing w:before="25"/>
              <w:ind w:left="103"/>
              <w:jc w:val="left"/>
              <w:rPr>
                <w:sz w:val="22"/>
              </w:rPr>
            </w:pPr>
            <w:r>
              <w:rPr>
                <w:sz w:val="22"/>
              </w:rPr>
              <w:t>Psa</w:t>
            </w:r>
          </w:p>
        </w:tc>
        <w:tc>
          <w:tcPr>
            <w:tcW w:w="1208" w:type="dxa"/>
          </w:tcPr>
          <w:p>
            <w:pPr>
              <w:pStyle w:val="TableParagraph"/>
              <w:spacing w:before="25"/>
              <w:ind w:left="84" w:right="83"/>
              <w:rPr>
                <w:sz w:val="22"/>
              </w:rPr>
            </w:pPr>
            <w:r>
              <w:rPr>
                <w:sz w:val="22"/>
              </w:rPr>
              <w:t>2,911,764</w:t>
            </w:r>
          </w:p>
        </w:tc>
        <w:tc>
          <w:tcPr>
            <w:tcW w:w="1723" w:type="dxa"/>
          </w:tcPr>
          <w:p>
            <w:pPr>
              <w:pStyle w:val="TableParagraph"/>
              <w:spacing w:before="25"/>
              <w:ind w:left="103"/>
              <w:jc w:val="left"/>
              <w:rPr>
                <w:sz w:val="22"/>
              </w:rPr>
            </w:pPr>
            <w:r>
              <w:rPr>
                <w:sz w:val="22"/>
              </w:rPr>
              <w:t>Honda</w:t>
            </w:r>
          </w:p>
        </w:tc>
        <w:tc>
          <w:tcPr>
            <w:tcW w:w="1208" w:type="dxa"/>
          </w:tcPr>
          <w:p>
            <w:pPr>
              <w:pStyle w:val="TableParagraph"/>
              <w:spacing w:before="25"/>
              <w:ind w:right="154"/>
              <w:jc w:val="right"/>
              <w:rPr>
                <w:sz w:val="22"/>
              </w:rPr>
            </w:pPr>
            <w:r>
              <w:rPr>
                <w:sz w:val="22"/>
              </w:rPr>
              <w:t>4,298,390</w:t>
            </w:r>
          </w:p>
        </w:tc>
      </w:tr>
      <w:tr>
        <w:trPr>
          <w:trHeight w:val="324" w:hRule="exact"/>
        </w:trPr>
        <w:tc>
          <w:tcPr>
            <w:tcW w:w="1724" w:type="dxa"/>
          </w:tcPr>
          <w:p>
            <w:pPr>
              <w:pStyle w:val="TableParagraph"/>
              <w:spacing w:before="25"/>
              <w:ind w:left="103"/>
              <w:jc w:val="left"/>
              <w:rPr>
                <w:sz w:val="22"/>
              </w:rPr>
            </w:pPr>
            <w:r>
              <w:rPr>
                <w:sz w:val="22"/>
              </w:rPr>
              <w:t>Suzuki</w:t>
            </w:r>
          </w:p>
        </w:tc>
        <w:tc>
          <w:tcPr>
            <w:tcW w:w="1208" w:type="dxa"/>
          </w:tcPr>
          <w:p>
            <w:pPr>
              <w:pStyle w:val="TableParagraph"/>
              <w:spacing w:before="25"/>
              <w:ind w:left="84" w:right="83"/>
              <w:rPr>
                <w:sz w:val="22"/>
              </w:rPr>
            </w:pPr>
            <w:r>
              <w:rPr>
                <w:sz w:val="22"/>
              </w:rPr>
              <w:t>2,893,602</w:t>
            </w:r>
          </w:p>
        </w:tc>
        <w:tc>
          <w:tcPr>
            <w:tcW w:w="1723" w:type="dxa"/>
          </w:tcPr>
          <w:p>
            <w:pPr>
              <w:pStyle w:val="TableParagraph"/>
              <w:spacing w:before="25"/>
              <w:ind w:left="103"/>
              <w:jc w:val="left"/>
              <w:rPr>
                <w:sz w:val="22"/>
              </w:rPr>
            </w:pPr>
            <w:r>
              <w:rPr>
                <w:sz w:val="22"/>
              </w:rPr>
              <w:t>Suzuki</w:t>
            </w:r>
          </w:p>
        </w:tc>
        <w:tc>
          <w:tcPr>
            <w:tcW w:w="1208" w:type="dxa"/>
          </w:tcPr>
          <w:p>
            <w:pPr>
              <w:pStyle w:val="TableParagraph"/>
              <w:spacing w:before="25"/>
              <w:ind w:right="154"/>
              <w:jc w:val="right"/>
              <w:rPr>
                <w:sz w:val="22"/>
              </w:rPr>
            </w:pPr>
            <w:r>
              <w:rPr>
                <w:sz w:val="22"/>
              </w:rPr>
              <w:t>2,842,133</w:t>
            </w:r>
          </w:p>
        </w:tc>
      </w:tr>
      <w:tr>
        <w:trPr>
          <w:trHeight w:val="326" w:hRule="exact"/>
        </w:trPr>
        <w:tc>
          <w:tcPr>
            <w:tcW w:w="1724" w:type="dxa"/>
          </w:tcPr>
          <w:p>
            <w:pPr>
              <w:pStyle w:val="TableParagraph"/>
              <w:spacing w:before="25"/>
              <w:ind w:left="103"/>
              <w:jc w:val="left"/>
              <w:rPr>
                <w:sz w:val="22"/>
              </w:rPr>
            </w:pPr>
            <w:r>
              <w:rPr>
                <w:sz w:val="22"/>
              </w:rPr>
              <w:t>Renault</w:t>
            </w:r>
          </w:p>
        </w:tc>
        <w:tc>
          <w:tcPr>
            <w:tcW w:w="1208" w:type="dxa"/>
          </w:tcPr>
          <w:p>
            <w:pPr>
              <w:pStyle w:val="TableParagraph"/>
              <w:spacing w:before="25"/>
              <w:ind w:left="84" w:right="83"/>
              <w:rPr>
                <w:sz w:val="22"/>
              </w:rPr>
            </w:pPr>
            <w:r>
              <w:rPr>
                <w:sz w:val="22"/>
              </w:rPr>
              <w:t>2,676,226</w:t>
            </w:r>
          </w:p>
        </w:tc>
        <w:tc>
          <w:tcPr>
            <w:tcW w:w="1723" w:type="dxa"/>
          </w:tcPr>
          <w:p>
            <w:pPr>
              <w:pStyle w:val="TableParagraph"/>
              <w:spacing w:before="25"/>
              <w:ind w:left="103"/>
              <w:jc w:val="left"/>
              <w:rPr>
                <w:sz w:val="22"/>
              </w:rPr>
            </w:pPr>
            <w:r>
              <w:rPr>
                <w:sz w:val="22"/>
              </w:rPr>
              <w:t>Psa</w:t>
            </w:r>
          </w:p>
        </w:tc>
        <w:tc>
          <w:tcPr>
            <w:tcW w:w="1208" w:type="dxa"/>
          </w:tcPr>
          <w:p>
            <w:pPr>
              <w:pStyle w:val="TableParagraph"/>
              <w:spacing w:before="25"/>
              <w:ind w:right="154"/>
              <w:jc w:val="right"/>
              <w:rPr>
                <w:sz w:val="22"/>
              </w:rPr>
            </w:pPr>
            <w:r>
              <w:rPr>
                <w:sz w:val="22"/>
              </w:rPr>
              <w:t>2,833,781</w:t>
            </w:r>
          </w:p>
        </w:tc>
      </w:tr>
    </w:tbl>
    <w:p>
      <w:pPr>
        <w:spacing w:line="203" w:lineRule="exact" w:before="0"/>
        <w:ind w:left="2625" w:right="119" w:firstLine="0"/>
        <w:jc w:val="left"/>
        <w:rPr>
          <w:sz w:val="18"/>
        </w:rPr>
      </w:pPr>
      <w:r>
        <w:rPr>
          <w:sz w:val="18"/>
        </w:rPr>
        <w:t>Fuente: Elaboración propia con datos de OICA (2012 y 2013).</w:t>
      </w:r>
    </w:p>
    <w:p>
      <w:pPr>
        <w:pStyle w:val="BodyText"/>
        <w:rPr>
          <w:sz w:val="18"/>
        </w:rPr>
      </w:pPr>
    </w:p>
    <w:p>
      <w:pPr>
        <w:pStyle w:val="BodyText"/>
        <w:spacing w:line="360" w:lineRule="auto" w:before="135"/>
        <w:ind w:left="102" w:right="119"/>
        <w:jc w:val="both"/>
      </w:pPr>
      <w:r>
        <w:rPr/>
        <w:t>Lo anterior permite concluir que las empresas asiáticas son las que actualmente lideran la producción de vehículos en el mundo, en detrimento de las grandes empresas norteamericanas, esto puede ser explicado por dos factores, el primero es la crisis financiera de 2008 que sacudió principalmente a la industria automotriz estadounidense y el segundo los sistemas productivos de Toyota que han transformado al mundo.</w:t>
      </w:r>
    </w:p>
    <w:p>
      <w:pPr>
        <w:pStyle w:val="BodyText"/>
        <w:spacing w:before="5"/>
        <w:rPr>
          <w:sz w:val="21"/>
        </w:rPr>
      </w:pPr>
    </w:p>
    <w:p>
      <w:pPr>
        <w:pStyle w:val="BodyText"/>
        <w:spacing w:line="360" w:lineRule="auto"/>
        <w:ind w:left="102" w:right="117"/>
        <w:jc w:val="both"/>
      </w:pPr>
      <w:r>
        <w:rPr/>
        <w:t>Por otro lado, en cuanto a las ventas de vehículos, se observa un comportamiento similar al de la producción, pues durante los últimos años la región Asia- Oceanía ha sido la de mayor</w:t>
      </w:r>
    </w:p>
    <w:p>
      <w:pPr>
        <w:spacing w:after="0" w:line="360" w:lineRule="auto"/>
        <w:jc w:val="both"/>
        <w:sectPr>
          <w:pgSz w:w="12240" w:h="15840"/>
          <w:pgMar w:header="0" w:footer="1035" w:top="1360" w:bottom="1220" w:left="1600" w:right="1580"/>
        </w:sectPr>
      </w:pPr>
    </w:p>
    <w:p>
      <w:pPr>
        <w:pStyle w:val="BodyText"/>
        <w:spacing w:line="360" w:lineRule="auto" w:before="50"/>
        <w:ind w:left="102" w:right="121"/>
        <w:jc w:val="both"/>
      </w:pPr>
      <w:r>
        <w:rPr/>
        <w:t>volumen de ventas en vehículos, en la gráfica 2.2 se observa claramente dicho comportamiento.</w:t>
      </w:r>
    </w:p>
    <w:p>
      <w:pPr>
        <w:pStyle w:val="BodyText"/>
        <w:spacing w:before="7"/>
        <w:rPr>
          <w:sz w:val="21"/>
        </w:rPr>
      </w:pPr>
    </w:p>
    <w:p>
      <w:pPr>
        <w:pStyle w:val="Heading1"/>
        <w:spacing w:line="360" w:lineRule="auto"/>
        <w:ind w:right="398"/>
        <w:jc w:val="center"/>
      </w:pPr>
      <w:r>
        <w:rPr/>
        <w:t>Gráfica 2.2. Total de ventas mundiales de vehículos por región, 2005-2014 Número de unidades</w:t>
      </w:r>
    </w:p>
    <w:p>
      <w:pPr>
        <w:pStyle w:val="BodyText"/>
        <w:ind w:left="538"/>
        <w:rPr>
          <w:sz w:val="20"/>
        </w:rPr>
      </w:pPr>
      <w:r>
        <w:rPr>
          <w:sz w:val="20"/>
        </w:rPr>
        <w:pict>
          <v:group style="width:397.6pt;height:170.8pt;mso-position-horizontal-relative:char;mso-position-vertical-relative:line" coordorigin="0,0" coordsize="7952,3416">
            <v:shape style="position:absolute;left:1099;top:228;width:6624;height:2306" type="#_x0000_t75" stroked="false">
              <v:imagedata r:id="rId10" o:title=""/>
            </v:shape>
            <v:line style="position:absolute" from="7493,2280" to="7723,2280" stroked="true" strokeweight=".72pt" strokecolor="#d9d9d9"/>
            <v:line style="position:absolute" from="7375,2280" to="7411,2280" stroked="true" strokeweight=".72pt" strokecolor="#d9d9d9"/>
            <v:line style="position:absolute" from="7255,2280" to="7291,2280" stroked="true" strokeweight=".72pt" strokecolor="#d9d9d9"/>
            <v:line style="position:absolute" from="6831,2280" to="7172,2280" stroked="true" strokeweight=".72pt" strokecolor="#d9d9d9"/>
            <v:line style="position:absolute" from="6713,2280" to="6749,2280" stroked="true" strokeweight=".72pt" strokecolor="#d9d9d9"/>
            <v:line style="position:absolute" from="6593,2280" to="6629,2280" stroked="true" strokeweight=".72pt" strokecolor="#d9d9d9"/>
            <v:line style="position:absolute" from="6168,2280" to="6509,2280" stroked="true" strokeweight=".72pt" strokecolor="#d9d9d9"/>
            <v:line style="position:absolute" from="6051,2280" to="6087,2280" stroked="true" strokeweight=".72pt" strokecolor="#d9d9d9"/>
            <v:line style="position:absolute" from="5931,2280" to="5967,2280" stroked="true" strokeweight=".72pt" strokecolor="#d9d9d9"/>
            <v:line style="position:absolute" from="5506,2280" to="5847,2280" stroked="true" strokeweight=".72pt" strokecolor="#d9d9d9"/>
            <v:line style="position:absolute" from="5388,2280" to="5424,2280" stroked="true" strokeweight=".72pt" strokecolor="#d9d9d9"/>
            <v:line style="position:absolute" from="5268,2280" to="5304,2280" stroked="true" strokeweight=".72pt" strokecolor="#d9d9d9"/>
            <v:line style="position:absolute" from="4844,2280" to="5184,2280" stroked="true" strokeweight=".72pt" strokecolor="#d9d9d9"/>
            <v:line style="position:absolute" from="4726,2280" to="4762,2280" stroked="true" strokeweight=".72pt" strokecolor="#d9d9d9"/>
            <v:line style="position:absolute" from="4606,2280" to="4642,2280" stroked="true" strokeweight=".72pt" strokecolor="#d9d9d9"/>
            <v:line style="position:absolute" from="4181,2280" to="4522,2280" stroked="true" strokeweight=".72pt" strokecolor="#d9d9d9"/>
            <v:line style="position:absolute" from="4064,2280" to="4100,2280" stroked="true" strokeweight=".72pt" strokecolor="#d9d9d9"/>
            <v:line style="position:absolute" from="3944,2280" to="3980,2280" stroked="true" strokeweight=".72pt" strokecolor="#d9d9d9"/>
            <v:line style="position:absolute" from="3519,2280" to="3859,2280" stroked="true" strokeweight=".72pt" strokecolor="#d9d9d9"/>
            <v:line style="position:absolute" from="3401,2280" to="3437,2280" stroked="true" strokeweight=".72pt" strokecolor="#d9d9d9"/>
            <v:line style="position:absolute" from="3281,2280" to="3317,2280" stroked="true" strokeweight=".72pt" strokecolor="#d9d9d9"/>
            <v:line style="position:absolute" from="2856,2280" to="3197,2280" stroked="true" strokeweight=".72pt" strokecolor="#d9d9d9"/>
            <v:line style="position:absolute" from="2739,2280" to="2775,2280" stroked="true" strokeweight=".72pt" strokecolor="#d9d9d9"/>
            <v:line style="position:absolute" from="2619,2280" to="2655,2280" stroked="true" strokeweight=".72pt" strokecolor="#d9d9d9"/>
            <v:line style="position:absolute" from="2194,2280" to="2535,2280" stroked="true" strokeweight=".72pt" strokecolor="#d9d9d9"/>
            <v:line style="position:absolute" from="2076,2280" to="2112,2280" stroked="true" strokeweight=".72pt" strokecolor="#d9d9d9"/>
            <v:line style="position:absolute" from="1956,2280" to="1992,2280" stroked="true" strokeweight=".72pt" strokecolor="#d9d9d9"/>
            <v:line style="position:absolute" from="1531,2280" to="1872,2280" stroked="true" strokeweight=".72pt" strokecolor="#d9d9d9"/>
            <v:line style="position:absolute" from="1414,2280" to="1450,2280" stroked="true" strokeweight=".72pt" strokecolor="#d9d9d9"/>
            <v:line style="position:absolute" from="1294,2280" to="1330,2280" stroked="true" strokeweight=".72pt" strokecolor="#d9d9d9"/>
            <v:line style="position:absolute" from="1099,2280" to="1212,2280" stroked="true" strokeweight=".72pt" strokecolor="#d9d9d9"/>
            <v:line style="position:absolute" from="7493,2024" to="7723,2024" stroked="true" strokeweight=".72pt" strokecolor="#d9d9d9"/>
            <v:line style="position:absolute" from="7375,2024" to="7411,2024" stroked="true" strokeweight=".72pt" strokecolor="#d9d9d9"/>
            <v:line style="position:absolute" from="7255,2024" to="7291,2024" stroked="true" strokeweight=".72pt" strokecolor="#d9d9d9"/>
            <v:line style="position:absolute" from="6831,2024" to="7172,2024" stroked="true" strokeweight=".72pt" strokecolor="#d9d9d9"/>
            <v:line style="position:absolute" from="6713,2024" to="6749,2024" stroked="true" strokeweight=".72pt" strokecolor="#d9d9d9"/>
            <v:line style="position:absolute" from="6593,2024" to="6629,2024" stroked="true" strokeweight=".72pt" strokecolor="#d9d9d9"/>
            <v:line style="position:absolute" from="6168,2024" to="6509,2024" stroked="true" strokeweight=".72pt" strokecolor="#d9d9d9"/>
            <v:line style="position:absolute" from="6051,2024" to="6087,2024" stroked="true" strokeweight=".72pt" strokecolor="#d9d9d9"/>
            <v:line style="position:absolute" from="5931,2024" to="5967,2024" stroked="true" strokeweight=".72pt" strokecolor="#d9d9d9"/>
            <v:line style="position:absolute" from="5506,2024" to="5847,2024" stroked="true" strokeweight=".72pt" strokecolor="#d9d9d9"/>
            <v:line style="position:absolute" from="5388,2024" to="5424,2024" stroked="true" strokeweight=".72pt" strokecolor="#d9d9d9"/>
            <v:line style="position:absolute" from="5268,2024" to="5304,2024" stroked="true" strokeweight=".72pt" strokecolor="#d9d9d9"/>
            <v:line style="position:absolute" from="4844,2024" to="5184,2024" stroked="true" strokeweight=".72pt" strokecolor="#d9d9d9"/>
            <v:line style="position:absolute" from="4726,2024" to="4762,2024" stroked="true" strokeweight=".72pt" strokecolor="#d9d9d9"/>
            <v:line style="position:absolute" from="4606,2024" to="4642,2024" stroked="true" strokeweight=".72pt" strokecolor="#d9d9d9"/>
            <v:line style="position:absolute" from="4181,2024" to="4522,2024" stroked="true" strokeweight=".72pt" strokecolor="#d9d9d9"/>
            <v:line style="position:absolute" from="4064,2024" to="4100,2024" stroked="true" strokeweight=".72pt" strokecolor="#d9d9d9"/>
            <v:line style="position:absolute" from="3944,2024" to="3980,2024" stroked="true" strokeweight=".72pt" strokecolor="#d9d9d9"/>
            <v:line style="position:absolute" from="3519,2024" to="3859,2024" stroked="true" strokeweight=".72pt" strokecolor="#d9d9d9"/>
            <v:line style="position:absolute" from="3401,2024" to="3437,2024" stroked="true" strokeweight=".72pt" strokecolor="#d9d9d9"/>
            <v:line style="position:absolute" from="3281,2024" to="3317,2024" stroked="true" strokeweight=".72pt" strokecolor="#d9d9d9"/>
            <v:line style="position:absolute" from="2856,2024" to="3197,2024" stroked="true" strokeweight=".72pt" strokecolor="#d9d9d9"/>
            <v:line style="position:absolute" from="2739,2024" to="2775,2024" stroked="true" strokeweight=".72pt" strokecolor="#d9d9d9"/>
            <v:line style="position:absolute" from="2619,2024" to="2655,2024" stroked="true" strokeweight=".72pt" strokecolor="#d9d9d9"/>
            <v:line style="position:absolute" from="2194,2024" to="2535,2024" stroked="true" strokeweight=".72pt" strokecolor="#d9d9d9"/>
            <v:line style="position:absolute" from="2076,2024" to="2112,2024" stroked="true" strokeweight=".72pt" strokecolor="#d9d9d9"/>
            <v:line style="position:absolute" from="1956,2024" to="1992,2024" stroked="true" strokeweight=".72pt" strokecolor="#d9d9d9"/>
            <v:line style="position:absolute" from="1531,2024" to="1872,2024" stroked="true" strokeweight=".72pt" strokecolor="#d9d9d9"/>
            <v:line style="position:absolute" from="1414,2024" to="1450,2024" stroked="true" strokeweight=".72pt" strokecolor="#d9d9d9"/>
            <v:line style="position:absolute" from="1294,2024" to="1330,2024" stroked="true" strokeweight=".72pt" strokecolor="#d9d9d9"/>
            <v:line style="position:absolute" from="1099,2024" to="1212,2024" stroked="true" strokeweight=".72pt" strokecolor="#d9d9d9"/>
            <v:line style="position:absolute" from="7493,1767" to="7723,1767" stroked="true" strokeweight=".72pt" strokecolor="#d9d9d9"/>
            <v:line style="position:absolute" from="7375,1767" to="7411,1767" stroked="true" strokeweight=".72pt" strokecolor="#d9d9d9"/>
            <v:line style="position:absolute" from="7255,1767" to="7291,1767" stroked="true" strokeweight=".72pt" strokecolor="#d9d9d9"/>
            <v:line style="position:absolute" from="6831,1767" to="7172,1767" stroked="true" strokeweight=".72pt" strokecolor="#d9d9d9"/>
            <v:line style="position:absolute" from="6713,1767" to="6749,1767" stroked="true" strokeweight=".72pt" strokecolor="#d9d9d9"/>
            <v:line style="position:absolute" from="6593,1767" to="6629,1767" stroked="true" strokeweight=".72pt" strokecolor="#d9d9d9"/>
            <v:line style="position:absolute" from="6168,1767" to="6509,1767" stroked="true" strokeweight=".72pt" strokecolor="#d9d9d9"/>
            <v:line style="position:absolute" from="6051,1767" to="6087,1767" stroked="true" strokeweight=".72pt" strokecolor="#d9d9d9"/>
            <v:line style="position:absolute" from="5931,1767" to="5967,1767" stroked="true" strokeweight=".72pt" strokecolor="#d9d9d9"/>
            <v:line style="position:absolute" from="5506,1767" to="5847,1767" stroked="true" strokeweight=".72pt" strokecolor="#d9d9d9"/>
            <v:line style="position:absolute" from="5388,1767" to="5424,1767" stroked="true" strokeweight=".72pt" strokecolor="#d9d9d9"/>
            <v:line style="position:absolute" from="5268,1767" to="5304,1767" stroked="true" strokeweight=".72pt" strokecolor="#d9d9d9"/>
            <v:line style="position:absolute" from="4844,1767" to="5184,1767" stroked="true" strokeweight=".72pt" strokecolor="#d9d9d9"/>
            <v:line style="position:absolute" from="4726,1767" to="4762,1767" stroked="true" strokeweight=".72pt" strokecolor="#d9d9d9"/>
            <v:line style="position:absolute" from="4606,1767" to="4642,1767" stroked="true" strokeweight=".72pt" strokecolor="#d9d9d9"/>
            <v:line style="position:absolute" from="4181,1767" to="4522,1767" stroked="true" strokeweight=".72pt" strokecolor="#d9d9d9"/>
            <v:line style="position:absolute" from="4064,1767" to="4100,1767" stroked="true" strokeweight=".72pt" strokecolor="#d9d9d9"/>
            <v:line style="position:absolute" from="3944,1767" to="3980,1767" stroked="true" strokeweight=".72pt" strokecolor="#d9d9d9"/>
            <v:line style="position:absolute" from="3519,1767" to="3859,1767" stroked="true" strokeweight=".72pt" strokecolor="#d9d9d9"/>
            <v:line style="position:absolute" from="3401,1767" to="3437,1767" stroked="true" strokeweight=".72pt" strokecolor="#d9d9d9"/>
            <v:line style="position:absolute" from="3281,1767" to="3317,1767" stroked="true" strokeweight=".72pt" strokecolor="#d9d9d9"/>
            <v:line style="position:absolute" from="2856,1767" to="3197,1767" stroked="true" strokeweight=".72pt" strokecolor="#d9d9d9"/>
            <v:line style="position:absolute" from="2739,1767" to="2775,1767" stroked="true" strokeweight=".72pt" strokecolor="#d9d9d9"/>
            <v:line style="position:absolute" from="2619,1767" to="2655,1767" stroked="true" strokeweight=".72pt" strokecolor="#d9d9d9"/>
            <v:line style="position:absolute" from="2194,1767" to="2535,1767" stroked="true" strokeweight=".72pt" strokecolor="#d9d9d9"/>
            <v:line style="position:absolute" from="2076,1767" to="2112,1767" stroked="true" strokeweight=".72pt" strokecolor="#d9d9d9"/>
            <v:line style="position:absolute" from="1956,1767" to="1992,1767" stroked="true" strokeweight=".72pt" strokecolor="#d9d9d9"/>
            <v:line style="position:absolute" from="1531,1767" to="1872,1767" stroked="true" strokeweight=".72pt" strokecolor="#d9d9d9"/>
            <v:line style="position:absolute" from="1414,1767" to="1450,1767" stroked="true" strokeweight=".72pt" strokecolor="#d9d9d9"/>
            <v:line style="position:absolute" from="1294,1767" to="1330,1767" stroked="true" strokeweight=".72pt" strokecolor="#d9d9d9"/>
            <v:line style="position:absolute" from="1099,1767" to="1212,1767" stroked="true" strokeweight=".72pt" strokecolor="#d9d9d9"/>
            <v:line style="position:absolute" from="7493,1510" to="7723,1510" stroked="true" strokeweight=".72pt" strokecolor="#d9d9d9"/>
            <v:line style="position:absolute" from="7375,1510" to="7411,1510" stroked="true" strokeweight=".72pt" strokecolor="#d9d9d9"/>
            <v:line style="position:absolute" from="6831,1510" to="7292,1510" stroked="true" strokeweight=".72pt" strokecolor="#d9d9d9"/>
            <v:line style="position:absolute" from="6713,1510" to="6749,1510" stroked="true" strokeweight=".72pt" strokecolor="#d9d9d9"/>
            <v:line style="position:absolute" from="6168,1510" to="6629,1510" stroked="true" strokeweight=".72pt" strokecolor="#d9d9d9"/>
            <v:line style="position:absolute" from="6051,1510" to="6087,1510" stroked="true" strokeweight=".72pt" strokecolor="#d9d9d9"/>
            <v:line style="position:absolute" from="5506,1510" to="5967,1510" stroked="true" strokeweight=".72pt" strokecolor="#d9d9d9"/>
            <v:line style="position:absolute" from="5388,1510" to="5424,1510" stroked="true" strokeweight=".72pt" strokecolor="#d9d9d9"/>
            <v:line style="position:absolute" from="4844,1510" to="5304,1510" stroked="true" strokeweight=".72pt" strokecolor="#d9d9d9"/>
            <v:line style="position:absolute" from="4181,1510" to="4762,1510" stroked="true" strokeweight=".72pt" strokecolor="#d9d9d9"/>
            <v:line style="position:absolute" from="3519,1510" to="4099,1510" stroked="true" strokeweight=".72pt" strokecolor="#d9d9d9"/>
            <v:line style="position:absolute" from="3401,1510" to="3437,1510" stroked="true" strokeweight=".72pt" strokecolor="#d9d9d9"/>
            <v:line style="position:absolute" from="3281,1510" to="3317,1510" stroked="true" strokeweight=".72pt" strokecolor="#d9d9d9"/>
            <v:line style="position:absolute" from="2856,1510" to="3197,1510" stroked="true" strokeweight=".72pt" strokecolor="#d9d9d9"/>
            <v:line style="position:absolute" from="2739,1510" to="2775,1510" stroked="true" strokeweight=".72pt" strokecolor="#d9d9d9"/>
            <v:line style="position:absolute" from="2619,1510" to="2655,1510" stroked="true" strokeweight=".72pt" strokecolor="#d9d9d9"/>
            <v:line style="position:absolute" from="2194,1510" to="2535,1510" stroked="true" strokeweight=".72pt" strokecolor="#d9d9d9"/>
            <v:line style="position:absolute" from="2076,1510" to="2112,1510" stroked="true" strokeweight=".72pt" strokecolor="#d9d9d9"/>
            <v:line style="position:absolute" from="1956,1510" to="1992,1510" stroked="true" strokeweight=".72pt" strokecolor="#d9d9d9"/>
            <v:line style="position:absolute" from="1414,1510" to="1872,1510" stroked="true" strokeweight=".72pt" strokecolor="#d9d9d9"/>
            <v:line style="position:absolute" from="1294,1510" to="1330,1510" stroked="true" strokeweight=".72pt" strokecolor="#d9d9d9"/>
            <v:line style="position:absolute" from="1099,1510" to="1212,1510" stroked="true" strokeweight=".72pt" strokecolor="#d9d9d9"/>
            <v:line style="position:absolute" from="7493,1253" to="7723,1253" stroked="true" strokeweight=".72pt" strokecolor="#d9d9d9"/>
            <v:line style="position:absolute" from="7375,1253" to="7411,1253" stroked="true" strokeweight=".72pt" strokecolor="#d9d9d9"/>
            <v:line style="position:absolute" from="6831,1253" to="7292,1253" stroked="true" strokeweight=".72pt" strokecolor="#d9d9d9"/>
            <v:line style="position:absolute" from="6168,1253" to="6749,1253" stroked="true" strokeweight=".72pt" strokecolor="#d9d9d9"/>
            <v:line style="position:absolute" from="5506,1253" to="6087,1253" stroked="true" strokeweight=".72pt" strokecolor="#d9d9d9"/>
            <v:line style="position:absolute" from="4844,1253" to="5424,1253" stroked="true" strokeweight=".72pt" strokecolor="#d9d9d9"/>
            <v:line style="position:absolute" from="4181,1253" to="4762,1253" stroked="true" strokeweight=".72pt" strokecolor="#d9d9d9"/>
            <v:line style="position:absolute" from="1099,1253" to="4099,1253" stroked="true" strokeweight=".72pt" strokecolor="#d9d9d9"/>
            <v:line style="position:absolute" from="7493,999" to="7723,999" stroked="true" strokeweight=".72pt" strokecolor="#d9d9d9"/>
            <v:line style="position:absolute" from="6831,999" to="7412,999" stroked="true" strokeweight=".72pt" strokecolor="#d9d9d9"/>
            <v:line style="position:absolute" from="6168,999" to="6749,999" stroked="true" strokeweight=".72pt" strokecolor="#d9d9d9"/>
            <v:line style="position:absolute" from="5506,999" to="6087,999" stroked="true" strokeweight=".72pt" strokecolor="#d9d9d9"/>
            <v:line style="position:absolute" from="4844,999" to="5424,999" stroked="true" strokeweight=".72pt" strokecolor="#d9d9d9"/>
            <v:line style="position:absolute" from="1099,999" to="4762,999" stroked="true" strokeweight=".72pt" strokecolor="#d9d9d9"/>
            <v:line style="position:absolute" from="7493,742" to="7723,742" stroked="true" strokeweight=".72pt" strokecolor="#d9d9d9"/>
            <v:line style="position:absolute" from="6831,742" to="7412,742" stroked="true" strokeweight=".72pt" strokecolor="#d9d9d9"/>
            <v:line style="position:absolute" from="6168,742" to="6749,742" stroked="true" strokeweight=".72pt" strokecolor="#d9d9d9"/>
            <v:line style="position:absolute" from="1099,742" to="6087,742" stroked="true" strokeweight=".72pt" strokecolor="#d9d9d9"/>
            <v:line style="position:absolute" from="7493,485" to="7723,485" stroked="true" strokeweight=".72pt" strokecolor="#d9d9d9"/>
            <v:line style="position:absolute" from="6831,485" to="7412,485" stroked="true" strokeweight=".72pt" strokecolor="#d9d9d9"/>
            <v:line style="position:absolute" from="1099,485" to="6749,485" stroked="true" strokeweight=".72pt" strokecolor="#d9d9d9"/>
            <v:line style="position:absolute" from="1099,228" to="7723,228" stroked="true" strokeweight=".72pt" strokecolor="#d9d9d9"/>
            <v:line style="position:absolute" from="1099,228" to="1099,2535" stroked="true" strokeweight=".72pt" strokecolor="#d9d9d9"/>
            <v:line style="position:absolute" from="1762,228" to="1762,2535" stroked="true" strokeweight=".72pt" strokecolor="#d9d9d9"/>
            <v:line style="position:absolute" from="2424,228" to="2424,2535" stroked="true" strokeweight=".72pt" strokecolor="#d9d9d9"/>
            <v:line style="position:absolute" from="3087,228" to="3087,2535" stroked="true" strokeweight=".72pt" strokecolor="#d9d9d9"/>
            <v:line style="position:absolute" from="3749,228" to="3749,2535" stroked="true" strokeweight=".72pt" strokecolor="#d9d9d9"/>
            <v:line style="position:absolute" from="4411,228" to="4411,2535" stroked="true" strokeweight=".72pt" strokecolor="#d9d9d9"/>
            <v:line style="position:absolute" from="5074,228" to="5074,2535" stroked="true" strokeweight=".72pt" strokecolor="#d9d9d9"/>
            <v:line style="position:absolute" from="5736,228" to="5736,2535" stroked="true" strokeweight=".72pt" strokecolor="#d9d9d9"/>
            <v:line style="position:absolute" from="6399,228" to="6399,2535" stroked="true" strokeweight=".72pt" strokecolor="#d9d9d9"/>
            <v:line style="position:absolute" from="7061,228" to="7061,2535" stroked="true" strokeweight=".72pt" strokecolor="#d9d9d9"/>
            <v:line style="position:absolute" from="7723,228" to="7723,2535" stroked="true" strokeweight=".72pt" strokecolor="#d9d9d9"/>
            <v:line style="position:absolute" from="1253,1455" to="1253,2535" stroked="true" strokeweight="4.08pt" strokecolor="#539e39"/>
            <v:line style="position:absolute" from="1914,1414" to="1914,2535" stroked="true" strokeweight="4.2pt" strokecolor="#539e39"/>
            <v:line style="position:absolute" from="2577,1356" to="2577,2535" stroked="true" strokeweight="4.2pt" strokecolor="#539e39"/>
            <v:line style="position:absolute" from="3239,1414" to="3239,2535" stroked="true" strokeweight="4.2pt" strokecolor="#539e39"/>
            <v:line style="position:absolute" from="3901,1579" to="3901,2535" stroked="true" strokeweight="4.2pt" strokecolor="#539e39"/>
            <v:line style="position:absolute" from="4564,1572" to="4564,2535" stroked="true" strokeweight="4.2pt" strokecolor="#539e39"/>
            <v:line style="position:absolute" from="5226,1524" to="5226,2535" stroked="true" strokeweight="4.2pt" strokecolor="#539e39"/>
            <v:line style="position:absolute" from="5889,1579" to="5889,2535" stroked="true" strokeweight="4.2pt" strokecolor="#539e39"/>
            <v:line style="position:absolute" from="6551,1596" to="6551,2535" stroked="true" strokeweight="4.2pt" strokecolor="#539e39"/>
            <v:line style="position:absolute" from="7213,1589" to="7213,2535" stroked="true" strokeweight="4.2pt" strokecolor="#539e39"/>
            <v:line style="position:absolute" from="1372,1339" to="1372,2535" stroked="true" strokeweight="4.2pt" strokecolor="#89b833"/>
            <v:line style="position:absolute" from="2034,1339" to="2034,2535" stroked="true" strokeweight="4.2pt" strokecolor="#89b833"/>
            <v:line style="position:absolute" from="2697,1325" to="2697,2535" stroked="true" strokeweight="4.2pt" strokecolor="#89b833"/>
            <v:line style="position:absolute" from="3359,1464" to="3359,2535" stroked="true" strokeweight="4.2pt" strokecolor="#89b833"/>
            <v:line style="position:absolute" from="4021,1639" to="4021,2535" stroked="true" strokeweight="4.2pt" strokecolor="#89b833"/>
            <v:line style="position:absolute" from="4684,1524" to="4684,2535" stroked="true" strokeweight="4.2pt" strokecolor="#89b833"/>
            <v:line style="position:absolute" from="5346,1428" to="5346,2535" stroked="true" strokeweight="4.2pt" strokecolor="#89b833"/>
            <v:line style="position:absolute" from="6009,1323" to="6009,2535" stroked="true" strokeweight="4.2pt" strokecolor="#89b833"/>
            <v:line style="position:absolute" from="6671,1253" to="6671,2535" stroked="true" strokeweight="4.2pt" strokecolor="#89b833"/>
            <v:line style="position:absolute" from="7333,1229" to="7333,2535" stroked="true" strokeweight="4.2pt" strokecolor="#89b833"/>
            <v:line style="position:absolute" from="1491,1488" to="1491,2535" stroked="true" strokeweight="4.08pt" strokecolor="#c0cf39"/>
            <v:line style="position:absolute" from="2153,1414" to="2153,2535" stroked="true" strokeweight="4.08pt" strokecolor="#c0cf39"/>
            <v:line style="position:absolute" from="2815,1323" to="2815,2535" stroked="true" strokeweight="4.08pt" strokecolor="#c0cf39"/>
            <v:line style="position:absolute" from="3478,1291" to="3478,2535" stroked="true" strokeweight="4.08pt" strokecolor="#c0cf39"/>
            <v:line style="position:absolute" from="4140,1085" to="4140,2535" stroked="true" strokeweight="4.08pt" strokecolor="#c0cf39"/>
            <v:line style="position:absolute" from="4803,728" to="4803,2535" stroked="true" strokeweight="4.08pt" strokecolor="#c0cf39"/>
            <v:line style="position:absolute" from="5465,720" to="5465,2535" stroked="true" strokeweight="4.08pt" strokecolor="#c0cf39"/>
            <v:line style="position:absolute" from="6128,574" to="6128,2535" stroked="true" strokeweight="4.08pt" strokecolor="#c0cf39"/>
            <v:line style="position:absolute" from="6790,454" to="6790,2535" stroked="true" strokeweight="4.08pt" strokecolor="#c0cf39"/>
            <v:line style="position:absolute" from="7452,348" to="7452,2535" stroked="true" strokeweight="4.08pt" strokecolor="#c0cf39"/>
            <v:line style="position:absolute" from="1568,2506" to="1651,2506" stroked="true" strokeweight="2.88pt" strokecolor="#019576"/>
            <v:line style="position:absolute" from="2230,2501" to="2314,2501" stroked="true" strokeweight="3.36pt" strokecolor="#019576"/>
            <v:line style="position:absolute" from="2892,2501" to="2976,2501" stroked="true" strokeweight="3.36pt" strokecolor="#019576"/>
            <v:line style="position:absolute" from="3555,2502" to="3639,2502" stroked="true" strokeweight="3.24pt" strokecolor="#019576"/>
            <v:line style="position:absolute" from="4217,2505" to="4301,2505" stroked="true" strokeweight="3pt" strokecolor="#019576"/>
            <v:line style="position:absolute" from="4880,2502" to="4964,2502" stroked="true" strokeweight="3.24pt" strokecolor="#019576"/>
            <v:line style="position:absolute" from="5542,2498" to="5626,2498" stroked="true" strokeweight="3.72pt" strokecolor="#019576"/>
            <v:line style="position:absolute" from="6204,2494" to="6288,2494" stroked="true" strokeweight="4.08pt" strokecolor="#019576"/>
            <v:line style="position:absolute" from="6867,2496" to="6951,2496" stroked="true" strokeweight="3.84pt" strokecolor="#019576"/>
            <v:line style="position:absolute" from="7529,2495" to="7613,2495" stroked="true" strokeweight="3.96pt" strokecolor="#019576"/>
            <v:line style="position:absolute" from="1099,2535" to="7723,2535" stroked="true" strokeweight=".72pt" strokecolor="#d9d9d9"/>
            <v:shape style="position:absolute;left:8;top:8;width:7937;height:3401" type="#_x0000_t202" filled="false" stroked="true" strokeweight=".72pt" strokecolor="#d9d9d9">
              <v:textbox inset="0,0,0,0">
                <w:txbxContent>
                  <w:p>
                    <w:pPr>
                      <w:spacing w:before="102"/>
                      <w:ind w:left="122" w:right="0" w:firstLine="0"/>
                      <w:jc w:val="left"/>
                      <w:rPr>
                        <w:sz w:val="18"/>
                      </w:rPr>
                    </w:pPr>
                    <w:r>
                      <w:rPr>
                        <w:color w:val="585858"/>
                        <w:sz w:val="18"/>
                      </w:rPr>
                      <w:t>45,000,000</w:t>
                    </w:r>
                  </w:p>
                  <w:p>
                    <w:pPr>
                      <w:spacing w:before="49"/>
                      <w:ind w:left="122" w:right="0" w:firstLine="0"/>
                      <w:jc w:val="left"/>
                      <w:rPr>
                        <w:sz w:val="18"/>
                      </w:rPr>
                    </w:pPr>
                    <w:r>
                      <w:rPr>
                        <w:color w:val="585858"/>
                        <w:sz w:val="18"/>
                      </w:rPr>
                      <w:t>40,000,000</w:t>
                    </w:r>
                  </w:p>
                  <w:p>
                    <w:pPr>
                      <w:spacing w:before="49"/>
                      <w:ind w:left="122" w:right="0" w:firstLine="0"/>
                      <w:jc w:val="left"/>
                      <w:rPr>
                        <w:sz w:val="18"/>
                      </w:rPr>
                    </w:pPr>
                    <w:r>
                      <w:rPr>
                        <w:color w:val="585858"/>
                        <w:sz w:val="18"/>
                      </w:rPr>
                      <w:t>35,000,000</w:t>
                    </w:r>
                  </w:p>
                  <w:p>
                    <w:pPr>
                      <w:spacing w:before="49"/>
                      <w:ind w:left="122" w:right="0" w:firstLine="0"/>
                      <w:jc w:val="left"/>
                      <w:rPr>
                        <w:sz w:val="18"/>
                      </w:rPr>
                    </w:pPr>
                    <w:r>
                      <w:rPr>
                        <w:color w:val="585858"/>
                        <w:sz w:val="18"/>
                      </w:rPr>
                      <w:t>30,000,000</w:t>
                    </w:r>
                  </w:p>
                  <w:p>
                    <w:pPr>
                      <w:spacing w:before="50"/>
                      <w:ind w:left="122" w:right="0" w:firstLine="0"/>
                      <w:jc w:val="left"/>
                      <w:rPr>
                        <w:sz w:val="18"/>
                      </w:rPr>
                    </w:pPr>
                    <w:r>
                      <w:rPr>
                        <w:color w:val="585858"/>
                        <w:sz w:val="18"/>
                      </w:rPr>
                      <w:t>25,000,000</w:t>
                    </w:r>
                  </w:p>
                  <w:p>
                    <w:pPr>
                      <w:spacing w:before="49"/>
                      <w:ind w:left="122" w:right="0" w:firstLine="0"/>
                      <w:jc w:val="left"/>
                      <w:rPr>
                        <w:sz w:val="18"/>
                      </w:rPr>
                    </w:pPr>
                    <w:r>
                      <w:rPr>
                        <w:color w:val="585858"/>
                        <w:sz w:val="18"/>
                      </w:rPr>
                      <w:t>20,000,000</w:t>
                    </w:r>
                  </w:p>
                  <w:p>
                    <w:pPr>
                      <w:spacing w:before="49"/>
                      <w:ind w:left="122" w:right="0" w:firstLine="0"/>
                      <w:jc w:val="left"/>
                      <w:rPr>
                        <w:sz w:val="18"/>
                      </w:rPr>
                    </w:pPr>
                    <w:r>
                      <w:rPr>
                        <w:color w:val="585858"/>
                        <w:sz w:val="18"/>
                      </w:rPr>
                      <w:t>15,000,000</w:t>
                    </w:r>
                  </w:p>
                  <w:p>
                    <w:pPr>
                      <w:spacing w:before="49"/>
                      <w:ind w:left="122" w:right="0" w:firstLine="0"/>
                      <w:jc w:val="left"/>
                      <w:rPr>
                        <w:sz w:val="18"/>
                      </w:rPr>
                    </w:pPr>
                    <w:r>
                      <w:rPr>
                        <w:color w:val="585858"/>
                        <w:sz w:val="18"/>
                      </w:rPr>
                      <w:t>10,000,000</w:t>
                    </w:r>
                  </w:p>
                  <w:p>
                    <w:pPr>
                      <w:spacing w:before="49"/>
                      <w:ind w:left="212" w:right="0" w:firstLine="0"/>
                      <w:jc w:val="left"/>
                      <w:rPr>
                        <w:sz w:val="18"/>
                      </w:rPr>
                    </w:pPr>
                    <w:r>
                      <w:rPr>
                        <w:color w:val="585858"/>
                        <w:sz w:val="18"/>
                      </w:rPr>
                      <w:t>5,000,000</w:t>
                    </w:r>
                  </w:p>
                  <w:p>
                    <w:pPr>
                      <w:spacing w:before="50"/>
                      <w:ind w:left="842" w:right="0" w:firstLine="0"/>
                      <w:jc w:val="left"/>
                      <w:rPr>
                        <w:sz w:val="18"/>
                      </w:rPr>
                    </w:pPr>
                    <w:r>
                      <w:rPr>
                        <w:color w:val="585858"/>
                        <w:sz w:val="18"/>
                      </w:rPr>
                      <w:t>0</w:t>
                    </w:r>
                  </w:p>
                  <w:p>
                    <w:pPr>
                      <w:tabs>
                        <w:tab w:pos="1899" w:val="left" w:leader="none"/>
                        <w:tab w:pos="2562" w:val="left" w:leader="none"/>
                        <w:tab w:pos="3224" w:val="left" w:leader="none"/>
                        <w:tab w:pos="3887" w:val="left" w:leader="none"/>
                        <w:tab w:pos="4549" w:val="left" w:leader="none"/>
                        <w:tab w:pos="5212" w:val="left" w:leader="none"/>
                        <w:tab w:pos="5874" w:val="left" w:leader="none"/>
                        <w:tab w:pos="6537" w:val="left" w:leader="none"/>
                        <w:tab w:pos="7199" w:val="left" w:leader="none"/>
                      </w:tabs>
                      <w:spacing w:before="4"/>
                      <w:ind w:left="1237" w:right="0" w:firstLine="0"/>
                      <w:jc w:val="left"/>
                      <w:rPr>
                        <w:sz w:val="18"/>
                      </w:rPr>
                    </w:pPr>
                    <w:r>
                      <w:rPr>
                        <w:color w:val="585858"/>
                        <w:sz w:val="18"/>
                      </w:rPr>
                      <w:t>2005</w:t>
                      <w:tab/>
                      <w:t>2006</w:t>
                      <w:tab/>
                      <w:t>2007</w:t>
                      <w:tab/>
                      <w:t>2008</w:t>
                      <w:tab/>
                      <w:t>2009</w:t>
                      <w:tab/>
                      <w:t>2010</w:t>
                      <w:tab/>
                      <w:t>2011</w:t>
                      <w:tab/>
                      <w:t>2012</w:t>
                      <w:tab/>
                      <w:t>2013</w:t>
                      <w:tab/>
                      <w:t>2014</w:t>
                    </w:r>
                  </w:p>
                  <w:p>
                    <w:pPr>
                      <w:spacing w:line="240" w:lineRule="auto" w:before="3"/>
                      <w:rPr>
                        <w:b/>
                        <w:sz w:val="15"/>
                      </w:rPr>
                    </w:pPr>
                  </w:p>
                  <w:p>
                    <w:pPr>
                      <w:tabs>
                        <w:tab w:pos="3307" w:val="left" w:leader="none"/>
                        <w:tab w:pos="4450" w:val="left" w:leader="none"/>
                        <w:tab w:pos="5184" w:val="left" w:leader="none"/>
                      </w:tabs>
                      <w:spacing w:before="1"/>
                      <w:ind w:left="2273" w:right="0" w:firstLine="0"/>
                      <w:jc w:val="left"/>
                      <w:rPr>
                        <w:sz w:val="18"/>
                      </w:rPr>
                    </w:pPr>
                    <w:r>
                      <w:rPr>
                        <w:color w:val="585858"/>
                        <w:sz w:val="18"/>
                      </w:rPr>
                      <w:t>EUROPA</w:t>
                      <w:tab/>
                      <w:t>AMERICA</w:t>
                      <w:tab/>
                      <w:t>ASIA</w:t>
                      <w:tab/>
                      <w:t>AFRICA</w:t>
                    </w:r>
                  </w:p>
                </w:txbxContent>
              </v:textbox>
              <w10:wrap type="none"/>
            </v:shape>
          </v:group>
        </w:pict>
      </w:r>
      <w:r>
        <w:rPr>
          <w:sz w:val="20"/>
        </w:rPr>
      </w:r>
    </w:p>
    <w:p>
      <w:pPr>
        <w:spacing w:before="124"/>
        <w:ind w:left="383" w:right="396" w:firstLine="0"/>
        <w:jc w:val="center"/>
        <w:rPr>
          <w:sz w:val="18"/>
        </w:rPr>
      </w:pPr>
      <w:r>
        <w:rPr/>
        <w:pict>
          <v:line style="position:absolute;mso-position-horizontal-relative:page;mso-position-vertical-relative:paragraph;z-index:-501472" from="214.919998pt,-15.387646pt" to="219.359998pt,-15.387646pt" stroked="true" strokeweight="4.440pt" strokecolor="#539e39">
            <w10:wrap type="none"/>
          </v:line>
        </w:pict>
      </w:r>
      <w:r>
        <w:rPr/>
        <w:pict>
          <v:line style="position:absolute;mso-position-horizontal-relative:page;mso-position-vertical-relative:paragraph;z-index:-501448" from="266.640015pt,-15.387646pt" to="271.080015pt,-15.387646pt" stroked="true" strokeweight="4.440pt" strokecolor="#89b833">
            <w10:wrap type="none"/>
          </v:line>
        </w:pict>
      </w:r>
      <w:r>
        <w:rPr/>
        <w:pict>
          <v:line style="position:absolute;mso-position-horizontal-relative:page;mso-position-vertical-relative:paragraph;z-index:-501424" from="323.760010pt,-15.387646pt" to="328.200010pt,-15.387646pt" stroked="true" strokeweight="4.440pt" strokecolor="#c0cf39">
            <w10:wrap type="none"/>
          </v:line>
        </w:pict>
      </w:r>
      <w:r>
        <w:rPr/>
        <w:pict>
          <v:line style="position:absolute;mso-position-horizontal-relative:page;mso-position-vertical-relative:paragraph;z-index:-501400" from="360.480011pt,-15.387646pt" to="364.920011pt,-15.387646pt" stroked="true" strokeweight="4.440pt" strokecolor="#019576">
            <w10:wrap type="none"/>
          </v:line>
        </w:pict>
      </w:r>
      <w:r>
        <w:rPr>
          <w:sz w:val="18"/>
        </w:rPr>
        <w:t>Fuente: Elaboración propia con base en datos de OICA (2014).</w:t>
      </w:r>
    </w:p>
    <w:p>
      <w:pPr>
        <w:pStyle w:val="BodyText"/>
        <w:rPr>
          <w:sz w:val="18"/>
        </w:rPr>
      </w:pPr>
    </w:p>
    <w:p>
      <w:pPr>
        <w:pStyle w:val="BodyText"/>
        <w:spacing w:line="360" w:lineRule="auto" w:before="135"/>
        <w:ind w:left="102" w:right="117"/>
        <w:jc w:val="both"/>
      </w:pPr>
      <w:r>
        <w:rPr/>
        <w:t>Para</w:t>
      </w:r>
      <w:r>
        <w:rPr>
          <w:spacing w:val="-14"/>
        </w:rPr>
        <w:t> </w:t>
      </w:r>
      <w:r>
        <w:rPr/>
        <w:t>el</w:t>
      </w:r>
      <w:r>
        <w:rPr>
          <w:spacing w:val="-12"/>
        </w:rPr>
        <w:t> </w:t>
      </w:r>
      <w:r>
        <w:rPr/>
        <w:t>2013,</w:t>
      </w:r>
      <w:r>
        <w:rPr>
          <w:spacing w:val="-12"/>
        </w:rPr>
        <w:t> </w:t>
      </w:r>
      <w:r>
        <w:rPr/>
        <w:t>las</w:t>
      </w:r>
      <w:r>
        <w:rPr>
          <w:spacing w:val="-12"/>
        </w:rPr>
        <w:t> </w:t>
      </w:r>
      <w:r>
        <w:rPr/>
        <w:t>empresas</w:t>
      </w:r>
      <w:r>
        <w:rPr>
          <w:spacing w:val="-12"/>
        </w:rPr>
        <w:t> </w:t>
      </w:r>
      <w:r>
        <w:rPr/>
        <w:t>líderes</w:t>
      </w:r>
      <w:r>
        <w:rPr>
          <w:spacing w:val="-12"/>
        </w:rPr>
        <w:t> </w:t>
      </w:r>
      <w:r>
        <w:rPr/>
        <w:t>de</w:t>
      </w:r>
      <w:r>
        <w:rPr>
          <w:spacing w:val="-13"/>
        </w:rPr>
        <w:t> </w:t>
      </w:r>
      <w:r>
        <w:rPr/>
        <w:t>acuerdo</w:t>
      </w:r>
      <w:r>
        <w:rPr>
          <w:spacing w:val="-13"/>
        </w:rPr>
        <w:t> </w:t>
      </w:r>
      <w:r>
        <w:rPr/>
        <w:t>a</w:t>
      </w:r>
      <w:r>
        <w:rPr>
          <w:spacing w:val="-13"/>
        </w:rPr>
        <w:t> </w:t>
      </w:r>
      <w:r>
        <w:rPr/>
        <w:t>sus</w:t>
      </w:r>
      <w:r>
        <w:rPr>
          <w:spacing w:val="-12"/>
        </w:rPr>
        <w:t> </w:t>
      </w:r>
      <w:r>
        <w:rPr/>
        <w:t>ventas</w:t>
      </w:r>
      <w:r>
        <w:rPr>
          <w:spacing w:val="-12"/>
        </w:rPr>
        <w:t> </w:t>
      </w:r>
      <w:r>
        <w:rPr/>
        <w:t>a</w:t>
      </w:r>
      <w:r>
        <w:rPr>
          <w:spacing w:val="-13"/>
        </w:rPr>
        <w:t> </w:t>
      </w:r>
      <w:r>
        <w:rPr/>
        <w:t>nivel</w:t>
      </w:r>
      <w:r>
        <w:rPr>
          <w:spacing w:val="-12"/>
        </w:rPr>
        <w:t> </w:t>
      </w:r>
      <w:r>
        <w:rPr/>
        <w:t>internacional</w:t>
      </w:r>
      <w:r>
        <w:rPr>
          <w:spacing w:val="-12"/>
        </w:rPr>
        <w:t> </w:t>
      </w:r>
      <w:r>
        <w:rPr/>
        <w:t>fueron</w:t>
      </w:r>
      <w:r>
        <w:rPr>
          <w:spacing w:val="-13"/>
        </w:rPr>
        <w:t> </w:t>
      </w:r>
      <w:r>
        <w:rPr/>
        <w:t>Toyota con 9.98 millones de vehículos, lo que representó un 2% más con respecto al año pasado, le siguen General Motors con 9.7 millones de vehículos vendidos y Volkswagen con 9.5 millones.</w:t>
      </w:r>
    </w:p>
    <w:p>
      <w:pPr>
        <w:pStyle w:val="BodyText"/>
        <w:spacing w:before="2"/>
        <w:rPr>
          <w:sz w:val="21"/>
        </w:rPr>
      </w:pPr>
    </w:p>
    <w:p>
      <w:pPr>
        <w:pStyle w:val="BodyText"/>
        <w:spacing w:line="360" w:lineRule="auto"/>
        <w:ind w:left="102" w:right="117"/>
        <w:jc w:val="both"/>
      </w:pPr>
      <w:r>
        <w:rPr/>
        <w:t>Los</w:t>
      </w:r>
      <w:r>
        <w:rPr>
          <w:spacing w:val="-7"/>
        </w:rPr>
        <w:t> </w:t>
      </w:r>
      <w:r>
        <w:rPr/>
        <w:t>datos</w:t>
      </w:r>
      <w:r>
        <w:rPr>
          <w:spacing w:val="-7"/>
        </w:rPr>
        <w:t> </w:t>
      </w:r>
      <w:r>
        <w:rPr/>
        <w:t>mostrados</w:t>
      </w:r>
      <w:r>
        <w:rPr>
          <w:spacing w:val="-7"/>
        </w:rPr>
        <w:t> </w:t>
      </w:r>
      <w:r>
        <w:rPr/>
        <w:t>en</w:t>
      </w:r>
      <w:r>
        <w:rPr>
          <w:spacing w:val="-7"/>
        </w:rPr>
        <w:t> </w:t>
      </w:r>
      <w:r>
        <w:rPr/>
        <w:t>este</w:t>
      </w:r>
      <w:r>
        <w:rPr>
          <w:spacing w:val="-7"/>
        </w:rPr>
        <w:t> </w:t>
      </w:r>
      <w:r>
        <w:rPr/>
        <w:t>apartado</w:t>
      </w:r>
      <w:r>
        <w:rPr>
          <w:spacing w:val="-7"/>
        </w:rPr>
        <w:t> </w:t>
      </w:r>
      <w:r>
        <w:rPr/>
        <w:t>nos</w:t>
      </w:r>
      <w:r>
        <w:rPr>
          <w:spacing w:val="-7"/>
        </w:rPr>
        <w:t> </w:t>
      </w:r>
      <w:r>
        <w:rPr/>
        <w:t>dejan</w:t>
      </w:r>
      <w:r>
        <w:rPr>
          <w:spacing w:val="-8"/>
        </w:rPr>
        <w:t> </w:t>
      </w:r>
      <w:r>
        <w:rPr/>
        <w:t>ver</w:t>
      </w:r>
      <w:r>
        <w:rPr>
          <w:spacing w:val="-8"/>
        </w:rPr>
        <w:t> </w:t>
      </w:r>
      <w:r>
        <w:rPr/>
        <w:t>con</w:t>
      </w:r>
      <w:r>
        <w:rPr>
          <w:spacing w:val="-7"/>
        </w:rPr>
        <w:t> </w:t>
      </w:r>
      <w:r>
        <w:rPr/>
        <w:t>claridad</w:t>
      </w:r>
      <w:r>
        <w:rPr>
          <w:spacing w:val="-8"/>
        </w:rPr>
        <w:t> </w:t>
      </w:r>
      <w:r>
        <w:rPr/>
        <w:t>la</w:t>
      </w:r>
      <w:r>
        <w:rPr>
          <w:spacing w:val="-8"/>
        </w:rPr>
        <w:t> </w:t>
      </w:r>
      <w:r>
        <w:rPr/>
        <w:t>forma</w:t>
      </w:r>
      <w:r>
        <w:rPr>
          <w:spacing w:val="-8"/>
        </w:rPr>
        <w:t> </w:t>
      </w:r>
      <w:r>
        <w:rPr/>
        <w:t>en</w:t>
      </w:r>
      <w:r>
        <w:rPr>
          <w:spacing w:val="-5"/>
        </w:rPr>
        <w:t> </w:t>
      </w:r>
      <w:r>
        <w:rPr/>
        <w:t>que</w:t>
      </w:r>
      <w:r>
        <w:rPr>
          <w:spacing w:val="-8"/>
        </w:rPr>
        <w:t> </w:t>
      </w:r>
      <w:r>
        <w:rPr/>
        <w:t>poco</w:t>
      </w:r>
      <w:r>
        <w:rPr>
          <w:spacing w:val="-7"/>
        </w:rPr>
        <w:t> </w:t>
      </w:r>
      <w:r>
        <w:rPr/>
        <w:t>a</w:t>
      </w:r>
      <w:r>
        <w:rPr>
          <w:spacing w:val="-8"/>
        </w:rPr>
        <w:t> </w:t>
      </w:r>
      <w:r>
        <w:rPr/>
        <w:t>poco se</w:t>
      </w:r>
      <w:r>
        <w:rPr>
          <w:spacing w:val="-9"/>
        </w:rPr>
        <w:t> </w:t>
      </w:r>
      <w:r>
        <w:rPr/>
        <w:t>ha</w:t>
      </w:r>
      <w:r>
        <w:rPr>
          <w:spacing w:val="-7"/>
        </w:rPr>
        <w:t> </w:t>
      </w:r>
      <w:r>
        <w:rPr/>
        <w:t>ido</w:t>
      </w:r>
      <w:r>
        <w:rPr>
          <w:spacing w:val="-8"/>
        </w:rPr>
        <w:t> </w:t>
      </w:r>
      <w:r>
        <w:rPr/>
        <w:t>dando</w:t>
      </w:r>
      <w:r>
        <w:rPr>
          <w:spacing w:val="-7"/>
        </w:rPr>
        <w:t> </w:t>
      </w:r>
      <w:r>
        <w:rPr/>
        <w:t>una</w:t>
      </w:r>
      <w:r>
        <w:rPr>
          <w:spacing w:val="-7"/>
        </w:rPr>
        <w:t> </w:t>
      </w:r>
      <w:r>
        <w:rPr/>
        <w:t>reconfiguración</w:t>
      </w:r>
      <w:r>
        <w:rPr>
          <w:spacing w:val="-8"/>
        </w:rPr>
        <w:t> </w:t>
      </w:r>
      <w:r>
        <w:rPr/>
        <w:t>del</w:t>
      </w:r>
      <w:r>
        <w:rPr>
          <w:spacing w:val="-8"/>
        </w:rPr>
        <w:t> </w:t>
      </w:r>
      <w:r>
        <w:rPr/>
        <w:t>sector</w:t>
      </w:r>
      <w:r>
        <w:rPr>
          <w:spacing w:val="-7"/>
        </w:rPr>
        <w:t> </w:t>
      </w:r>
      <w:r>
        <w:rPr/>
        <w:t>automotriz</w:t>
      </w:r>
      <w:r>
        <w:rPr>
          <w:spacing w:val="-4"/>
        </w:rPr>
        <w:t> </w:t>
      </w:r>
      <w:r>
        <w:rPr/>
        <w:t>a</w:t>
      </w:r>
      <w:r>
        <w:rPr>
          <w:spacing w:val="-10"/>
        </w:rPr>
        <w:t> </w:t>
      </w:r>
      <w:r>
        <w:rPr/>
        <w:t>nivel</w:t>
      </w:r>
      <w:r>
        <w:rPr>
          <w:spacing w:val="-9"/>
        </w:rPr>
        <w:t> </w:t>
      </w:r>
      <w:r>
        <w:rPr/>
        <w:t>mundial.</w:t>
      </w:r>
      <w:r>
        <w:rPr>
          <w:spacing w:val="-6"/>
        </w:rPr>
        <w:t> </w:t>
      </w:r>
      <w:r>
        <w:rPr/>
        <w:t>Algunas</w:t>
      </w:r>
      <w:r>
        <w:rPr>
          <w:spacing w:val="-8"/>
        </w:rPr>
        <w:t> </w:t>
      </w:r>
      <w:r>
        <w:rPr/>
        <w:t>regiones y países del mundo han cobrado gran importancia para el sector automotriz, mientras otras han disminuido su participación tanto en producción como en</w:t>
      </w:r>
      <w:r>
        <w:rPr>
          <w:spacing w:val="-9"/>
        </w:rPr>
        <w:t> </w:t>
      </w:r>
      <w:r>
        <w:rPr/>
        <w:t>ventas.</w:t>
      </w:r>
    </w:p>
    <w:p>
      <w:pPr>
        <w:pStyle w:val="BodyText"/>
        <w:spacing w:before="2"/>
        <w:rPr>
          <w:sz w:val="21"/>
        </w:rPr>
      </w:pPr>
    </w:p>
    <w:p>
      <w:pPr>
        <w:pStyle w:val="BodyText"/>
        <w:spacing w:line="360" w:lineRule="auto"/>
        <w:ind w:left="102" w:right="118"/>
        <w:jc w:val="both"/>
      </w:pPr>
      <w:r>
        <w:rPr/>
        <w:t>Otro</w:t>
      </w:r>
      <w:r>
        <w:rPr>
          <w:spacing w:val="-9"/>
        </w:rPr>
        <w:t> </w:t>
      </w:r>
      <w:r>
        <w:rPr/>
        <w:t>manera</w:t>
      </w:r>
      <w:r>
        <w:rPr>
          <w:spacing w:val="-10"/>
        </w:rPr>
        <w:t> </w:t>
      </w:r>
      <w:r>
        <w:rPr/>
        <w:t>de</w:t>
      </w:r>
      <w:r>
        <w:rPr>
          <w:spacing w:val="-10"/>
        </w:rPr>
        <w:t> </w:t>
      </w:r>
      <w:r>
        <w:rPr/>
        <w:t>ver</w:t>
      </w:r>
      <w:r>
        <w:rPr>
          <w:spacing w:val="-9"/>
        </w:rPr>
        <w:t> </w:t>
      </w:r>
      <w:r>
        <w:rPr/>
        <w:t>la</w:t>
      </w:r>
      <w:r>
        <w:rPr>
          <w:spacing w:val="-7"/>
        </w:rPr>
        <w:t> </w:t>
      </w:r>
      <w:r>
        <w:rPr/>
        <w:t>reestructuración</w:t>
      </w:r>
      <w:r>
        <w:rPr>
          <w:spacing w:val="-8"/>
        </w:rPr>
        <w:t> </w:t>
      </w:r>
      <w:r>
        <w:rPr/>
        <w:t>del</w:t>
      </w:r>
      <w:r>
        <w:rPr>
          <w:spacing w:val="-8"/>
        </w:rPr>
        <w:t> </w:t>
      </w:r>
      <w:r>
        <w:rPr/>
        <w:t>mercado</w:t>
      </w:r>
      <w:r>
        <w:rPr>
          <w:spacing w:val="-9"/>
        </w:rPr>
        <w:t> </w:t>
      </w:r>
      <w:r>
        <w:rPr/>
        <w:t>mundial</w:t>
      </w:r>
      <w:r>
        <w:rPr>
          <w:spacing w:val="-8"/>
        </w:rPr>
        <w:t> </w:t>
      </w:r>
      <w:r>
        <w:rPr/>
        <w:t>del</w:t>
      </w:r>
      <w:r>
        <w:rPr>
          <w:spacing w:val="-6"/>
        </w:rPr>
        <w:t> </w:t>
      </w:r>
      <w:r>
        <w:rPr/>
        <w:t>sector</w:t>
      </w:r>
      <w:r>
        <w:rPr>
          <w:spacing w:val="-9"/>
        </w:rPr>
        <w:t> </w:t>
      </w:r>
      <w:r>
        <w:rPr/>
        <w:t>automotriz,</w:t>
      </w:r>
      <w:r>
        <w:rPr>
          <w:spacing w:val="-9"/>
        </w:rPr>
        <w:t> </w:t>
      </w:r>
      <w:r>
        <w:rPr/>
        <w:t>es</w:t>
      </w:r>
      <w:r>
        <w:rPr>
          <w:spacing w:val="-8"/>
        </w:rPr>
        <w:t> </w:t>
      </w:r>
      <w:r>
        <w:rPr/>
        <w:t>a</w:t>
      </w:r>
      <w:r>
        <w:rPr>
          <w:spacing w:val="-10"/>
        </w:rPr>
        <w:t> </w:t>
      </w:r>
      <w:r>
        <w:rPr/>
        <w:t>partir de los cambios que se han presentado a nivel de empresas; es decir, el hecho de que las grandes empresas armadoras líderes en las últimas décadas del siglo XX (General Motors, Chrysler y Ford) han perdido gradualmente mercado ante la fuerte competencia de las empresas japonesas como Toyota y Honda; sobre todo Toyota, quien ha revolucionado los sistemas productivos llegando en los últimos años a desplazar en producción (a partir de 2006) y ventas (en 2008) a General Motors, armadora líder a nivel mundial durante más de 75 años (Carbajal,</w:t>
      </w:r>
      <w:r>
        <w:rPr>
          <w:spacing w:val="-4"/>
        </w:rPr>
        <w:t> </w:t>
      </w:r>
      <w:r>
        <w:rPr/>
        <w:t>2013).</w:t>
      </w:r>
    </w:p>
    <w:p>
      <w:pPr>
        <w:spacing w:after="0" w:line="360" w:lineRule="auto"/>
        <w:jc w:val="both"/>
        <w:sectPr>
          <w:pgSz w:w="12240" w:h="15840"/>
          <w:pgMar w:header="0" w:footer="1035" w:top="1360" w:bottom="1220" w:left="1600" w:right="1580"/>
        </w:sectPr>
      </w:pPr>
    </w:p>
    <w:p>
      <w:pPr>
        <w:pStyle w:val="BodyText"/>
        <w:spacing w:line="360" w:lineRule="auto" w:before="50"/>
        <w:ind w:left="102" w:right="120"/>
        <w:jc w:val="both"/>
      </w:pPr>
      <w:r>
        <w:rPr/>
        <w:t>El detrimento de las tres grandes armadoras norteamericanas se acentuó con la crisis económica mundial iniciada en el sector inmobiliario de Estado Unidos </w:t>
      </w:r>
      <w:r>
        <w:rPr>
          <w:spacing w:val="-3"/>
        </w:rPr>
        <w:t>ya </w:t>
      </w:r>
      <w:r>
        <w:rPr/>
        <w:t>que ante la</w:t>
      </w:r>
      <w:r>
        <w:rPr>
          <w:spacing w:val="-37"/>
        </w:rPr>
        <w:t> </w:t>
      </w:r>
      <w:r>
        <w:rPr/>
        <w:t>fuerte caída de las ventas en el mercado norteamericano (principal consumidor de vehículos), a mediados de 2008 tuvieron que disminuir su producción, recurrir a paros técnicos, despedir a un importante número de empleados y apelar al apoyo financiero del gobierno norteamericano con el fin de poder hacer frente a la crisis (Carbajal,</w:t>
      </w:r>
      <w:r>
        <w:rPr>
          <w:spacing w:val="-12"/>
        </w:rPr>
        <w:t> </w:t>
      </w:r>
      <w:r>
        <w:rPr/>
        <w:t>2013).</w:t>
      </w:r>
    </w:p>
    <w:p>
      <w:pPr>
        <w:pStyle w:val="BodyText"/>
        <w:spacing w:before="3"/>
        <w:rPr>
          <w:sz w:val="21"/>
        </w:rPr>
      </w:pPr>
    </w:p>
    <w:p>
      <w:pPr>
        <w:pStyle w:val="BodyText"/>
        <w:spacing w:line="360" w:lineRule="auto"/>
        <w:ind w:left="102" w:right="113"/>
        <w:jc w:val="both"/>
      </w:pPr>
      <w:r>
        <w:rPr/>
        <w:t>Hasta aquí se han presentado datos que permiten ver un panorama general de la evolución y situación actual de la industria terminal; sin embargo, es necesario analizar también a la industria</w:t>
      </w:r>
      <w:r>
        <w:rPr>
          <w:spacing w:val="-17"/>
        </w:rPr>
        <w:t> </w:t>
      </w:r>
      <w:r>
        <w:rPr/>
        <w:t>de</w:t>
      </w:r>
      <w:r>
        <w:rPr>
          <w:spacing w:val="-14"/>
        </w:rPr>
        <w:t> </w:t>
      </w:r>
      <w:r>
        <w:rPr/>
        <w:t>autopartes,</w:t>
      </w:r>
      <w:r>
        <w:rPr>
          <w:spacing w:val="-14"/>
        </w:rPr>
        <w:t> </w:t>
      </w:r>
      <w:r>
        <w:rPr/>
        <w:t>sobre</w:t>
      </w:r>
      <w:r>
        <w:rPr>
          <w:spacing w:val="-18"/>
        </w:rPr>
        <w:t> </w:t>
      </w:r>
      <w:r>
        <w:rPr/>
        <w:t>todo</w:t>
      </w:r>
      <w:r>
        <w:rPr>
          <w:spacing w:val="-13"/>
        </w:rPr>
        <w:t> </w:t>
      </w:r>
      <w:r>
        <w:rPr/>
        <w:t>cuando</w:t>
      </w:r>
      <w:r>
        <w:rPr>
          <w:spacing w:val="-14"/>
        </w:rPr>
        <w:t> </w:t>
      </w:r>
      <w:r>
        <w:rPr/>
        <w:t>se</w:t>
      </w:r>
      <w:r>
        <w:rPr>
          <w:spacing w:val="-17"/>
        </w:rPr>
        <w:t> </w:t>
      </w:r>
      <w:r>
        <w:rPr/>
        <w:t>ha</w:t>
      </w:r>
      <w:r>
        <w:rPr>
          <w:spacing w:val="-17"/>
        </w:rPr>
        <w:t> </w:t>
      </w:r>
      <w:r>
        <w:rPr/>
        <w:t>mencionado</w:t>
      </w:r>
      <w:r>
        <w:rPr>
          <w:spacing w:val="-16"/>
        </w:rPr>
        <w:t> </w:t>
      </w:r>
      <w:r>
        <w:rPr/>
        <w:t>la</w:t>
      </w:r>
      <w:r>
        <w:rPr>
          <w:spacing w:val="-17"/>
        </w:rPr>
        <w:t> </w:t>
      </w:r>
      <w:r>
        <w:rPr/>
        <w:t>importancia</w:t>
      </w:r>
      <w:r>
        <w:rPr>
          <w:spacing w:val="-14"/>
        </w:rPr>
        <w:t> </w:t>
      </w:r>
      <w:r>
        <w:rPr/>
        <w:t>que</w:t>
      </w:r>
      <w:r>
        <w:rPr>
          <w:spacing w:val="-17"/>
        </w:rPr>
        <w:t> </w:t>
      </w:r>
      <w:r>
        <w:rPr/>
        <w:t>esta</w:t>
      </w:r>
      <w:r>
        <w:rPr>
          <w:spacing w:val="-14"/>
        </w:rPr>
        <w:t> </w:t>
      </w:r>
      <w:r>
        <w:rPr/>
        <w:t>industria ha tomado como parte de los procesos productivos y el importante papel que juega en la cadena productiva de la industria</w:t>
      </w:r>
      <w:r>
        <w:rPr>
          <w:spacing w:val="-4"/>
        </w:rPr>
        <w:t> </w:t>
      </w:r>
      <w:r>
        <w:rPr/>
        <w:t>automotriz.</w:t>
      </w:r>
    </w:p>
    <w:p>
      <w:pPr>
        <w:pStyle w:val="BodyText"/>
        <w:spacing w:before="9"/>
        <w:rPr>
          <w:sz w:val="21"/>
        </w:rPr>
      </w:pPr>
    </w:p>
    <w:p>
      <w:pPr>
        <w:pStyle w:val="Heading1"/>
        <w:numPr>
          <w:ilvl w:val="2"/>
          <w:numId w:val="12"/>
        </w:numPr>
        <w:tabs>
          <w:tab w:pos="702" w:val="left" w:leader="none"/>
        </w:tabs>
        <w:spacing w:line="240" w:lineRule="auto" w:before="0" w:after="0"/>
        <w:ind w:left="702" w:right="0" w:hanging="600"/>
        <w:jc w:val="both"/>
      </w:pPr>
      <w:bookmarkStart w:name="_TOC_250023" w:id="12"/>
      <w:r>
        <w:rPr/>
        <w:t>La industria mundial de</w:t>
      </w:r>
      <w:r>
        <w:rPr>
          <w:spacing w:val="-9"/>
        </w:rPr>
        <w:t> </w:t>
      </w:r>
      <w:bookmarkEnd w:id="12"/>
      <w:r>
        <w:rPr/>
        <w:t>autopartes</w:t>
      </w:r>
    </w:p>
    <w:p>
      <w:pPr>
        <w:pStyle w:val="BodyText"/>
        <w:spacing w:before="4"/>
        <w:rPr>
          <w:b/>
          <w:sz w:val="32"/>
        </w:rPr>
      </w:pPr>
    </w:p>
    <w:p>
      <w:pPr>
        <w:pStyle w:val="BodyText"/>
        <w:spacing w:line="360" w:lineRule="auto"/>
        <w:ind w:left="102" w:right="116"/>
        <w:jc w:val="both"/>
      </w:pPr>
      <w:r>
        <w:rPr/>
        <w:t>La industria de autopartes representa 3% del total de la producción del sector</w:t>
      </w:r>
      <w:r>
        <w:rPr>
          <w:spacing w:val="-37"/>
        </w:rPr>
        <w:t> </w:t>
      </w:r>
      <w:r>
        <w:rPr/>
        <w:t>manufacturero a nivel mundial. La industria es muy diversa, engloba los bienes de consumo final que se utilizan para suministrar a la industria terminal de automóviles (armadoras), así como también se encarga de abastecer el mercado de remplazo o refracciones para automóviles usados (ProMéxico,</w:t>
      </w:r>
      <w:r>
        <w:rPr>
          <w:spacing w:val="-2"/>
        </w:rPr>
        <w:t> </w:t>
      </w:r>
      <w:r>
        <w:rPr/>
        <w:t>2012).</w:t>
      </w:r>
    </w:p>
    <w:p>
      <w:pPr>
        <w:pStyle w:val="BodyText"/>
        <w:spacing w:before="4"/>
        <w:rPr>
          <w:sz w:val="21"/>
        </w:rPr>
      </w:pPr>
    </w:p>
    <w:p>
      <w:pPr>
        <w:pStyle w:val="BodyText"/>
        <w:spacing w:line="360" w:lineRule="auto" w:before="1"/>
        <w:ind w:left="102" w:right="119"/>
        <w:jc w:val="both"/>
      </w:pPr>
      <w:r>
        <w:rPr/>
        <w:t>Como</w:t>
      </w:r>
      <w:r>
        <w:rPr>
          <w:spacing w:val="-8"/>
        </w:rPr>
        <w:t> </w:t>
      </w:r>
      <w:r>
        <w:rPr/>
        <w:t>se</w:t>
      </w:r>
      <w:r>
        <w:rPr>
          <w:spacing w:val="-9"/>
        </w:rPr>
        <w:t> </w:t>
      </w:r>
      <w:r>
        <w:rPr/>
        <w:t>mencionó,</w:t>
      </w:r>
      <w:r>
        <w:rPr>
          <w:spacing w:val="-8"/>
        </w:rPr>
        <w:t> </w:t>
      </w:r>
      <w:r>
        <w:rPr/>
        <w:t>la</w:t>
      </w:r>
      <w:r>
        <w:rPr>
          <w:spacing w:val="-10"/>
        </w:rPr>
        <w:t> </w:t>
      </w:r>
      <w:r>
        <w:rPr/>
        <w:t>industria</w:t>
      </w:r>
      <w:r>
        <w:rPr>
          <w:spacing w:val="-10"/>
        </w:rPr>
        <w:t> </w:t>
      </w:r>
      <w:r>
        <w:rPr/>
        <w:t>automotriz</w:t>
      </w:r>
      <w:r>
        <w:rPr>
          <w:spacing w:val="-7"/>
        </w:rPr>
        <w:t> </w:t>
      </w:r>
      <w:r>
        <w:rPr/>
        <w:t>es</w:t>
      </w:r>
      <w:r>
        <w:rPr>
          <w:spacing w:val="-8"/>
        </w:rPr>
        <w:t> </w:t>
      </w:r>
      <w:r>
        <w:rPr/>
        <w:t>una</w:t>
      </w:r>
      <w:r>
        <w:rPr>
          <w:spacing w:val="-12"/>
        </w:rPr>
        <w:t> </w:t>
      </w:r>
      <w:r>
        <w:rPr/>
        <w:t>de</w:t>
      </w:r>
      <w:r>
        <w:rPr>
          <w:spacing w:val="-10"/>
        </w:rPr>
        <w:t> </w:t>
      </w:r>
      <w:r>
        <w:rPr/>
        <w:t>las</w:t>
      </w:r>
      <w:r>
        <w:rPr>
          <w:spacing w:val="-9"/>
        </w:rPr>
        <w:t> </w:t>
      </w:r>
      <w:r>
        <w:rPr/>
        <w:t>más</w:t>
      </w:r>
      <w:r>
        <w:rPr>
          <w:spacing w:val="-9"/>
        </w:rPr>
        <w:t> </w:t>
      </w:r>
      <w:r>
        <w:rPr/>
        <w:t>amplias</w:t>
      </w:r>
      <w:r>
        <w:rPr>
          <w:spacing w:val="-7"/>
        </w:rPr>
        <w:t> </w:t>
      </w:r>
      <w:r>
        <w:rPr/>
        <w:t>y</w:t>
      </w:r>
      <w:r>
        <w:rPr>
          <w:spacing w:val="-16"/>
        </w:rPr>
        <w:t> </w:t>
      </w:r>
      <w:r>
        <w:rPr/>
        <w:t>diversificadas</w:t>
      </w:r>
      <w:r>
        <w:rPr>
          <w:spacing w:val="-8"/>
        </w:rPr>
        <w:t> </w:t>
      </w:r>
      <w:r>
        <w:rPr/>
        <w:t>a</w:t>
      </w:r>
      <w:r>
        <w:rPr>
          <w:spacing w:val="-10"/>
        </w:rPr>
        <w:t> </w:t>
      </w:r>
      <w:r>
        <w:rPr/>
        <w:t>nivel mundial,</w:t>
      </w:r>
      <w:r>
        <w:rPr>
          <w:spacing w:val="-6"/>
        </w:rPr>
        <w:t> </w:t>
      </w:r>
      <w:r>
        <w:rPr/>
        <w:t>debido</w:t>
      </w:r>
      <w:r>
        <w:rPr>
          <w:spacing w:val="-6"/>
        </w:rPr>
        <w:t> </w:t>
      </w:r>
      <w:r>
        <w:rPr/>
        <w:t>a</w:t>
      </w:r>
      <w:r>
        <w:rPr>
          <w:spacing w:val="-5"/>
        </w:rPr>
        <w:t> </w:t>
      </w:r>
      <w:r>
        <w:rPr/>
        <w:t>ello</w:t>
      </w:r>
      <w:r>
        <w:rPr>
          <w:spacing w:val="-3"/>
        </w:rPr>
        <w:t> </w:t>
      </w:r>
      <w:r>
        <w:rPr/>
        <w:t>es</w:t>
      </w:r>
      <w:r>
        <w:rPr>
          <w:spacing w:val="-4"/>
        </w:rPr>
        <w:t> </w:t>
      </w:r>
      <w:r>
        <w:rPr/>
        <w:t>también</w:t>
      </w:r>
      <w:r>
        <w:rPr>
          <w:spacing w:val="-7"/>
        </w:rPr>
        <w:t> </w:t>
      </w:r>
      <w:r>
        <w:rPr/>
        <w:t>una</w:t>
      </w:r>
      <w:r>
        <w:rPr>
          <w:spacing w:val="-7"/>
        </w:rPr>
        <w:t> </w:t>
      </w:r>
      <w:r>
        <w:rPr/>
        <w:t>de</w:t>
      </w:r>
      <w:r>
        <w:rPr>
          <w:spacing w:val="-7"/>
        </w:rPr>
        <w:t> </w:t>
      </w:r>
      <w:r>
        <w:rPr/>
        <w:t>las</w:t>
      </w:r>
      <w:r>
        <w:rPr>
          <w:spacing w:val="-6"/>
        </w:rPr>
        <w:t> </w:t>
      </w:r>
      <w:r>
        <w:rPr/>
        <w:t>más</w:t>
      </w:r>
      <w:r>
        <w:rPr>
          <w:spacing w:val="-4"/>
        </w:rPr>
        <w:t> </w:t>
      </w:r>
      <w:r>
        <w:rPr/>
        <w:t>complicadas</w:t>
      </w:r>
      <w:r>
        <w:rPr>
          <w:spacing w:val="-6"/>
        </w:rPr>
        <w:t> </w:t>
      </w:r>
      <w:r>
        <w:rPr/>
        <w:t>cuando</w:t>
      </w:r>
      <w:r>
        <w:rPr>
          <w:spacing w:val="-6"/>
        </w:rPr>
        <w:t> </w:t>
      </w:r>
      <w:r>
        <w:rPr/>
        <w:t>se</w:t>
      </w:r>
      <w:r>
        <w:rPr>
          <w:spacing w:val="-5"/>
        </w:rPr>
        <w:t> </w:t>
      </w:r>
      <w:r>
        <w:rPr/>
        <w:t>trata</w:t>
      </w:r>
      <w:r>
        <w:rPr>
          <w:spacing w:val="-7"/>
        </w:rPr>
        <w:t> </w:t>
      </w:r>
      <w:r>
        <w:rPr/>
        <w:t>de</w:t>
      </w:r>
      <w:r>
        <w:rPr>
          <w:spacing w:val="-5"/>
        </w:rPr>
        <w:t> </w:t>
      </w:r>
      <w:r>
        <w:rPr/>
        <w:t>analizar</w:t>
      </w:r>
      <w:r>
        <w:rPr>
          <w:spacing w:val="-7"/>
        </w:rPr>
        <w:t> </w:t>
      </w:r>
      <w:r>
        <w:rPr/>
        <w:t>las relaciones</w:t>
      </w:r>
      <w:r>
        <w:rPr>
          <w:spacing w:val="-15"/>
        </w:rPr>
        <w:t> </w:t>
      </w:r>
      <w:r>
        <w:rPr/>
        <w:t>que</w:t>
      </w:r>
      <w:r>
        <w:rPr>
          <w:spacing w:val="-15"/>
        </w:rPr>
        <w:t> </w:t>
      </w:r>
      <w:r>
        <w:rPr/>
        <w:t>se</w:t>
      </w:r>
      <w:r>
        <w:rPr>
          <w:spacing w:val="-15"/>
        </w:rPr>
        <w:t> </w:t>
      </w:r>
      <w:r>
        <w:rPr/>
        <w:t>presentan</w:t>
      </w:r>
      <w:r>
        <w:rPr>
          <w:spacing w:val="-15"/>
        </w:rPr>
        <w:t> </w:t>
      </w:r>
      <w:r>
        <w:rPr/>
        <w:t>entre</w:t>
      </w:r>
      <w:r>
        <w:rPr>
          <w:spacing w:val="-16"/>
        </w:rPr>
        <w:t> </w:t>
      </w:r>
      <w:r>
        <w:rPr/>
        <w:t>las</w:t>
      </w:r>
      <w:r>
        <w:rPr>
          <w:spacing w:val="-15"/>
        </w:rPr>
        <w:t> </w:t>
      </w:r>
      <w:r>
        <w:rPr/>
        <w:t>empresas</w:t>
      </w:r>
      <w:r>
        <w:rPr>
          <w:spacing w:val="-14"/>
        </w:rPr>
        <w:t> </w:t>
      </w:r>
      <w:r>
        <w:rPr/>
        <w:t>ensambladoras</w:t>
      </w:r>
      <w:r>
        <w:rPr>
          <w:spacing w:val="-12"/>
        </w:rPr>
        <w:t> </w:t>
      </w:r>
      <w:r>
        <w:rPr/>
        <w:t>y</w:t>
      </w:r>
      <w:r>
        <w:rPr>
          <w:spacing w:val="-19"/>
        </w:rPr>
        <w:t> </w:t>
      </w:r>
      <w:r>
        <w:rPr/>
        <w:t>las</w:t>
      </w:r>
      <w:r>
        <w:rPr>
          <w:spacing w:val="-15"/>
        </w:rPr>
        <w:t> </w:t>
      </w:r>
      <w:r>
        <w:rPr/>
        <w:t>proveedoras</w:t>
      </w:r>
      <w:r>
        <w:rPr>
          <w:spacing w:val="-14"/>
        </w:rPr>
        <w:t> </w:t>
      </w:r>
      <w:r>
        <w:rPr/>
        <w:t>de</w:t>
      </w:r>
      <w:r>
        <w:rPr>
          <w:spacing w:val="-15"/>
        </w:rPr>
        <w:t> </w:t>
      </w:r>
      <w:r>
        <w:rPr/>
        <w:t>autopartes (Carbajal,</w:t>
      </w:r>
      <w:r>
        <w:rPr>
          <w:spacing w:val="-4"/>
        </w:rPr>
        <w:t> </w:t>
      </w:r>
      <w:r>
        <w:rPr/>
        <w:t>2013).</w:t>
      </w:r>
    </w:p>
    <w:p>
      <w:pPr>
        <w:pStyle w:val="BodyText"/>
        <w:spacing w:before="4"/>
        <w:rPr>
          <w:sz w:val="21"/>
        </w:rPr>
      </w:pPr>
    </w:p>
    <w:p>
      <w:pPr>
        <w:pStyle w:val="BodyText"/>
        <w:spacing w:line="360" w:lineRule="auto" w:before="1"/>
        <w:ind w:left="102" w:right="117"/>
        <w:jc w:val="both"/>
      </w:pPr>
      <w:r>
        <w:rPr/>
        <w:t>La cadena de suministro del sector automotriz-autopartes es una de las más complejas derivado del gran tamaño que puede llegar a tener. Brunnermeier y Martin (1999) señalan que</w:t>
      </w:r>
      <w:r>
        <w:rPr>
          <w:spacing w:val="-7"/>
        </w:rPr>
        <w:t> </w:t>
      </w:r>
      <w:r>
        <w:rPr/>
        <w:t>en</w:t>
      </w:r>
      <w:r>
        <w:rPr>
          <w:spacing w:val="-6"/>
        </w:rPr>
        <w:t> </w:t>
      </w:r>
      <w:r>
        <w:rPr/>
        <w:t>la</w:t>
      </w:r>
      <w:r>
        <w:rPr>
          <w:spacing w:val="-4"/>
        </w:rPr>
        <w:t> </w:t>
      </w:r>
      <w:r>
        <w:rPr/>
        <w:t>actualidad</w:t>
      </w:r>
      <w:r>
        <w:rPr>
          <w:spacing w:val="-5"/>
        </w:rPr>
        <w:t> </w:t>
      </w:r>
      <w:r>
        <w:rPr/>
        <w:t>un</w:t>
      </w:r>
      <w:r>
        <w:rPr>
          <w:spacing w:val="-6"/>
        </w:rPr>
        <w:t> </w:t>
      </w:r>
      <w:r>
        <w:rPr/>
        <w:t>automóvil</w:t>
      </w:r>
      <w:r>
        <w:rPr>
          <w:spacing w:val="-5"/>
        </w:rPr>
        <w:t> </w:t>
      </w:r>
      <w:r>
        <w:rPr/>
        <w:t>se</w:t>
      </w:r>
      <w:r>
        <w:rPr>
          <w:spacing w:val="-7"/>
        </w:rPr>
        <w:t> </w:t>
      </w:r>
      <w:r>
        <w:rPr/>
        <w:t>compone</w:t>
      </w:r>
      <w:r>
        <w:rPr>
          <w:spacing w:val="-7"/>
        </w:rPr>
        <w:t> </w:t>
      </w:r>
      <w:r>
        <w:rPr/>
        <w:t>de</w:t>
      </w:r>
      <w:r>
        <w:rPr>
          <w:spacing w:val="-5"/>
        </w:rPr>
        <w:t> </w:t>
      </w:r>
      <w:r>
        <w:rPr/>
        <w:t>aproximadamente</w:t>
      </w:r>
      <w:r>
        <w:rPr>
          <w:spacing w:val="-5"/>
        </w:rPr>
        <w:t> </w:t>
      </w:r>
      <w:r>
        <w:rPr/>
        <w:t>15</w:t>
      </w:r>
      <w:r>
        <w:rPr>
          <w:spacing w:val="-6"/>
        </w:rPr>
        <w:t> </w:t>
      </w:r>
      <w:r>
        <w:rPr/>
        <w:t>mil</w:t>
      </w:r>
      <w:r>
        <w:rPr>
          <w:spacing w:val="-6"/>
        </w:rPr>
        <w:t> </w:t>
      </w:r>
      <w:r>
        <w:rPr/>
        <w:t>partes,</w:t>
      </w:r>
      <w:r>
        <w:rPr>
          <w:spacing w:val="-6"/>
        </w:rPr>
        <w:t> </w:t>
      </w:r>
      <w:r>
        <w:rPr/>
        <w:t>de</w:t>
      </w:r>
      <w:r>
        <w:rPr>
          <w:spacing w:val="-5"/>
        </w:rPr>
        <w:t> </w:t>
      </w:r>
      <w:r>
        <w:rPr/>
        <w:t>las</w:t>
      </w:r>
      <w:r>
        <w:rPr>
          <w:spacing w:val="-7"/>
        </w:rPr>
        <w:t> </w:t>
      </w:r>
      <w:r>
        <w:rPr/>
        <w:t>que un fabricante de automóviles normalmente diseña y produce sólo algunas, la gran mayoría son</w:t>
      </w:r>
      <w:r>
        <w:rPr>
          <w:spacing w:val="-5"/>
        </w:rPr>
        <w:t> </w:t>
      </w:r>
      <w:r>
        <w:rPr/>
        <w:t>suministradas</w:t>
      </w:r>
      <w:r>
        <w:rPr>
          <w:spacing w:val="-5"/>
        </w:rPr>
        <w:t> </w:t>
      </w:r>
      <w:r>
        <w:rPr/>
        <w:t>por</w:t>
      </w:r>
      <w:r>
        <w:rPr>
          <w:spacing w:val="-6"/>
        </w:rPr>
        <w:t> </w:t>
      </w:r>
      <w:r>
        <w:rPr/>
        <w:t>sus</w:t>
      </w:r>
      <w:r>
        <w:rPr>
          <w:spacing w:val="-7"/>
        </w:rPr>
        <w:t> </w:t>
      </w:r>
      <w:r>
        <w:rPr/>
        <w:t>proveedores</w:t>
      </w:r>
      <w:r>
        <w:rPr>
          <w:spacing w:val="-5"/>
        </w:rPr>
        <w:t> </w:t>
      </w:r>
      <w:r>
        <w:rPr/>
        <w:t>directos,</w:t>
      </w:r>
      <w:r>
        <w:rPr>
          <w:spacing w:val="-4"/>
        </w:rPr>
        <w:t> </w:t>
      </w:r>
      <w:r>
        <w:rPr/>
        <w:t>los</w:t>
      </w:r>
      <w:r>
        <w:rPr>
          <w:spacing w:val="-4"/>
        </w:rPr>
        <w:t> </w:t>
      </w:r>
      <w:r>
        <w:rPr/>
        <w:t>cuales</w:t>
      </w:r>
      <w:r>
        <w:rPr>
          <w:spacing w:val="-5"/>
        </w:rPr>
        <w:t> </w:t>
      </w:r>
      <w:r>
        <w:rPr/>
        <w:t>a</w:t>
      </w:r>
      <w:r>
        <w:rPr>
          <w:spacing w:val="-6"/>
        </w:rPr>
        <w:t> </w:t>
      </w:r>
      <w:r>
        <w:rPr/>
        <w:t>su</w:t>
      </w:r>
      <w:r>
        <w:rPr>
          <w:spacing w:val="-5"/>
        </w:rPr>
        <w:t> </w:t>
      </w:r>
      <w:r>
        <w:rPr/>
        <w:t>vez</w:t>
      </w:r>
      <w:r>
        <w:rPr>
          <w:spacing w:val="-4"/>
        </w:rPr>
        <w:t> </w:t>
      </w:r>
      <w:r>
        <w:rPr/>
        <w:t>son</w:t>
      </w:r>
      <w:r>
        <w:rPr>
          <w:spacing w:val="-5"/>
        </w:rPr>
        <w:t> </w:t>
      </w:r>
      <w:r>
        <w:rPr/>
        <w:t>abastecidos</w:t>
      </w:r>
      <w:r>
        <w:rPr>
          <w:spacing w:val="-4"/>
        </w:rPr>
        <w:t> </w:t>
      </w:r>
      <w:r>
        <w:rPr/>
        <w:t>por</w:t>
      </w:r>
      <w:r>
        <w:rPr>
          <w:spacing w:val="-6"/>
        </w:rPr>
        <w:t> </w:t>
      </w:r>
      <w:r>
        <w:rPr/>
        <w:t>otros sub-proveedores, y así</w:t>
      </w:r>
      <w:r>
        <w:rPr>
          <w:spacing w:val="-8"/>
        </w:rPr>
        <w:t> </w:t>
      </w:r>
      <w:r>
        <w:rPr/>
        <w:t>sucesivamente.</w:t>
      </w:r>
    </w:p>
    <w:p>
      <w:pPr>
        <w:spacing w:after="0" w:line="360" w:lineRule="auto"/>
        <w:jc w:val="both"/>
        <w:sectPr>
          <w:pgSz w:w="12240" w:h="15840"/>
          <w:pgMar w:header="0" w:footer="1035" w:top="1360" w:bottom="1220" w:left="1600" w:right="1580"/>
        </w:sectPr>
      </w:pPr>
    </w:p>
    <w:p>
      <w:pPr>
        <w:pStyle w:val="Heading1"/>
        <w:spacing w:before="55"/>
        <w:ind w:right="407"/>
        <w:jc w:val="center"/>
      </w:pPr>
      <w:r>
        <w:rPr/>
        <w:t>Esquema 2.1. Complejidad de la cadena de suministro del sector automotriz</w:t>
      </w:r>
    </w:p>
    <w:p>
      <w:pPr>
        <w:pStyle w:val="BodyText"/>
        <w:spacing w:before="5"/>
        <w:rPr>
          <w:b/>
          <w:sz w:val="12"/>
        </w:rPr>
      </w:pPr>
      <w:r>
        <w:rPr/>
        <w:pict>
          <v:group style="position:absolute;margin-left:161.279999pt;margin-top:9.144317pt;width:293.3pt;height:156.4pt;mso-position-horizontal-relative:page;mso-position-vertical-relative:paragraph;z-index:1480;mso-wrap-distance-left:0;mso-wrap-distance-right:0" coordorigin="3226,183" coordsize="5866,3128">
            <v:shape style="position:absolute;left:3226;top:183;width:5866;height:3127" type="#_x0000_t75" stroked="false">
              <v:imagedata r:id="rId11" o:title=""/>
            </v:shape>
            <v:shape style="position:absolute;left:3271;top:228;width:5688;height:2950" type="#_x0000_t75" stroked="false">
              <v:imagedata r:id="rId12" o:title=""/>
            </v:shape>
            <v:rect style="position:absolute;left:3269;top:226;width:5693;height:2954" filled="false" stroked="true" strokeweight=".24pt" strokecolor="#000000"/>
            <w10:wrap type="topAndBottom"/>
          </v:group>
        </w:pict>
      </w:r>
    </w:p>
    <w:p>
      <w:pPr>
        <w:spacing w:before="113"/>
        <w:ind w:left="383" w:right="398" w:firstLine="0"/>
        <w:jc w:val="center"/>
        <w:rPr>
          <w:sz w:val="18"/>
        </w:rPr>
      </w:pPr>
      <w:r>
        <w:rPr>
          <w:sz w:val="18"/>
        </w:rPr>
        <w:t>Fuente: Jiménez, 2006.</w:t>
      </w:r>
    </w:p>
    <w:p>
      <w:pPr>
        <w:pStyle w:val="BodyText"/>
        <w:rPr>
          <w:sz w:val="18"/>
        </w:rPr>
      </w:pPr>
    </w:p>
    <w:p>
      <w:pPr>
        <w:pStyle w:val="BodyText"/>
        <w:spacing w:line="360" w:lineRule="auto" w:before="137"/>
        <w:ind w:left="102" w:right="119"/>
        <w:jc w:val="both"/>
      </w:pPr>
      <w:r>
        <w:rPr/>
        <w:t>A simple vista esta descripción jerárquica parece muy simple, sin embargo, la posición de una compañía en la cadena de suministro puede diferir dependiendo del tipo de autopartes que suministra, y del cliente.</w:t>
      </w:r>
    </w:p>
    <w:p>
      <w:pPr>
        <w:pStyle w:val="BodyText"/>
        <w:spacing w:before="2"/>
        <w:rPr>
          <w:sz w:val="21"/>
        </w:rPr>
      </w:pPr>
    </w:p>
    <w:p>
      <w:pPr>
        <w:pStyle w:val="BodyText"/>
        <w:spacing w:line="360" w:lineRule="auto" w:before="1"/>
        <w:ind w:left="102" w:right="114"/>
        <w:jc w:val="both"/>
      </w:pPr>
      <w:r>
        <w:rPr/>
        <w:t>Como ejemplo de ello tenemos el esquema 2.1 en el que un proveedor directo que surte transmisiones automáticas a un fabricante de automóviles puede también ser un sub- proveedor que aprovisiona indirectamente juegos de engranes a otro fabricante de automóviles. Más aún, estas compañías, especialmente los sub-proveedores,</w:t>
      </w:r>
      <w:r>
        <w:rPr>
          <w:spacing w:val="-24"/>
        </w:rPr>
        <w:t> </w:t>
      </w:r>
      <w:r>
        <w:rPr/>
        <w:t>frecuentemente suministran componentes a clientes que se encuentran fuera de la industria automotriz (Jiménez,</w:t>
      </w:r>
      <w:r>
        <w:rPr>
          <w:spacing w:val="-2"/>
        </w:rPr>
        <w:t> </w:t>
      </w:r>
      <w:r>
        <w:rPr/>
        <w:t>2006).</w:t>
      </w:r>
    </w:p>
    <w:p>
      <w:pPr>
        <w:pStyle w:val="BodyText"/>
        <w:spacing w:before="2"/>
        <w:rPr>
          <w:sz w:val="21"/>
        </w:rPr>
      </w:pPr>
    </w:p>
    <w:p>
      <w:pPr>
        <w:pStyle w:val="BodyText"/>
        <w:spacing w:line="360" w:lineRule="auto"/>
        <w:ind w:left="102" w:right="120"/>
        <w:jc w:val="both"/>
      </w:pPr>
      <w:r>
        <w:rPr/>
        <w:t>Fine y Whitney (1996), agregan que los proveedores de herramientas, robots, ordenadores, equipo especializado de cómputo y programas computacionales, también son parte importante de la cadena de suministro del automóvil. Si a esto se le agrega que las distintas empresas que forman parte de esta cadena se localizan en sitios geográficamente diferentes, la complejidad de su análisis es aún mayor (Jiménez, 2006).</w:t>
      </w:r>
    </w:p>
    <w:p>
      <w:pPr>
        <w:pStyle w:val="BodyText"/>
        <w:spacing w:before="4"/>
        <w:rPr>
          <w:sz w:val="21"/>
        </w:rPr>
      </w:pPr>
    </w:p>
    <w:p>
      <w:pPr>
        <w:pStyle w:val="BodyText"/>
        <w:spacing w:line="360" w:lineRule="auto" w:before="1"/>
        <w:ind w:left="102" w:right="120"/>
        <w:jc w:val="both"/>
      </w:pPr>
      <w:r>
        <w:rPr/>
        <w:t>Para entender el funcionamiento de la cadena de suministro de esta importante industria, a continuación se presenta una breve descripción de la estructura y dimensiones de la cadena, identificándose los miembros de la misma y sus principales funciones.</w:t>
      </w:r>
    </w:p>
    <w:p>
      <w:pPr>
        <w:pStyle w:val="BodyText"/>
        <w:spacing w:before="2"/>
        <w:rPr>
          <w:sz w:val="21"/>
        </w:rPr>
      </w:pPr>
    </w:p>
    <w:p>
      <w:pPr>
        <w:pStyle w:val="BodyText"/>
        <w:spacing w:line="360" w:lineRule="auto"/>
        <w:ind w:left="102" w:right="118"/>
        <w:jc w:val="both"/>
      </w:pPr>
      <w:r>
        <w:rPr/>
        <w:t>La cadena de suministro del sector automotriz puede delimitarse utilizando el marco conceptual</w:t>
      </w:r>
      <w:r>
        <w:rPr>
          <w:spacing w:val="-13"/>
        </w:rPr>
        <w:t> </w:t>
      </w:r>
      <w:r>
        <w:rPr/>
        <w:t>desarrollado</w:t>
      </w:r>
      <w:r>
        <w:rPr>
          <w:spacing w:val="-13"/>
        </w:rPr>
        <w:t> </w:t>
      </w:r>
      <w:r>
        <w:rPr/>
        <w:t>por</w:t>
      </w:r>
      <w:r>
        <w:rPr>
          <w:spacing w:val="-12"/>
        </w:rPr>
        <w:t> </w:t>
      </w:r>
      <w:r>
        <w:rPr/>
        <w:t>Lambert</w:t>
      </w:r>
      <w:r>
        <w:rPr>
          <w:spacing w:val="-13"/>
        </w:rPr>
        <w:t> </w:t>
      </w:r>
      <w:r>
        <w:rPr/>
        <w:t>(2001).</w:t>
      </w:r>
      <w:r>
        <w:rPr>
          <w:spacing w:val="-14"/>
        </w:rPr>
        <w:t> </w:t>
      </w:r>
      <w:r>
        <w:rPr/>
        <w:t>Este</w:t>
      </w:r>
      <w:r>
        <w:rPr>
          <w:spacing w:val="-14"/>
        </w:rPr>
        <w:t> </w:t>
      </w:r>
      <w:r>
        <w:rPr/>
        <w:t>autor</w:t>
      </w:r>
      <w:r>
        <w:rPr>
          <w:spacing w:val="-14"/>
        </w:rPr>
        <w:t> </w:t>
      </w:r>
      <w:r>
        <w:rPr/>
        <w:t>señala</w:t>
      </w:r>
      <w:r>
        <w:rPr>
          <w:spacing w:val="-14"/>
        </w:rPr>
        <w:t> </w:t>
      </w:r>
      <w:r>
        <w:rPr/>
        <w:t>que</w:t>
      </w:r>
      <w:r>
        <w:rPr>
          <w:spacing w:val="-12"/>
        </w:rPr>
        <w:t> </w:t>
      </w:r>
      <w:r>
        <w:rPr/>
        <w:t>en</w:t>
      </w:r>
      <w:r>
        <w:rPr>
          <w:spacing w:val="-13"/>
        </w:rPr>
        <w:t> </w:t>
      </w:r>
      <w:r>
        <w:rPr/>
        <w:t>la</w:t>
      </w:r>
      <w:r>
        <w:rPr>
          <w:spacing w:val="-14"/>
        </w:rPr>
        <w:t> </w:t>
      </w:r>
      <w:r>
        <w:rPr/>
        <w:t>cadena</w:t>
      </w:r>
      <w:r>
        <w:rPr>
          <w:spacing w:val="-14"/>
        </w:rPr>
        <w:t> </w:t>
      </w:r>
      <w:r>
        <w:rPr/>
        <w:t>de</w:t>
      </w:r>
      <w:r>
        <w:rPr>
          <w:spacing w:val="-14"/>
        </w:rPr>
        <w:t> </w:t>
      </w:r>
      <w:r>
        <w:rPr/>
        <w:t>suministro</w:t>
      </w:r>
    </w:p>
    <w:p>
      <w:pPr>
        <w:spacing w:after="0" w:line="360" w:lineRule="auto"/>
        <w:jc w:val="both"/>
        <w:sectPr>
          <w:pgSz w:w="12240" w:h="15840"/>
          <w:pgMar w:header="0" w:footer="1035" w:top="1360" w:bottom="1220" w:left="1600" w:right="1580"/>
        </w:sectPr>
      </w:pPr>
    </w:p>
    <w:p>
      <w:pPr>
        <w:pStyle w:val="BodyText"/>
        <w:spacing w:line="360" w:lineRule="auto" w:before="50"/>
        <w:ind w:left="102" w:right="119"/>
        <w:jc w:val="both"/>
      </w:pPr>
      <w:r>
        <w:rPr/>
        <w:t>existe</w:t>
      </w:r>
      <w:r>
        <w:rPr>
          <w:spacing w:val="-5"/>
        </w:rPr>
        <w:t> </w:t>
      </w:r>
      <w:r>
        <w:rPr/>
        <w:t>un</w:t>
      </w:r>
      <w:r>
        <w:rPr>
          <w:spacing w:val="-4"/>
        </w:rPr>
        <w:t> </w:t>
      </w:r>
      <w:r>
        <w:rPr/>
        <w:t>proceso</w:t>
      </w:r>
      <w:r>
        <w:rPr>
          <w:spacing w:val="-4"/>
        </w:rPr>
        <w:t> </w:t>
      </w:r>
      <w:r>
        <w:rPr/>
        <w:t>de</w:t>
      </w:r>
      <w:r>
        <w:rPr>
          <w:spacing w:val="-5"/>
        </w:rPr>
        <w:t> </w:t>
      </w:r>
      <w:r>
        <w:rPr/>
        <w:t>interrelación</w:t>
      </w:r>
      <w:r>
        <w:rPr>
          <w:spacing w:val="-3"/>
        </w:rPr>
        <w:t> </w:t>
      </w:r>
      <w:r>
        <w:rPr/>
        <w:t>natural</w:t>
      </w:r>
      <w:r>
        <w:rPr>
          <w:spacing w:val="-2"/>
        </w:rPr>
        <w:t> </w:t>
      </w:r>
      <w:r>
        <w:rPr/>
        <w:t>que</w:t>
      </w:r>
      <w:r>
        <w:rPr>
          <w:spacing w:val="-5"/>
        </w:rPr>
        <w:t> </w:t>
      </w:r>
      <w:r>
        <w:rPr/>
        <w:t>se</w:t>
      </w:r>
      <w:r>
        <w:rPr>
          <w:spacing w:val="-5"/>
        </w:rPr>
        <w:t> </w:t>
      </w:r>
      <w:r>
        <w:rPr/>
        <w:t>da</w:t>
      </w:r>
      <w:r>
        <w:rPr>
          <w:spacing w:val="-3"/>
        </w:rPr>
        <w:t> </w:t>
      </w:r>
      <w:r>
        <w:rPr/>
        <w:t>a</w:t>
      </w:r>
      <w:r>
        <w:rPr>
          <w:spacing w:val="-5"/>
        </w:rPr>
        <w:t> </w:t>
      </w:r>
      <w:r>
        <w:rPr/>
        <w:t>través</w:t>
      </w:r>
      <w:r>
        <w:rPr>
          <w:spacing w:val="-4"/>
        </w:rPr>
        <w:t> </w:t>
      </w:r>
      <w:r>
        <w:rPr/>
        <w:t>de</w:t>
      </w:r>
      <w:r>
        <w:rPr>
          <w:spacing w:val="-5"/>
        </w:rPr>
        <w:t> </w:t>
      </w:r>
      <w:r>
        <w:rPr/>
        <w:t>varias</w:t>
      </w:r>
      <w:r>
        <w:rPr>
          <w:spacing w:val="-1"/>
        </w:rPr>
        <w:t> </w:t>
      </w:r>
      <w:r>
        <w:rPr/>
        <w:t>etapas</w:t>
      </w:r>
      <w:r>
        <w:rPr>
          <w:spacing w:val="-1"/>
        </w:rPr>
        <w:t> </w:t>
      </w:r>
      <w:r>
        <w:rPr/>
        <w:t>(eslabones</w:t>
      </w:r>
      <w:r>
        <w:rPr>
          <w:spacing w:val="-4"/>
        </w:rPr>
        <w:t> </w:t>
      </w:r>
      <w:r>
        <w:rPr/>
        <w:t>de</w:t>
      </w:r>
      <w:r>
        <w:rPr>
          <w:spacing w:val="-5"/>
        </w:rPr>
        <w:t> </w:t>
      </w:r>
      <w:r>
        <w:rPr/>
        <w:t>la cadena), y que su configuración permite identificar tres elementos clave que se interrelacionan</w:t>
      </w:r>
      <w:r>
        <w:rPr>
          <w:spacing w:val="54"/>
        </w:rPr>
        <w:t> </w:t>
      </w:r>
      <w:r>
        <w:rPr/>
        <w:t>fuertemente:</w:t>
      </w:r>
    </w:p>
    <w:p>
      <w:pPr>
        <w:pStyle w:val="ListParagraph"/>
        <w:numPr>
          <w:ilvl w:val="3"/>
          <w:numId w:val="12"/>
        </w:numPr>
        <w:tabs>
          <w:tab w:pos="1050" w:val="left" w:leader="none"/>
        </w:tabs>
        <w:spacing w:line="360" w:lineRule="auto" w:before="6" w:after="0"/>
        <w:ind w:left="102" w:right="117" w:firstLine="708"/>
        <w:jc w:val="both"/>
        <w:rPr>
          <w:sz w:val="24"/>
        </w:rPr>
      </w:pPr>
      <w:r>
        <w:rPr>
          <w:i/>
          <w:sz w:val="24"/>
        </w:rPr>
        <w:t>La</w:t>
      </w:r>
      <w:r>
        <w:rPr>
          <w:i/>
          <w:spacing w:val="-6"/>
          <w:sz w:val="24"/>
        </w:rPr>
        <w:t> </w:t>
      </w:r>
      <w:r>
        <w:rPr>
          <w:i/>
          <w:sz w:val="24"/>
        </w:rPr>
        <w:t>estructura</w:t>
      </w:r>
      <w:r>
        <w:rPr>
          <w:i/>
          <w:spacing w:val="-6"/>
          <w:sz w:val="24"/>
        </w:rPr>
        <w:t> </w:t>
      </w:r>
      <w:r>
        <w:rPr>
          <w:i/>
          <w:sz w:val="24"/>
        </w:rPr>
        <w:t>de</w:t>
      </w:r>
      <w:r>
        <w:rPr>
          <w:i/>
          <w:spacing w:val="-7"/>
          <w:sz w:val="24"/>
        </w:rPr>
        <w:t> </w:t>
      </w:r>
      <w:r>
        <w:rPr>
          <w:i/>
          <w:sz w:val="24"/>
        </w:rPr>
        <w:t>la</w:t>
      </w:r>
      <w:r>
        <w:rPr>
          <w:i/>
          <w:spacing w:val="-6"/>
          <w:sz w:val="24"/>
        </w:rPr>
        <w:t> </w:t>
      </w:r>
      <w:r>
        <w:rPr>
          <w:i/>
          <w:sz w:val="24"/>
        </w:rPr>
        <w:t>cadena</w:t>
      </w:r>
      <w:r>
        <w:rPr>
          <w:i/>
          <w:spacing w:val="-5"/>
          <w:sz w:val="24"/>
        </w:rPr>
        <w:t> </w:t>
      </w:r>
      <w:r>
        <w:rPr>
          <w:i/>
          <w:sz w:val="24"/>
        </w:rPr>
        <w:t>de</w:t>
      </w:r>
      <w:r>
        <w:rPr>
          <w:i/>
          <w:spacing w:val="-7"/>
          <w:sz w:val="24"/>
        </w:rPr>
        <w:t> </w:t>
      </w:r>
      <w:r>
        <w:rPr>
          <w:i/>
          <w:sz w:val="24"/>
        </w:rPr>
        <w:t>suministro</w:t>
      </w:r>
      <w:r>
        <w:rPr>
          <w:i/>
          <w:spacing w:val="-6"/>
          <w:sz w:val="24"/>
        </w:rPr>
        <w:t> </w:t>
      </w:r>
      <w:r>
        <w:rPr>
          <w:i/>
          <w:sz w:val="24"/>
        </w:rPr>
        <w:t>(red</w:t>
      </w:r>
      <w:r>
        <w:rPr>
          <w:i/>
          <w:spacing w:val="-6"/>
          <w:sz w:val="24"/>
        </w:rPr>
        <w:t> </w:t>
      </w:r>
      <w:r>
        <w:rPr>
          <w:i/>
          <w:sz w:val="24"/>
        </w:rPr>
        <w:t>de</w:t>
      </w:r>
      <w:r>
        <w:rPr>
          <w:i/>
          <w:spacing w:val="-7"/>
          <w:sz w:val="24"/>
        </w:rPr>
        <w:t> </w:t>
      </w:r>
      <w:r>
        <w:rPr>
          <w:i/>
          <w:sz w:val="24"/>
        </w:rPr>
        <w:t>empresas):</w:t>
      </w:r>
      <w:r>
        <w:rPr>
          <w:i/>
          <w:spacing w:val="-2"/>
          <w:sz w:val="24"/>
        </w:rPr>
        <w:t> </w:t>
      </w:r>
      <w:r>
        <w:rPr>
          <w:sz w:val="24"/>
        </w:rPr>
        <w:t>consiste</w:t>
      </w:r>
      <w:r>
        <w:rPr>
          <w:spacing w:val="-6"/>
          <w:sz w:val="24"/>
        </w:rPr>
        <w:t> </w:t>
      </w:r>
      <w:r>
        <w:rPr>
          <w:sz w:val="24"/>
        </w:rPr>
        <w:t>en</w:t>
      </w:r>
      <w:r>
        <w:rPr>
          <w:spacing w:val="-2"/>
          <w:sz w:val="24"/>
        </w:rPr>
        <w:t> </w:t>
      </w:r>
      <w:r>
        <w:rPr>
          <w:sz w:val="24"/>
        </w:rPr>
        <w:t>la</w:t>
      </w:r>
      <w:r>
        <w:rPr>
          <w:spacing w:val="-7"/>
          <w:sz w:val="24"/>
        </w:rPr>
        <w:t> </w:t>
      </w:r>
      <w:r>
        <w:rPr>
          <w:sz w:val="24"/>
        </w:rPr>
        <w:t>red</w:t>
      </w:r>
      <w:r>
        <w:rPr>
          <w:spacing w:val="-6"/>
          <w:sz w:val="24"/>
        </w:rPr>
        <w:t> </w:t>
      </w:r>
      <w:r>
        <w:rPr>
          <w:sz w:val="24"/>
        </w:rPr>
        <w:t>que forman las diversas empresas que participan en una secuencia de producción y servicios, desde el abasto de materias primas hasta la entrega del producto final, el</w:t>
      </w:r>
      <w:r>
        <w:rPr>
          <w:spacing w:val="-8"/>
          <w:sz w:val="24"/>
        </w:rPr>
        <w:t> </w:t>
      </w:r>
      <w:r>
        <w:rPr>
          <w:sz w:val="24"/>
        </w:rPr>
        <w:t>automóvil.</w:t>
      </w:r>
    </w:p>
    <w:p>
      <w:pPr>
        <w:pStyle w:val="ListParagraph"/>
        <w:numPr>
          <w:ilvl w:val="3"/>
          <w:numId w:val="12"/>
        </w:numPr>
        <w:tabs>
          <w:tab w:pos="1070" w:val="left" w:leader="none"/>
        </w:tabs>
        <w:spacing w:line="360" w:lineRule="auto" w:before="4" w:after="0"/>
        <w:ind w:left="102" w:right="240" w:firstLine="708"/>
        <w:jc w:val="both"/>
        <w:rPr>
          <w:sz w:val="24"/>
        </w:rPr>
      </w:pPr>
      <w:r>
        <w:rPr>
          <w:i/>
          <w:sz w:val="24"/>
        </w:rPr>
        <w:t>Las dimensiones estructurales de la red</w:t>
      </w:r>
      <w:r>
        <w:rPr>
          <w:sz w:val="24"/>
        </w:rPr>
        <w:t>: la estructura y largo de la cadena estará definida por el número de proveedores y clientes en cada nivel y por la posición que</w:t>
      </w:r>
      <w:r>
        <w:rPr>
          <w:spacing w:val="-13"/>
          <w:sz w:val="24"/>
        </w:rPr>
        <w:t> </w:t>
      </w:r>
      <w:r>
        <w:rPr>
          <w:sz w:val="24"/>
        </w:rPr>
        <w:t>ocupa una compañía en la</w:t>
      </w:r>
      <w:r>
        <w:rPr>
          <w:spacing w:val="-3"/>
          <w:sz w:val="24"/>
        </w:rPr>
        <w:t> </w:t>
      </w:r>
      <w:r>
        <w:rPr>
          <w:sz w:val="24"/>
        </w:rPr>
        <w:t>cadena;</w:t>
      </w:r>
    </w:p>
    <w:p>
      <w:pPr>
        <w:pStyle w:val="ListParagraph"/>
        <w:numPr>
          <w:ilvl w:val="3"/>
          <w:numId w:val="12"/>
        </w:numPr>
        <w:tabs>
          <w:tab w:pos="1079" w:val="left" w:leader="none"/>
        </w:tabs>
        <w:spacing w:line="360" w:lineRule="auto" w:before="6" w:after="0"/>
        <w:ind w:left="102" w:right="118" w:firstLine="708"/>
        <w:jc w:val="both"/>
        <w:rPr>
          <w:sz w:val="24"/>
        </w:rPr>
      </w:pPr>
      <w:r>
        <w:rPr>
          <w:i/>
          <w:sz w:val="24"/>
        </w:rPr>
        <w:t>Identificación de los miembros de la cadena de suministro </w:t>
      </w:r>
      <w:r>
        <w:rPr>
          <w:sz w:val="24"/>
        </w:rPr>
        <w:t>se identifican por la función y participación en la integración del automóvil, y se clasifican por la manera en que interactúan con los ensambladores de automóviles (empresa central), </w:t>
      </w:r>
      <w:r>
        <w:rPr>
          <w:spacing w:val="-3"/>
          <w:sz w:val="24"/>
        </w:rPr>
        <w:t>ya </w:t>
      </w:r>
      <w:r>
        <w:rPr>
          <w:sz w:val="24"/>
        </w:rPr>
        <w:t>sea directa o indirectamente.</w:t>
      </w:r>
    </w:p>
    <w:p>
      <w:pPr>
        <w:pStyle w:val="BodyText"/>
        <w:spacing w:before="4"/>
        <w:rPr>
          <w:sz w:val="21"/>
        </w:rPr>
      </w:pPr>
    </w:p>
    <w:p>
      <w:pPr>
        <w:pStyle w:val="BodyText"/>
        <w:spacing w:line="360" w:lineRule="auto" w:before="1"/>
        <w:ind w:left="102" w:right="121"/>
        <w:jc w:val="both"/>
      </w:pPr>
      <w:r>
        <w:rPr/>
        <w:t>Las compañías que forman la cadena pueden clasificarse como miembros primarios (directos), comprende todas aquellas compañías autónomas o unidades comerciales estratégicas que llevan a cabo actividades de valor agregado, operativas o de gestión en los procesos comerciales, generando un rendimiento específico para un cliente en particular o mercado; y de apoyo (indirecto), comprende a compañías que simplemente proveen los recursos,</w:t>
      </w:r>
      <w:r>
        <w:rPr>
          <w:spacing w:val="-7"/>
        </w:rPr>
        <w:t> </w:t>
      </w:r>
      <w:r>
        <w:rPr/>
        <w:t>conocimientos</w:t>
      </w:r>
      <w:r>
        <w:rPr>
          <w:spacing w:val="-6"/>
        </w:rPr>
        <w:t> </w:t>
      </w:r>
      <w:r>
        <w:rPr/>
        <w:t>y</w:t>
      </w:r>
      <w:r>
        <w:rPr>
          <w:spacing w:val="-11"/>
        </w:rPr>
        <w:t> </w:t>
      </w:r>
      <w:r>
        <w:rPr/>
        <w:t>utilidades</w:t>
      </w:r>
      <w:r>
        <w:rPr>
          <w:spacing w:val="-6"/>
        </w:rPr>
        <w:t> </w:t>
      </w:r>
      <w:r>
        <w:rPr/>
        <w:t>para</w:t>
      </w:r>
      <w:r>
        <w:rPr>
          <w:spacing w:val="-10"/>
        </w:rPr>
        <w:t> </w:t>
      </w:r>
      <w:r>
        <w:rPr/>
        <w:t>los</w:t>
      </w:r>
      <w:r>
        <w:rPr>
          <w:spacing w:val="-6"/>
        </w:rPr>
        <w:t> </w:t>
      </w:r>
      <w:r>
        <w:rPr/>
        <w:t>miembros</w:t>
      </w:r>
      <w:r>
        <w:rPr>
          <w:spacing w:val="-9"/>
        </w:rPr>
        <w:t> </w:t>
      </w:r>
      <w:r>
        <w:rPr/>
        <w:t>primarios</w:t>
      </w:r>
      <w:r>
        <w:rPr>
          <w:spacing w:val="-9"/>
        </w:rPr>
        <w:t> </w:t>
      </w:r>
      <w:r>
        <w:rPr/>
        <w:t>de</w:t>
      </w:r>
      <w:r>
        <w:rPr>
          <w:spacing w:val="-10"/>
        </w:rPr>
        <w:t> </w:t>
      </w:r>
      <w:r>
        <w:rPr/>
        <w:t>la</w:t>
      </w:r>
      <w:r>
        <w:rPr>
          <w:spacing w:val="-7"/>
        </w:rPr>
        <w:t> </w:t>
      </w:r>
      <w:r>
        <w:rPr/>
        <w:t>cadena</w:t>
      </w:r>
      <w:r>
        <w:rPr>
          <w:spacing w:val="-10"/>
        </w:rPr>
        <w:t> </w:t>
      </w:r>
      <w:r>
        <w:rPr/>
        <w:t>de</w:t>
      </w:r>
      <w:r>
        <w:rPr>
          <w:spacing w:val="-10"/>
        </w:rPr>
        <w:t> </w:t>
      </w:r>
      <w:r>
        <w:rPr/>
        <w:t>suministro (Lambert,</w:t>
      </w:r>
      <w:r>
        <w:rPr>
          <w:spacing w:val="-5"/>
        </w:rPr>
        <w:t> </w:t>
      </w:r>
      <w:r>
        <w:rPr/>
        <w:t>2001).</w:t>
      </w:r>
    </w:p>
    <w:p>
      <w:pPr>
        <w:pStyle w:val="BodyText"/>
        <w:spacing w:before="3"/>
        <w:rPr>
          <w:sz w:val="21"/>
        </w:rPr>
      </w:pPr>
    </w:p>
    <w:p>
      <w:pPr>
        <w:pStyle w:val="BodyText"/>
        <w:spacing w:line="360" w:lineRule="auto"/>
        <w:ind w:left="102" w:right="116"/>
        <w:jc w:val="both"/>
      </w:pPr>
      <w:r>
        <w:rPr/>
        <w:t>Los proveedores de la industria automotriz son reconocidos por “niveles” (</w:t>
      </w:r>
      <w:r>
        <w:rPr>
          <w:i/>
        </w:rPr>
        <w:t>Tiers</w:t>
      </w:r>
      <w:r>
        <w:rPr/>
        <w:t>) diferenciados por la naturaleza de su relación de suministro con su cliente, el nivel tecnológico del producto que abastece, y la complejidad de la producción y funciones de suministro que controlen o coordinen (Lamming, 1993). De acuerdo con ProMéxico, 2012 la industria automotriz se encuentra organizada en tres niveles de producción:</w:t>
      </w:r>
    </w:p>
    <w:p>
      <w:pPr>
        <w:pStyle w:val="BodyText"/>
        <w:spacing w:before="4"/>
        <w:rPr>
          <w:sz w:val="21"/>
        </w:rPr>
      </w:pPr>
    </w:p>
    <w:p>
      <w:pPr>
        <w:pStyle w:val="ListParagraph"/>
        <w:numPr>
          <w:ilvl w:val="0"/>
          <w:numId w:val="13"/>
        </w:numPr>
        <w:tabs>
          <w:tab w:pos="822" w:val="left" w:leader="none"/>
        </w:tabs>
        <w:spacing w:line="360" w:lineRule="auto" w:before="1" w:after="0"/>
        <w:ind w:left="822" w:right="119" w:hanging="360"/>
        <w:jc w:val="both"/>
        <w:rPr>
          <w:sz w:val="24"/>
        </w:rPr>
      </w:pPr>
      <w:r>
        <w:rPr>
          <w:i/>
          <w:sz w:val="24"/>
        </w:rPr>
        <w:t>Tier 1: </w:t>
      </w:r>
      <w:r>
        <w:rPr>
          <w:sz w:val="24"/>
        </w:rPr>
        <w:t>Proveedores directos de las empresas armadoras. Entre los componentes que desarrollan encontramos partes del motor, sistemas de aire acondicionado, componentes electrónicos entre otros. En este nivel se sitúan empresas como Bosch, Dana, Delphi Automotive, Jonson Controls Inc. y Lear Corporation, cada una con ventas de miles de millones de dólares.  Las empresas pertenecientes  a este   </w:t>
      </w:r>
      <w:r>
        <w:rPr>
          <w:spacing w:val="32"/>
          <w:sz w:val="24"/>
        </w:rPr>
        <w:t> </w:t>
      </w:r>
      <w:r>
        <w:rPr>
          <w:sz w:val="24"/>
        </w:rPr>
        <w:t>grupo</w:t>
      </w:r>
    </w:p>
    <w:p>
      <w:pPr>
        <w:spacing w:after="0" w:line="360" w:lineRule="auto"/>
        <w:jc w:val="both"/>
        <w:rPr>
          <w:sz w:val="24"/>
        </w:rPr>
        <w:sectPr>
          <w:footerReference w:type="default" r:id="rId13"/>
          <w:pgSz w:w="12240" w:h="15840"/>
          <w:pgMar w:footer="1035" w:header="0" w:top="1360" w:bottom="1220" w:left="1600" w:right="1580"/>
          <w:pgNumType w:start="45"/>
        </w:sectPr>
      </w:pPr>
    </w:p>
    <w:p>
      <w:pPr>
        <w:pStyle w:val="BodyText"/>
        <w:spacing w:line="360" w:lineRule="auto" w:before="50"/>
        <w:ind w:left="821" w:right="115"/>
      </w:pPr>
      <w:r>
        <w:rPr/>
        <w:t>generalmente</w:t>
      </w:r>
      <w:r>
        <w:rPr>
          <w:spacing w:val="-14"/>
        </w:rPr>
        <w:t> </w:t>
      </w:r>
      <w:r>
        <w:rPr/>
        <w:t>utilizan</w:t>
      </w:r>
      <w:r>
        <w:rPr>
          <w:spacing w:val="-13"/>
        </w:rPr>
        <w:t> </w:t>
      </w:r>
      <w:r>
        <w:rPr/>
        <w:t>la</w:t>
      </w:r>
      <w:r>
        <w:rPr>
          <w:spacing w:val="-14"/>
        </w:rPr>
        <w:t> </w:t>
      </w:r>
      <w:r>
        <w:rPr/>
        <w:t>estrategia</w:t>
      </w:r>
      <w:r>
        <w:rPr>
          <w:spacing w:val="-14"/>
        </w:rPr>
        <w:t> </w:t>
      </w:r>
      <w:r>
        <w:rPr/>
        <w:t>del</w:t>
      </w:r>
      <w:r>
        <w:rPr>
          <w:spacing w:val="-13"/>
        </w:rPr>
        <w:t> </w:t>
      </w:r>
      <w:r>
        <w:rPr/>
        <w:t>sistema</w:t>
      </w:r>
      <w:r>
        <w:rPr>
          <w:spacing w:val="-14"/>
        </w:rPr>
        <w:t> </w:t>
      </w:r>
      <w:r>
        <w:rPr/>
        <w:t>justo</w:t>
      </w:r>
      <w:r>
        <w:rPr>
          <w:spacing w:val="-13"/>
        </w:rPr>
        <w:t> </w:t>
      </w:r>
      <w:r>
        <w:rPr/>
        <w:t>a</w:t>
      </w:r>
      <w:r>
        <w:rPr>
          <w:spacing w:val="-14"/>
        </w:rPr>
        <w:t> </w:t>
      </w:r>
      <w:r>
        <w:rPr/>
        <w:t>tiempo</w:t>
      </w:r>
      <w:r>
        <w:rPr>
          <w:spacing w:val="-11"/>
        </w:rPr>
        <w:t> </w:t>
      </w:r>
      <w:r>
        <w:rPr/>
        <w:t>y</w:t>
      </w:r>
      <w:r>
        <w:rPr>
          <w:spacing w:val="-21"/>
        </w:rPr>
        <w:t> </w:t>
      </w:r>
      <w:r>
        <w:rPr/>
        <w:t>calidad</w:t>
      </w:r>
      <w:r>
        <w:rPr>
          <w:spacing w:val="-13"/>
        </w:rPr>
        <w:t> </w:t>
      </w:r>
      <w:r>
        <w:rPr/>
        <w:t>total</w:t>
      </w:r>
      <w:r>
        <w:rPr>
          <w:spacing w:val="-13"/>
        </w:rPr>
        <w:t> </w:t>
      </w:r>
      <w:r>
        <w:rPr/>
        <w:t>(Carbajal, 2013).</w:t>
      </w:r>
    </w:p>
    <w:p>
      <w:pPr>
        <w:pStyle w:val="ListParagraph"/>
        <w:numPr>
          <w:ilvl w:val="0"/>
          <w:numId w:val="13"/>
        </w:numPr>
        <w:tabs>
          <w:tab w:pos="822" w:val="left" w:leader="none"/>
        </w:tabs>
        <w:spacing w:line="360" w:lineRule="auto" w:before="4" w:after="0"/>
        <w:ind w:left="822" w:right="114" w:hanging="360"/>
        <w:jc w:val="both"/>
        <w:rPr>
          <w:sz w:val="24"/>
        </w:rPr>
      </w:pPr>
      <w:r>
        <w:rPr>
          <w:i/>
          <w:sz w:val="24"/>
        </w:rPr>
        <w:t>Tier 2: </w:t>
      </w:r>
      <w:r>
        <w:rPr>
          <w:sz w:val="24"/>
        </w:rPr>
        <w:t>Empresas proveedoras de los Tier 1. Fabrican equipos y productos utilizados en</w:t>
      </w:r>
      <w:r>
        <w:rPr>
          <w:spacing w:val="-13"/>
          <w:sz w:val="24"/>
        </w:rPr>
        <w:t> </w:t>
      </w:r>
      <w:r>
        <w:rPr>
          <w:sz w:val="24"/>
        </w:rPr>
        <w:t>los</w:t>
      </w:r>
      <w:r>
        <w:rPr>
          <w:spacing w:val="-13"/>
          <w:sz w:val="24"/>
        </w:rPr>
        <w:t> </w:t>
      </w:r>
      <w:r>
        <w:rPr>
          <w:sz w:val="24"/>
        </w:rPr>
        <w:t>componentes</w:t>
      </w:r>
      <w:r>
        <w:rPr>
          <w:spacing w:val="-13"/>
          <w:sz w:val="24"/>
        </w:rPr>
        <w:t> </w:t>
      </w:r>
      <w:r>
        <w:rPr>
          <w:sz w:val="24"/>
        </w:rPr>
        <w:t>más</w:t>
      </w:r>
      <w:r>
        <w:rPr>
          <w:spacing w:val="-11"/>
          <w:sz w:val="24"/>
        </w:rPr>
        <w:t> </w:t>
      </w:r>
      <w:r>
        <w:rPr>
          <w:sz w:val="24"/>
        </w:rPr>
        <w:t>avanzados</w:t>
      </w:r>
      <w:r>
        <w:rPr>
          <w:spacing w:val="-8"/>
          <w:sz w:val="24"/>
        </w:rPr>
        <w:t> </w:t>
      </w:r>
      <w:r>
        <w:rPr>
          <w:sz w:val="24"/>
        </w:rPr>
        <w:t>y</w:t>
      </w:r>
      <w:r>
        <w:rPr>
          <w:spacing w:val="-18"/>
          <w:sz w:val="24"/>
        </w:rPr>
        <w:t> </w:t>
      </w:r>
      <w:r>
        <w:rPr>
          <w:sz w:val="24"/>
        </w:rPr>
        <w:t>especializados</w:t>
      </w:r>
      <w:r>
        <w:rPr>
          <w:spacing w:val="-13"/>
          <w:sz w:val="24"/>
        </w:rPr>
        <w:t> </w:t>
      </w:r>
      <w:r>
        <w:rPr>
          <w:sz w:val="24"/>
        </w:rPr>
        <w:t>de</w:t>
      </w:r>
      <w:r>
        <w:rPr>
          <w:spacing w:val="-14"/>
          <w:sz w:val="24"/>
        </w:rPr>
        <w:t> </w:t>
      </w:r>
      <w:r>
        <w:rPr>
          <w:sz w:val="24"/>
        </w:rPr>
        <w:t>la</w:t>
      </w:r>
      <w:r>
        <w:rPr>
          <w:spacing w:val="-14"/>
          <w:sz w:val="24"/>
        </w:rPr>
        <w:t> </w:t>
      </w:r>
      <w:r>
        <w:rPr>
          <w:sz w:val="24"/>
        </w:rPr>
        <w:t>industria</w:t>
      </w:r>
      <w:r>
        <w:rPr>
          <w:spacing w:val="-12"/>
          <w:sz w:val="24"/>
        </w:rPr>
        <w:t> </w:t>
      </w:r>
      <w:r>
        <w:rPr>
          <w:sz w:val="24"/>
        </w:rPr>
        <w:t>automotriz:</w:t>
      </w:r>
      <w:r>
        <w:rPr>
          <w:spacing w:val="-13"/>
          <w:sz w:val="24"/>
        </w:rPr>
        <w:t> </w:t>
      </w:r>
      <w:r>
        <w:rPr>
          <w:sz w:val="24"/>
        </w:rPr>
        <w:t>partes forjadas, estampadas, partes de inyección de aluminio, partes fundidas, partes plásticas,</w:t>
      </w:r>
      <w:r>
        <w:rPr>
          <w:spacing w:val="-8"/>
          <w:sz w:val="24"/>
        </w:rPr>
        <w:t> </w:t>
      </w:r>
      <w:r>
        <w:rPr>
          <w:sz w:val="24"/>
        </w:rPr>
        <w:t>partes</w:t>
      </w:r>
      <w:r>
        <w:rPr>
          <w:spacing w:val="-8"/>
          <w:sz w:val="24"/>
        </w:rPr>
        <w:t> </w:t>
      </w:r>
      <w:r>
        <w:rPr>
          <w:sz w:val="24"/>
        </w:rPr>
        <w:t>maquinadas,</w:t>
      </w:r>
      <w:r>
        <w:rPr>
          <w:spacing w:val="-8"/>
          <w:sz w:val="24"/>
        </w:rPr>
        <w:t> </w:t>
      </w:r>
      <w:r>
        <w:rPr>
          <w:sz w:val="24"/>
        </w:rPr>
        <w:t>etc.</w:t>
      </w:r>
      <w:r>
        <w:rPr>
          <w:spacing w:val="-5"/>
          <w:sz w:val="24"/>
        </w:rPr>
        <w:t> </w:t>
      </w:r>
      <w:r>
        <w:rPr>
          <w:sz w:val="24"/>
        </w:rPr>
        <w:t>Los</w:t>
      </w:r>
      <w:r>
        <w:rPr>
          <w:spacing w:val="-8"/>
          <w:sz w:val="24"/>
        </w:rPr>
        <w:t> </w:t>
      </w:r>
      <w:r>
        <w:rPr>
          <w:sz w:val="24"/>
        </w:rPr>
        <w:t>subproveedores</w:t>
      </w:r>
      <w:r>
        <w:rPr>
          <w:spacing w:val="-8"/>
          <w:sz w:val="24"/>
        </w:rPr>
        <w:t> </w:t>
      </w:r>
      <w:r>
        <w:rPr>
          <w:sz w:val="24"/>
        </w:rPr>
        <w:t>de</w:t>
      </w:r>
      <w:r>
        <w:rPr>
          <w:spacing w:val="-7"/>
          <w:sz w:val="24"/>
        </w:rPr>
        <w:t> </w:t>
      </w:r>
      <w:r>
        <w:rPr>
          <w:sz w:val="24"/>
        </w:rPr>
        <w:t>segundo</w:t>
      </w:r>
      <w:r>
        <w:rPr>
          <w:spacing w:val="-7"/>
          <w:sz w:val="24"/>
        </w:rPr>
        <w:t> </w:t>
      </w:r>
      <w:r>
        <w:rPr>
          <w:sz w:val="24"/>
        </w:rPr>
        <w:t>nivel</w:t>
      </w:r>
      <w:r>
        <w:rPr>
          <w:spacing w:val="-4"/>
          <w:sz w:val="24"/>
        </w:rPr>
        <w:t> </w:t>
      </w:r>
      <w:r>
        <w:rPr>
          <w:sz w:val="24"/>
        </w:rPr>
        <w:t>y</w:t>
      </w:r>
      <w:r>
        <w:rPr>
          <w:spacing w:val="-11"/>
          <w:sz w:val="24"/>
        </w:rPr>
        <w:t> </w:t>
      </w:r>
      <w:r>
        <w:rPr>
          <w:sz w:val="24"/>
        </w:rPr>
        <w:t>de</w:t>
      </w:r>
      <w:r>
        <w:rPr>
          <w:spacing w:val="-10"/>
          <w:sz w:val="24"/>
        </w:rPr>
        <w:t> </w:t>
      </w:r>
      <w:r>
        <w:rPr>
          <w:sz w:val="24"/>
        </w:rPr>
        <w:t>aquellos niveles más alejados, se enfrentan a un mercado más competido debido a que lo constituyen miles de pequeñas empresas. Veloso y Kumar (2002) dividen a estas empresas en dos categorías: </w:t>
      </w:r>
      <w:r>
        <w:rPr>
          <w:i/>
          <w:sz w:val="24"/>
        </w:rPr>
        <w:t>a) fabricantes de componentes</w:t>
      </w:r>
      <w:r>
        <w:rPr>
          <w:sz w:val="24"/>
        </w:rPr>
        <w:t>, con frecuencia estas empresas tienen la responsabilidad de diseñar y probar sus productos. En la mayoría de los casos estas empresa son un proveedor indirecto de los ensambladores de automóviles, sus clientes directos son otros proveedores que están colocados en niveles más altos de la cadena de suministro; </w:t>
      </w:r>
      <w:r>
        <w:rPr>
          <w:i/>
          <w:sz w:val="24"/>
        </w:rPr>
        <w:t>b) fabricantes de subensambles</w:t>
      </w:r>
      <w:r>
        <w:rPr>
          <w:sz w:val="24"/>
        </w:rPr>
        <w:t>, son firmas</w:t>
      </w:r>
      <w:r>
        <w:rPr>
          <w:spacing w:val="-5"/>
          <w:sz w:val="24"/>
        </w:rPr>
        <w:t> </w:t>
      </w:r>
      <w:r>
        <w:rPr>
          <w:sz w:val="24"/>
        </w:rPr>
        <w:t>especializadas</w:t>
      </w:r>
      <w:r>
        <w:rPr>
          <w:spacing w:val="-5"/>
          <w:sz w:val="24"/>
        </w:rPr>
        <w:t> </w:t>
      </w:r>
      <w:r>
        <w:rPr>
          <w:sz w:val="24"/>
        </w:rPr>
        <w:t>con</w:t>
      </w:r>
      <w:r>
        <w:rPr>
          <w:spacing w:val="-3"/>
          <w:sz w:val="24"/>
        </w:rPr>
        <w:t> </w:t>
      </w:r>
      <w:r>
        <w:rPr>
          <w:sz w:val="24"/>
        </w:rPr>
        <w:t>capacidad</w:t>
      </w:r>
      <w:r>
        <w:rPr>
          <w:spacing w:val="-5"/>
          <w:sz w:val="24"/>
        </w:rPr>
        <w:t> </w:t>
      </w:r>
      <w:r>
        <w:rPr>
          <w:sz w:val="24"/>
        </w:rPr>
        <w:t>de</w:t>
      </w:r>
      <w:r>
        <w:rPr>
          <w:spacing w:val="-6"/>
          <w:sz w:val="24"/>
        </w:rPr>
        <w:t> </w:t>
      </w:r>
      <w:r>
        <w:rPr>
          <w:sz w:val="24"/>
        </w:rPr>
        <w:t>ensamblar,</w:t>
      </w:r>
      <w:r>
        <w:rPr>
          <w:spacing w:val="-3"/>
          <w:sz w:val="24"/>
        </w:rPr>
        <w:t> </w:t>
      </w:r>
      <w:r>
        <w:rPr>
          <w:sz w:val="24"/>
        </w:rPr>
        <w:t>integrar</w:t>
      </w:r>
      <w:r>
        <w:rPr>
          <w:spacing w:val="-2"/>
          <w:sz w:val="24"/>
        </w:rPr>
        <w:t> </w:t>
      </w:r>
      <w:r>
        <w:rPr>
          <w:sz w:val="24"/>
        </w:rPr>
        <w:t>y</w:t>
      </w:r>
      <w:r>
        <w:rPr>
          <w:spacing w:val="-10"/>
          <w:sz w:val="24"/>
        </w:rPr>
        <w:t> </w:t>
      </w:r>
      <w:r>
        <w:rPr>
          <w:sz w:val="24"/>
        </w:rPr>
        <w:t>diseñar</w:t>
      </w:r>
      <w:r>
        <w:rPr>
          <w:spacing w:val="-6"/>
          <w:sz w:val="24"/>
        </w:rPr>
        <w:t> </w:t>
      </w:r>
      <w:r>
        <w:rPr>
          <w:sz w:val="24"/>
        </w:rPr>
        <w:t>un</w:t>
      </w:r>
      <w:r>
        <w:rPr>
          <w:spacing w:val="-5"/>
          <w:sz w:val="24"/>
        </w:rPr>
        <w:t> </w:t>
      </w:r>
      <w:r>
        <w:rPr>
          <w:sz w:val="24"/>
        </w:rPr>
        <w:t>proceso;</w:t>
      </w:r>
      <w:r>
        <w:rPr>
          <w:spacing w:val="-4"/>
          <w:sz w:val="24"/>
        </w:rPr>
        <w:t> </w:t>
      </w:r>
      <w:r>
        <w:rPr>
          <w:sz w:val="24"/>
        </w:rPr>
        <w:t>por ejemplo, la plataforma de la dirección, un sistema de pedales, y otro. Algunas de las compañías importantes que pertenecen a este grupo son: Nypro, Inc, Ganto Techologies, Lectra System Inc, ITW-Deltar, Brush Research Manufacturing, Co. (Juárez,</w:t>
      </w:r>
      <w:r>
        <w:rPr>
          <w:spacing w:val="-1"/>
          <w:sz w:val="24"/>
        </w:rPr>
        <w:t> </w:t>
      </w:r>
      <w:r>
        <w:rPr>
          <w:sz w:val="24"/>
        </w:rPr>
        <w:t>2005).</w:t>
      </w:r>
    </w:p>
    <w:p>
      <w:pPr>
        <w:pStyle w:val="ListParagraph"/>
        <w:numPr>
          <w:ilvl w:val="0"/>
          <w:numId w:val="13"/>
        </w:numPr>
        <w:tabs>
          <w:tab w:pos="822" w:val="left" w:leader="none"/>
        </w:tabs>
        <w:spacing w:line="360" w:lineRule="auto" w:before="4" w:after="0"/>
        <w:ind w:left="822" w:right="121" w:hanging="360"/>
        <w:jc w:val="both"/>
        <w:rPr>
          <w:sz w:val="24"/>
        </w:rPr>
      </w:pPr>
      <w:r>
        <w:rPr>
          <w:i/>
          <w:sz w:val="24"/>
        </w:rPr>
        <w:t>Tier 3: </w:t>
      </w:r>
      <w:r>
        <w:rPr>
          <w:sz w:val="24"/>
        </w:rPr>
        <w:t>Empresas proveedoras de insumos de los Tier 2 que cumplen los requerimientos de calidad necesarios que demanda la industria</w:t>
      </w:r>
      <w:r>
        <w:rPr>
          <w:spacing w:val="-11"/>
          <w:sz w:val="24"/>
        </w:rPr>
        <w:t> </w:t>
      </w:r>
      <w:r>
        <w:rPr>
          <w:sz w:val="24"/>
        </w:rPr>
        <w:t>automotriz.</w:t>
      </w:r>
    </w:p>
    <w:p>
      <w:pPr>
        <w:pStyle w:val="BodyText"/>
        <w:spacing w:before="2"/>
        <w:rPr>
          <w:sz w:val="21"/>
        </w:rPr>
      </w:pPr>
    </w:p>
    <w:p>
      <w:pPr>
        <w:pStyle w:val="BodyText"/>
        <w:spacing w:line="360" w:lineRule="auto"/>
        <w:ind w:left="102" w:right="119"/>
        <w:jc w:val="both"/>
      </w:pPr>
      <w:r>
        <w:rPr/>
        <w:t>La cadena de suministro del sector de autopartes tiene su base principal en las empresas encargadas de realizar procesos tales como forja, maquinado, soldadura, entre otros, </w:t>
      </w:r>
      <w:r>
        <w:rPr>
          <w:spacing w:val="-3"/>
        </w:rPr>
        <w:t>ya </w:t>
      </w:r>
      <w:r>
        <w:rPr/>
        <w:t>que estos proveen de material a los diferentes niveles de producción de la industria, para</w:t>
      </w:r>
      <w:r>
        <w:rPr>
          <w:spacing w:val="-37"/>
        </w:rPr>
        <w:t> </w:t>
      </w:r>
      <w:r>
        <w:rPr/>
        <w:t>realizar componentes mayores y menores para que estos a su vez suministren a las armadoras o OEM´s</w:t>
      </w:r>
      <w:r>
        <w:rPr>
          <w:spacing w:val="-9"/>
        </w:rPr>
        <w:t> </w:t>
      </w:r>
      <w:r>
        <w:rPr/>
        <w:t>(en</w:t>
      </w:r>
      <w:r>
        <w:rPr>
          <w:spacing w:val="-10"/>
        </w:rPr>
        <w:t> </w:t>
      </w:r>
      <w:r>
        <w:rPr/>
        <w:t>inglés,</w:t>
      </w:r>
      <w:r>
        <w:rPr>
          <w:spacing w:val="-9"/>
        </w:rPr>
        <w:t> </w:t>
      </w:r>
      <w:r>
        <w:rPr/>
        <w:t>Original</w:t>
      </w:r>
      <w:r>
        <w:rPr>
          <w:spacing w:val="-9"/>
        </w:rPr>
        <w:t> </w:t>
      </w:r>
      <w:r>
        <w:rPr/>
        <w:t>Equipment</w:t>
      </w:r>
      <w:r>
        <w:rPr>
          <w:spacing w:val="-9"/>
        </w:rPr>
        <w:t> </w:t>
      </w:r>
      <w:r>
        <w:rPr/>
        <w:t>Manufacturers).</w:t>
      </w:r>
      <w:r>
        <w:rPr>
          <w:spacing w:val="-7"/>
        </w:rPr>
        <w:t> </w:t>
      </w:r>
      <w:r>
        <w:rPr/>
        <w:t>Así</w:t>
      </w:r>
      <w:r>
        <w:rPr>
          <w:spacing w:val="-9"/>
        </w:rPr>
        <w:t> </w:t>
      </w:r>
      <w:r>
        <w:rPr/>
        <w:t>mismo,</w:t>
      </w:r>
      <w:r>
        <w:rPr>
          <w:spacing w:val="-9"/>
        </w:rPr>
        <w:t> </w:t>
      </w:r>
      <w:r>
        <w:rPr/>
        <w:t>las</w:t>
      </w:r>
      <w:r>
        <w:rPr>
          <w:spacing w:val="-10"/>
        </w:rPr>
        <w:t> </w:t>
      </w:r>
      <w:r>
        <w:rPr/>
        <w:t>empresas</w:t>
      </w:r>
      <w:r>
        <w:rPr>
          <w:spacing w:val="-9"/>
        </w:rPr>
        <w:t> </w:t>
      </w:r>
      <w:r>
        <w:rPr/>
        <w:t>encargadas de los diferentes procesos también suministran a las distribuidoras del segmento de</w:t>
      </w:r>
      <w:r>
        <w:rPr>
          <w:spacing w:val="-26"/>
        </w:rPr>
        <w:t> </w:t>
      </w:r>
      <w:r>
        <w:rPr/>
        <w:t>repuesto o</w:t>
      </w:r>
      <w:r>
        <w:rPr>
          <w:spacing w:val="-12"/>
        </w:rPr>
        <w:t> </w:t>
      </w:r>
      <w:r>
        <w:rPr>
          <w:i/>
        </w:rPr>
        <w:t>aftermarket</w:t>
      </w:r>
      <w:r>
        <w:rPr/>
        <w:t>,</w:t>
      </w:r>
      <w:r>
        <w:rPr>
          <w:spacing w:val="-12"/>
        </w:rPr>
        <w:t> </w:t>
      </w:r>
      <w:r>
        <w:rPr/>
        <w:t>tales</w:t>
      </w:r>
      <w:r>
        <w:rPr>
          <w:spacing w:val="-9"/>
        </w:rPr>
        <w:t> </w:t>
      </w:r>
      <w:r>
        <w:rPr/>
        <w:t>como</w:t>
      </w:r>
      <w:r>
        <w:rPr>
          <w:spacing w:val="-12"/>
        </w:rPr>
        <w:t> </w:t>
      </w:r>
      <w:r>
        <w:rPr/>
        <w:t>cadenas</w:t>
      </w:r>
      <w:r>
        <w:rPr>
          <w:spacing w:val="-12"/>
        </w:rPr>
        <w:t> </w:t>
      </w:r>
      <w:r>
        <w:rPr/>
        <w:t>de</w:t>
      </w:r>
      <w:r>
        <w:rPr>
          <w:spacing w:val="-11"/>
        </w:rPr>
        <w:t> </w:t>
      </w:r>
      <w:r>
        <w:rPr/>
        <w:t>refaccionarias</w:t>
      </w:r>
      <w:r>
        <w:rPr>
          <w:spacing w:val="-12"/>
        </w:rPr>
        <w:t> </w:t>
      </w:r>
      <w:r>
        <w:rPr/>
        <w:t>o</w:t>
      </w:r>
      <w:r>
        <w:rPr>
          <w:spacing w:val="-12"/>
        </w:rPr>
        <w:t> </w:t>
      </w:r>
      <w:r>
        <w:rPr/>
        <w:t>cadenas</w:t>
      </w:r>
      <w:r>
        <w:rPr>
          <w:spacing w:val="-12"/>
        </w:rPr>
        <w:t> </w:t>
      </w:r>
      <w:r>
        <w:rPr/>
        <w:t>de</w:t>
      </w:r>
      <w:r>
        <w:rPr>
          <w:spacing w:val="-13"/>
        </w:rPr>
        <w:t> </w:t>
      </w:r>
      <w:r>
        <w:rPr/>
        <w:t>talleres</w:t>
      </w:r>
      <w:r>
        <w:rPr>
          <w:spacing w:val="-9"/>
        </w:rPr>
        <w:t> </w:t>
      </w:r>
      <w:r>
        <w:rPr/>
        <w:t>(ProMéxico,</w:t>
      </w:r>
      <w:r>
        <w:rPr>
          <w:spacing w:val="-12"/>
        </w:rPr>
        <w:t> </w:t>
      </w:r>
      <w:r>
        <w:rPr/>
        <w:t>2012). El esquema 2.3 ejemplifica la estructura de la cadena de suministro del sector de</w:t>
      </w:r>
      <w:r>
        <w:rPr>
          <w:spacing w:val="-15"/>
        </w:rPr>
        <w:t> </w:t>
      </w:r>
      <w:r>
        <w:rPr/>
        <w:t>autopartes.</w:t>
      </w:r>
    </w:p>
    <w:p>
      <w:pPr>
        <w:spacing w:after="0" w:line="360" w:lineRule="auto"/>
        <w:jc w:val="both"/>
        <w:sectPr>
          <w:pgSz w:w="12240" w:h="15840"/>
          <w:pgMar w:header="0" w:footer="1035" w:top="1360" w:bottom="1220" w:left="1600" w:right="1580"/>
        </w:sectPr>
      </w:pPr>
    </w:p>
    <w:p>
      <w:pPr>
        <w:pStyle w:val="Heading1"/>
        <w:spacing w:before="55"/>
        <w:ind w:right="407"/>
        <w:jc w:val="center"/>
      </w:pPr>
      <w:r>
        <w:rPr/>
        <w:t>Esquema 2.3. Cadena de suministro del sector de autopartes</w:t>
      </w:r>
    </w:p>
    <w:p>
      <w:pPr>
        <w:pStyle w:val="BodyText"/>
        <w:spacing w:before="8"/>
        <w:rPr>
          <w:b/>
          <w:sz w:val="8"/>
        </w:rPr>
      </w:pPr>
      <w:r>
        <w:rPr/>
        <w:drawing>
          <wp:anchor distT="0" distB="0" distL="0" distR="0" allowOverlap="1" layoutInCell="1" locked="0" behindDoc="0" simplePos="0" relativeHeight="1504">
            <wp:simplePos x="0" y="0"/>
            <wp:positionH relativeFrom="page">
              <wp:posOffset>2319527</wp:posOffset>
            </wp:positionH>
            <wp:positionV relativeFrom="paragraph">
              <wp:posOffset>88700</wp:posOffset>
            </wp:positionV>
            <wp:extent cx="3136653" cy="1730882"/>
            <wp:effectExtent l="0" t="0" r="0" b="0"/>
            <wp:wrapTopAndBottom/>
            <wp:docPr id="1" name="image7.jpeg" descr=""/>
            <wp:cNvGraphicFramePr>
              <a:graphicFrameLocks noChangeAspect="1"/>
            </wp:cNvGraphicFramePr>
            <a:graphic>
              <a:graphicData uri="http://schemas.openxmlformats.org/drawingml/2006/picture">
                <pic:pic>
                  <pic:nvPicPr>
                    <pic:cNvPr id="2" name="image7.jpeg"/>
                    <pic:cNvPicPr/>
                  </pic:nvPicPr>
                  <pic:blipFill>
                    <a:blip r:embed="rId14" cstate="print"/>
                    <a:stretch>
                      <a:fillRect/>
                    </a:stretch>
                  </pic:blipFill>
                  <pic:spPr>
                    <a:xfrm>
                      <a:off x="0" y="0"/>
                      <a:ext cx="3136653" cy="1730882"/>
                    </a:xfrm>
                    <a:prstGeom prst="rect">
                      <a:avLst/>
                    </a:prstGeom>
                  </pic:spPr>
                </pic:pic>
              </a:graphicData>
            </a:graphic>
          </wp:anchor>
        </w:drawing>
      </w:r>
    </w:p>
    <w:p>
      <w:pPr>
        <w:spacing w:before="99"/>
        <w:ind w:left="383" w:right="396" w:firstLine="0"/>
        <w:jc w:val="center"/>
        <w:rPr>
          <w:sz w:val="18"/>
        </w:rPr>
      </w:pPr>
      <w:r>
        <w:rPr>
          <w:sz w:val="18"/>
        </w:rPr>
        <w:t>Fuente: Tomado de ProMéxico, (2013).</w:t>
      </w:r>
    </w:p>
    <w:p>
      <w:pPr>
        <w:pStyle w:val="BodyText"/>
        <w:spacing w:before="8"/>
        <w:rPr>
          <w:sz w:val="20"/>
        </w:rPr>
      </w:pPr>
    </w:p>
    <w:p>
      <w:pPr>
        <w:pStyle w:val="BodyText"/>
        <w:spacing w:line="360" w:lineRule="auto"/>
        <w:ind w:left="102" w:right="117"/>
        <w:jc w:val="both"/>
      </w:pPr>
      <w:r>
        <w:rPr/>
        <w:t>Es importante mencionar que las nuevas políticas de compras de las ensambladoras, que implican</w:t>
      </w:r>
      <w:r>
        <w:rPr>
          <w:spacing w:val="-6"/>
        </w:rPr>
        <w:t> </w:t>
      </w:r>
      <w:r>
        <w:rPr/>
        <w:t>no</w:t>
      </w:r>
      <w:r>
        <w:rPr>
          <w:spacing w:val="-6"/>
        </w:rPr>
        <w:t> </w:t>
      </w:r>
      <w:r>
        <w:rPr/>
        <w:t>sólo</w:t>
      </w:r>
      <w:r>
        <w:rPr>
          <w:spacing w:val="-6"/>
        </w:rPr>
        <w:t> </w:t>
      </w:r>
      <w:r>
        <w:rPr/>
        <w:t>mayor</w:t>
      </w:r>
      <w:r>
        <w:rPr>
          <w:spacing w:val="-7"/>
        </w:rPr>
        <w:t> </w:t>
      </w:r>
      <w:r>
        <w:rPr/>
        <w:t>subcontratación,</w:t>
      </w:r>
      <w:r>
        <w:rPr>
          <w:spacing w:val="-4"/>
        </w:rPr>
        <w:t> </w:t>
      </w:r>
      <w:r>
        <w:rPr/>
        <w:t>sino</w:t>
      </w:r>
      <w:r>
        <w:rPr>
          <w:spacing w:val="-6"/>
        </w:rPr>
        <w:t> </w:t>
      </w:r>
      <w:r>
        <w:rPr/>
        <w:t>también</w:t>
      </w:r>
      <w:r>
        <w:rPr>
          <w:spacing w:val="-7"/>
        </w:rPr>
        <w:t> </w:t>
      </w:r>
      <w:r>
        <w:rPr/>
        <w:t>la</w:t>
      </w:r>
      <w:r>
        <w:rPr>
          <w:spacing w:val="-7"/>
        </w:rPr>
        <w:t> </w:t>
      </w:r>
      <w:r>
        <w:rPr/>
        <w:t>transferencia</w:t>
      </w:r>
      <w:r>
        <w:rPr>
          <w:spacing w:val="-3"/>
        </w:rPr>
        <w:t> </w:t>
      </w:r>
      <w:r>
        <w:rPr/>
        <w:t>de</w:t>
      </w:r>
      <w:r>
        <w:rPr>
          <w:spacing w:val="-5"/>
        </w:rPr>
        <w:t> </w:t>
      </w:r>
      <w:r>
        <w:rPr/>
        <w:t>más</w:t>
      </w:r>
      <w:r>
        <w:rPr>
          <w:spacing w:val="-7"/>
        </w:rPr>
        <w:t> </w:t>
      </w:r>
      <w:r>
        <w:rPr/>
        <w:t>de</w:t>
      </w:r>
      <w:r>
        <w:rPr>
          <w:spacing w:val="-7"/>
        </w:rPr>
        <w:t> </w:t>
      </w:r>
      <w:r>
        <w:rPr/>
        <w:t>sus</w:t>
      </w:r>
      <w:r>
        <w:rPr>
          <w:spacing w:val="-6"/>
        </w:rPr>
        <w:t> </w:t>
      </w:r>
      <w:r>
        <w:rPr/>
        <w:t>propias actividades a los fabricantes de autopartes, está transformando la industria con tal velocidad que algunos de los conceptos básicos han perdido significado; en este contexto surge una nueva estratificación de proveedores que de acuerdo con Mortimore y Barron, (2005) son las categorías</w:t>
      </w:r>
      <w:r>
        <w:rPr>
          <w:spacing w:val="-6"/>
        </w:rPr>
        <w:t> </w:t>
      </w:r>
      <w:r>
        <w:rPr/>
        <w:t>siguientes:</w:t>
      </w:r>
    </w:p>
    <w:p>
      <w:pPr>
        <w:pStyle w:val="BodyText"/>
        <w:spacing w:before="2"/>
        <w:rPr>
          <w:sz w:val="21"/>
        </w:rPr>
      </w:pPr>
    </w:p>
    <w:p>
      <w:pPr>
        <w:pStyle w:val="ListParagraph"/>
        <w:numPr>
          <w:ilvl w:val="0"/>
          <w:numId w:val="14"/>
        </w:numPr>
        <w:tabs>
          <w:tab w:pos="371" w:val="left" w:leader="none"/>
        </w:tabs>
        <w:spacing w:line="360" w:lineRule="auto" w:before="0" w:after="0"/>
        <w:ind w:left="102" w:right="116" w:firstLine="0"/>
        <w:jc w:val="both"/>
        <w:rPr>
          <w:sz w:val="24"/>
        </w:rPr>
      </w:pPr>
      <w:r>
        <w:rPr>
          <w:i/>
          <w:sz w:val="24"/>
        </w:rPr>
        <w:t>Proveedores integrados</w:t>
      </w:r>
      <w:r>
        <w:rPr>
          <w:sz w:val="24"/>
        </w:rPr>
        <w:t>. Ofrecen a las ensambladoras un amplio espectro de servicios. Entre los productos típicos se incluyen los paneles de instrumentos integrados. El éxito depende de su experiencia y capacidad de integración física y funcional; alto grado de eficiencia en componentes principales, manejo firme de cadena de proveedores, amplio conocimiento de consumidores y su sólido entendimiento del vehículo como</w:t>
      </w:r>
      <w:r>
        <w:rPr>
          <w:spacing w:val="-13"/>
          <w:sz w:val="24"/>
        </w:rPr>
        <w:t> </w:t>
      </w:r>
      <w:r>
        <w:rPr>
          <w:sz w:val="24"/>
        </w:rPr>
        <w:t>unidad.</w:t>
      </w:r>
    </w:p>
    <w:p>
      <w:pPr>
        <w:pStyle w:val="BodyText"/>
        <w:spacing w:before="5"/>
        <w:rPr>
          <w:sz w:val="21"/>
        </w:rPr>
      </w:pPr>
    </w:p>
    <w:p>
      <w:pPr>
        <w:pStyle w:val="ListParagraph"/>
        <w:numPr>
          <w:ilvl w:val="0"/>
          <w:numId w:val="14"/>
        </w:numPr>
        <w:tabs>
          <w:tab w:pos="367" w:val="left" w:leader="none"/>
        </w:tabs>
        <w:spacing w:line="360" w:lineRule="auto" w:before="0" w:after="0"/>
        <w:ind w:left="102" w:right="111" w:firstLine="0"/>
        <w:jc w:val="both"/>
        <w:rPr>
          <w:sz w:val="24"/>
        </w:rPr>
      </w:pPr>
      <w:r>
        <w:rPr>
          <w:i/>
          <w:sz w:val="24"/>
        </w:rPr>
        <w:t>Proveedores de sistemas. </w:t>
      </w:r>
      <w:r>
        <w:rPr>
          <w:sz w:val="24"/>
        </w:rPr>
        <w:t>Ofrecen experiencia en planeación y diseño de sistemas totales conformado por múltiples componentes, para darles una funcionalidad conjunta mayor. Productos característicos son los sistemas de frenos. El éxito depende de su habilidad para desarrollar la integración funcional de los sistemas totales, para profundizar en la competencia de sistemas de componentes más importantes, del entendimiento de usos y requerimientos finales del consumidor, buen manejo de proveedores propios, y cierto entendimiento del vehículo como</w:t>
      </w:r>
      <w:r>
        <w:rPr>
          <w:spacing w:val="-3"/>
          <w:sz w:val="24"/>
        </w:rPr>
        <w:t> </w:t>
      </w:r>
      <w:r>
        <w:rPr>
          <w:sz w:val="24"/>
        </w:rPr>
        <w:t>unidad.</w:t>
      </w:r>
    </w:p>
    <w:p>
      <w:pPr>
        <w:pStyle w:val="BodyText"/>
        <w:spacing w:before="2"/>
        <w:rPr>
          <w:sz w:val="21"/>
        </w:rPr>
      </w:pPr>
    </w:p>
    <w:p>
      <w:pPr>
        <w:pStyle w:val="ListParagraph"/>
        <w:numPr>
          <w:ilvl w:val="0"/>
          <w:numId w:val="14"/>
        </w:numPr>
        <w:tabs>
          <w:tab w:pos="357" w:val="left" w:leader="none"/>
        </w:tabs>
        <w:spacing w:line="360" w:lineRule="auto" w:before="1" w:after="0"/>
        <w:ind w:left="102" w:right="119" w:firstLine="0"/>
        <w:jc w:val="both"/>
        <w:rPr>
          <w:sz w:val="24"/>
        </w:rPr>
      </w:pPr>
      <w:r>
        <w:rPr>
          <w:i/>
          <w:sz w:val="24"/>
        </w:rPr>
        <w:t>Proveedores de componentes. </w:t>
      </w:r>
      <w:r>
        <w:rPr>
          <w:sz w:val="24"/>
        </w:rPr>
        <w:t>Proveedor de funciones críticas y componentes intensivos en know-how con fuerte capacidad de ingeniería. Entre los productos que abastecen se incluyen</w:t>
      </w:r>
      <w:r>
        <w:rPr>
          <w:spacing w:val="26"/>
          <w:sz w:val="24"/>
        </w:rPr>
        <w:t> </w:t>
      </w:r>
      <w:r>
        <w:rPr>
          <w:sz w:val="24"/>
        </w:rPr>
        <w:t>motores</w:t>
      </w:r>
      <w:r>
        <w:rPr>
          <w:spacing w:val="26"/>
          <w:sz w:val="24"/>
        </w:rPr>
        <w:t> </w:t>
      </w:r>
      <w:r>
        <w:rPr>
          <w:sz w:val="24"/>
        </w:rPr>
        <w:t>auxiliares,</w:t>
      </w:r>
      <w:r>
        <w:rPr>
          <w:spacing w:val="26"/>
          <w:sz w:val="24"/>
        </w:rPr>
        <w:t> </w:t>
      </w:r>
      <w:r>
        <w:rPr>
          <w:sz w:val="24"/>
        </w:rPr>
        <w:t>cigüeñales</w:t>
      </w:r>
      <w:r>
        <w:rPr>
          <w:spacing w:val="31"/>
          <w:sz w:val="24"/>
        </w:rPr>
        <w:t> </w:t>
      </w:r>
      <w:r>
        <w:rPr>
          <w:sz w:val="24"/>
        </w:rPr>
        <w:t>y</w:t>
      </w:r>
      <w:r>
        <w:rPr>
          <w:spacing w:val="21"/>
          <w:sz w:val="24"/>
        </w:rPr>
        <w:t> </w:t>
      </w:r>
      <w:r>
        <w:rPr>
          <w:sz w:val="24"/>
        </w:rPr>
        <w:t>compresores.</w:t>
      </w:r>
      <w:r>
        <w:rPr>
          <w:spacing w:val="26"/>
          <w:sz w:val="24"/>
        </w:rPr>
        <w:t> </w:t>
      </w:r>
      <w:r>
        <w:rPr>
          <w:sz w:val="24"/>
        </w:rPr>
        <w:t>El</w:t>
      </w:r>
      <w:r>
        <w:rPr>
          <w:spacing w:val="26"/>
          <w:sz w:val="24"/>
        </w:rPr>
        <w:t> </w:t>
      </w:r>
      <w:r>
        <w:rPr>
          <w:sz w:val="24"/>
        </w:rPr>
        <w:t>éxito</w:t>
      </w:r>
      <w:r>
        <w:rPr>
          <w:spacing w:val="26"/>
          <w:sz w:val="24"/>
        </w:rPr>
        <w:t> </w:t>
      </w:r>
      <w:r>
        <w:rPr>
          <w:sz w:val="24"/>
        </w:rPr>
        <w:t>depende</w:t>
      </w:r>
      <w:r>
        <w:rPr>
          <w:spacing w:val="27"/>
          <w:sz w:val="24"/>
        </w:rPr>
        <w:t> </w:t>
      </w:r>
      <w:r>
        <w:rPr>
          <w:sz w:val="24"/>
        </w:rPr>
        <w:t>de</w:t>
      </w:r>
      <w:r>
        <w:rPr>
          <w:spacing w:val="25"/>
          <w:sz w:val="24"/>
        </w:rPr>
        <w:t> </w:t>
      </w:r>
      <w:r>
        <w:rPr>
          <w:sz w:val="24"/>
        </w:rPr>
        <w:t>su</w:t>
      </w:r>
      <w:r>
        <w:rPr>
          <w:spacing w:val="26"/>
          <w:sz w:val="24"/>
        </w:rPr>
        <w:t> </w:t>
      </w:r>
      <w:r>
        <w:rPr>
          <w:sz w:val="24"/>
        </w:rPr>
        <w:t>eficiencia</w:t>
      </w:r>
    </w:p>
    <w:p>
      <w:pPr>
        <w:spacing w:after="0" w:line="360" w:lineRule="auto"/>
        <w:jc w:val="both"/>
        <w:rPr>
          <w:sz w:val="24"/>
        </w:rPr>
        <w:sectPr>
          <w:pgSz w:w="12240" w:h="15840"/>
          <w:pgMar w:header="0" w:footer="1035" w:top="1360" w:bottom="1220" w:left="1600" w:right="1580"/>
        </w:sectPr>
      </w:pPr>
    </w:p>
    <w:p>
      <w:pPr>
        <w:pStyle w:val="BodyText"/>
        <w:spacing w:line="360" w:lineRule="auto" w:before="50"/>
        <w:ind w:left="102" w:right="118"/>
        <w:jc w:val="both"/>
      </w:pPr>
      <w:r>
        <w:rPr/>
        <w:t>operacional, economías de escala, bajo costo de insumos, habilidades en design-to-cost, adecuada administración de la complejidad operacional, innovaciones tecnológicas, e identificación de valor para los consumidores.</w:t>
      </w:r>
    </w:p>
    <w:p>
      <w:pPr>
        <w:pStyle w:val="BodyText"/>
        <w:spacing w:before="4"/>
        <w:rPr>
          <w:sz w:val="21"/>
        </w:rPr>
      </w:pPr>
    </w:p>
    <w:p>
      <w:pPr>
        <w:pStyle w:val="ListParagraph"/>
        <w:numPr>
          <w:ilvl w:val="0"/>
          <w:numId w:val="14"/>
        </w:numPr>
        <w:tabs>
          <w:tab w:pos="371" w:val="left" w:leader="none"/>
        </w:tabs>
        <w:spacing w:line="360" w:lineRule="auto" w:before="1" w:after="0"/>
        <w:ind w:left="102" w:right="119" w:firstLine="0"/>
        <w:jc w:val="both"/>
        <w:rPr>
          <w:sz w:val="24"/>
        </w:rPr>
      </w:pPr>
      <w:r>
        <w:rPr>
          <w:i/>
          <w:sz w:val="24"/>
        </w:rPr>
        <w:t>Proveedores de productos estandarizados</w:t>
      </w:r>
      <w:r>
        <w:rPr>
          <w:sz w:val="24"/>
        </w:rPr>
        <w:t>. Empresa tradicional. Entre los productos que fabrican se incluyen partes estandarizadas, piezas metálicas y conectores. </w:t>
      </w:r>
      <w:r>
        <w:rPr>
          <w:spacing w:val="-3"/>
          <w:sz w:val="24"/>
        </w:rPr>
        <w:t>La </w:t>
      </w:r>
      <w:r>
        <w:rPr>
          <w:sz w:val="24"/>
        </w:rPr>
        <w:t>madurez de productos da poca oportunidad para la diferenciación. El éxito depende de la eficiencia operacional, sus economías de escala y bajo costo de</w:t>
      </w:r>
      <w:r>
        <w:rPr>
          <w:spacing w:val="-11"/>
          <w:sz w:val="24"/>
        </w:rPr>
        <w:t> </w:t>
      </w:r>
      <w:r>
        <w:rPr>
          <w:sz w:val="24"/>
        </w:rPr>
        <w:t>factores.</w:t>
      </w:r>
    </w:p>
    <w:p>
      <w:pPr>
        <w:pStyle w:val="BodyText"/>
        <w:spacing w:before="4"/>
        <w:rPr>
          <w:sz w:val="21"/>
        </w:rPr>
      </w:pPr>
    </w:p>
    <w:p>
      <w:pPr>
        <w:pStyle w:val="BodyText"/>
        <w:spacing w:line="360" w:lineRule="auto" w:before="1"/>
        <w:ind w:left="102" w:right="114"/>
        <w:jc w:val="both"/>
      </w:pPr>
      <w:r>
        <w:rPr/>
        <w:t>En este sentido, Mortimore y Barron (2005), señalan que esta nueva realidad es aplicada en los llamados consorcios modulares. Funciona de la siguiente manera: Dentro de la planta ensambladora de vehículos o en una planta conjunta, se instalan los principales proveedores de autopartes (primer nivel) y cada uno es responsable por el ensamblaje de ciertos</w:t>
      </w:r>
      <w:r>
        <w:rPr>
          <w:spacing w:val="-22"/>
        </w:rPr>
        <w:t> </w:t>
      </w:r>
      <w:r>
        <w:rPr/>
        <w:t>módulos del vehículo. Como ejemplo señalan la planta de General Motors en Gravatía Brasil, donde se ensambla el Celtic y empresas de autopartes como Arteb, Arvin, Delphi, Inylbra, IPA, Lear, Pelzer, Polyprom, Sogefi, Valeo y VDO liderados por el integrador de sistemas Siemens-VDO realizan una parte sustancial del ensamblaje del</w:t>
      </w:r>
      <w:r>
        <w:rPr>
          <w:spacing w:val="-12"/>
        </w:rPr>
        <w:t> </w:t>
      </w:r>
      <w:r>
        <w:rPr/>
        <w:t>vehículo.</w:t>
      </w:r>
    </w:p>
    <w:p>
      <w:pPr>
        <w:pStyle w:val="BodyText"/>
        <w:spacing w:before="4"/>
        <w:rPr>
          <w:sz w:val="21"/>
        </w:rPr>
      </w:pPr>
    </w:p>
    <w:p>
      <w:pPr>
        <w:pStyle w:val="BodyText"/>
        <w:spacing w:line="360" w:lineRule="auto" w:before="1"/>
        <w:ind w:left="102" w:right="116"/>
        <w:jc w:val="both"/>
      </w:pPr>
      <w:r>
        <w:rPr/>
        <w:t>Por otro lado es trascendente hablar en términos cuantitativos de la importancia que tiene la industria de autopartes a nivel mundial. En este sentido, durante el 2012 la producción de autopartes representó el 3.6% del total de la producción del sector manufacturero a nivel mundial; su valor de producción fue de 1, 399, 302 mdd, siendo la región Asia Pacífico la que más contribuyó a esta con un 55.5% de participación, seguido por la región de América y Europa con participaciones del 25.8 y 13.3%, respectivamente (ProMéxico, 2013), (véase cuadro 2.4).</w:t>
      </w:r>
    </w:p>
    <w:p>
      <w:pPr>
        <w:pStyle w:val="BodyText"/>
        <w:spacing w:before="7"/>
        <w:rPr>
          <w:sz w:val="21"/>
        </w:rPr>
      </w:pPr>
    </w:p>
    <w:p>
      <w:pPr>
        <w:pStyle w:val="Heading1"/>
        <w:ind w:left="1774" w:right="119"/>
      </w:pPr>
      <w:r>
        <w:rPr/>
        <w:t>Cuadro 2.4. Producción Global de autopartes en 2012</w:t>
      </w:r>
    </w:p>
    <w:p>
      <w:pPr>
        <w:pStyle w:val="BodyText"/>
        <w:spacing w:before="2"/>
        <w:rPr>
          <w:b/>
          <w:sz w:val="12"/>
        </w:rPr>
      </w:pPr>
    </w:p>
    <w:tbl>
      <w:tblPr>
        <w:tblW w:w="0" w:type="auto"/>
        <w:jc w:val="left"/>
        <w:tblInd w:w="17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97"/>
        <w:gridCol w:w="2494"/>
        <w:gridCol w:w="1419"/>
      </w:tblGrid>
      <w:tr>
        <w:trPr>
          <w:trHeight w:val="240" w:hRule="exact"/>
        </w:trPr>
        <w:tc>
          <w:tcPr>
            <w:tcW w:w="1697" w:type="dxa"/>
            <w:shd w:val="clear" w:color="auto" w:fill="A6A6A6"/>
          </w:tcPr>
          <w:p>
            <w:pPr>
              <w:pStyle w:val="TableParagraph"/>
              <w:spacing w:line="228" w:lineRule="exact"/>
              <w:ind w:left="542"/>
              <w:jc w:val="left"/>
              <w:rPr>
                <w:b/>
                <w:sz w:val="20"/>
              </w:rPr>
            </w:pPr>
            <w:r>
              <w:rPr>
                <w:b/>
                <w:sz w:val="20"/>
              </w:rPr>
              <w:t>Región</w:t>
            </w:r>
          </w:p>
        </w:tc>
        <w:tc>
          <w:tcPr>
            <w:tcW w:w="2494" w:type="dxa"/>
            <w:shd w:val="clear" w:color="auto" w:fill="A6A6A6"/>
          </w:tcPr>
          <w:p>
            <w:pPr>
              <w:pStyle w:val="TableParagraph"/>
              <w:spacing w:line="228" w:lineRule="exact"/>
              <w:ind w:left="444" w:right="450"/>
              <w:rPr>
                <w:b/>
                <w:sz w:val="20"/>
              </w:rPr>
            </w:pPr>
            <w:r>
              <w:rPr>
                <w:b/>
                <w:sz w:val="20"/>
              </w:rPr>
              <w:t>Producción (mdd)</w:t>
            </w:r>
          </w:p>
        </w:tc>
        <w:tc>
          <w:tcPr>
            <w:tcW w:w="1419" w:type="dxa"/>
            <w:shd w:val="clear" w:color="auto" w:fill="A6A6A6"/>
          </w:tcPr>
          <w:p>
            <w:pPr>
              <w:pStyle w:val="TableParagraph"/>
              <w:spacing w:line="228" w:lineRule="exact"/>
              <w:ind w:right="2"/>
              <w:rPr>
                <w:b/>
                <w:sz w:val="20"/>
              </w:rPr>
            </w:pPr>
            <w:r>
              <w:rPr>
                <w:b/>
                <w:w w:val="99"/>
                <w:sz w:val="20"/>
              </w:rPr>
              <w:t>%</w:t>
            </w:r>
          </w:p>
        </w:tc>
      </w:tr>
      <w:tr>
        <w:trPr>
          <w:trHeight w:val="240" w:hRule="exact"/>
        </w:trPr>
        <w:tc>
          <w:tcPr>
            <w:tcW w:w="1697" w:type="dxa"/>
          </w:tcPr>
          <w:p>
            <w:pPr>
              <w:pStyle w:val="TableParagraph"/>
              <w:spacing w:line="228" w:lineRule="exact"/>
              <w:ind w:left="103"/>
              <w:jc w:val="left"/>
              <w:rPr>
                <w:b/>
                <w:sz w:val="20"/>
              </w:rPr>
            </w:pPr>
            <w:r>
              <w:rPr>
                <w:b/>
                <w:sz w:val="20"/>
              </w:rPr>
              <w:t>Asia-Pacífico</w:t>
            </w:r>
          </w:p>
        </w:tc>
        <w:tc>
          <w:tcPr>
            <w:tcW w:w="2494" w:type="dxa"/>
          </w:tcPr>
          <w:p>
            <w:pPr>
              <w:pStyle w:val="TableParagraph"/>
              <w:spacing w:line="223" w:lineRule="exact"/>
              <w:ind w:left="444" w:right="446"/>
              <w:rPr>
                <w:sz w:val="20"/>
              </w:rPr>
            </w:pPr>
            <w:r>
              <w:rPr>
                <w:sz w:val="20"/>
              </w:rPr>
              <w:t>776,271</w:t>
            </w:r>
          </w:p>
        </w:tc>
        <w:tc>
          <w:tcPr>
            <w:tcW w:w="1419" w:type="dxa"/>
          </w:tcPr>
          <w:p>
            <w:pPr>
              <w:pStyle w:val="TableParagraph"/>
              <w:spacing w:line="223" w:lineRule="exact"/>
              <w:ind w:left="457" w:right="461"/>
              <w:rPr>
                <w:sz w:val="20"/>
              </w:rPr>
            </w:pPr>
            <w:r>
              <w:rPr>
                <w:sz w:val="20"/>
              </w:rPr>
              <w:t>55.5</w:t>
            </w:r>
          </w:p>
        </w:tc>
      </w:tr>
      <w:tr>
        <w:trPr>
          <w:trHeight w:val="240" w:hRule="exact"/>
        </w:trPr>
        <w:tc>
          <w:tcPr>
            <w:tcW w:w="1697" w:type="dxa"/>
          </w:tcPr>
          <w:p>
            <w:pPr>
              <w:pStyle w:val="TableParagraph"/>
              <w:spacing w:line="228" w:lineRule="exact"/>
              <w:ind w:left="103"/>
              <w:jc w:val="left"/>
              <w:rPr>
                <w:b/>
                <w:sz w:val="20"/>
              </w:rPr>
            </w:pPr>
            <w:r>
              <w:rPr>
                <w:b/>
                <w:sz w:val="20"/>
              </w:rPr>
              <w:t>América</w:t>
            </w:r>
          </w:p>
        </w:tc>
        <w:tc>
          <w:tcPr>
            <w:tcW w:w="2494" w:type="dxa"/>
          </w:tcPr>
          <w:p>
            <w:pPr>
              <w:pStyle w:val="TableParagraph"/>
              <w:spacing w:line="223" w:lineRule="exact"/>
              <w:ind w:left="444" w:right="446"/>
              <w:rPr>
                <w:sz w:val="20"/>
              </w:rPr>
            </w:pPr>
            <w:r>
              <w:rPr>
                <w:sz w:val="20"/>
              </w:rPr>
              <w:t>361,597</w:t>
            </w:r>
          </w:p>
        </w:tc>
        <w:tc>
          <w:tcPr>
            <w:tcW w:w="1419" w:type="dxa"/>
          </w:tcPr>
          <w:p>
            <w:pPr>
              <w:pStyle w:val="TableParagraph"/>
              <w:spacing w:line="223" w:lineRule="exact"/>
              <w:ind w:left="457" w:right="461"/>
              <w:rPr>
                <w:sz w:val="20"/>
              </w:rPr>
            </w:pPr>
            <w:r>
              <w:rPr>
                <w:sz w:val="20"/>
              </w:rPr>
              <w:t>25.8</w:t>
            </w:r>
          </w:p>
        </w:tc>
      </w:tr>
      <w:tr>
        <w:trPr>
          <w:trHeight w:val="240" w:hRule="exact"/>
        </w:trPr>
        <w:tc>
          <w:tcPr>
            <w:tcW w:w="1697" w:type="dxa"/>
          </w:tcPr>
          <w:p>
            <w:pPr>
              <w:pStyle w:val="TableParagraph"/>
              <w:spacing w:line="228" w:lineRule="exact"/>
              <w:ind w:left="103"/>
              <w:jc w:val="left"/>
              <w:rPr>
                <w:b/>
                <w:sz w:val="20"/>
              </w:rPr>
            </w:pPr>
            <w:r>
              <w:rPr>
                <w:b/>
                <w:sz w:val="20"/>
              </w:rPr>
              <w:t>Europa</w:t>
            </w:r>
          </w:p>
        </w:tc>
        <w:tc>
          <w:tcPr>
            <w:tcW w:w="2494" w:type="dxa"/>
          </w:tcPr>
          <w:p>
            <w:pPr>
              <w:pStyle w:val="TableParagraph"/>
              <w:spacing w:line="223" w:lineRule="exact"/>
              <w:ind w:left="444" w:right="446"/>
              <w:rPr>
                <w:sz w:val="20"/>
              </w:rPr>
            </w:pPr>
            <w:r>
              <w:rPr>
                <w:sz w:val="20"/>
              </w:rPr>
              <w:t>185,625</w:t>
            </w:r>
          </w:p>
        </w:tc>
        <w:tc>
          <w:tcPr>
            <w:tcW w:w="1419" w:type="dxa"/>
          </w:tcPr>
          <w:p>
            <w:pPr>
              <w:pStyle w:val="TableParagraph"/>
              <w:spacing w:line="223" w:lineRule="exact"/>
              <w:ind w:left="457" w:right="461"/>
              <w:rPr>
                <w:sz w:val="20"/>
              </w:rPr>
            </w:pPr>
            <w:r>
              <w:rPr>
                <w:sz w:val="20"/>
              </w:rPr>
              <w:t>13.3</w:t>
            </w:r>
          </w:p>
        </w:tc>
      </w:tr>
      <w:tr>
        <w:trPr>
          <w:trHeight w:val="310" w:hRule="exact"/>
        </w:trPr>
        <w:tc>
          <w:tcPr>
            <w:tcW w:w="1697" w:type="dxa"/>
            <w:tcBorders>
              <w:bottom w:val="single" w:sz="4" w:space="0" w:color="000000"/>
            </w:tcBorders>
          </w:tcPr>
          <w:p>
            <w:pPr>
              <w:pStyle w:val="TableParagraph"/>
              <w:spacing w:before="31"/>
              <w:ind w:left="103"/>
              <w:jc w:val="left"/>
              <w:rPr>
                <w:b/>
                <w:sz w:val="20"/>
              </w:rPr>
            </w:pPr>
            <w:r>
              <w:rPr>
                <w:b/>
                <w:sz w:val="20"/>
              </w:rPr>
              <w:t>Otros</w:t>
            </w:r>
          </w:p>
        </w:tc>
        <w:tc>
          <w:tcPr>
            <w:tcW w:w="2494" w:type="dxa"/>
            <w:tcBorders>
              <w:bottom w:val="single" w:sz="4" w:space="0" w:color="000000"/>
            </w:tcBorders>
          </w:tcPr>
          <w:p>
            <w:pPr>
              <w:pStyle w:val="TableParagraph"/>
              <w:spacing w:before="27"/>
              <w:ind w:left="444" w:right="446"/>
              <w:rPr>
                <w:sz w:val="20"/>
              </w:rPr>
            </w:pPr>
            <w:r>
              <w:rPr>
                <w:sz w:val="20"/>
              </w:rPr>
              <w:t>75,808</w:t>
            </w:r>
          </w:p>
        </w:tc>
        <w:tc>
          <w:tcPr>
            <w:tcW w:w="1419" w:type="dxa"/>
            <w:tcBorders>
              <w:bottom w:val="single" w:sz="4" w:space="0" w:color="000000"/>
            </w:tcBorders>
          </w:tcPr>
          <w:p>
            <w:pPr>
              <w:pStyle w:val="TableParagraph"/>
              <w:spacing w:before="27"/>
              <w:ind w:left="457" w:right="460"/>
              <w:rPr>
                <w:sz w:val="20"/>
              </w:rPr>
            </w:pPr>
            <w:r>
              <w:rPr>
                <w:sz w:val="20"/>
              </w:rPr>
              <w:t>5.4</w:t>
            </w:r>
          </w:p>
        </w:tc>
      </w:tr>
      <w:tr>
        <w:trPr>
          <w:trHeight w:val="240" w:hRule="exact"/>
        </w:trPr>
        <w:tc>
          <w:tcPr>
            <w:tcW w:w="1697" w:type="dxa"/>
            <w:tcBorders>
              <w:top w:val="single" w:sz="4" w:space="0" w:color="000000"/>
            </w:tcBorders>
            <w:shd w:val="clear" w:color="auto" w:fill="E8F3D2"/>
          </w:tcPr>
          <w:p>
            <w:pPr>
              <w:pStyle w:val="TableParagraph"/>
              <w:spacing w:line="228" w:lineRule="exact"/>
              <w:ind w:left="103"/>
              <w:jc w:val="left"/>
              <w:rPr>
                <w:b/>
                <w:sz w:val="20"/>
              </w:rPr>
            </w:pPr>
            <w:r>
              <w:rPr>
                <w:b/>
                <w:sz w:val="20"/>
              </w:rPr>
              <w:t>Total</w:t>
            </w:r>
          </w:p>
        </w:tc>
        <w:tc>
          <w:tcPr>
            <w:tcW w:w="2494" w:type="dxa"/>
            <w:tcBorders>
              <w:top w:val="single" w:sz="4" w:space="0" w:color="000000"/>
            </w:tcBorders>
            <w:shd w:val="clear" w:color="auto" w:fill="E8F3D2"/>
          </w:tcPr>
          <w:p>
            <w:pPr>
              <w:pStyle w:val="TableParagraph"/>
              <w:spacing w:line="223" w:lineRule="exact"/>
              <w:ind w:left="444" w:right="446"/>
              <w:rPr>
                <w:sz w:val="20"/>
              </w:rPr>
            </w:pPr>
            <w:r>
              <w:rPr>
                <w:sz w:val="20"/>
              </w:rPr>
              <w:t>1,399,302</w:t>
            </w:r>
          </w:p>
        </w:tc>
        <w:tc>
          <w:tcPr>
            <w:tcW w:w="1419" w:type="dxa"/>
            <w:tcBorders>
              <w:top w:val="single" w:sz="4" w:space="0" w:color="000000"/>
            </w:tcBorders>
            <w:shd w:val="clear" w:color="auto" w:fill="E8F3D2"/>
          </w:tcPr>
          <w:p>
            <w:pPr>
              <w:pStyle w:val="TableParagraph"/>
              <w:spacing w:line="223" w:lineRule="exact"/>
              <w:ind w:left="457" w:right="462"/>
              <w:rPr>
                <w:sz w:val="20"/>
              </w:rPr>
            </w:pPr>
            <w:r>
              <w:rPr>
                <w:sz w:val="20"/>
              </w:rPr>
              <w:t>100.0</w:t>
            </w:r>
          </w:p>
        </w:tc>
      </w:tr>
    </w:tbl>
    <w:p>
      <w:pPr>
        <w:spacing w:line="202" w:lineRule="exact" w:before="0"/>
        <w:ind w:left="2531" w:right="119" w:firstLine="0"/>
        <w:jc w:val="left"/>
        <w:rPr>
          <w:sz w:val="18"/>
        </w:rPr>
      </w:pPr>
      <w:r>
        <w:rPr>
          <w:sz w:val="18"/>
        </w:rPr>
        <w:t>Fuente: ProMéxico con datos de Global Insigth (2013).</w:t>
      </w:r>
    </w:p>
    <w:p>
      <w:pPr>
        <w:spacing w:after="0" w:line="202" w:lineRule="exact"/>
        <w:jc w:val="left"/>
        <w:rPr>
          <w:sz w:val="18"/>
        </w:rPr>
        <w:sectPr>
          <w:pgSz w:w="12240" w:h="15840"/>
          <w:pgMar w:header="0" w:footer="1035" w:top="1360" w:bottom="1220" w:left="1600" w:right="1580"/>
        </w:sectPr>
      </w:pPr>
    </w:p>
    <w:p>
      <w:pPr>
        <w:pStyle w:val="BodyText"/>
        <w:spacing w:line="360" w:lineRule="auto" w:before="50"/>
        <w:ind w:left="102" w:right="121"/>
        <w:jc w:val="both"/>
      </w:pPr>
      <w:r>
        <w:rPr/>
        <w:t>En cuanto a los principales productores de autopartes a nivel de</w:t>
      </w:r>
      <w:r>
        <w:rPr>
          <w:spacing w:val="-42"/>
        </w:rPr>
        <w:t> </w:t>
      </w:r>
      <w:r>
        <w:rPr/>
        <w:t>países destacan los asiáticos China y Japón con participaciones en la producción de 24 y 21% respectivamente, mientras que México se ubicó como el sexto productor de autopartes a nivel mundial, detrás de Alemania, con participaciones de 7 y 5%</w:t>
      </w:r>
      <w:r>
        <w:rPr>
          <w:spacing w:val="-11"/>
        </w:rPr>
        <w:t> </w:t>
      </w:r>
      <w:r>
        <w:rPr/>
        <w:t>respectivamente.</w:t>
      </w:r>
    </w:p>
    <w:p>
      <w:pPr>
        <w:pStyle w:val="BodyText"/>
        <w:spacing w:before="2"/>
        <w:rPr>
          <w:sz w:val="21"/>
        </w:rPr>
      </w:pPr>
    </w:p>
    <w:p>
      <w:pPr>
        <w:pStyle w:val="BodyText"/>
        <w:spacing w:line="360" w:lineRule="auto"/>
        <w:ind w:left="102" w:right="117"/>
        <w:jc w:val="both"/>
      </w:pPr>
      <w:r>
        <w:rPr/>
        <w:t>Es importante señalar que se prevé para los próximos diez años, que China siga consolidándose como el principal productor del sector y que la globalización dentro de la industria</w:t>
      </w:r>
      <w:r>
        <w:rPr>
          <w:spacing w:val="-14"/>
        </w:rPr>
        <w:t> </w:t>
      </w:r>
      <w:r>
        <w:rPr/>
        <w:t>de</w:t>
      </w:r>
      <w:r>
        <w:rPr>
          <w:spacing w:val="-14"/>
        </w:rPr>
        <w:t> </w:t>
      </w:r>
      <w:r>
        <w:rPr/>
        <w:t>autopartes</w:t>
      </w:r>
      <w:r>
        <w:rPr>
          <w:spacing w:val="-14"/>
        </w:rPr>
        <w:t> </w:t>
      </w:r>
      <w:r>
        <w:rPr/>
        <w:t>generará</w:t>
      </w:r>
      <w:r>
        <w:rPr>
          <w:spacing w:val="-14"/>
        </w:rPr>
        <w:t> </w:t>
      </w:r>
      <w:r>
        <w:rPr/>
        <w:t>mayor</w:t>
      </w:r>
      <w:r>
        <w:rPr>
          <w:spacing w:val="-14"/>
        </w:rPr>
        <w:t> </w:t>
      </w:r>
      <w:r>
        <w:rPr/>
        <w:t>competitividad</w:t>
      </w:r>
      <w:r>
        <w:rPr>
          <w:spacing w:val="-14"/>
        </w:rPr>
        <w:t> </w:t>
      </w:r>
      <w:r>
        <w:rPr/>
        <w:t>en</w:t>
      </w:r>
      <w:r>
        <w:rPr>
          <w:spacing w:val="-13"/>
        </w:rPr>
        <w:t> </w:t>
      </w:r>
      <w:r>
        <w:rPr/>
        <w:t>el</w:t>
      </w:r>
      <w:r>
        <w:rPr>
          <w:spacing w:val="-13"/>
        </w:rPr>
        <w:t> </w:t>
      </w:r>
      <w:r>
        <w:rPr/>
        <w:t>sector,</w:t>
      </w:r>
      <w:r>
        <w:rPr>
          <w:spacing w:val="-14"/>
        </w:rPr>
        <w:t> </w:t>
      </w:r>
      <w:r>
        <w:rPr/>
        <w:t>dando</w:t>
      </w:r>
      <w:r>
        <w:rPr>
          <w:spacing w:val="-13"/>
        </w:rPr>
        <w:t> </w:t>
      </w:r>
      <w:r>
        <w:rPr/>
        <w:t>paso</w:t>
      </w:r>
      <w:r>
        <w:rPr>
          <w:spacing w:val="-13"/>
        </w:rPr>
        <w:t> </w:t>
      </w:r>
      <w:r>
        <w:rPr/>
        <w:t>a</w:t>
      </w:r>
      <w:r>
        <w:rPr>
          <w:spacing w:val="-14"/>
        </w:rPr>
        <w:t> </w:t>
      </w:r>
      <w:r>
        <w:rPr/>
        <w:t>países</w:t>
      </w:r>
      <w:r>
        <w:rPr>
          <w:spacing w:val="-14"/>
        </w:rPr>
        <w:t> </w:t>
      </w:r>
      <w:r>
        <w:rPr/>
        <w:t>como México, Brasil y Corea del Sur (ProMéxico,</w:t>
      </w:r>
      <w:r>
        <w:rPr>
          <w:spacing w:val="-9"/>
        </w:rPr>
        <w:t> </w:t>
      </w:r>
      <w:r>
        <w:rPr/>
        <w:t>2013).</w:t>
      </w:r>
    </w:p>
    <w:p>
      <w:pPr>
        <w:pStyle w:val="BodyText"/>
        <w:spacing w:before="7"/>
        <w:rPr>
          <w:sz w:val="21"/>
        </w:rPr>
      </w:pPr>
    </w:p>
    <w:p>
      <w:pPr>
        <w:pStyle w:val="Heading1"/>
        <w:ind w:left="843" w:right="119"/>
      </w:pPr>
      <w:r>
        <w:rPr/>
        <w:t>Gráfica 2.3. Participación en la producción de autopartes por país, 2012</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26"/>
        </w:rPr>
      </w:pPr>
    </w:p>
    <w:p>
      <w:pPr>
        <w:spacing w:before="77"/>
        <w:ind w:left="0" w:right="2536" w:firstLine="0"/>
        <w:jc w:val="right"/>
        <w:rPr>
          <w:b/>
          <w:sz w:val="18"/>
        </w:rPr>
      </w:pPr>
      <w:r>
        <w:rPr/>
        <w:pict>
          <v:group style="position:absolute;margin-left:230.209442pt;margin-top:-68.357658pt;width:171.9pt;height:159.950pt;mso-position-horizontal-relative:page;mso-position-vertical-relative:paragraph;z-index:-501232" coordorigin="4604,-1367" coordsize="3438,3199">
            <v:shape style="position:absolute;left:6203;top:-1367;width:1206;height:1074" type="#_x0000_t75" stroked="false">
              <v:imagedata r:id="rId15" o:title=""/>
            </v:shape>
            <v:shape style="position:absolute;left:6807;top:-818;width:703;height:588" type="#_x0000_t75" stroked="false">
              <v:imagedata r:id="rId16" o:title=""/>
            </v:shape>
            <v:shape style="position:absolute;left:6856;top:-692;width:744;height:534" type="#_x0000_t75" stroked="false">
              <v:imagedata r:id="rId17" o:title=""/>
            </v:shape>
            <v:shape style="position:absolute;left:6902;top:-547;width:785;height:480" type="#_x0000_t75" stroked="false">
              <v:imagedata r:id="rId18" o:title=""/>
            </v:shape>
            <v:shape style="position:absolute;left:6945;top:-366;width:827;height:443" type="#_x0000_t75" stroked="false">
              <v:imagedata r:id="rId19" o:title=""/>
            </v:shape>
            <v:shape style="position:absolute;left:6988;top:-77;width:815;height:480" type="#_x0000_t75" stroked="false">
              <v:imagedata r:id="rId20" o:title=""/>
            </v:shape>
            <v:shape style="position:absolute;left:6927;top:317;width:867;height:596" type="#_x0000_t75" stroked="false">
              <v:imagedata r:id="rId21" o:title=""/>
            </v:shape>
            <v:shape style="position:absolute;left:6698;top:573;width:953;height:917" type="#_x0000_t75" stroked="false">
              <v:imagedata r:id="rId22" o:title=""/>
            </v:shape>
            <v:shape style="position:absolute;left:5719;top:861;width:1473;height:970" type="#_x0000_t75" stroked="false">
              <v:imagedata r:id="rId23" o:title=""/>
            </v:shape>
            <v:shape style="position:absolute;left:4604;top:132;width:1357;height:1625" type="#_x0000_t75" stroked="false">
              <v:imagedata r:id="rId24" o:title=""/>
            </v:shape>
            <v:shape style="position:absolute;left:4607;top:-1367;width:1596;height:1549" type="#_x0000_t75" stroked="false">
              <v:imagedata r:id="rId25" o:title=""/>
            </v:shape>
            <v:shape style="position:absolute;left:4923;top:-722;width:923;height:180" type="#_x0000_t202" filled="false" stroked="false">
              <v:textbox inset="0,0,0,0">
                <w:txbxContent>
                  <w:p>
                    <w:pPr>
                      <w:spacing w:line="180" w:lineRule="exact" w:before="0"/>
                      <w:ind w:left="0" w:right="-18" w:firstLine="0"/>
                      <w:jc w:val="left"/>
                      <w:rPr>
                        <w:b/>
                        <w:sz w:val="18"/>
                      </w:rPr>
                    </w:pPr>
                    <w:r>
                      <w:rPr>
                        <w:b/>
                        <w:sz w:val="18"/>
                      </w:rPr>
                      <w:t>China, 24%</w:t>
                    </w:r>
                  </w:p>
                </w:txbxContent>
              </v:textbox>
              <w10:wrap type="none"/>
            </v:shape>
            <v:shape style="position:absolute;left:6256;top:-939;width:1786;height:1596" type="#_x0000_t202" filled="false" stroked="false">
              <v:textbox inset="0,0,0,0">
                <w:txbxContent>
                  <w:p>
                    <w:pPr>
                      <w:spacing w:line="184" w:lineRule="exact" w:before="0"/>
                      <w:ind w:left="0" w:right="-18" w:firstLine="0"/>
                      <w:jc w:val="left"/>
                      <w:rPr>
                        <w:b/>
                        <w:sz w:val="18"/>
                      </w:rPr>
                    </w:pPr>
                    <w:r>
                      <w:rPr>
                        <w:b/>
                        <w:sz w:val="18"/>
                      </w:rPr>
                      <w:t>Otros, 14%</w:t>
                    </w:r>
                  </w:p>
                  <w:p>
                    <w:pPr>
                      <w:spacing w:line="199" w:lineRule="exact" w:before="3"/>
                      <w:ind w:left="683" w:right="-18" w:firstLine="0"/>
                      <w:jc w:val="left"/>
                      <w:rPr>
                        <w:b/>
                        <w:sz w:val="18"/>
                      </w:rPr>
                    </w:pPr>
                    <w:r>
                      <w:rPr>
                        <w:b/>
                        <w:sz w:val="18"/>
                      </w:rPr>
                      <w:t>Tailandia, 2%</w:t>
                    </w:r>
                  </w:p>
                  <w:p>
                    <w:pPr>
                      <w:spacing w:line="182" w:lineRule="exact" w:before="0"/>
                      <w:ind w:left="840" w:right="135" w:firstLine="0"/>
                      <w:jc w:val="center"/>
                      <w:rPr>
                        <w:b/>
                        <w:sz w:val="18"/>
                      </w:rPr>
                    </w:pPr>
                    <w:r>
                      <w:rPr>
                        <w:b/>
                        <w:sz w:val="18"/>
                      </w:rPr>
                      <w:t>Italia, 2%</w:t>
                    </w:r>
                  </w:p>
                  <w:p>
                    <w:pPr>
                      <w:spacing w:line="174" w:lineRule="exact" w:before="0"/>
                      <w:ind w:left="647" w:right="-18" w:firstLine="0"/>
                      <w:jc w:val="left"/>
                      <w:rPr>
                        <w:b/>
                        <w:sz w:val="18"/>
                      </w:rPr>
                    </w:pPr>
                    <w:r>
                      <w:rPr>
                        <w:b/>
                        <w:sz w:val="18"/>
                      </w:rPr>
                      <w:t>India, 2%</w:t>
                    </w:r>
                  </w:p>
                  <w:p>
                    <w:pPr>
                      <w:spacing w:line="191" w:lineRule="exact" w:before="0"/>
                      <w:ind w:left="432" w:right="-18" w:firstLine="256"/>
                      <w:jc w:val="left"/>
                      <w:rPr>
                        <w:b/>
                        <w:sz w:val="18"/>
                      </w:rPr>
                    </w:pPr>
                    <w:r>
                      <w:rPr>
                        <w:b/>
                        <w:sz w:val="18"/>
                      </w:rPr>
                      <w:t>Brasil, 3%</w:t>
                    </w:r>
                  </w:p>
                  <w:p>
                    <w:pPr>
                      <w:spacing w:before="82"/>
                      <w:ind w:left="763" w:right="-18" w:hanging="332"/>
                      <w:jc w:val="left"/>
                      <w:rPr>
                        <w:b/>
                        <w:sz w:val="18"/>
                      </w:rPr>
                    </w:pPr>
                    <w:r>
                      <w:rPr>
                        <w:b/>
                        <w:sz w:val="18"/>
                      </w:rPr>
                      <w:t>Corea del Sur, 5</w:t>
                    </w:r>
                  </w:p>
                  <w:p>
                    <w:pPr>
                      <w:spacing w:line="240" w:lineRule="auto" w:before="8"/>
                      <w:rPr>
                        <w:sz w:val="14"/>
                      </w:rPr>
                    </w:pPr>
                  </w:p>
                  <w:p>
                    <w:pPr>
                      <w:spacing w:line="203" w:lineRule="exact" w:before="1"/>
                      <w:ind w:left="763" w:right="-18" w:firstLine="0"/>
                      <w:jc w:val="left"/>
                      <w:rPr>
                        <w:b/>
                        <w:sz w:val="18"/>
                      </w:rPr>
                    </w:pPr>
                    <w:r>
                      <w:rPr>
                        <w:b/>
                        <w:sz w:val="18"/>
                      </w:rPr>
                      <w:t>México, 5%</w:t>
                    </w:r>
                  </w:p>
                </w:txbxContent>
              </v:textbox>
              <w10:wrap type="none"/>
            </v:shape>
            <v:shape style="position:absolute;left:4754;top:831;width:923;height:180" type="#_x0000_t202" filled="false" stroked="false">
              <v:textbox inset="0,0,0,0">
                <w:txbxContent>
                  <w:p>
                    <w:pPr>
                      <w:spacing w:line="180" w:lineRule="exact" w:before="0"/>
                      <w:ind w:left="0" w:right="-18" w:firstLine="0"/>
                      <w:jc w:val="left"/>
                      <w:rPr>
                        <w:b/>
                        <w:sz w:val="18"/>
                      </w:rPr>
                    </w:pPr>
                    <w:r>
                      <w:rPr>
                        <w:b/>
                        <w:sz w:val="18"/>
                      </w:rPr>
                      <w:t>Japón, 21%</w:t>
                    </w:r>
                  </w:p>
                </w:txbxContent>
              </v:textbox>
              <w10:wrap type="none"/>
            </v:shape>
            <v:shape style="position:absolute;left:5805;top:900;width:1893;height:717" type="#_x0000_t202" filled="false" stroked="false">
              <v:textbox inset="0,0,0,0">
                <w:txbxContent>
                  <w:p>
                    <w:pPr>
                      <w:spacing w:line="184" w:lineRule="exact" w:before="0"/>
                      <w:ind w:left="790" w:right="-17" w:firstLine="0"/>
                      <w:jc w:val="left"/>
                      <w:rPr>
                        <w:b/>
                        <w:sz w:val="18"/>
                      </w:rPr>
                    </w:pPr>
                    <w:r>
                      <w:rPr>
                        <w:b/>
                        <w:sz w:val="18"/>
                      </w:rPr>
                      <w:t>Alemania, 7%</w:t>
                    </w:r>
                  </w:p>
                  <w:p>
                    <w:pPr>
                      <w:spacing w:before="123"/>
                      <w:ind w:left="434" w:right="323" w:hanging="435"/>
                      <w:jc w:val="left"/>
                      <w:rPr>
                        <w:b/>
                        <w:sz w:val="18"/>
                      </w:rPr>
                    </w:pPr>
                    <w:r>
                      <w:rPr>
                        <w:b/>
                        <w:sz w:val="18"/>
                      </w:rPr>
                      <w:t>Estados Unidos, 16%</w:t>
                    </w:r>
                  </w:p>
                </w:txbxContent>
              </v:textbox>
              <w10:wrap type="none"/>
            </v:shape>
            <w10:wrap type="none"/>
          </v:group>
        </w:pict>
      </w:r>
      <w:r>
        <w:rPr>
          <w:b/>
          <w:w w:val="100"/>
          <w:sz w:val="18"/>
        </w:rPr>
        <w:t>%</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7"/>
        <w:rPr>
          <w:b/>
          <w:sz w:val="21"/>
        </w:rPr>
      </w:pPr>
    </w:p>
    <w:p>
      <w:pPr>
        <w:spacing w:before="77"/>
        <w:ind w:left="956" w:right="119" w:firstLine="0"/>
        <w:jc w:val="left"/>
        <w:rPr>
          <w:sz w:val="18"/>
        </w:rPr>
      </w:pPr>
      <w:r>
        <w:rPr>
          <w:sz w:val="18"/>
        </w:rPr>
        <w:t>Fuente: Elaboración propia con datos de INA y Global Insigth, presentados por ProMéxico (2013).</w:t>
      </w:r>
    </w:p>
    <w:p>
      <w:pPr>
        <w:pStyle w:val="BodyText"/>
        <w:rPr>
          <w:sz w:val="18"/>
        </w:rPr>
      </w:pPr>
    </w:p>
    <w:p>
      <w:pPr>
        <w:pStyle w:val="BodyText"/>
        <w:spacing w:before="10"/>
        <w:rPr>
          <w:sz w:val="20"/>
        </w:rPr>
      </w:pPr>
    </w:p>
    <w:p>
      <w:pPr>
        <w:pStyle w:val="BodyText"/>
        <w:spacing w:line="360" w:lineRule="auto"/>
        <w:ind w:left="102" w:right="117"/>
        <w:jc w:val="both"/>
      </w:pPr>
      <w:r>
        <w:rPr/>
        <w:t>Por otra parte, de acuerdo con Juárez (2005), actualmente la industria de autopartes a nivel mundial está conformada por las corporaciones que han sido más eficientes en mantenerse</w:t>
      </w:r>
      <w:r>
        <w:rPr>
          <w:spacing w:val="-18"/>
        </w:rPr>
        <w:t> </w:t>
      </w:r>
      <w:r>
        <w:rPr/>
        <w:t>a la vanguardia de las innovaciones y que han logrado conformarse como una estructura de oligopolio con presencia global, estableciéndose estratégicamente en las rutas de flujo que conducen a los puntos de la cadena de ensamble, logrando construir conceptos como el de cooperación</w:t>
      </w:r>
      <w:r>
        <w:rPr>
          <w:spacing w:val="-11"/>
        </w:rPr>
        <w:t> </w:t>
      </w:r>
      <w:r>
        <w:rPr/>
        <w:t>interfirma,</w:t>
      </w:r>
      <w:r>
        <w:rPr>
          <w:spacing w:val="-12"/>
        </w:rPr>
        <w:t> </w:t>
      </w:r>
      <w:r>
        <w:rPr/>
        <w:t>que</w:t>
      </w:r>
      <w:r>
        <w:rPr>
          <w:spacing w:val="-12"/>
        </w:rPr>
        <w:t> </w:t>
      </w:r>
      <w:r>
        <w:rPr/>
        <w:t>permite</w:t>
      </w:r>
      <w:r>
        <w:rPr>
          <w:spacing w:val="-9"/>
        </w:rPr>
        <w:t> </w:t>
      </w:r>
      <w:r>
        <w:rPr/>
        <w:t>establecer</w:t>
      </w:r>
      <w:r>
        <w:rPr>
          <w:spacing w:val="-12"/>
        </w:rPr>
        <w:t> </w:t>
      </w:r>
      <w:r>
        <w:rPr/>
        <w:t>parámetros,</w:t>
      </w:r>
      <w:r>
        <w:rPr>
          <w:spacing w:val="-11"/>
        </w:rPr>
        <w:t> </w:t>
      </w:r>
      <w:r>
        <w:rPr/>
        <w:t>tiempos</w:t>
      </w:r>
      <w:r>
        <w:rPr>
          <w:spacing w:val="-6"/>
        </w:rPr>
        <w:t> </w:t>
      </w:r>
      <w:r>
        <w:rPr/>
        <w:t>y</w:t>
      </w:r>
      <w:r>
        <w:rPr>
          <w:spacing w:val="-13"/>
        </w:rPr>
        <w:t> </w:t>
      </w:r>
      <w:r>
        <w:rPr/>
        <w:t>espacios</w:t>
      </w:r>
      <w:r>
        <w:rPr>
          <w:spacing w:val="-11"/>
        </w:rPr>
        <w:t> </w:t>
      </w:r>
      <w:r>
        <w:rPr/>
        <w:t>para</w:t>
      </w:r>
      <w:r>
        <w:rPr>
          <w:spacing w:val="-11"/>
        </w:rPr>
        <w:t> </w:t>
      </w:r>
      <w:r>
        <w:rPr/>
        <w:t>actuar</w:t>
      </w:r>
      <w:r>
        <w:rPr>
          <w:spacing w:val="-12"/>
        </w:rPr>
        <w:t> </w:t>
      </w:r>
      <w:r>
        <w:rPr/>
        <w:t>de manera</w:t>
      </w:r>
      <w:r>
        <w:rPr>
          <w:spacing w:val="-4"/>
        </w:rPr>
        <w:t> </w:t>
      </w:r>
      <w:r>
        <w:rPr/>
        <w:t>conjunta.</w:t>
      </w:r>
    </w:p>
    <w:p>
      <w:pPr>
        <w:pStyle w:val="BodyText"/>
        <w:spacing w:before="2"/>
        <w:rPr>
          <w:sz w:val="21"/>
        </w:rPr>
      </w:pPr>
    </w:p>
    <w:p>
      <w:pPr>
        <w:pStyle w:val="BodyText"/>
        <w:spacing w:line="362" w:lineRule="auto"/>
        <w:ind w:left="102" w:right="121"/>
        <w:jc w:val="both"/>
      </w:pPr>
      <w:r>
        <w:rPr/>
        <w:t>En este sentido, las veinte empresas proveedoras de autopartes que destacaron de acuerdo al monto de sus ventas, durante el año 2013 se pueden apreciar en el cuadro 2.5.</w:t>
      </w:r>
    </w:p>
    <w:p>
      <w:pPr>
        <w:spacing w:after="0" w:line="362" w:lineRule="auto"/>
        <w:jc w:val="both"/>
        <w:sectPr>
          <w:pgSz w:w="12240" w:h="15840"/>
          <w:pgMar w:header="0" w:footer="1035" w:top="1360" w:bottom="1220" w:left="1600" w:right="1580"/>
        </w:sectPr>
      </w:pPr>
    </w:p>
    <w:p>
      <w:pPr>
        <w:pStyle w:val="Heading1"/>
        <w:spacing w:before="55"/>
        <w:ind w:right="398"/>
        <w:jc w:val="center"/>
      </w:pPr>
      <w:r>
        <w:rPr/>
        <w:pict>
          <v:line style="position:absolute;mso-position-horizontal-relative:page;mso-position-vertical-relative:paragraph;z-index:-501160" from="110.953568pt,23.790766pt" to="110.953568pt,23.790766pt" stroked="true" strokeweight=".574831pt" strokecolor="#d3d3d3">
            <w10:wrap type="none"/>
          </v:line>
        </w:pict>
      </w:r>
      <w:r>
        <w:rPr/>
        <w:pict>
          <v:line style="position:absolute;mso-position-horizontal-relative:page;mso-position-vertical-relative:paragraph;z-index:-501136" from="183.437637pt,23.790768pt" to="183.437637pt,23.790768pt" stroked="true" strokeweight=".574831pt" strokecolor="#d3d3d3">
            <w10:wrap type="none"/>
          </v:line>
        </w:pict>
      </w:r>
      <w:r>
        <w:rPr/>
        <w:pict>
          <v:line style="position:absolute;mso-position-horizontal-relative:page;mso-position-vertical-relative:paragraph;z-index:-501112" from="517.138672pt,23.790779pt" to="517.138672pt,23.790779pt" stroked="true" strokeweight=".574831pt" strokecolor="#d3d3d3">
            <w10:wrap type="none"/>
          </v:line>
        </w:pict>
      </w:r>
      <w:r>
        <w:rPr/>
        <w:t>Cuadro 2.5. Principales empresas de autopartes en el mundo, 2013</w:t>
      </w:r>
    </w:p>
    <w:p>
      <w:pPr>
        <w:pStyle w:val="BodyText"/>
        <w:spacing w:before="1"/>
        <w:rPr>
          <w:b/>
          <w:sz w:val="12"/>
        </w:rPr>
      </w:pPr>
    </w:p>
    <w:tbl>
      <w:tblPr>
        <w:tblW w:w="0" w:type="auto"/>
        <w:jc w:val="left"/>
        <w:tblInd w:w="291" w:type="dxa"/>
        <w:tblBorders>
          <w:top w:val="single" w:sz="9" w:space="0" w:color="92D07B"/>
          <w:left w:val="single" w:sz="9" w:space="0" w:color="92D07B"/>
          <w:bottom w:val="single" w:sz="9" w:space="0" w:color="92D07B"/>
          <w:right w:val="single" w:sz="9" w:space="0" w:color="92D07B"/>
          <w:insideH w:val="single" w:sz="9" w:space="0" w:color="92D07B"/>
          <w:insideV w:val="single" w:sz="9" w:space="0" w:color="92D07B"/>
        </w:tblBorders>
        <w:tblLayout w:type="fixed"/>
        <w:tblCellMar>
          <w:top w:w="0" w:type="dxa"/>
          <w:left w:w="0" w:type="dxa"/>
          <w:bottom w:w="0" w:type="dxa"/>
          <w:right w:w="0" w:type="dxa"/>
        </w:tblCellMar>
        <w:tblLook w:val="01E0"/>
      </w:tblPr>
      <w:tblGrid>
        <w:gridCol w:w="316"/>
        <w:gridCol w:w="1450"/>
        <w:gridCol w:w="1105"/>
        <w:gridCol w:w="955"/>
        <w:gridCol w:w="4614"/>
      </w:tblGrid>
      <w:tr>
        <w:trPr>
          <w:trHeight w:val="465" w:hRule="exact"/>
        </w:trPr>
        <w:tc>
          <w:tcPr>
            <w:tcW w:w="316" w:type="dxa"/>
            <w:tcBorders>
              <w:top w:val="nil"/>
              <w:left w:val="nil"/>
              <w:bottom w:val="single" w:sz="5" w:space="0" w:color="FFFFFF"/>
              <w:right w:val="nil"/>
            </w:tcBorders>
            <w:shd w:val="clear" w:color="auto" w:fill="539E39"/>
          </w:tcPr>
          <w:p>
            <w:pPr>
              <w:pStyle w:val="TableParagraph"/>
              <w:spacing w:before="140"/>
              <w:ind w:left="14" w:right="12"/>
              <w:rPr>
                <w:b/>
                <w:sz w:val="17"/>
              </w:rPr>
            </w:pPr>
            <w:r>
              <w:rPr>
                <w:b/>
                <w:sz w:val="17"/>
              </w:rPr>
              <w:t>No.</w:t>
            </w:r>
          </w:p>
        </w:tc>
        <w:tc>
          <w:tcPr>
            <w:tcW w:w="1450" w:type="dxa"/>
            <w:tcBorders>
              <w:top w:val="nil"/>
              <w:left w:val="nil"/>
              <w:bottom w:val="single" w:sz="5" w:space="0" w:color="FFFFFF"/>
              <w:right w:val="nil"/>
            </w:tcBorders>
            <w:shd w:val="clear" w:color="auto" w:fill="539E39"/>
          </w:tcPr>
          <w:p>
            <w:pPr>
              <w:pStyle w:val="TableParagraph"/>
              <w:spacing w:before="140"/>
              <w:ind w:left="391"/>
              <w:jc w:val="left"/>
              <w:rPr>
                <w:b/>
                <w:sz w:val="17"/>
              </w:rPr>
            </w:pPr>
            <w:r>
              <w:rPr>
                <w:b/>
                <w:sz w:val="17"/>
              </w:rPr>
              <w:t>Empresa</w:t>
            </w:r>
          </w:p>
        </w:tc>
        <w:tc>
          <w:tcPr>
            <w:tcW w:w="1105" w:type="dxa"/>
            <w:tcBorders>
              <w:top w:val="nil"/>
              <w:left w:val="nil"/>
              <w:bottom w:val="single" w:sz="5" w:space="0" w:color="FFFFFF"/>
              <w:right w:val="nil"/>
            </w:tcBorders>
            <w:shd w:val="clear" w:color="auto" w:fill="539E39"/>
          </w:tcPr>
          <w:p>
            <w:pPr>
              <w:pStyle w:val="TableParagraph"/>
              <w:spacing w:before="140"/>
              <w:ind w:left="380" w:right="381"/>
              <w:rPr>
                <w:b/>
                <w:sz w:val="17"/>
              </w:rPr>
            </w:pPr>
            <w:r>
              <w:rPr>
                <w:b/>
                <w:sz w:val="17"/>
              </w:rPr>
              <w:t>País</w:t>
            </w:r>
          </w:p>
        </w:tc>
        <w:tc>
          <w:tcPr>
            <w:tcW w:w="955" w:type="dxa"/>
            <w:tcBorders>
              <w:top w:val="nil"/>
              <w:left w:val="nil"/>
              <w:bottom w:val="single" w:sz="5" w:space="0" w:color="FFFFFF"/>
              <w:right w:val="nil"/>
            </w:tcBorders>
            <w:shd w:val="clear" w:color="auto" w:fill="539E39"/>
          </w:tcPr>
          <w:p>
            <w:pPr>
              <w:pStyle w:val="TableParagraph"/>
              <w:spacing w:line="20" w:lineRule="exact"/>
              <w:ind w:left="-1"/>
              <w:jc w:val="left"/>
              <w:rPr>
                <w:sz w:val="2"/>
              </w:rPr>
            </w:pPr>
            <w:r>
              <w:rPr>
                <w:sz w:val="2"/>
              </w:rPr>
              <w:pict>
                <v:group style="width:.6pt;height:.6pt;mso-position-horizontal-relative:char;mso-position-vertical-relative:line" coordorigin="0,0" coordsize="12,12">
                  <v:line style="position:absolute" from="6,6" to="6,6" stroked="true" strokeweight=".574831pt" strokecolor="#d3d3d3"/>
                </v:group>
              </w:pict>
            </w:r>
            <w:r>
              <w:rPr>
                <w:sz w:val="2"/>
              </w:rPr>
            </w:r>
          </w:p>
          <w:p>
            <w:pPr>
              <w:pStyle w:val="TableParagraph"/>
              <w:spacing w:line="268" w:lineRule="auto" w:before="16"/>
              <w:ind w:left="264" w:right="216" w:hanging="46"/>
              <w:jc w:val="left"/>
              <w:rPr>
                <w:b/>
                <w:sz w:val="17"/>
              </w:rPr>
            </w:pPr>
            <w:r>
              <w:rPr>
                <w:b/>
                <w:sz w:val="17"/>
              </w:rPr>
              <w:t>Ventas (mdd)</w:t>
            </w:r>
          </w:p>
        </w:tc>
        <w:tc>
          <w:tcPr>
            <w:tcW w:w="4614" w:type="dxa"/>
            <w:tcBorders>
              <w:top w:val="nil"/>
              <w:left w:val="nil"/>
              <w:bottom w:val="single" w:sz="5" w:space="0" w:color="FFFFFF"/>
              <w:right w:val="nil"/>
            </w:tcBorders>
            <w:shd w:val="clear" w:color="auto" w:fill="539E39"/>
          </w:tcPr>
          <w:p>
            <w:pPr>
              <w:pStyle w:val="TableParagraph"/>
              <w:spacing w:line="20" w:lineRule="exact"/>
              <w:ind w:left="-1"/>
              <w:jc w:val="left"/>
              <w:rPr>
                <w:sz w:val="2"/>
              </w:rPr>
            </w:pPr>
            <w:r>
              <w:rPr>
                <w:sz w:val="2"/>
              </w:rPr>
              <w:pict>
                <v:group style="width:.6pt;height:.6pt;mso-position-horizontal-relative:char;mso-position-vertical-relative:line" coordorigin="0,0" coordsize="12,12">
                  <v:line style="position:absolute" from="6,6" to="6,6" stroked="true" strokeweight=".574831pt" strokecolor="#d3d3d3"/>
                </v:group>
              </w:pict>
            </w:r>
            <w:r>
              <w:rPr>
                <w:sz w:val="2"/>
              </w:rPr>
            </w:r>
          </w:p>
          <w:p>
            <w:pPr>
              <w:pStyle w:val="TableParagraph"/>
              <w:spacing w:before="120"/>
              <w:ind w:left="1918" w:right="1919"/>
              <w:rPr>
                <w:b/>
                <w:sz w:val="17"/>
              </w:rPr>
            </w:pPr>
            <w:r>
              <w:rPr>
                <w:b/>
                <w:sz w:val="17"/>
              </w:rPr>
              <w:t>Productos</w:t>
            </w:r>
          </w:p>
        </w:tc>
      </w:tr>
      <w:tr>
        <w:trPr>
          <w:trHeight w:val="455" w:hRule="exact"/>
        </w:trPr>
        <w:tc>
          <w:tcPr>
            <w:tcW w:w="316" w:type="dxa"/>
            <w:tcBorders>
              <w:top w:val="single" w:sz="5" w:space="0" w:color="FFFFFF"/>
              <w:left w:val="single" w:sz="5" w:space="0" w:color="92D07B"/>
            </w:tcBorders>
            <w:shd w:val="clear" w:color="auto" w:fill="DAEED2"/>
          </w:tcPr>
          <w:p>
            <w:pPr>
              <w:pStyle w:val="TableParagraph"/>
              <w:spacing w:before="129"/>
              <w:ind w:left="17"/>
              <w:rPr>
                <w:sz w:val="17"/>
              </w:rPr>
            </w:pPr>
            <w:r>
              <w:rPr>
                <w:w w:val="101"/>
                <w:sz w:val="17"/>
              </w:rPr>
              <w:t>1</w:t>
            </w:r>
          </w:p>
        </w:tc>
        <w:tc>
          <w:tcPr>
            <w:tcW w:w="1450" w:type="dxa"/>
            <w:tcBorders>
              <w:top w:val="single" w:sz="5" w:space="0" w:color="FFFFFF"/>
            </w:tcBorders>
            <w:shd w:val="clear" w:color="auto" w:fill="DAEED2"/>
          </w:tcPr>
          <w:p>
            <w:pPr>
              <w:pStyle w:val="TableParagraph"/>
              <w:tabs>
                <w:tab w:pos="851" w:val="left" w:leader="none"/>
              </w:tabs>
              <w:spacing w:line="283" w:lineRule="auto" w:before="14"/>
              <w:ind w:left="22" w:right="11"/>
              <w:jc w:val="left"/>
              <w:rPr>
                <w:sz w:val="17"/>
              </w:rPr>
            </w:pPr>
            <w:r>
              <w:rPr>
                <w:spacing w:val="-4"/>
                <w:sz w:val="17"/>
              </w:rPr>
              <w:t>Johnson</w:t>
              <w:tab/>
            </w:r>
            <w:r>
              <w:rPr>
                <w:spacing w:val="-5"/>
                <w:sz w:val="17"/>
              </w:rPr>
              <w:t>Controls </w:t>
            </w:r>
            <w:r>
              <w:rPr>
                <w:sz w:val="17"/>
              </w:rPr>
              <w:t>Inc.</w:t>
            </w:r>
          </w:p>
        </w:tc>
        <w:tc>
          <w:tcPr>
            <w:tcW w:w="1105" w:type="dxa"/>
            <w:tcBorders>
              <w:top w:val="single" w:sz="5" w:space="0" w:color="FFFFFF"/>
            </w:tcBorders>
            <w:shd w:val="clear" w:color="auto" w:fill="DAEED2"/>
          </w:tcPr>
          <w:p>
            <w:pPr>
              <w:pStyle w:val="TableParagraph"/>
              <w:spacing w:before="129"/>
              <w:ind w:left="7"/>
              <w:rPr>
                <w:sz w:val="17"/>
              </w:rPr>
            </w:pPr>
            <w:r>
              <w:rPr>
                <w:sz w:val="17"/>
              </w:rPr>
              <w:t>Estados Unidos</w:t>
            </w:r>
          </w:p>
        </w:tc>
        <w:tc>
          <w:tcPr>
            <w:tcW w:w="955" w:type="dxa"/>
            <w:tcBorders>
              <w:top w:val="single" w:sz="5" w:space="0" w:color="FFFFFF"/>
            </w:tcBorders>
            <w:shd w:val="clear" w:color="auto" w:fill="DAEED2"/>
          </w:tcPr>
          <w:p>
            <w:pPr>
              <w:pStyle w:val="TableParagraph"/>
              <w:spacing w:before="129"/>
              <w:ind w:left="253"/>
              <w:jc w:val="left"/>
              <w:rPr>
                <w:sz w:val="17"/>
              </w:rPr>
            </w:pPr>
            <w:r>
              <w:rPr>
                <w:sz w:val="17"/>
              </w:rPr>
              <w:t>21,781</w:t>
            </w:r>
          </w:p>
        </w:tc>
        <w:tc>
          <w:tcPr>
            <w:tcW w:w="4614" w:type="dxa"/>
            <w:tcBorders>
              <w:top w:val="single" w:sz="5" w:space="0" w:color="FFFFFF"/>
            </w:tcBorders>
            <w:shd w:val="clear" w:color="auto" w:fill="DAEED2"/>
          </w:tcPr>
          <w:p>
            <w:pPr>
              <w:pStyle w:val="TableParagraph"/>
              <w:spacing w:before="129"/>
              <w:ind w:left="22" w:right="2"/>
              <w:jc w:val="left"/>
              <w:rPr>
                <w:sz w:val="17"/>
              </w:rPr>
            </w:pPr>
            <w:r>
              <w:rPr>
                <w:sz w:val="17"/>
              </w:rPr>
              <w:t>Sistemas de asientos e  interiores</w:t>
            </w:r>
          </w:p>
        </w:tc>
      </w:tr>
      <w:tr>
        <w:trPr>
          <w:trHeight w:val="483" w:hRule="exact"/>
        </w:trPr>
        <w:tc>
          <w:tcPr>
            <w:tcW w:w="316" w:type="dxa"/>
            <w:tcBorders>
              <w:left w:val="single" w:sz="5" w:space="0" w:color="92D07B"/>
            </w:tcBorders>
          </w:tcPr>
          <w:p>
            <w:pPr>
              <w:pStyle w:val="TableParagraph"/>
              <w:spacing w:before="140"/>
              <w:ind w:left="17"/>
              <w:rPr>
                <w:sz w:val="17"/>
              </w:rPr>
            </w:pPr>
            <w:r>
              <w:rPr>
                <w:w w:val="101"/>
                <w:sz w:val="17"/>
              </w:rPr>
              <w:t>2</w:t>
            </w:r>
          </w:p>
        </w:tc>
        <w:tc>
          <w:tcPr>
            <w:tcW w:w="1450" w:type="dxa"/>
          </w:tcPr>
          <w:p>
            <w:pPr>
              <w:pStyle w:val="TableParagraph"/>
              <w:spacing w:line="283" w:lineRule="auto" w:before="25"/>
              <w:ind w:left="22" w:right="11"/>
              <w:jc w:val="left"/>
              <w:rPr>
                <w:sz w:val="17"/>
              </w:rPr>
            </w:pPr>
            <w:r>
              <w:rPr>
                <w:spacing w:val="-3"/>
                <w:sz w:val="17"/>
              </w:rPr>
              <w:t>Magna International of America</w:t>
            </w:r>
            <w:r>
              <w:rPr>
                <w:spacing w:val="29"/>
                <w:sz w:val="17"/>
              </w:rPr>
              <w:t> </w:t>
            </w:r>
            <w:r>
              <w:rPr>
                <w:sz w:val="17"/>
              </w:rPr>
              <w:t>Inc.</w:t>
            </w:r>
          </w:p>
        </w:tc>
        <w:tc>
          <w:tcPr>
            <w:tcW w:w="1105" w:type="dxa"/>
          </w:tcPr>
          <w:p>
            <w:pPr>
              <w:pStyle w:val="TableParagraph"/>
              <w:spacing w:before="140"/>
              <w:ind w:left="6"/>
              <w:rPr>
                <w:sz w:val="17"/>
              </w:rPr>
            </w:pPr>
            <w:r>
              <w:rPr>
                <w:sz w:val="17"/>
              </w:rPr>
              <w:t>Canadá</w:t>
            </w:r>
          </w:p>
        </w:tc>
        <w:tc>
          <w:tcPr>
            <w:tcW w:w="955" w:type="dxa"/>
          </w:tcPr>
          <w:p>
            <w:pPr>
              <w:pStyle w:val="TableParagraph"/>
              <w:spacing w:before="140"/>
              <w:ind w:left="253"/>
              <w:jc w:val="left"/>
              <w:rPr>
                <w:sz w:val="17"/>
              </w:rPr>
            </w:pPr>
            <w:r>
              <w:rPr>
                <w:sz w:val="17"/>
              </w:rPr>
              <w:t>17,643</w:t>
            </w:r>
          </w:p>
        </w:tc>
        <w:tc>
          <w:tcPr>
            <w:tcW w:w="4614" w:type="dxa"/>
          </w:tcPr>
          <w:p>
            <w:pPr>
              <w:pStyle w:val="TableParagraph"/>
              <w:spacing w:line="283" w:lineRule="auto" w:before="25"/>
              <w:ind w:left="22" w:right="2"/>
              <w:jc w:val="left"/>
              <w:rPr>
                <w:sz w:val="17"/>
              </w:rPr>
            </w:pPr>
            <w:r>
              <w:rPr>
                <w:sz w:val="17"/>
              </w:rPr>
              <w:t>Cuerpo, chasis, interior, exterior, asientos, sistema de propulsión y sistemas electrónicos, techo y módulos.</w:t>
            </w:r>
          </w:p>
        </w:tc>
      </w:tr>
      <w:tr>
        <w:trPr>
          <w:trHeight w:val="575" w:hRule="exact"/>
        </w:trPr>
        <w:tc>
          <w:tcPr>
            <w:tcW w:w="316" w:type="dxa"/>
            <w:tcBorders>
              <w:left w:val="single" w:sz="5" w:space="0" w:color="92D07B"/>
              <w:bottom w:val="single" w:sz="9" w:space="0" w:color="92D07B"/>
            </w:tcBorders>
            <w:shd w:val="clear" w:color="auto" w:fill="DAEED2"/>
          </w:tcPr>
          <w:p>
            <w:pPr>
              <w:pStyle w:val="TableParagraph"/>
              <w:spacing w:before="2"/>
              <w:jc w:val="left"/>
              <w:rPr>
                <w:b/>
                <w:sz w:val="16"/>
              </w:rPr>
            </w:pPr>
          </w:p>
          <w:p>
            <w:pPr>
              <w:pStyle w:val="TableParagraph"/>
              <w:ind w:left="17"/>
              <w:rPr>
                <w:sz w:val="17"/>
              </w:rPr>
            </w:pPr>
            <w:r>
              <w:rPr>
                <w:w w:val="101"/>
                <w:sz w:val="17"/>
              </w:rPr>
              <w:t>3</w:t>
            </w:r>
          </w:p>
        </w:tc>
        <w:tc>
          <w:tcPr>
            <w:tcW w:w="1450" w:type="dxa"/>
            <w:tcBorders>
              <w:bottom w:val="single" w:sz="9" w:space="0" w:color="92D07B"/>
            </w:tcBorders>
            <w:shd w:val="clear" w:color="auto" w:fill="DAEED2"/>
          </w:tcPr>
          <w:p>
            <w:pPr>
              <w:pStyle w:val="TableParagraph"/>
              <w:spacing w:line="283" w:lineRule="auto" w:before="71"/>
              <w:ind w:left="22" w:right="11"/>
              <w:jc w:val="left"/>
              <w:rPr>
                <w:sz w:val="17"/>
              </w:rPr>
            </w:pPr>
            <w:r>
              <w:rPr>
                <w:sz w:val="17"/>
              </w:rPr>
              <w:t>Delphi Automotive plc</w:t>
            </w:r>
          </w:p>
        </w:tc>
        <w:tc>
          <w:tcPr>
            <w:tcW w:w="1105" w:type="dxa"/>
            <w:tcBorders>
              <w:bottom w:val="single" w:sz="9" w:space="0" w:color="92D07B"/>
            </w:tcBorders>
            <w:shd w:val="clear" w:color="auto" w:fill="DAEED2"/>
          </w:tcPr>
          <w:p>
            <w:pPr>
              <w:pStyle w:val="TableParagraph"/>
              <w:spacing w:before="2"/>
              <w:jc w:val="left"/>
              <w:rPr>
                <w:b/>
                <w:sz w:val="16"/>
              </w:rPr>
            </w:pPr>
          </w:p>
          <w:p>
            <w:pPr>
              <w:pStyle w:val="TableParagraph"/>
              <w:ind w:left="7"/>
              <w:rPr>
                <w:sz w:val="17"/>
              </w:rPr>
            </w:pPr>
            <w:r>
              <w:rPr>
                <w:sz w:val="17"/>
              </w:rPr>
              <w:t>Estados Unidos</w:t>
            </w:r>
          </w:p>
        </w:tc>
        <w:tc>
          <w:tcPr>
            <w:tcW w:w="955" w:type="dxa"/>
            <w:tcBorders>
              <w:bottom w:val="single" w:sz="9" w:space="0" w:color="92D07B"/>
            </w:tcBorders>
            <w:shd w:val="clear" w:color="auto" w:fill="DAEED2"/>
          </w:tcPr>
          <w:p>
            <w:pPr>
              <w:pStyle w:val="TableParagraph"/>
              <w:spacing w:before="2"/>
              <w:jc w:val="left"/>
              <w:rPr>
                <w:b/>
                <w:sz w:val="16"/>
              </w:rPr>
            </w:pPr>
          </w:p>
          <w:p>
            <w:pPr>
              <w:pStyle w:val="TableParagraph"/>
              <w:ind w:left="253"/>
              <w:jc w:val="left"/>
              <w:rPr>
                <w:sz w:val="17"/>
              </w:rPr>
            </w:pPr>
            <w:r>
              <w:rPr>
                <w:sz w:val="17"/>
              </w:rPr>
              <w:t>16,463</w:t>
            </w:r>
          </w:p>
        </w:tc>
        <w:tc>
          <w:tcPr>
            <w:tcW w:w="4614" w:type="dxa"/>
            <w:tcBorders>
              <w:bottom w:val="single" w:sz="9" w:space="0" w:color="92D07B"/>
            </w:tcBorders>
            <w:shd w:val="clear" w:color="auto" w:fill="DAEED2"/>
          </w:tcPr>
          <w:p>
            <w:pPr>
              <w:pStyle w:val="TableParagraph"/>
              <w:spacing w:line="283" w:lineRule="auto" w:before="71"/>
              <w:ind w:left="22" w:right="2"/>
              <w:jc w:val="left"/>
              <w:rPr>
                <w:sz w:val="17"/>
              </w:rPr>
            </w:pPr>
            <w:r>
              <w:rPr>
                <w:sz w:val="17"/>
              </w:rPr>
              <w:t>Proveedor mundial de productos electrónicos y tecnologías para automóvil, vehículos  comerciales y otros  segmentos del mercado</w:t>
            </w:r>
          </w:p>
        </w:tc>
      </w:tr>
      <w:tr>
        <w:trPr>
          <w:trHeight w:val="311" w:hRule="exact"/>
        </w:trPr>
        <w:tc>
          <w:tcPr>
            <w:tcW w:w="316" w:type="dxa"/>
            <w:tcBorders>
              <w:top w:val="single" w:sz="9" w:space="0" w:color="92D07B"/>
              <w:left w:val="single" w:sz="5" w:space="0" w:color="92D07B"/>
            </w:tcBorders>
          </w:tcPr>
          <w:p>
            <w:pPr>
              <w:pStyle w:val="TableParagraph"/>
              <w:spacing w:before="48"/>
              <w:ind w:left="17"/>
              <w:rPr>
                <w:sz w:val="17"/>
              </w:rPr>
            </w:pPr>
            <w:r>
              <w:rPr>
                <w:w w:val="101"/>
                <w:sz w:val="17"/>
              </w:rPr>
              <w:t>4</w:t>
            </w:r>
          </w:p>
        </w:tc>
        <w:tc>
          <w:tcPr>
            <w:tcW w:w="1450" w:type="dxa"/>
            <w:tcBorders>
              <w:top w:val="single" w:sz="9" w:space="0" w:color="92D07B"/>
            </w:tcBorders>
          </w:tcPr>
          <w:p>
            <w:pPr>
              <w:pStyle w:val="TableParagraph"/>
              <w:spacing w:before="48"/>
              <w:ind w:left="22" w:right="11"/>
              <w:jc w:val="left"/>
              <w:rPr>
                <w:sz w:val="17"/>
              </w:rPr>
            </w:pPr>
            <w:r>
              <w:rPr>
                <w:sz w:val="17"/>
              </w:rPr>
              <w:t>Lear Corp.</w:t>
            </w:r>
          </w:p>
        </w:tc>
        <w:tc>
          <w:tcPr>
            <w:tcW w:w="1105" w:type="dxa"/>
            <w:tcBorders>
              <w:top w:val="single" w:sz="9" w:space="0" w:color="92D07B"/>
            </w:tcBorders>
          </w:tcPr>
          <w:p>
            <w:pPr>
              <w:pStyle w:val="TableParagraph"/>
              <w:spacing w:before="48"/>
              <w:ind w:left="7"/>
              <w:rPr>
                <w:sz w:val="17"/>
              </w:rPr>
            </w:pPr>
            <w:r>
              <w:rPr>
                <w:sz w:val="17"/>
              </w:rPr>
              <w:t>Estados Unidos</w:t>
            </w:r>
          </w:p>
        </w:tc>
        <w:tc>
          <w:tcPr>
            <w:tcW w:w="955" w:type="dxa"/>
            <w:tcBorders>
              <w:top w:val="single" w:sz="9" w:space="0" w:color="92D07B"/>
            </w:tcBorders>
          </w:tcPr>
          <w:p>
            <w:pPr>
              <w:pStyle w:val="TableParagraph"/>
              <w:spacing w:before="48"/>
              <w:ind w:left="253"/>
              <w:jc w:val="left"/>
              <w:rPr>
                <w:sz w:val="17"/>
              </w:rPr>
            </w:pPr>
            <w:r>
              <w:rPr>
                <w:sz w:val="17"/>
              </w:rPr>
              <w:t>16,234</w:t>
            </w:r>
          </w:p>
        </w:tc>
        <w:tc>
          <w:tcPr>
            <w:tcW w:w="4614" w:type="dxa"/>
            <w:tcBorders>
              <w:top w:val="single" w:sz="9" w:space="0" w:color="92D07B"/>
            </w:tcBorders>
          </w:tcPr>
          <w:p>
            <w:pPr>
              <w:pStyle w:val="TableParagraph"/>
              <w:spacing w:before="48"/>
              <w:ind w:left="22" w:right="2"/>
              <w:jc w:val="left"/>
              <w:rPr>
                <w:sz w:val="17"/>
              </w:rPr>
            </w:pPr>
            <w:r>
              <w:rPr>
                <w:sz w:val="17"/>
              </w:rPr>
              <w:t>Asientos  y distribución eléctrica</w:t>
            </w:r>
          </w:p>
        </w:tc>
      </w:tr>
      <w:tr>
        <w:trPr>
          <w:trHeight w:val="484" w:hRule="exact"/>
        </w:trPr>
        <w:tc>
          <w:tcPr>
            <w:tcW w:w="316" w:type="dxa"/>
            <w:tcBorders>
              <w:left w:val="single" w:sz="5" w:space="0" w:color="92D07B"/>
            </w:tcBorders>
            <w:shd w:val="clear" w:color="auto" w:fill="DAEED2"/>
          </w:tcPr>
          <w:p>
            <w:pPr>
              <w:pStyle w:val="TableParagraph"/>
              <w:spacing w:before="140"/>
              <w:ind w:left="17"/>
              <w:rPr>
                <w:sz w:val="17"/>
              </w:rPr>
            </w:pPr>
            <w:r>
              <w:rPr>
                <w:w w:val="101"/>
                <w:sz w:val="17"/>
              </w:rPr>
              <w:t>5</w:t>
            </w:r>
          </w:p>
        </w:tc>
        <w:tc>
          <w:tcPr>
            <w:tcW w:w="1450" w:type="dxa"/>
            <w:shd w:val="clear" w:color="auto" w:fill="DAEED2"/>
          </w:tcPr>
          <w:p>
            <w:pPr>
              <w:pStyle w:val="TableParagraph"/>
              <w:tabs>
                <w:tab w:pos="632" w:val="left" w:leader="none"/>
              </w:tabs>
              <w:spacing w:line="283" w:lineRule="auto" w:before="25"/>
              <w:ind w:left="22" w:right="14"/>
              <w:jc w:val="left"/>
              <w:rPr>
                <w:sz w:val="17"/>
              </w:rPr>
            </w:pPr>
            <w:r>
              <w:rPr>
                <w:sz w:val="17"/>
              </w:rPr>
              <w:t>TRW</w:t>
              <w:tab/>
            </w:r>
            <w:r>
              <w:rPr>
                <w:spacing w:val="-6"/>
                <w:sz w:val="17"/>
              </w:rPr>
              <w:t>Automotive </w:t>
            </w:r>
            <w:r>
              <w:rPr>
                <w:spacing w:val="-7"/>
                <w:sz w:val="17"/>
              </w:rPr>
              <w:t>Holdings</w:t>
            </w:r>
            <w:r>
              <w:rPr>
                <w:spacing w:val="26"/>
                <w:sz w:val="17"/>
              </w:rPr>
              <w:t> </w:t>
            </w:r>
            <w:r>
              <w:rPr>
                <w:spacing w:val="-3"/>
                <w:sz w:val="17"/>
              </w:rPr>
              <w:t>Corp.</w:t>
            </w:r>
          </w:p>
        </w:tc>
        <w:tc>
          <w:tcPr>
            <w:tcW w:w="1105" w:type="dxa"/>
            <w:shd w:val="clear" w:color="auto" w:fill="DAEED2"/>
          </w:tcPr>
          <w:p>
            <w:pPr>
              <w:pStyle w:val="TableParagraph"/>
              <w:spacing w:before="140"/>
              <w:ind w:left="7"/>
              <w:rPr>
                <w:sz w:val="17"/>
              </w:rPr>
            </w:pPr>
            <w:r>
              <w:rPr>
                <w:sz w:val="17"/>
              </w:rPr>
              <w:t>Estados Unidos</w:t>
            </w:r>
          </w:p>
        </w:tc>
        <w:tc>
          <w:tcPr>
            <w:tcW w:w="955" w:type="dxa"/>
            <w:shd w:val="clear" w:color="auto" w:fill="DAEED2"/>
          </w:tcPr>
          <w:p>
            <w:pPr>
              <w:pStyle w:val="TableParagraph"/>
              <w:spacing w:before="140"/>
              <w:ind w:left="253"/>
              <w:jc w:val="left"/>
              <w:rPr>
                <w:sz w:val="17"/>
              </w:rPr>
            </w:pPr>
            <w:r>
              <w:rPr>
                <w:sz w:val="17"/>
              </w:rPr>
              <w:t>14,442</w:t>
            </w:r>
          </w:p>
        </w:tc>
        <w:tc>
          <w:tcPr>
            <w:tcW w:w="4614" w:type="dxa"/>
            <w:shd w:val="clear" w:color="auto" w:fill="DAEED2"/>
          </w:tcPr>
          <w:p>
            <w:pPr>
              <w:pStyle w:val="TableParagraph"/>
              <w:spacing w:before="140"/>
              <w:ind w:left="22" w:right="2"/>
              <w:jc w:val="left"/>
              <w:rPr>
                <w:sz w:val="17"/>
              </w:rPr>
            </w:pPr>
            <w:r>
              <w:rPr>
                <w:sz w:val="17"/>
              </w:rPr>
              <w:t>Suspensión y frenos automotrices</w:t>
            </w:r>
          </w:p>
        </w:tc>
      </w:tr>
      <w:tr>
        <w:trPr>
          <w:trHeight w:val="679" w:hRule="exact"/>
        </w:trPr>
        <w:tc>
          <w:tcPr>
            <w:tcW w:w="316" w:type="dxa"/>
            <w:tcBorders>
              <w:left w:val="single" w:sz="5" w:space="0" w:color="92D07B"/>
            </w:tcBorders>
          </w:tcPr>
          <w:p>
            <w:pPr>
              <w:pStyle w:val="TableParagraph"/>
              <w:spacing w:before="2"/>
              <w:jc w:val="left"/>
              <w:rPr>
                <w:b/>
                <w:sz w:val="20"/>
              </w:rPr>
            </w:pPr>
          </w:p>
          <w:p>
            <w:pPr>
              <w:pStyle w:val="TableParagraph"/>
              <w:ind w:left="17"/>
              <w:rPr>
                <w:sz w:val="17"/>
              </w:rPr>
            </w:pPr>
            <w:r>
              <w:rPr>
                <w:w w:val="101"/>
                <w:sz w:val="17"/>
              </w:rPr>
              <w:t>6</w:t>
            </w:r>
          </w:p>
        </w:tc>
        <w:tc>
          <w:tcPr>
            <w:tcW w:w="1450" w:type="dxa"/>
          </w:tcPr>
          <w:p>
            <w:pPr>
              <w:pStyle w:val="TableParagraph"/>
              <w:spacing w:line="283" w:lineRule="auto" w:before="117"/>
              <w:ind w:left="22" w:right="11"/>
              <w:jc w:val="left"/>
              <w:rPr>
                <w:sz w:val="17"/>
              </w:rPr>
            </w:pPr>
            <w:r>
              <w:rPr>
                <w:spacing w:val="-4"/>
                <w:sz w:val="17"/>
              </w:rPr>
              <w:t>Continental </w:t>
            </w:r>
            <w:r>
              <w:rPr>
                <w:spacing w:val="-6"/>
                <w:sz w:val="17"/>
              </w:rPr>
              <w:t>Automotive  </w:t>
            </w:r>
            <w:r>
              <w:rPr>
                <w:spacing w:val="-3"/>
                <w:sz w:val="17"/>
              </w:rPr>
              <w:t>Systems</w:t>
            </w:r>
          </w:p>
        </w:tc>
        <w:tc>
          <w:tcPr>
            <w:tcW w:w="1105" w:type="dxa"/>
          </w:tcPr>
          <w:p>
            <w:pPr>
              <w:pStyle w:val="TableParagraph"/>
              <w:spacing w:before="2"/>
              <w:jc w:val="left"/>
              <w:rPr>
                <w:b/>
                <w:sz w:val="20"/>
              </w:rPr>
            </w:pPr>
          </w:p>
          <w:p>
            <w:pPr>
              <w:pStyle w:val="TableParagraph"/>
              <w:ind w:left="7" w:right="9"/>
              <w:rPr>
                <w:sz w:val="17"/>
              </w:rPr>
            </w:pPr>
            <w:r>
              <w:rPr>
                <w:sz w:val="17"/>
              </w:rPr>
              <w:t>Alemania</w:t>
            </w:r>
          </w:p>
        </w:tc>
        <w:tc>
          <w:tcPr>
            <w:tcW w:w="955" w:type="dxa"/>
          </w:tcPr>
          <w:p>
            <w:pPr>
              <w:pStyle w:val="TableParagraph"/>
              <w:spacing w:before="2"/>
              <w:jc w:val="left"/>
              <w:rPr>
                <w:b/>
                <w:sz w:val="20"/>
              </w:rPr>
            </w:pPr>
          </w:p>
          <w:p>
            <w:pPr>
              <w:pStyle w:val="TableParagraph"/>
              <w:ind w:left="287"/>
              <w:jc w:val="left"/>
              <w:rPr>
                <w:sz w:val="17"/>
              </w:rPr>
            </w:pPr>
            <w:r>
              <w:rPr>
                <w:sz w:val="17"/>
              </w:rPr>
              <w:t>7,705</w:t>
            </w:r>
          </w:p>
        </w:tc>
        <w:tc>
          <w:tcPr>
            <w:tcW w:w="4614" w:type="dxa"/>
          </w:tcPr>
          <w:p>
            <w:pPr>
              <w:pStyle w:val="TableParagraph"/>
              <w:spacing w:line="283" w:lineRule="auto" w:before="117"/>
              <w:ind w:left="22" w:right="2"/>
              <w:jc w:val="left"/>
              <w:rPr>
                <w:sz w:val="17"/>
              </w:rPr>
            </w:pPr>
            <w:r>
              <w:rPr>
                <w:sz w:val="17"/>
              </w:rPr>
              <w:t>Neumáticos, sistemas de gestión de la estabilidad, sistemas electrónicos del chasis, sistemas de  frenos</w:t>
            </w:r>
          </w:p>
        </w:tc>
      </w:tr>
      <w:tr>
        <w:trPr>
          <w:trHeight w:val="345" w:hRule="exact"/>
        </w:trPr>
        <w:tc>
          <w:tcPr>
            <w:tcW w:w="316" w:type="dxa"/>
            <w:tcBorders>
              <w:left w:val="single" w:sz="5" w:space="0" w:color="92D07B"/>
            </w:tcBorders>
            <w:shd w:val="clear" w:color="auto" w:fill="DAEED2"/>
          </w:tcPr>
          <w:p>
            <w:pPr>
              <w:pStyle w:val="TableParagraph"/>
              <w:spacing w:before="71"/>
              <w:ind w:left="17"/>
              <w:rPr>
                <w:sz w:val="17"/>
              </w:rPr>
            </w:pPr>
            <w:r>
              <w:rPr>
                <w:w w:val="101"/>
                <w:sz w:val="17"/>
              </w:rPr>
              <w:t>7</w:t>
            </w:r>
          </w:p>
        </w:tc>
        <w:tc>
          <w:tcPr>
            <w:tcW w:w="1450" w:type="dxa"/>
            <w:shd w:val="clear" w:color="auto" w:fill="DAEED2"/>
          </w:tcPr>
          <w:p>
            <w:pPr>
              <w:pStyle w:val="TableParagraph"/>
              <w:spacing w:before="71"/>
              <w:ind w:left="22" w:right="11"/>
              <w:jc w:val="left"/>
              <w:rPr>
                <w:sz w:val="17"/>
              </w:rPr>
            </w:pPr>
            <w:r>
              <w:rPr>
                <w:sz w:val="17"/>
              </w:rPr>
              <w:t>Visteon Corp.</w:t>
            </w:r>
          </w:p>
        </w:tc>
        <w:tc>
          <w:tcPr>
            <w:tcW w:w="1105" w:type="dxa"/>
            <w:shd w:val="clear" w:color="auto" w:fill="DAEED2"/>
          </w:tcPr>
          <w:p>
            <w:pPr>
              <w:pStyle w:val="TableParagraph"/>
              <w:spacing w:before="71"/>
              <w:ind w:left="7"/>
              <w:rPr>
                <w:sz w:val="17"/>
              </w:rPr>
            </w:pPr>
            <w:r>
              <w:rPr>
                <w:sz w:val="17"/>
              </w:rPr>
              <w:t>Estados Unidos</w:t>
            </w:r>
          </w:p>
        </w:tc>
        <w:tc>
          <w:tcPr>
            <w:tcW w:w="955" w:type="dxa"/>
            <w:shd w:val="clear" w:color="auto" w:fill="DAEED2"/>
          </w:tcPr>
          <w:p>
            <w:pPr>
              <w:pStyle w:val="TableParagraph"/>
              <w:spacing w:before="71"/>
              <w:ind w:left="287"/>
              <w:jc w:val="left"/>
              <w:rPr>
                <w:sz w:val="17"/>
              </w:rPr>
            </w:pPr>
            <w:r>
              <w:rPr>
                <w:sz w:val="17"/>
              </w:rPr>
              <w:t>7,439</w:t>
            </w:r>
          </w:p>
        </w:tc>
        <w:tc>
          <w:tcPr>
            <w:tcW w:w="4614" w:type="dxa"/>
            <w:shd w:val="clear" w:color="auto" w:fill="DAEED2"/>
          </w:tcPr>
          <w:p>
            <w:pPr>
              <w:pStyle w:val="TableParagraph"/>
              <w:spacing w:before="71"/>
              <w:ind w:left="22" w:right="2"/>
              <w:jc w:val="left"/>
              <w:rPr>
                <w:sz w:val="17"/>
              </w:rPr>
            </w:pPr>
            <w:r>
              <w:rPr>
                <w:sz w:val="17"/>
              </w:rPr>
              <w:t>Productos de gestión térmica y electrónica del chasis</w:t>
            </w:r>
          </w:p>
        </w:tc>
      </w:tr>
      <w:tr>
        <w:trPr>
          <w:trHeight w:val="333" w:hRule="exact"/>
        </w:trPr>
        <w:tc>
          <w:tcPr>
            <w:tcW w:w="316" w:type="dxa"/>
            <w:tcBorders>
              <w:left w:val="single" w:sz="5" w:space="0" w:color="92D07B"/>
            </w:tcBorders>
          </w:tcPr>
          <w:p>
            <w:pPr>
              <w:pStyle w:val="TableParagraph"/>
              <w:spacing w:before="59"/>
              <w:ind w:left="17"/>
              <w:rPr>
                <w:sz w:val="17"/>
              </w:rPr>
            </w:pPr>
            <w:r>
              <w:rPr>
                <w:w w:val="101"/>
                <w:sz w:val="17"/>
              </w:rPr>
              <w:t>8</w:t>
            </w:r>
          </w:p>
        </w:tc>
        <w:tc>
          <w:tcPr>
            <w:tcW w:w="1450" w:type="dxa"/>
          </w:tcPr>
          <w:p>
            <w:pPr>
              <w:pStyle w:val="TableParagraph"/>
              <w:spacing w:before="59"/>
              <w:ind w:left="22" w:right="11"/>
              <w:jc w:val="left"/>
              <w:rPr>
                <w:sz w:val="17"/>
              </w:rPr>
            </w:pPr>
            <w:r>
              <w:rPr>
                <w:sz w:val="17"/>
              </w:rPr>
              <w:t>BorgWarner Inc.</w:t>
            </w:r>
          </w:p>
        </w:tc>
        <w:tc>
          <w:tcPr>
            <w:tcW w:w="1105" w:type="dxa"/>
          </w:tcPr>
          <w:p>
            <w:pPr>
              <w:pStyle w:val="TableParagraph"/>
              <w:spacing w:before="59"/>
              <w:ind w:left="7"/>
              <w:rPr>
                <w:sz w:val="17"/>
              </w:rPr>
            </w:pPr>
            <w:r>
              <w:rPr>
                <w:sz w:val="17"/>
              </w:rPr>
              <w:t>Estados Unidos</w:t>
            </w:r>
          </w:p>
        </w:tc>
        <w:tc>
          <w:tcPr>
            <w:tcW w:w="955" w:type="dxa"/>
          </w:tcPr>
          <w:p>
            <w:pPr>
              <w:pStyle w:val="TableParagraph"/>
              <w:spacing w:before="59"/>
              <w:ind w:left="287"/>
              <w:jc w:val="left"/>
              <w:rPr>
                <w:sz w:val="17"/>
              </w:rPr>
            </w:pPr>
            <w:r>
              <w:rPr>
                <w:sz w:val="17"/>
              </w:rPr>
              <w:t>7,437</w:t>
            </w:r>
          </w:p>
        </w:tc>
        <w:tc>
          <w:tcPr>
            <w:tcW w:w="4614" w:type="dxa"/>
          </w:tcPr>
          <w:p>
            <w:pPr>
              <w:pStyle w:val="TableParagraph"/>
              <w:spacing w:before="59"/>
              <w:ind w:left="22" w:right="2"/>
              <w:jc w:val="left"/>
              <w:rPr>
                <w:sz w:val="17"/>
              </w:rPr>
            </w:pPr>
            <w:r>
              <w:rPr>
                <w:sz w:val="17"/>
              </w:rPr>
              <w:t>Sistemas y componentes del motor y tren  motriz</w:t>
            </w:r>
          </w:p>
        </w:tc>
      </w:tr>
      <w:tr>
        <w:trPr>
          <w:trHeight w:val="702" w:hRule="exact"/>
        </w:trPr>
        <w:tc>
          <w:tcPr>
            <w:tcW w:w="316" w:type="dxa"/>
            <w:tcBorders>
              <w:left w:val="single" w:sz="5" w:space="0" w:color="92D07B"/>
            </w:tcBorders>
            <w:shd w:val="clear" w:color="auto" w:fill="DAEED2"/>
          </w:tcPr>
          <w:p>
            <w:pPr>
              <w:pStyle w:val="TableParagraph"/>
              <w:spacing w:before="2"/>
              <w:jc w:val="left"/>
              <w:rPr>
                <w:b/>
                <w:sz w:val="21"/>
              </w:rPr>
            </w:pPr>
          </w:p>
          <w:p>
            <w:pPr>
              <w:pStyle w:val="TableParagraph"/>
              <w:spacing w:before="1"/>
              <w:ind w:left="17"/>
              <w:rPr>
                <w:sz w:val="17"/>
              </w:rPr>
            </w:pPr>
            <w:r>
              <w:rPr>
                <w:w w:val="101"/>
                <w:sz w:val="17"/>
              </w:rPr>
              <w:t>9</w:t>
            </w:r>
          </w:p>
        </w:tc>
        <w:tc>
          <w:tcPr>
            <w:tcW w:w="1450" w:type="dxa"/>
            <w:shd w:val="clear" w:color="auto" w:fill="DAEED2"/>
          </w:tcPr>
          <w:p>
            <w:pPr>
              <w:pStyle w:val="TableParagraph"/>
              <w:spacing w:before="2"/>
              <w:jc w:val="left"/>
              <w:rPr>
                <w:b/>
                <w:sz w:val="21"/>
              </w:rPr>
            </w:pPr>
          </w:p>
          <w:p>
            <w:pPr>
              <w:pStyle w:val="TableParagraph"/>
              <w:spacing w:before="1"/>
              <w:ind w:left="22" w:right="11"/>
              <w:jc w:val="left"/>
              <w:rPr>
                <w:sz w:val="17"/>
              </w:rPr>
            </w:pPr>
            <w:r>
              <w:rPr>
                <w:sz w:val="17"/>
              </w:rPr>
              <w:t>Robert Bosch LLC</w:t>
            </w:r>
          </w:p>
        </w:tc>
        <w:tc>
          <w:tcPr>
            <w:tcW w:w="1105" w:type="dxa"/>
            <w:shd w:val="clear" w:color="auto" w:fill="DAEED2"/>
          </w:tcPr>
          <w:p>
            <w:pPr>
              <w:pStyle w:val="TableParagraph"/>
              <w:spacing w:before="2"/>
              <w:jc w:val="left"/>
              <w:rPr>
                <w:b/>
                <w:sz w:val="21"/>
              </w:rPr>
            </w:pPr>
          </w:p>
          <w:p>
            <w:pPr>
              <w:pStyle w:val="TableParagraph"/>
              <w:spacing w:before="1"/>
              <w:ind w:left="7" w:right="9"/>
              <w:rPr>
                <w:sz w:val="17"/>
              </w:rPr>
            </w:pPr>
            <w:r>
              <w:rPr>
                <w:sz w:val="17"/>
              </w:rPr>
              <w:t>Alemania</w:t>
            </w:r>
          </w:p>
        </w:tc>
        <w:tc>
          <w:tcPr>
            <w:tcW w:w="955" w:type="dxa"/>
            <w:shd w:val="clear" w:color="auto" w:fill="DAEED2"/>
          </w:tcPr>
          <w:p>
            <w:pPr>
              <w:pStyle w:val="TableParagraph"/>
              <w:spacing w:before="2"/>
              <w:jc w:val="left"/>
              <w:rPr>
                <w:b/>
                <w:sz w:val="21"/>
              </w:rPr>
            </w:pPr>
          </w:p>
          <w:p>
            <w:pPr>
              <w:pStyle w:val="TableParagraph"/>
              <w:spacing w:before="1"/>
              <w:ind w:left="287"/>
              <w:jc w:val="left"/>
              <w:rPr>
                <w:sz w:val="17"/>
              </w:rPr>
            </w:pPr>
            <w:r>
              <w:rPr>
                <w:sz w:val="17"/>
              </w:rPr>
              <w:t>7,233</w:t>
            </w:r>
          </w:p>
        </w:tc>
        <w:tc>
          <w:tcPr>
            <w:tcW w:w="4614" w:type="dxa"/>
            <w:shd w:val="clear" w:color="auto" w:fill="DAEED2"/>
          </w:tcPr>
          <w:p>
            <w:pPr>
              <w:pStyle w:val="TableParagraph"/>
              <w:spacing w:line="283" w:lineRule="auto" w:before="14"/>
              <w:ind w:left="22" w:right="14"/>
              <w:jc w:val="both"/>
              <w:rPr>
                <w:sz w:val="17"/>
              </w:rPr>
            </w:pPr>
            <w:r>
              <w:rPr>
                <w:spacing w:val="-4"/>
                <w:sz w:val="17"/>
              </w:rPr>
              <w:t>Componentes </w:t>
            </w:r>
            <w:r>
              <w:rPr>
                <w:spacing w:val="-3"/>
                <w:sz w:val="17"/>
              </w:rPr>
              <w:t>de  </w:t>
            </w:r>
            <w:r>
              <w:rPr>
                <w:sz w:val="17"/>
              </w:rPr>
              <w:t>freno  </w:t>
            </w:r>
            <w:r>
              <w:rPr>
                <w:spacing w:val="-5"/>
                <w:sz w:val="17"/>
              </w:rPr>
              <w:t>automotriz;  </w:t>
            </w:r>
            <w:r>
              <w:rPr>
                <w:spacing w:val="-3"/>
                <w:sz w:val="17"/>
              </w:rPr>
              <w:t>inyectores  de  </w:t>
            </w:r>
            <w:r>
              <w:rPr>
                <w:spacing w:val="-6"/>
                <w:sz w:val="17"/>
              </w:rPr>
              <w:t>combustible </w:t>
            </w:r>
            <w:r>
              <w:rPr>
                <w:spacing w:val="-4"/>
                <w:sz w:val="17"/>
              </w:rPr>
              <w:t>diésel; tecnologías </w:t>
            </w:r>
            <w:r>
              <w:rPr>
                <w:spacing w:val="-3"/>
                <w:sz w:val="17"/>
              </w:rPr>
              <w:t>de </w:t>
            </w:r>
            <w:r>
              <w:rPr>
                <w:spacing w:val="-7"/>
                <w:sz w:val="17"/>
              </w:rPr>
              <w:t>movimiento </w:t>
            </w:r>
            <w:r>
              <w:rPr>
                <w:spacing w:val="-5"/>
                <w:sz w:val="17"/>
              </w:rPr>
              <w:t>lineal </w:t>
            </w:r>
            <w:r>
              <w:rPr>
                <w:sz w:val="17"/>
              </w:rPr>
              <w:t>y </w:t>
            </w:r>
            <w:r>
              <w:rPr>
                <w:spacing w:val="-3"/>
                <w:sz w:val="17"/>
              </w:rPr>
              <w:t>de </w:t>
            </w:r>
            <w:r>
              <w:rPr>
                <w:spacing w:val="-4"/>
                <w:sz w:val="17"/>
              </w:rPr>
              <w:t>montaje;  </w:t>
            </w:r>
            <w:r>
              <w:rPr>
                <w:spacing w:val="-3"/>
                <w:sz w:val="17"/>
              </w:rPr>
              <w:t>gama  </w:t>
            </w:r>
            <w:r>
              <w:rPr>
                <w:spacing w:val="-6"/>
                <w:sz w:val="17"/>
              </w:rPr>
              <w:t>de</w:t>
            </w:r>
            <w:r>
              <w:rPr>
                <w:spacing w:val="30"/>
                <w:sz w:val="17"/>
              </w:rPr>
              <w:t> </w:t>
            </w:r>
            <w:r>
              <w:rPr>
                <w:spacing w:val="-4"/>
                <w:sz w:val="17"/>
              </w:rPr>
              <w:t>piezas </w:t>
            </w:r>
            <w:r>
              <w:rPr>
                <w:spacing w:val="-3"/>
                <w:sz w:val="17"/>
              </w:rPr>
              <w:t>de</w:t>
            </w:r>
            <w:r>
              <w:rPr>
                <w:spacing w:val="26"/>
                <w:sz w:val="17"/>
              </w:rPr>
              <w:t> </w:t>
            </w:r>
            <w:r>
              <w:rPr>
                <w:sz w:val="17"/>
              </w:rPr>
              <w:t>repuesto</w:t>
            </w:r>
          </w:p>
        </w:tc>
      </w:tr>
      <w:tr>
        <w:trPr>
          <w:trHeight w:val="691" w:hRule="exact"/>
        </w:trPr>
        <w:tc>
          <w:tcPr>
            <w:tcW w:w="316" w:type="dxa"/>
            <w:tcBorders>
              <w:left w:val="single" w:sz="5" w:space="0" w:color="92D07B"/>
            </w:tcBorders>
          </w:tcPr>
          <w:p>
            <w:pPr>
              <w:pStyle w:val="TableParagraph"/>
              <w:spacing w:before="2"/>
              <w:jc w:val="left"/>
              <w:rPr>
                <w:b/>
                <w:sz w:val="21"/>
              </w:rPr>
            </w:pPr>
          </w:p>
          <w:p>
            <w:pPr>
              <w:pStyle w:val="TableParagraph"/>
              <w:spacing w:before="1"/>
              <w:ind w:left="44" w:right="44"/>
              <w:rPr>
                <w:sz w:val="17"/>
              </w:rPr>
            </w:pPr>
            <w:r>
              <w:rPr>
                <w:sz w:val="17"/>
              </w:rPr>
              <w:t>10</w:t>
            </w:r>
          </w:p>
        </w:tc>
        <w:tc>
          <w:tcPr>
            <w:tcW w:w="1450" w:type="dxa"/>
          </w:tcPr>
          <w:p>
            <w:pPr>
              <w:pStyle w:val="TableParagraph"/>
              <w:spacing w:line="283" w:lineRule="auto" w:before="129"/>
              <w:ind w:left="22" w:right="11"/>
              <w:jc w:val="left"/>
              <w:rPr>
                <w:sz w:val="17"/>
              </w:rPr>
            </w:pPr>
            <w:r>
              <w:rPr>
                <w:sz w:val="17"/>
              </w:rPr>
              <w:t>Denso </w:t>
            </w:r>
            <w:r>
              <w:rPr>
                <w:spacing w:val="-3"/>
                <w:sz w:val="17"/>
              </w:rPr>
              <w:t>International America</w:t>
            </w:r>
            <w:r>
              <w:rPr>
                <w:spacing w:val="21"/>
                <w:sz w:val="17"/>
              </w:rPr>
              <w:t> </w:t>
            </w:r>
            <w:r>
              <w:rPr>
                <w:sz w:val="17"/>
              </w:rPr>
              <w:t>Inc.</w:t>
            </w:r>
          </w:p>
        </w:tc>
        <w:tc>
          <w:tcPr>
            <w:tcW w:w="1105" w:type="dxa"/>
          </w:tcPr>
          <w:p>
            <w:pPr>
              <w:pStyle w:val="TableParagraph"/>
              <w:spacing w:before="2"/>
              <w:jc w:val="left"/>
              <w:rPr>
                <w:b/>
                <w:sz w:val="21"/>
              </w:rPr>
            </w:pPr>
          </w:p>
          <w:p>
            <w:pPr>
              <w:pStyle w:val="TableParagraph"/>
              <w:spacing w:before="1"/>
              <w:ind w:left="16"/>
              <w:rPr>
                <w:sz w:val="17"/>
              </w:rPr>
            </w:pPr>
            <w:r>
              <w:rPr>
                <w:sz w:val="17"/>
              </w:rPr>
              <w:t>Japón</w:t>
            </w:r>
          </w:p>
        </w:tc>
        <w:tc>
          <w:tcPr>
            <w:tcW w:w="955" w:type="dxa"/>
          </w:tcPr>
          <w:p>
            <w:pPr>
              <w:pStyle w:val="TableParagraph"/>
              <w:spacing w:before="2"/>
              <w:jc w:val="left"/>
              <w:rPr>
                <w:b/>
                <w:sz w:val="21"/>
              </w:rPr>
            </w:pPr>
          </w:p>
          <w:p>
            <w:pPr>
              <w:pStyle w:val="TableParagraph"/>
              <w:spacing w:before="1"/>
              <w:ind w:left="287"/>
              <w:jc w:val="left"/>
              <w:rPr>
                <w:sz w:val="17"/>
              </w:rPr>
            </w:pPr>
            <w:r>
              <w:rPr>
                <w:sz w:val="17"/>
              </w:rPr>
              <w:t>7,077</w:t>
            </w:r>
          </w:p>
        </w:tc>
        <w:tc>
          <w:tcPr>
            <w:tcW w:w="4614" w:type="dxa"/>
          </w:tcPr>
          <w:p>
            <w:pPr>
              <w:pStyle w:val="TableParagraph"/>
              <w:spacing w:line="283" w:lineRule="auto" w:before="14"/>
              <w:ind w:left="22" w:right="3"/>
              <w:jc w:val="both"/>
              <w:rPr>
                <w:sz w:val="17"/>
              </w:rPr>
            </w:pPr>
            <w:r>
              <w:rPr>
                <w:sz w:val="17"/>
              </w:rPr>
              <w:t>Aire acondicionado y de refrigeración de motores, incluyendo condensadores, radiadores, núcleos del calentador, evaporadores y unidades HVAC</w:t>
            </w:r>
          </w:p>
        </w:tc>
      </w:tr>
      <w:tr>
        <w:trPr>
          <w:trHeight w:val="530" w:hRule="exact"/>
        </w:trPr>
        <w:tc>
          <w:tcPr>
            <w:tcW w:w="316" w:type="dxa"/>
            <w:tcBorders>
              <w:left w:val="single" w:sz="5" w:space="0" w:color="92D07B"/>
            </w:tcBorders>
            <w:shd w:val="clear" w:color="auto" w:fill="DAEED2"/>
          </w:tcPr>
          <w:p>
            <w:pPr>
              <w:pStyle w:val="TableParagraph"/>
              <w:spacing w:before="2"/>
              <w:jc w:val="left"/>
              <w:rPr>
                <w:b/>
                <w:sz w:val="14"/>
              </w:rPr>
            </w:pPr>
          </w:p>
          <w:p>
            <w:pPr>
              <w:pStyle w:val="TableParagraph"/>
              <w:ind w:left="44" w:right="44"/>
              <w:rPr>
                <w:sz w:val="17"/>
              </w:rPr>
            </w:pPr>
            <w:r>
              <w:rPr>
                <w:sz w:val="17"/>
              </w:rPr>
              <w:t>11</w:t>
            </w:r>
          </w:p>
        </w:tc>
        <w:tc>
          <w:tcPr>
            <w:tcW w:w="1450" w:type="dxa"/>
            <w:shd w:val="clear" w:color="auto" w:fill="DAEED2"/>
          </w:tcPr>
          <w:p>
            <w:pPr>
              <w:pStyle w:val="TableParagraph"/>
              <w:tabs>
                <w:tab w:pos="1024" w:val="left" w:leader="none"/>
              </w:tabs>
              <w:spacing w:line="283" w:lineRule="auto" w:before="48"/>
              <w:ind w:left="22" w:right="3"/>
              <w:jc w:val="left"/>
              <w:rPr>
                <w:sz w:val="17"/>
              </w:rPr>
            </w:pPr>
            <w:r>
              <w:rPr>
                <w:sz w:val="17"/>
              </w:rPr>
              <w:t>Faurecia</w:t>
              <w:tab/>
            </w:r>
            <w:r>
              <w:rPr>
                <w:spacing w:val="-1"/>
                <w:sz w:val="17"/>
              </w:rPr>
              <w:t>North </w:t>
            </w:r>
            <w:r>
              <w:rPr>
                <w:spacing w:val="-3"/>
                <w:sz w:val="17"/>
              </w:rPr>
              <w:t>America</w:t>
            </w:r>
          </w:p>
        </w:tc>
        <w:tc>
          <w:tcPr>
            <w:tcW w:w="1105" w:type="dxa"/>
            <w:shd w:val="clear" w:color="auto" w:fill="DAEED2"/>
          </w:tcPr>
          <w:p>
            <w:pPr>
              <w:pStyle w:val="TableParagraph"/>
              <w:spacing w:before="2"/>
              <w:jc w:val="left"/>
              <w:rPr>
                <w:b/>
                <w:sz w:val="14"/>
              </w:rPr>
            </w:pPr>
          </w:p>
          <w:p>
            <w:pPr>
              <w:pStyle w:val="TableParagraph"/>
              <w:ind w:left="7" w:right="9"/>
              <w:rPr>
                <w:sz w:val="17"/>
              </w:rPr>
            </w:pPr>
            <w:r>
              <w:rPr>
                <w:sz w:val="17"/>
              </w:rPr>
              <w:t>Francia</w:t>
            </w:r>
          </w:p>
        </w:tc>
        <w:tc>
          <w:tcPr>
            <w:tcW w:w="955" w:type="dxa"/>
            <w:shd w:val="clear" w:color="auto" w:fill="DAEED2"/>
          </w:tcPr>
          <w:p>
            <w:pPr>
              <w:pStyle w:val="TableParagraph"/>
              <w:spacing w:before="2"/>
              <w:jc w:val="left"/>
              <w:rPr>
                <w:b/>
                <w:sz w:val="14"/>
              </w:rPr>
            </w:pPr>
          </w:p>
          <w:p>
            <w:pPr>
              <w:pStyle w:val="TableParagraph"/>
              <w:ind w:left="287"/>
              <w:jc w:val="left"/>
              <w:rPr>
                <w:sz w:val="17"/>
              </w:rPr>
            </w:pPr>
            <w:r>
              <w:rPr>
                <w:sz w:val="17"/>
              </w:rPr>
              <w:t>6,250</w:t>
            </w:r>
          </w:p>
        </w:tc>
        <w:tc>
          <w:tcPr>
            <w:tcW w:w="4614" w:type="dxa"/>
            <w:shd w:val="clear" w:color="auto" w:fill="DAEED2"/>
          </w:tcPr>
          <w:p>
            <w:pPr>
              <w:pStyle w:val="TableParagraph"/>
              <w:spacing w:line="283" w:lineRule="auto" w:before="48"/>
              <w:ind w:left="22" w:right="2"/>
              <w:jc w:val="left"/>
              <w:rPr>
                <w:sz w:val="17"/>
              </w:rPr>
            </w:pPr>
            <w:r>
              <w:rPr>
                <w:sz w:val="17"/>
              </w:rPr>
              <w:t>Asientos para automóviles, tecnologías de control de emisiones, sistemas de  interiores, exteriores de  automóviles</w:t>
            </w:r>
          </w:p>
        </w:tc>
      </w:tr>
      <w:tr>
        <w:trPr>
          <w:trHeight w:val="702" w:hRule="exact"/>
        </w:trPr>
        <w:tc>
          <w:tcPr>
            <w:tcW w:w="316" w:type="dxa"/>
            <w:tcBorders>
              <w:left w:val="single" w:sz="5" w:space="0" w:color="92D07B"/>
            </w:tcBorders>
          </w:tcPr>
          <w:p>
            <w:pPr>
              <w:pStyle w:val="TableParagraph"/>
              <w:spacing w:before="2"/>
              <w:jc w:val="left"/>
              <w:rPr>
                <w:b/>
                <w:sz w:val="21"/>
              </w:rPr>
            </w:pPr>
          </w:p>
          <w:p>
            <w:pPr>
              <w:pStyle w:val="TableParagraph"/>
              <w:ind w:left="44" w:right="44"/>
              <w:rPr>
                <w:sz w:val="17"/>
              </w:rPr>
            </w:pPr>
            <w:r>
              <w:rPr>
                <w:sz w:val="17"/>
              </w:rPr>
              <w:t>12</w:t>
            </w:r>
          </w:p>
        </w:tc>
        <w:tc>
          <w:tcPr>
            <w:tcW w:w="1450" w:type="dxa"/>
          </w:tcPr>
          <w:p>
            <w:pPr>
              <w:pStyle w:val="TableParagraph"/>
              <w:tabs>
                <w:tab w:pos="1024" w:val="left" w:leader="none"/>
              </w:tabs>
              <w:spacing w:line="283" w:lineRule="auto" w:before="129"/>
              <w:ind w:left="22" w:right="3"/>
              <w:jc w:val="left"/>
              <w:rPr>
                <w:sz w:val="17"/>
              </w:rPr>
            </w:pPr>
            <w:r>
              <w:rPr>
                <w:spacing w:val="-6"/>
                <w:sz w:val="17"/>
              </w:rPr>
              <w:t>Mobis</w:t>
              <w:tab/>
            </w:r>
            <w:r>
              <w:rPr>
                <w:spacing w:val="-1"/>
                <w:sz w:val="17"/>
              </w:rPr>
              <w:t>North </w:t>
            </w:r>
            <w:r>
              <w:rPr>
                <w:spacing w:val="-3"/>
                <w:sz w:val="17"/>
              </w:rPr>
              <w:t>America</w:t>
            </w:r>
          </w:p>
        </w:tc>
        <w:tc>
          <w:tcPr>
            <w:tcW w:w="1105" w:type="dxa"/>
          </w:tcPr>
          <w:p>
            <w:pPr>
              <w:pStyle w:val="TableParagraph"/>
              <w:spacing w:before="2"/>
              <w:jc w:val="left"/>
              <w:rPr>
                <w:b/>
                <w:sz w:val="21"/>
              </w:rPr>
            </w:pPr>
          </w:p>
          <w:p>
            <w:pPr>
              <w:pStyle w:val="TableParagraph"/>
              <w:ind w:left="10"/>
              <w:rPr>
                <w:sz w:val="17"/>
              </w:rPr>
            </w:pPr>
            <w:r>
              <w:rPr>
                <w:sz w:val="17"/>
              </w:rPr>
              <w:t>Corea del Sur</w:t>
            </w:r>
          </w:p>
        </w:tc>
        <w:tc>
          <w:tcPr>
            <w:tcW w:w="955" w:type="dxa"/>
          </w:tcPr>
          <w:p>
            <w:pPr>
              <w:pStyle w:val="TableParagraph"/>
              <w:spacing w:before="2"/>
              <w:jc w:val="left"/>
              <w:rPr>
                <w:b/>
                <w:sz w:val="21"/>
              </w:rPr>
            </w:pPr>
          </w:p>
          <w:p>
            <w:pPr>
              <w:pStyle w:val="TableParagraph"/>
              <w:ind w:left="287"/>
              <w:jc w:val="left"/>
              <w:rPr>
                <w:sz w:val="17"/>
              </w:rPr>
            </w:pPr>
            <w:r>
              <w:rPr>
                <w:sz w:val="17"/>
              </w:rPr>
              <w:t>5,207</w:t>
            </w:r>
          </w:p>
        </w:tc>
        <w:tc>
          <w:tcPr>
            <w:tcW w:w="4614" w:type="dxa"/>
          </w:tcPr>
          <w:p>
            <w:pPr>
              <w:pStyle w:val="TableParagraph"/>
              <w:spacing w:line="283" w:lineRule="auto" w:before="13"/>
              <w:ind w:left="22" w:right="1"/>
              <w:jc w:val="both"/>
              <w:rPr>
                <w:sz w:val="17"/>
              </w:rPr>
            </w:pPr>
            <w:r>
              <w:rPr>
                <w:spacing w:val="-3"/>
                <w:sz w:val="17"/>
              </w:rPr>
              <w:t>Chasis, cabina, </w:t>
            </w:r>
            <w:r>
              <w:rPr>
                <w:spacing w:val="-5"/>
                <w:sz w:val="17"/>
              </w:rPr>
              <w:t>módulos; </w:t>
            </w:r>
            <w:r>
              <w:rPr>
                <w:sz w:val="17"/>
              </w:rPr>
              <w:t>ABS, ESC, MDPS, partes ASV, </w:t>
            </w:r>
            <w:r>
              <w:rPr>
                <w:spacing w:val="-3"/>
                <w:sz w:val="17"/>
              </w:rPr>
              <w:t>lámparas </w:t>
            </w:r>
            <w:r>
              <w:rPr>
                <w:sz w:val="17"/>
              </w:rPr>
              <w:t>LED, sensores, </w:t>
            </w:r>
            <w:r>
              <w:rPr>
                <w:spacing w:val="-3"/>
                <w:sz w:val="17"/>
              </w:rPr>
              <w:t>sistemas de control </w:t>
            </w:r>
            <w:r>
              <w:rPr>
                <w:sz w:val="17"/>
              </w:rPr>
              <w:t>electrónicos, </w:t>
            </w:r>
            <w:r>
              <w:rPr>
                <w:spacing w:val="-4"/>
                <w:sz w:val="17"/>
              </w:rPr>
              <w:t>bolsas </w:t>
            </w:r>
            <w:r>
              <w:rPr>
                <w:spacing w:val="-3"/>
                <w:sz w:val="17"/>
              </w:rPr>
              <w:t>de </w:t>
            </w:r>
            <w:r>
              <w:rPr>
                <w:sz w:val="17"/>
              </w:rPr>
              <w:t>aire, </w:t>
            </w:r>
            <w:r>
              <w:rPr>
                <w:spacing w:val="-5"/>
                <w:sz w:val="17"/>
              </w:rPr>
              <w:t>híbrido combinado, </w:t>
            </w:r>
            <w:r>
              <w:rPr>
                <w:spacing w:val="-4"/>
                <w:sz w:val="17"/>
              </w:rPr>
              <w:t>piezas </w:t>
            </w:r>
            <w:r>
              <w:rPr>
                <w:sz w:val="17"/>
              </w:rPr>
              <w:t>y </w:t>
            </w:r>
            <w:r>
              <w:rPr>
                <w:spacing w:val="-4"/>
                <w:sz w:val="17"/>
              </w:rPr>
              <w:t>unidades </w:t>
            </w:r>
            <w:r>
              <w:rPr>
                <w:spacing w:val="-3"/>
                <w:sz w:val="17"/>
              </w:rPr>
              <w:t>de control de   </w:t>
            </w:r>
            <w:r>
              <w:rPr>
                <w:spacing w:val="-4"/>
                <w:sz w:val="17"/>
              </w:rPr>
              <w:t>potencia</w:t>
            </w:r>
          </w:p>
        </w:tc>
      </w:tr>
      <w:tr>
        <w:trPr>
          <w:trHeight w:val="714" w:hRule="exact"/>
        </w:trPr>
        <w:tc>
          <w:tcPr>
            <w:tcW w:w="316" w:type="dxa"/>
            <w:tcBorders>
              <w:left w:val="single" w:sz="5" w:space="0" w:color="92D07B"/>
            </w:tcBorders>
            <w:shd w:val="clear" w:color="auto" w:fill="DAEED2"/>
          </w:tcPr>
          <w:p>
            <w:pPr>
              <w:pStyle w:val="TableParagraph"/>
              <w:spacing w:before="2"/>
              <w:jc w:val="left"/>
              <w:rPr>
                <w:b/>
                <w:sz w:val="22"/>
              </w:rPr>
            </w:pPr>
          </w:p>
          <w:p>
            <w:pPr>
              <w:pStyle w:val="TableParagraph"/>
              <w:ind w:left="44" w:right="44"/>
              <w:rPr>
                <w:sz w:val="17"/>
              </w:rPr>
            </w:pPr>
            <w:r>
              <w:rPr>
                <w:sz w:val="17"/>
              </w:rPr>
              <w:t>13</w:t>
            </w:r>
          </w:p>
        </w:tc>
        <w:tc>
          <w:tcPr>
            <w:tcW w:w="1450" w:type="dxa"/>
            <w:shd w:val="clear" w:color="auto" w:fill="DAEED2"/>
          </w:tcPr>
          <w:p>
            <w:pPr>
              <w:pStyle w:val="TableParagraph"/>
              <w:spacing w:line="283" w:lineRule="auto" w:before="25"/>
              <w:ind w:left="22" w:right="11"/>
              <w:jc w:val="left"/>
              <w:rPr>
                <w:sz w:val="17"/>
              </w:rPr>
            </w:pPr>
            <w:r>
              <w:rPr>
                <w:sz w:val="17"/>
              </w:rPr>
              <w:t>International Automotive Components (IAC)</w:t>
            </w:r>
          </w:p>
        </w:tc>
        <w:tc>
          <w:tcPr>
            <w:tcW w:w="1105" w:type="dxa"/>
            <w:shd w:val="clear" w:color="auto" w:fill="DAEED2"/>
          </w:tcPr>
          <w:p>
            <w:pPr>
              <w:pStyle w:val="TableParagraph"/>
              <w:spacing w:before="2"/>
              <w:jc w:val="left"/>
              <w:rPr>
                <w:b/>
                <w:sz w:val="22"/>
              </w:rPr>
            </w:pPr>
          </w:p>
          <w:p>
            <w:pPr>
              <w:pStyle w:val="TableParagraph"/>
              <w:ind w:left="5"/>
              <w:rPr>
                <w:sz w:val="17"/>
              </w:rPr>
            </w:pPr>
            <w:r>
              <w:rPr>
                <w:sz w:val="17"/>
              </w:rPr>
              <w:t>Luxemburgo</w:t>
            </w:r>
          </w:p>
        </w:tc>
        <w:tc>
          <w:tcPr>
            <w:tcW w:w="955" w:type="dxa"/>
            <w:shd w:val="clear" w:color="auto" w:fill="DAEED2"/>
          </w:tcPr>
          <w:p>
            <w:pPr>
              <w:pStyle w:val="TableParagraph"/>
              <w:spacing w:before="2"/>
              <w:jc w:val="left"/>
              <w:rPr>
                <w:b/>
                <w:sz w:val="22"/>
              </w:rPr>
            </w:pPr>
          </w:p>
          <w:p>
            <w:pPr>
              <w:pStyle w:val="TableParagraph"/>
              <w:ind w:left="287"/>
              <w:jc w:val="left"/>
              <w:rPr>
                <w:sz w:val="17"/>
              </w:rPr>
            </w:pPr>
            <w:r>
              <w:rPr>
                <w:sz w:val="17"/>
              </w:rPr>
              <w:t>5,200</w:t>
            </w:r>
          </w:p>
        </w:tc>
        <w:tc>
          <w:tcPr>
            <w:tcW w:w="4614" w:type="dxa"/>
            <w:shd w:val="clear" w:color="auto" w:fill="DAEED2"/>
          </w:tcPr>
          <w:p>
            <w:pPr>
              <w:pStyle w:val="TableParagraph"/>
              <w:spacing w:line="283" w:lineRule="auto" w:before="140"/>
              <w:ind w:left="22" w:right="2"/>
              <w:jc w:val="left"/>
              <w:rPr>
                <w:sz w:val="17"/>
              </w:rPr>
            </w:pPr>
            <w:r>
              <w:rPr>
                <w:sz w:val="17"/>
              </w:rPr>
              <w:t>Paneles de instrumentos, cabinas, paneles de puertas,  suelos, sistemas acústicos, componentes exteriores</w:t>
            </w:r>
          </w:p>
        </w:tc>
      </w:tr>
      <w:tr>
        <w:trPr>
          <w:trHeight w:val="472" w:hRule="exact"/>
        </w:trPr>
        <w:tc>
          <w:tcPr>
            <w:tcW w:w="316" w:type="dxa"/>
            <w:tcBorders>
              <w:left w:val="single" w:sz="5" w:space="0" w:color="92D07B"/>
            </w:tcBorders>
          </w:tcPr>
          <w:p>
            <w:pPr>
              <w:pStyle w:val="TableParagraph"/>
              <w:spacing w:before="129"/>
              <w:ind w:left="44" w:right="44"/>
              <w:rPr>
                <w:sz w:val="17"/>
              </w:rPr>
            </w:pPr>
            <w:r>
              <w:rPr>
                <w:sz w:val="17"/>
              </w:rPr>
              <w:t>14</w:t>
            </w:r>
          </w:p>
        </w:tc>
        <w:tc>
          <w:tcPr>
            <w:tcW w:w="1450" w:type="dxa"/>
          </w:tcPr>
          <w:p>
            <w:pPr>
              <w:pStyle w:val="TableParagraph"/>
              <w:spacing w:line="283" w:lineRule="auto" w:before="13"/>
              <w:ind w:left="22" w:right="11"/>
              <w:jc w:val="left"/>
              <w:rPr>
                <w:sz w:val="17"/>
              </w:rPr>
            </w:pPr>
            <w:r>
              <w:rPr>
                <w:sz w:val="17"/>
              </w:rPr>
              <w:t>Aisin World  Corp. Of America</w:t>
            </w:r>
          </w:p>
        </w:tc>
        <w:tc>
          <w:tcPr>
            <w:tcW w:w="1105" w:type="dxa"/>
          </w:tcPr>
          <w:p>
            <w:pPr>
              <w:pStyle w:val="TableParagraph"/>
              <w:spacing w:before="129"/>
              <w:ind w:left="16"/>
              <w:rPr>
                <w:sz w:val="17"/>
              </w:rPr>
            </w:pPr>
            <w:r>
              <w:rPr>
                <w:sz w:val="17"/>
              </w:rPr>
              <w:t>Japón</w:t>
            </w:r>
          </w:p>
        </w:tc>
        <w:tc>
          <w:tcPr>
            <w:tcW w:w="955" w:type="dxa"/>
          </w:tcPr>
          <w:p>
            <w:pPr>
              <w:pStyle w:val="TableParagraph"/>
              <w:spacing w:before="129"/>
              <w:ind w:left="287"/>
              <w:jc w:val="left"/>
              <w:rPr>
                <w:sz w:val="17"/>
              </w:rPr>
            </w:pPr>
            <w:r>
              <w:rPr>
                <w:sz w:val="17"/>
              </w:rPr>
              <w:t>4,357</w:t>
            </w:r>
          </w:p>
        </w:tc>
        <w:tc>
          <w:tcPr>
            <w:tcW w:w="4614" w:type="dxa"/>
          </w:tcPr>
          <w:p>
            <w:pPr>
              <w:pStyle w:val="TableParagraph"/>
              <w:spacing w:line="283" w:lineRule="auto" w:before="13"/>
              <w:ind w:left="22" w:right="2"/>
              <w:jc w:val="left"/>
              <w:rPr>
                <w:sz w:val="17"/>
              </w:rPr>
            </w:pPr>
            <w:r>
              <w:rPr>
                <w:sz w:val="17"/>
              </w:rPr>
              <w:t>Sistemas del cuerpo, frenos y chasis; electrónica; componentes de transmisión y del motor</w:t>
            </w:r>
          </w:p>
        </w:tc>
      </w:tr>
      <w:tr>
        <w:trPr>
          <w:trHeight w:val="460" w:hRule="exact"/>
        </w:trPr>
        <w:tc>
          <w:tcPr>
            <w:tcW w:w="316" w:type="dxa"/>
            <w:tcBorders>
              <w:left w:val="single" w:sz="5" w:space="0" w:color="92D07B"/>
            </w:tcBorders>
            <w:shd w:val="clear" w:color="auto" w:fill="DAEED2"/>
          </w:tcPr>
          <w:p>
            <w:pPr>
              <w:pStyle w:val="TableParagraph"/>
              <w:spacing w:before="129"/>
              <w:ind w:left="44" w:right="44"/>
              <w:rPr>
                <w:sz w:val="17"/>
              </w:rPr>
            </w:pPr>
            <w:r>
              <w:rPr>
                <w:sz w:val="17"/>
              </w:rPr>
              <w:t>15</w:t>
            </w:r>
          </w:p>
        </w:tc>
        <w:tc>
          <w:tcPr>
            <w:tcW w:w="1450" w:type="dxa"/>
            <w:shd w:val="clear" w:color="auto" w:fill="DAEED2"/>
          </w:tcPr>
          <w:p>
            <w:pPr>
              <w:pStyle w:val="TableParagraph"/>
              <w:spacing w:line="283" w:lineRule="auto" w:before="14"/>
              <w:ind w:left="22" w:right="11"/>
              <w:jc w:val="left"/>
              <w:rPr>
                <w:sz w:val="17"/>
              </w:rPr>
            </w:pPr>
            <w:r>
              <w:rPr>
                <w:sz w:val="17"/>
              </w:rPr>
              <w:t>ZF North America Inc.</w:t>
            </w:r>
          </w:p>
        </w:tc>
        <w:tc>
          <w:tcPr>
            <w:tcW w:w="1105" w:type="dxa"/>
            <w:shd w:val="clear" w:color="auto" w:fill="DAEED2"/>
          </w:tcPr>
          <w:p>
            <w:pPr>
              <w:pStyle w:val="TableParagraph"/>
              <w:spacing w:before="129"/>
              <w:ind w:left="7" w:right="9"/>
              <w:rPr>
                <w:sz w:val="17"/>
              </w:rPr>
            </w:pPr>
            <w:r>
              <w:rPr>
                <w:sz w:val="17"/>
              </w:rPr>
              <w:t>Alemania</w:t>
            </w:r>
          </w:p>
        </w:tc>
        <w:tc>
          <w:tcPr>
            <w:tcW w:w="955" w:type="dxa"/>
            <w:shd w:val="clear" w:color="auto" w:fill="DAEED2"/>
          </w:tcPr>
          <w:p>
            <w:pPr>
              <w:pStyle w:val="TableParagraph"/>
              <w:spacing w:before="129"/>
              <w:ind w:left="287"/>
              <w:jc w:val="left"/>
              <w:rPr>
                <w:sz w:val="17"/>
              </w:rPr>
            </w:pPr>
            <w:r>
              <w:rPr>
                <w:sz w:val="17"/>
              </w:rPr>
              <w:t>4,268</w:t>
            </w:r>
          </w:p>
        </w:tc>
        <w:tc>
          <w:tcPr>
            <w:tcW w:w="4614" w:type="dxa"/>
            <w:shd w:val="clear" w:color="auto" w:fill="DAEED2"/>
          </w:tcPr>
          <w:p>
            <w:pPr>
              <w:pStyle w:val="TableParagraph"/>
              <w:spacing w:line="283" w:lineRule="auto" w:before="14"/>
              <w:ind w:left="22" w:right="2"/>
              <w:jc w:val="left"/>
              <w:rPr>
                <w:sz w:val="17"/>
              </w:rPr>
            </w:pPr>
            <w:r>
              <w:rPr>
                <w:sz w:val="17"/>
              </w:rPr>
              <w:t>Transmisiones, sistemas de dirección,  componentes  de  la suspensión, ejes, embragues, amortiguadores</w:t>
            </w:r>
          </w:p>
        </w:tc>
      </w:tr>
      <w:tr>
        <w:trPr>
          <w:trHeight w:val="461" w:hRule="exact"/>
        </w:trPr>
        <w:tc>
          <w:tcPr>
            <w:tcW w:w="316" w:type="dxa"/>
            <w:tcBorders>
              <w:left w:val="single" w:sz="5" w:space="0" w:color="92D07B"/>
            </w:tcBorders>
          </w:tcPr>
          <w:p>
            <w:pPr>
              <w:pStyle w:val="TableParagraph"/>
              <w:spacing w:before="129"/>
              <w:ind w:left="44" w:right="44"/>
              <w:rPr>
                <w:sz w:val="17"/>
              </w:rPr>
            </w:pPr>
            <w:r>
              <w:rPr>
                <w:sz w:val="17"/>
              </w:rPr>
              <w:t>16</w:t>
            </w:r>
          </w:p>
        </w:tc>
        <w:tc>
          <w:tcPr>
            <w:tcW w:w="1450" w:type="dxa"/>
          </w:tcPr>
          <w:p>
            <w:pPr>
              <w:pStyle w:val="TableParagraph"/>
              <w:spacing w:line="283" w:lineRule="auto" w:before="14"/>
              <w:ind w:left="22" w:right="11"/>
              <w:jc w:val="left"/>
              <w:rPr>
                <w:sz w:val="17"/>
              </w:rPr>
            </w:pPr>
            <w:r>
              <w:rPr>
                <w:sz w:val="17"/>
              </w:rPr>
              <w:t>Federal-Mogul Holdings Corp.</w:t>
            </w:r>
          </w:p>
        </w:tc>
        <w:tc>
          <w:tcPr>
            <w:tcW w:w="1105" w:type="dxa"/>
          </w:tcPr>
          <w:p>
            <w:pPr>
              <w:pStyle w:val="TableParagraph"/>
              <w:spacing w:before="129"/>
              <w:ind w:left="7"/>
              <w:rPr>
                <w:sz w:val="17"/>
              </w:rPr>
            </w:pPr>
            <w:r>
              <w:rPr>
                <w:sz w:val="17"/>
              </w:rPr>
              <w:t>Estados Unidos</w:t>
            </w:r>
          </w:p>
        </w:tc>
        <w:tc>
          <w:tcPr>
            <w:tcW w:w="955" w:type="dxa"/>
          </w:tcPr>
          <w:p>
            <w:pPr>
              <w:pStyle w:val="TableParagraph"/>
              <w:spacing w:before="129"/>
              <w:ind w:left="287"/>
              <w:jc w:val="left"/>
              <w:rPr>
                <w:sz w:val="17"/>
              </w:rPr>
            </w:pPr>
            <w:r>
              <w:rPr>
                <w:sz w:val="17"/>
              </w:rPr>
              <w:t>4,200</w:t>
            </w:r>
          </w:p>
        </w:tc>
        <w:tc>
          <w:tcPr>
            <w:tcW w:w="4614" w:type="dxa"/>
          </w:tcPr>
          <w:p>
            <w:pPr>
              <w:pStyle w:val="TableParagraph"/>
              <w:spacing w:line="283" w:lineRule="auto" w:before="14"/>
              <w:ind w:left="22" w:right="2"/>
              <w:jc w:val="left"/>
              <w:rPr>
                <w:sz w:val="17"/>
              </w:rPr>
            </w:pPr>
            <w:r>
              <w:rPr>
                <w:sz w:val="17"/>
              </w:rPr>
              <w:t>Rodamientos; pistones; sistemas de sellado; productos de ignición; productos de protección de los sistemas; frenado,  iluminación</w:t>
            </w:r>
          </w:p>
        </w:tc>
      </w:tr>
      <w:tr>
        <w:trPr>
          <w:trHeight w:val="449" w:hRule="exact"/>
        </w:trPr>
        <w:tc>
          <w:tcPr>
            <w:tcW w:w="316" w:type="dxa"/>
            <w:tcBorders>
              <w:left w:val="single" w:sz="5" w:space="0" w:color="92D07B"/>
            </w:tcBorders>
            <w:shd w:val="clear" w:color="auto" w:fill="DAEED2"/>
          </w:tcPr>
          <w:p>
            <w:pPr>
              <w:pStyle w:val="TableParagraph"/>
              <w:spacing w:before="117"/>
              <w:ind w:left="44" w:right="44"/>
              <w:rPr>
                <w:sz w:val="17"/>
              </w:rPr>
            </w:pPr>
            <w:r>
              <w:rPr>
                <w:sz w:val="17"/>
              </w:rPr>
              <w:t>17</w:t>
            </w:r>
          </w:p>
        </w:tc>
        <w:tc>
          <w:tcPr>
            <w:tcW w:w="1450" w:type="dxa"/>
            <w:shd w:val="clear" w:color="auto" w:fill="DAEED2"/>
          </w:tcPr>
          <w:p>
            <w:pPr>
              <w:pStyle w:val="TableParagraph"/>
              <w:spacing w:before="117"/>
              <w:ind w:left="22" w:right="11"/>
              <w:jc w:val="left"/>
              <w:rPr>
                <w:sz w:val="17"/>
              </w:rPr>
            </w:pPr>
            <w:r>
              <w:rPr>
                <w:sz w:val="17"/>
              </w:rPr>
              <w:t>Yazaki Inc.</w:t>
            </w:r>
          </w:p>
        </w:tc>
        <w:tc>
          <w:tcPr>
            <w:tcW w:w="1105" w:type="dxa"/>
            <w:shd w:val="clear" w:color="auto" w:fill="DAEED2"/>
          </w:tcPr>
          <w:p>
            <w:pPr>
              <w:pStyle w:val="TableParagraph"/>
              <w:spacing w:before="117"/>
              <w:ind w:left="16"/>
              <w:rPr>
                <w:sz w:val="17"/>
              </w:rPr>
            </w:pPr>
            <w:r>
              <w:rPr>
                <w:sz w:val="17"/>
              </w:rPr>
              <w:t>Japón</w:t>
            </w:r>
          </w:p>
        </w:tc>
        <w:tc>
          <w:tcPr>
            <w:tcW w:w="955" w:type="dxa"/>
            <w:shd w:val="clear" w:color="auto" w:fill="DAEED2"/>
          </w:tcPr>
          <w:p>
            <w:pPr>
              <w:pStyle w:val="TableParagraph"/>
              <w:spacing w:before="117"/>
              <w:ind w:left="287"/>
              <w:jc w:val="left"/>
              <w:rPr>
                <w:sz w:val="17"/>
              </w:rPr>
            </w:pPr>
            <w:r>
              <w:rPr>
                <w:sz w:val="17"/>
              </w:rPr>
              <w:t>3,800</w:t>
            </w:r>
          </w:p>
        </w:tc>
        <w:tc>
          <w:tcPr>
            <w:tcW w:w="4614" w:type="dxa"/>
            <w:shd w:val="clear" w:color="auto" w:fill="DAEED2"/>
          </w:tcPr>
          <w:p>
            <w:pPr>
              <w:pStyle w:val="TableParagraph"/>
              <w:spacing w:line="283" w:lineRule="auto" w:before="13"/>
              <w:ind w:left="22" w:right="2"/>
              <w:jc w:val="left"/>
              <w:rPr>
                <w:sz w:val="17"/>
              </w:rPr>
            </w:pPr>
            <w:r>
              <w:rPr>
                <w:sz w:val="17"/>
              </w:rPr>
              <w:t>Sistemas de conexión, sistemas de distribución eléctricos, componentes  electrónicos</w:t>
            </w:r>
          </w:p>
        </w:tc>
      </w:tr>
      <w:tr>
        <w:trPr>
          <w:trHeight w:val="472" w:hRule="exact"/>
        </w:trPr>
        <w:tc>
          <w:tcPr>
            <w:tcW w:w="316" w:type="dxa"/>
            <w:tcBorders>
              <w:left w:val="single" w:sz="5" w:space="0" w:color="92D07B"/>
            </w:tcBorders>
          </w:tcPr>
          <w:p>
            <w:pPr>
              <w:pStyle w:val="TableParagraph"/>
              <w:spacing w:before="129"/>
              <w:ind w:left="44" w:right="44"/>
              <w:rPr>
                <w:sz w:val="17"/>
              </w:rPr>
            </w:pPr>
            <w:r>
              <w:rPr>
                <w:sz w:val="17"/>
              </w:rPr>
              <w:t>18</w:t>
            </w:r>
          </w:p>
        </w:tc>
        <w:tc>
          <w:tcPr>
            <w:tcW w:w="1450" w:type="dxa"/>
          </w:tcPr>
          <w:p>
            <w:pPr>
              <w:pStyle w:val="TableParagraph"/>
              <w:spacing w:line="283" w:lineRule="auto" w:before="13"/>
              <w:ind w:left="22" w:right="11"/>
              <w:jc w:val="left"/>
              <w:rPr>
                <w:sz w:val="17"/>
              </w:rPr>
            </w:pPr>
            <w:r>
              <w:rPr>
                <w:sz w:val="17"/>
              </w:rPr>
              <w:t>America Axle &amp; Manufacturing</w:t>
            </w:r>
          </w:p>
        </w:tc>
        <w:tc>
          <w:tcPr>
            <w:tcW w:w="1105" w:type="dxa"/>
          </w:tcPr>
          <w:p>
            <w:pPr>
              <w:pStyle w:val="TableParagraph"/>
              <w:spacing w:before="129"/>
              <w:ind w:left="7"/>
              <w:rPr>
                <w:sz w:val="17"/>
              </w:rPr>
            </w:pPr>
            <w:r>
              <w:rPr>
                <w:sz w:val="17"/>
              </w:rPr>
              <w:t>Estados Unidos</w:t>
            </w:r>
          </w:p>
        </w:tc>
        <w:tc>
          <w:tcPr>
            <w:tcW w:w="955" w:type="dxa"/>
          </w:tcPr>
          <w:p>
            <w:pPr>
              <w:pStyle w:val="TableParagraph"/>
              <w:spacing w:before="129"/>
              <w:ind w:left="287"/>
              <w:jc w:val="left"/>
              <w:rPr>
                <w:sz w:val="17"/>
              </w:rPr>
            </w:pPr>
            <w:r>
              <w:rPr>
                <w:sz w:val="17"/>
              </w:rPr>
              <w:t>3,207</w:t>
            </w:r>
          </w:p>
        </w:tc>
        <w:tc>
          <w:tcPr>
            <w:tcW w:w="4614" w:type="dxa"/>
          </w:tcPr>
          <w:p>
            <w:pPr>
              <w:pStyle w:val="TableParagraph"/>
              <w:spacing w:line="283" w:lineRule="auto" w:before="13"/>
              <w:ind w:left="22" w:right="2"/>
              <w:jc w:val="left"/>
              <w:rPr>
                <w:sz w:val="17"/>
              </w:rPr>
            </w:pPr>
            <w:r>
              <w:rPr>
                <w:sz w:val="17"/>
              </w:rPr>
              <w:t>Sistemas de transmisión y tren de transmisión, ejes, módulos de la línea  de conducción</w:t>
            </w:r>
          </w:p>
        </w:tc>
      </w:tr>
      <w:tr>
        <w:trPr>
          <w:trHeight w:val="368" w:hRule="exact"/>
        </w:trPr>
        <w:tc>
          <w:tcPr>
            <w:tcW w:w="316" w:type="dxa"/>
            <w:tcBorders>
              <w:left w:val="single" w:sz="5" w:space="0" w:color="92D07B"/>
            </w:tcBorders>
            <w:shd w:val="clear" w:color="auto" w:fill="DAEED2"/>
          </w:tcPr>
          <w:p>
            <w:pPr>
              <w:pStyle w:val="TableParagraph"/>
              <w:spacing w:before="83"/>
              <w:ind w:left="44" w:right="44"/>
              <w:rPr>
                <w:sz w:val="17"/>
              </w:rPr>
            </w:pPr>
            <w:r>
              <w:rPr>
                <w:sz w:val="17"/>
              </w:rPr>
              <w:t>19</w:t>
            </w:r>
          </w:p>
        </w:tc>
        <w:tc>
          <w:tcPr>
            <w:tcW w:w="1450" w:type="dxa"/>
            <w:shd w:val="clear" w:color="auto" w:fill="DAEED2"/>
          </w:tcPr>
          <w:p>
            <w:pPr>
              <w:pStyle w:val="TableParagraph"/>
              <w:spacing w:before="83"/>
              <w:ind w:left="22"/>
              <w:jc w:val="left"/>
              <w:rPr>
                <w:sz w:val="17"/>
              </w:rPr>
            </w:pPr>
            <w:r>
              <w:rPr>
                <w:sz w:val="17"/>
              </w:rPr>
              <w:t>TI Automotive  Ltd.</w:t>
            </w:r>
          </w:p>
        </w:tc>
        <w:tc>
          <w:tcPr>
            <w:tcW w:w="1105" w:type="dxa"/>
            <w:shd w:val="clear" w:color="auto" w:fill="DAEED2"/>
          </w:tcPr>
          <w:p>
            <w:pPr>
              <w:pStyle w:val="TableParagraph"/>
              <w:spacing w:before="83"/>
              <w:ind w:left="7"/>
              <w:rPr>
                <w:sz w:val="17"/>
              </w:rPr>
            </w:pPr>
            <w:r>
              <w:rPr>
                <w:sz w:val="17"/>
              </w:rPr>
              <w:t>Estados Unidos</w:t>
            </w:r>
          </w:p>
        </w:tc>
        <w:tc>
          <w:tcPr>
            <w:tcW w:w="955" w:type="dxa"/>
            <w:shd w:val="clear" w:color="auto" w:fill="DAEED2"/>
          </w:tcPr>
          <w:p>
            <w:pPr>
              <w:pStyle w:val="TableParagraph"/>
              <w:spacing w:before="83"/>
              <w:ind w:left="287"/>
              <w:jc w:val="left"/>
              <w:rPr>
                <w:sz w:val="17"/>
              </w:rPr>
            </w:pPr>
            <w:r>
              <w:rPr>
                <w:sz w:val="17"/>
              </w:rPr>
              <w:t>3,200</w:t>
            </w:r>
          </w:p>
        </w:tc>
        <w:tc>
          <w:tcPr>
            <w:tcW w:w="4614" w:type="dxa"/>
            <w:shd w:val="clear" w:color="auto" w:fill="DAEED2"/>
          </w:tcPr>
          <w:p>
            <w:pPr>
              <w:pStyle w:val="TableParagraph"/>
              <w:spacing w:before="83"/>
              <w:ind w:left="22" w:right="2"/>
              <w:jc w:val="left"/>
              <w:rPr>
                <w:sz w:val="17"/>
              </w:rPr>
            </w:pPr>
            <w:r>
              <w:rPr>
                <w:sz w:val="17"/>
              </w:rPr>
              <w:t>Almacenamiento de  fluidos  de automoción,</w:t>
            </w:r>
          </w:p>
        </w:tc>
      </w:tr>
      <w:tr>
        <w:trPr>
          <w:trHeight w:val="518" w:hRule="exact"/>
        </w:trPr>
        <w:tc>
          <w:tcPr>
            <w:tcW w:w="316" w:type="dxa"/>
            <w:tcBorders>
              <w:left w:val="single" w:sz="5" w:space="0" w:color="92D07B"/>
            </w:tcBorders>
          </w:tcPr>
          <w:p>
            <w:pPr>
              <w:pStyle w:val="TableParagraph"/>
              <w:spacing w:before="2"/>
              <w:jc w:val="left"/>
              <w:rPr>
                <w:b/>
                <w:sz w:val="13"/>
              </w:rPr>
            </w:pPr>
          </w:p>
          <w:p>
            <w:pPr>
              <w:pStyle w:val="TableParagraph"/>
              <w:ind w:left="44" w:right="44"/>
              <w:rPr>
                <w:sz w:val="17"/>
              </w:rPr>
            </w:pPr>
            <w:r>
              <w:rPr>
                <w:sz w:val="17"/>
              </w:rPr>
              <w:t>20</w:t>
            </w:r>
          </w:p>
        </w:tc>
        <w:tc>
          <w:tcPr>
            <w:tcW w:w="1450" w:type="dxa"/>
          </w:tcPr>
          <w:p>
            <w:pPr>
              <w:pStyle w:val="TableParagraph"/>
              <w:spacing w:line="283" w:lineRule="auto" w:before="37"/>
              <w:ind w:left="22" w:right="11"/>
              <w:jc w:val="left"/>
              <w:rPr>
                <w:sz w:val="17"/>
              </w:rPr>
            </w:pPr>
            <w:r>
              <w:rPr>
                <w:sz w:val="17"/>
              </w:rPr>
              <w:t>Cooper-Standard Holdings Inc.</w:t>
            </w:r>
          </w:p>
        </w:tc>
        <w:tc>
          <w:tcPr>
            <w:tcW w:w="1105" w:type="dxa"/>
          </w:tcPr>
          <w:p>
            <w:pPr>
              <w:pStyle w:val="TableParagraph"/>
              <w:spacing w:before="2"/>
              <w:jc w:val="left"/>
              <w:rPr>
                <w:b/>
                <w:sz w:val="13"/>
              </w:rPr>
            </w:pPr>
          </w:p>
          <w:p>
            <w:pPr>
              <w:pStyle w:val="TableParagraph"/>
              <w:ind w:left="7"/>
              <w:rPr>
                <w:sz w:val="17"/>
              </w:rPr>
            </w:pPr>
            <w:r>
              <w:rPr>
                <w:sz w:val="17"/>
              </w:rPr>
              <w:t>Estados Unidos</w:t>
            </w:r>
          </w:p>
        </w:tc>
        <w:tc>
          <w:tcPr>
            <w:tcW w:w="955" w:type="dxa"/>
          </w:tcPr>
          <w:p>
            <w:pPr>
              <w:pStyle w:val="TableParagraph"/>
              <w:spacing w:before="2"/>
              <w:jc w:val="left"/>
              <w:rPr>
                <w:b/>
                <w:sz w:val="13"/>
              </w:rPr>
            </w:pPr>
          </w:p>
          <w:p>
            <w:pPr>
              <w:pStyle w:val="TableParagraph"/>
              <w:ind w:left="287"/>
              <w:jc w:val="left"/>
              <w:rPr>
                <w:sz w:val="17"/>
              </w:rPr>
            </w:pPr>
            <w:r>
              <w:rPr>
                <w:sz w:val="17"/>
              </w:rPr>
              <w:t>3,091</w:t>
            </w:r>
          </w:p>
        </w:tc>
        <w:tc>
          <w:tcPr>
            <w:tcW w:w="4614" w:type="dxa"/>
          </w:tcPr>
          <w:p>
            <w:pPr>
              <w:pStyle w:val="TableParagraph"/>
              <w:spacing w:line="283" w:lineRule="auto" w:before="37"/>
              <w:ind w:left="22" w:right="2"/>
              <w:jc w:val="left"/>
              <w:rPr>
                <w:sz w:val="17"/>
              </w:rPr>
            </w:pPr>
            <w:r>
              <w:rPr>
                <w:sz w:val="17"/>
              </w:rPr>
              <w:t>Sistemas de transferencia de fluidos y antivibración, suministro de combustible  y frenos</w:t>
            </w:r>
          </w:p>
        </w:tc>
      </w:tr>
    </w:tbl>
    <w:p>
      <w:pPr>
        <w:spacing w:before="136"/>
        <w:ind w:left="383" w:right="400" w:firstLine="0"/>
        <w:jc w:val="center"/>
        <w:rPr>
          <w:sz w:val="18"/>
        </w:rPr>
      </w:pPr>
      <w:r>
        <w:rPr>
          <w:sz w:val="18"/>
        </w:rPr>
        <w:t>Fuente: Crain´s List: Largest OEM Parts Suppliers (2013).</w:t>
      </w:r>
    </w:p>
    <w:p>
      <w:pPr>
        <w:pStyle w:val="BodyText"/>
        <w:rPr>
          <w:sz w:val="18"/>
        </w:rPr>
      </w:pPr>
    </w:p>
    <w:p>
      <w:pPr>
        <w:pStyle w:val="BodyText"/>
        <w:spacing w:line="360" w:lineRule="auto" w:before="135"/>
        <w:ind w:left="117" w:right="132"/>
        <w:jc w:val="center"/>
      </w:pPr>
      <w:r>
        <w:rPr/>
        <w:t>En su mayoría las más importantes empresas de la industria de autopartes provienen en general de los principales países productores de automóviles que tienen sus corporativos en</w:t>
      </w:r>
    </w:p>
    <w:p>
      <w:pPr>
        <w:spacing w:after="0" w:line="360" w:lineRule="auto"/>
        <w:jc w:val="center"/>
        <w:sectPr>
          <w:pgSz w:w="12240" w:h="15840"/>
          <w:pgMar w:header="0" w:footer="1035" w:top="1360" w:bottom="1220" w:left="1600" w:right="1580"/>
        </w:sectPr>
      </w:pPr>
    </w:p>
    <w:p>
      <w:pPr>
        <w:pStyle w:val="BodyText"/>
        <w:spacing w:line="360" w:lineRule="auto" w:before="50"/>
        <w:ind w:left="102" w:right="120"/>
        <w:jc w:val="both"/>
      </w:pPr>
      <w:r>
        <w:rPr/>
        <w:t>países</w:t>
      </w:r>
      <w:r>
        <w:rPr>
          <w:spacing w:val="-14"/>
        </w:rPr>
        <w:t> </w:t>
      </w:r>
      <w:r>
        <w:rPr/>
        <w:t>como:</w:t>
      </w:r>
      <w:r>
        <w:rPr>
          <w:spacing w:val="-13"/>
        </w:rPr>
        <w:t> </w:t>
      </w:r>
      <w:r>
        <w:rPr/>
        <w:t>Japón,</w:t>
      </w:r>
      <w:r>
        <w:rPr>
          <w:spacing w:val="-13"/>
        </w:rPr>
        <w:t> </w:t>
      </w:r>
      <w:r>
        <w:rPr/>
        <w:t>Estados</w:t>
      </w:r>
      <w:r>
        <w:rPr>
          <w:spacing w:val="-14"/>
        </w:rPr>
        <w:t> </w:t>
      </w:r>
      <w:r>
        <w:rPr/>
        <w:t>Unidos,</w:t>
      </w:r>
      <w:r>
        <w:rPr>
          <w:spacing w:val="-13"/>
        </w:rPr>
        <w:t> </w:t>
      </w:r>
      <w:r>
        <w:rPr/>
        <w:t>Alemania</w:t>
      </w:r>
      <w:r>
        <w:rPr>
          <w:spacing w:val="-10"/>
        </w:rPr>
        <w:t> </w:t>
      </w:r>
      <w:r>
        <w:rPr/>
        <w:t>y</w:t>
      </w:r>
      <w:r>
        <w:rPr>
          <w:spacing w:val="-16"/>
        </w:rPr>
        <w:t> </w:t>
      </w:r>
      <w:r>
        <w:rPr/>
        <w:t>Francia</w:t>
      </w:r>
      <w:r>
        <w:rPr>
          <w:spacing w:val="-12"/>
        </w:rPr>
        <w:t> </w:t>
      </w:r>
      <w:r>
        <w:rPr/>
        <w:t>(ProMéxico,</w:t>
      </w:r>
      <w:r>
        <w:rPr>
          <w:spacing w:val="-14"/>
        </w:rPr>
        <w:t> </w:t>
      </w:r>
      <w:r>
        <w:rPr/>
        <w:t>2013).</w:t>
      </w:r>
      <w:r>
        <w:rPr>
          <w:spacing w:val="-11"/>
        </w:rPr>
        <w:t> </w:t>
      </w:r>
      <w:r>
        <w:rPr/>
        <w:t>La</w:t>
      </w:r>
      <w:r>
        <w:rPr>
          <w:spacing w:val="-14"/>
        </w:rPr>
        <w:t> </w:t>
      </w:r>
      <w:r>
        <w:rPr/>
        <w:t>distribución de acuerdo al origen de dichas empresas se observa en la gráfica</w:t>
      </w:r>
      <w:r>
        <w:rPr>
          <w:spacing w:val="-7"/>
        </w:rPr>
        <w:t> </w:t>
      </w:r>
      <w:r>
        <w:rPr/>
        <w:t>2.4.</w:t>
      </w:r>
    </w:p>
    <w:p>
      <w:pPr>
        <w:pStyle w:val="BodyText"/>
        <w:spacing w:before="7"/>
        <w:rPr>
          <w:sz w:val="21"/>
        </w:rPr>
      </w:pPr>
    </w:p>
    <w:p>
      <w:pPr>
        <w:pStyle w:val="Heading1"/>
        <w:ind w:left="190"/>
        <w:jc w:val="both"/>
      </w:pPr>
      <w:r>
        <w:rPr/>
        <w:t>Gráfica 2.4. Origen de las empresas productoras de autopartes a nivel mundial, 2012</w:t>
      </w:r>
    </w:p>
    <w:p>
      <w:pPr>
        <w:pStyle w:val="BodyText"/>
        <w:spacing w:before="8"/>
        <w:rPr>
          <w:b/>
          <w:sz w:val="19"/>
        </w:rPr>
      </w:pPr>
      <w:r>
        <w:rPr/>
        <w:pict>
          <v:group style="position:absolute;margin-left:236.818405pt;margin-top:13.314292pt;width:170.9pt;height:163.75pt;mso-position-horizontal-relative:page;mso-position-vertical-relative:paragraph;z-index:1864;mso-wrap-distance-left:0;mso-wrap-distance-right:0" coordorigin="4736,266" coordsize="3418,3275">
            <v:shape style="position:absolute;left:6373;top:266;width:1481;height:1289" type="#_x0000_t75" stroked="false">
              <v:imagedata r:id="rId26" o:title=""/>
            </v:shape>
            <v:shape style="position:absolute;left:7114;top:1206;width:867;height:544" type="#_x0000_t75" stroked="false">
              <v:imagedata r:id="rId27" o:title=""/>
            </v:shape>
            <v:shape style="position:absolute;left:7178;top:1596;width:833;height:410" type="#_x0000_t75" stroked="false">
              <v:imagedata r:id="rId28" o:title=""/>
            </v:shape>
            <v:shape style="position:absolute;left:6675;top:1955;width:1333;height:1471" type="#_x0000_t75" stroked="false">
              <v:imagedata r:id="rId29" o:title=""/>
            </v:shape>
            <v:shape style="position:absolute;left:4749;top:2006;width:2227;height:1535" type="#_x0000_t75" stroked="false">
              <v:imagedata r:id="rId30" o:title=""/>
            </v:shape>
            <v:shape style="position:absolute;left:4736;top:266;width:1637;height:1842" type="#_x0000_t75" stroked="false">
              <v:imagedata r:id="rId31" o:title=""/>
            </v:shape>
            <v:shape style="position:absolute;left:5152;top:908;width:601;height:387" type="#_x0000_t202" filled="false" stroked="false">
              <v:textbox inset="0,0,0,0">
                <w:txbxContent>
                  <w:p>
                    <w:pPr>
                      <w:spacing w:line="183" w:lineRule="exact" w:before="0"/>
                      <w:ind w:left="-1" w:right="0" w:firstLine="0"/>
                      <w:jc w:val="center"/>
                      <w:rPr>
                        <w:b/>
                        <w:sz w:val="18"/>
                      </w:rPr>
                    </w:pPr>
                    <w:r>
                      <w:rPr>
                        <w:b/>
                        <w:sz w:val="18"/>
                      </w:rPr>
                      <w:t>JAPÓN</w:t>
                    </w:r>
                  </w:p>
                  <w:p>
                    <w:pPr>
                      <w:spacing w:line="203" w:lineRule="exact" w:before="0"/>
                      <w:ind w:left="8" w:right="0" w:firstLine="0"/>
                      <w:jc w:val="center"/>
                      <w:rPr>
                        <w:b/>
                        <w:sz w:val="18"/>
                      </w:rPr>
                    </w:pPr>
                    <w:r>
                      <w:rPr>
                        <w:b/>
                        <w:sz w:val="18"/>
                      </w:rPr>
                      <w:t>27%</w:t>
                    </w:r>
                  </w:p>
                </w:txbxContent>
              </v:textbox>
              <w10:wrap type="none"/>
            </v:shape>
            <v:shape style="position:absolute;left:6717;top:684;width:1438;height:1421" type="#_x0000_t202" filled="false" stroked="false">
              <v:textbox inset="0,0,0,0">
                <w:txbxContent>
                  <w:p>
                    <w:pPr>
                      <w:spacing w:line="183" w:lineRule="exact" w:before="0"/>
                      <w:ind w:left="-1" w:right="807" w:firstLine="0"/>
                      <w:jc w:val="center"/>
                      <w:rPr>
                        <w:b/>
                        <w:sz w:val="18"/>
                      </w:rPr>
                    </w:pPr>
                    <w:r>
                      <w:rPr>
                        <w:b/>
                        <w:spacing w:val="-1"/>
                        <w:sz w:val="18"/>
                      </w:rPr>
                      <w:t>OTROS</w:t>
                    </w:r>
                  </w:p>
                  <w:p>
                    <w:pPr>
                      <w:spacing w:line="207" w:lineRule="exact" w:before="0"/>
                      <w:ind w:left="9" w:right="807" w:firstLine="0"/>
                      <w:jc w:val="center"/>
                      <w:rPr>
                        <w:b/>
                        <w:sz w:val="18"/>
                      </w:rPr>
                    </w:pPr>
                    <w:r>
                      <w:rPr>
                        <w:b/>
                        <w:sz w:val="18"/>
                      </w:rPr>
                      <w:t>18%</w:t>
                    </w:r>
                  </w:p>
                  <w:p>
                    <w:pPr>
                      <w:spacing w:before="80"/>
                      <w:ind w:left="371" w:right="0" w:firstLine="0"/>
                      <w:jc w:val="center"/>
                      <w:rPr>
                        <w:b/>
                        <w:sz w:val="18"/>
                      </w:rPr>
                    </w:pPr>
                    <w:r>
                      <w:rPr>
                        <w:b/>
                        <w:sz w:val="18"/>
                      </w:rPr>
                      <w:t>COREA DEL SUR</w:t>
                    </w:r>
                  </w:p>
                  <w:p>
                    <w:pPr>
                      <w:spacing w:line="146" w:lineRule="auto" w:before="65"/>
                      <w:ind w:left="569" w:right="19" w:firstLine="203"/>
                      <w:jc w:val="left"/>
                      <w:rPr>
                        <w:b/>
                        <w:sz w:val="18"/>
                      </w:rPr>
                    </w:pPr>
                    <w:r>
                      <w:rPr>
                        <w:b/>
                        <w:sz w:val="18"/>
                      </w:rPr>
                      <w:t>4% FRANCIA</w:t>
                    </w:r>
                  </w:p>
                  <w:p>
                    <w:pPr>
                      <w:spacing w:line="203" w:lineRule="exact" w:before="14"/>
                      <w:ind w:left="850" w:right="19" w:firstLine="0"/>
                      <w:jc w:val="left"/>
                      <w:rPr>
                        <w:b/>
                        <w:sz w:val="18"/>
                      </w:rPr>
                    </w:pPr>
                    <w:r>
                      <w:rPr>
                        <w:b/>
                        <w:sz w:val="18"/>
                      </w:rPr>
                      <w:t>4%</w:t>
                    </w:r>
                  </w:p>
                </w:txbxContent>
              </v:textbox>
              <w10:wrap type="none"/>
            </v:shape>
            <v:shape style="position:absolute;left:5328;top:2674;width:840;height:593" type="#_x0000_t202" filled="false" stroked="false">
              <v:textbox inset="0,0,0,0">
                <w:txbxContent>
                  <w:p>
                    <w:pPr>
                      <w:spacing w:line="183" w:lineRule="exact" w:before="0"/>
                      <w:ind w:left="72" w:right="-14" w:hanging="72"/>
                      <w:jc w:val="left"/>
                      <w:rPr>
                        <w:b/>
                        <w:sz w:val="18"/>
                      </w:rPr>
                    </w:pPr>
                    <w:r>
                      <w:rPr>
                        <w:b/>
                        <w:spacing w:val="-1"/>
                        <w:sz w:val="18"/>
                      </w:rPr>
                      <w:t>ESTADOS</w:t>
                    </w:r>
                  </w:p>
                  <w:p>
                    <w:pPr>
                      <w:spacing w:before="0"/>
                      <w:ind w:left="242" w:right="48" w:hanging="171"/>
                      <w:jc w:val="left"/>
                      <w:rPr>
                        <w:b/>
                        <w:sz w:val="18"/>
                      </w:rPr>
                    </w:pPr>
                    <w:r>
                      <w:rPr>
                        <w:b/>
                        <w:sz w:val="18"/>
                      </w:rPr>
                      <w:t>UNIDOS</w:t>
                    </w:r>
                    <w:r>
                      <w:rPr>
                        <w:b/>
                        <w:w w:val="99"/>
                        <w:sz w:val="18"/>
                      </w:rPr>
                      <w:t> </w:t>
                    </w:r>
                    <w:r>
                      <w:rPr>
                        <w:b/>
                        <w:sz w:val="18"/>
                      </w:rPr>
                      <w:t>29%</w:t>
                    </w:r>
                  </w:p>
                </w:txbxContent>
              </v:textbox>
              <w10:wrap type="none"/>
            </v:shape>
            <v:shape style="position:absolute;left:6867;top:2442;width:1002;height:387" type="#_x0000_t202" filled="false" stroked="false">
              <v:textbox inset="0,0,0,0">
                <w:txbxContent>
                  <w:p>
                    <w:pPr>
                      <w:spacing w:line="183" w:lineRule="exact" w:before="0"/>
                      <w:ind w:left="0" w:right="0" w:firstLine="0"/>
                      <w:jc w:val="center"/>
                      <w:rPr>
                        <w:b/>
                        <w:sz w:val="18"/>
                      </w:rPr>
                    </w:pPr>
                    <w:r>
                      <w:rPr>
                        <w:b/>
                        <w:sz w:val="18"/>
                      </w:rPr>
                      <w:t>ALEMANIA</w:t>
                    </w:r>
                  </w:p>
                  <w:p>
                    <w:pPr>
                      <w:spacing w:line="203" w:lineRule="exact" w:before="0"/>
                      <w:ind w:left="5" w:right="0" w:firstLine="0"/>
                      <w:jc w:val="center"/>
                      <w:rPr>
                        <w:b/>
                        <w:sz w:val="18"/>
                      </w:rPr>
                    </w:pPr>
                    <w:r>
                      <w:rPr>
                        <w:b/>
                        <w:sz w:val="18"/>
                      </w:rPr>
                      <w:t>18%</w:t>
                    </w:r>
                  </w:p>
                </w:txbxContent>
              </v:textbox>
              <w10:wrap type="none"/>
            </v:shape>
            <w10:wrap type="topAndBottom"/>
          </v:group>
        </w:pict>
      </w:r>
    </w:p>
    <w:p>
      <w:pPr>
        <w:spacing w:before="104"/>
        <w:ind w:left="383" w:right="397" w:firstLine="0"/>
        <w:jc w:val="center"/>
        <w:rPr>
          <w:sz w:val="18"/>
        </w:rPr>
      </w:pPr>
      <w:r>
        <w:rPr>
          <w:sz w:val="18"/>
        </w:rPr>
        <w:t>Fuente: Elaboración propia con datos de Automotive News presentados por ProMéxico (2013).</w:t>
      </w:r>
    </w:p>
    <w:p>
      <w:pPr>
        <w:pStyle w:val="BodyText"/>
        <w:rPr>
          <w:sz w:val="18"/>
        </w:rPr>
      </w:pPr>
    </w:p>
    <w:p>
      <w:pPr>
        <w:pStyle w:val="BodyText"/>
        <w:spacing w:line="360" w:lineRule="auto" w:before="137"/>
        <w:ind w:left="102" w:right="114"/>
        <w:jc w:val="both"/>
      </w:pPr>
      <w:r>
        <w:rPr/>
        <w:t>Es evidente que el proceso de reestructuración del sector automotriz a nivel mundial no</w:t>
      </w:r>
      <w:r>
        <w:rPr>
          <w:spacing w:val="-20"/>
        </w:rPr>
        <w:t> </w:t>
      </w:r>
      <w:r>
        <w:rPr/>
        <w:t>sólo incluye a la industria terminal, sino también a la de autopartes, la cual ha tenido que transformarse a fin de adecuarse a las nuevas necesidades y requerimientos de la industria terminal.</w:t>
      </w:r>
    </w:p>
    <w:p>
      <w:pPr>
        <w:pStyle w:val="BodyText"/>
        <w:spacing w:before="4"/>
        <w:rPr>
          <w:sz w:val="21"/>
        </w:rPr>
      </w:pPr>
    </w:p>
    <w:p>
      <w:pPr>
        <w:pStyle w:val="BodyText"/>
        <w:spacing w:line="360" w:lineRule="auto" w:before="1"/>
        <w:ind w:left="102" w:right="114"/>
        <w:jc w:val="both"/>
      </w:pPr>
      <w:r>
        <w:rPr/>
        <w:t>En términos generales, el proceso de maduración de la industria de autopartes ha tenido dos grandes fases: la primera dentro del modelo fordista en el que se desarrolló como una industria integrada, pero al mismo tiempo bajo la condición de apéndice de la industria terminal; es decir, dependía en gran parte de las empresas ensambladoras; una segunda fase se presenta a partir de la década de los noventa a raíz de la globalización económica, donde las nuevas condiciones de los mercados obligan a la industria de autopartes a explorar y desarrollar sus propias dinámicas a fin de poder competir exitosamente con los segmentos terminales en dos campos estratégicos: desarrollo de procesos e innovación de productos (Juárez, 2005).</w:t>
      </w:r>
    </w:p>
    <w:p>
      <w:pPr>
        <w:pStyle w:val="BodyText"/>
        <w:spacing w:before="2"/>
        <w:rPr>
          <w:sz w:val="21"/>
        </w:rPr>
      </w:pPr>
    </w:p>
    <w:p>
      <w:pPr>
        <w:pStyle w:val="BodyText"/>
        <w:spacing w:line="360" w:lineRule="auto"/>
        <w:ind w:left="102" w:right="116"/>
        <w:jc w:val="both"/>
      </w:pPr>
      <w:r>
        <w:rPr/>
        <w:t>Para concluir este capítulo, es importante resaltar que la nueva distribución de la industria automotriz en el mundo ha promovido el desarrollo de algunas regiones y países en detrimento de otros, resultando ser los más favorecidos aquellos países que se encuentran sobretodo en  el continente  Asiático, como China, Japón e  India,  pues  ofrecen     ventajas</w:t>
      </w:r>
    </w:p>
    <w:p>
      <w:pPr>
        <w:spacing w:after="0" w:line="360" w:lineRule="auto"/>
        <w:jc w:val="both"/>
        <w:sectPr>
          <w:pgSz w:w="12240" w:h="15840"/>
          <w:pgMar w:header="0" w:footer="1035" w:top="1360" w:bottom="1220" w:left="1600" w:right="1580"/>
        </w:sectPr>
      </w:pPr>
    </w:p>
    <w:p>
      <w:pPr>
        <w:pStyle w:val="BodyText"/>
        <w:spacing w:line="360" w:lineRule="auto" w:before="50"/>
        <w:ind w:left="102" w:right="115"/>
        <w:jc w:val="both"/>
      </w:pPr>
      <w:r>
        <w:rPr/>
        <w:t>operativas importantes como un bajo costo de mano de obra. Sin embargo, se observó también</w:t>
      </w:r>
      <w:r>
        <w:rPr>
          <w:spacing w:val="-12"/>
        </w:rPr>
        <w:t> </w:t>
      </w:r>
      <w:r>
        <w:rPr/>
        <w:t>que</w:t>
      </w:r>
      <w:r>
        <w:rPr>
          <w:spacing w:val="-12"/>
        </w:rPr>
        <w:t> </w:t>
      </w:r>
      <w:r>
        <w:rPr/>
        <w:t>países</w:t>
      </w:r>
      <w:r>
        <w:rPr>
          <w:spacing w:val="-11"/>
        </w:rPr>
        <w:t> </w:t>
      </w:r>
      <w:r>
        <w:rPr/>
        <w:t>como</w:t>
      </w:r>
      <w:r>
        <w:rPr>
          <w:spacing w:val="-11"/>
        </w:rPr>
        <w:t> </w:t>
      </w:r>
      <w:r>
        <w:rPr/>
        <w:t>Brasil</w:t>
      </w:r>
      <w:r>
        <w:rPr>
          <w:spacing w:val="-9"/>
        </w:rPr>
        <w:t> </w:t>
      </w:r>
      <w:r>
        <w:rPr/>
        <w:t>y</w:t>
      </w:r>
      <w:r>
        <w:rPr>
          <w:spacing w:val="-18"/>
        </w:rPr>
        <w:t> </w:t>
      </w:r>
      <w:r>
        <w:rPr/>
        <w:t>México</w:t>
      </w:r>
      <w:r>
        <w:rPr>
          <w:spacing w:val="-11"/>
        </w:rPr>
        <w:t> </w:t>
      </w:r>
      <w:r>
        <w:rPr/>
        <w:t>han</w:t>
      </w:r>
      <w:r>
        <w:rPr>
          <w:spacing w:val="-11"/>
        </w:rPr>
        <w:t> </w:t>
      </w:r>
      <w:r>
        <w:rPr/>
        <w:t>mostrado</w:t>
      </w:r>
      <w:r>
        <w:rPr>
          <w:spacing w:val="-11"/>
        </w:rPr>
        <w:t> </w:t>
      </w:r>
      <w:r>
        <w:rPr/>
        <w:t>un</w:t>
      </w:r>
      <w:r>
        <w:rPr>
          <w:spacing w:val="-11"/>
        </w:rPr>
        <w:t> </w:t>
      </w:r>
      <w:r>
        <w:rPr/>
        <w:t>avance</w:t>
      </w:r>
      <w:r>
        <w:rPr>
          <w:spacing w:val="-12"/>
        </w:rPr>
        <w:t> </w:t>
      </w:r>
      <w:r>
        <w:rPr/>
        <w:t>en</w:t>
      </w:r>
      <w:r>
        <w:rPr>
          <w:spacing w:val="-11"/>
        </w:rPr>
        <w:t> </w:t>
      </w:r>
      <w:r>
        <w:rPr/>
        <w:t>cuanto</w:t>
      </w:r>
      <w:r>
        <w:rPr>
          <w:spacing w:val="-9"/>
        </w:rPr>
        <w:t> </w:t>
      </w:r>
      <w:r>
        <w:rPr/>
        <w:t>su</w:t>
      </w:r>
      <w:r>
        <w:rPr>
          <w:spacing w:val="-11"/>
        </w:rPr>
        <w:t> </w:t>
      </w:r>
      <w:r>
        <w:rPr/>
        <w:t>participación en la producción mundial de</w:t>
      </w:r>
      <w:r>
        <w:rPr>
          <w:spacing w:val="-6"/>
        </w:rPr>
        <w:t> </w:t>
      </w:r>
      <w:r>
        <w:rPr/>
        <w:t>vehículos.</w:t>
      </w:r>
    </w:p>
    <w:p>
      <w:pPr>
        <w:pStyle w:val="BodyText"/>
        <w:spacing w:before="4"/>
        <w:rPr>
          <w:sz w:val="21"/>
        </w:rPr>
      </w:pPr>
    </w:p>
    <w:p>
      <w:pPr>
        <w:pStyle w:val="BodyText"/>
        <w:spacing w:line="360" w:lineRule="auto" w:before="1"/>
        <w:ind w:left="102" w:right="118"/>
        <w:jc w:val="both"/>
      </w:pPr>
      <w:r>
        <w:rPr/>
        <w:t>Asimismo, las empresas vencedoras en términos de producción y ventas han sido las empresas japonesas, las cuales han adoptado sistemas de producción novedosos que les ha permitido ir ganando mercado sobre todo a las empresas norteamericanas.</w:t>
      </w:r>
    </w:p>
    <w:p>
      <w:pPr>
        <w:pStyle w:val="BodyText"/>
        <w:spacing w:before="3"/>
        <w:rPr>
          <w:sz w:val="21"/>
        </w:rPr>
      </w:pPr>
    </w:p>
    <w:p>
      <w:pPr>
        <w:pStyle w:val="BodyText"/>
        <w:spacing w:line="360" w:lineRule="auto"/>
        <w:ind w:left="102" w:right="116"/>
        <w:jc w:val="both"/>
      </w:pPr>
      <w:r>
        <w:rPr/>
        <w:t>Lo anterior también se refleja en la industria de autopartes, la cual ha evolucionado de acuerdo con los cambios que la industria terminal ha presentado, provocando el</w:t>
      </w:r>
      <w:r>
        <w:rPr>
          <w:spacing w:val="-14"/>
        </w:rPr>
        <w:t> </w:t>
      </w:r>
      <w:r>
        <w:rPr/>
        <w:t>surgimiento de</w:t>
      </w:r>
      <w:r>
        <w:rPr>
          <w:spacing w:val="-7"/>
        </w:rPr>
        <w:t> </w:t>
      </w:r>
      <w:r>
        <w:rPr/>
        <w:t>grandes</w:t>
      </w:r>
      <w:r>
        <w:rPr>
          <w:spacing w:val="-6"/>
        </w:rPr>
        <w:t> </w:t>
      </w:r>
      <w:r>
        <w:rPr/>
        <w:t>empresas</w:t>
      </w:r>
      <w:r>
        <w:rPr>
          <w:spacing w:val="-6"/>
        </w:rPr>
        <w:t> </w:t>
      </w:r>
      <w:r>
        <w:rPr/>
        <w:t>de</w:t>
      </w:r>
      <w:r>
        <w:rPr>
          <w:spacing w:val="-7"/>
        </w:rPr>
        <w:t> </w:t>
      </w:r>
      <w:r>
        <w:rPr/>
        <w:t>autopartes</w:t>
      </w:r>
      <w:r>
        <w:rPr>
          <w:spacing w:val="-7"/>
        </w:rPr>
        <w:t> </w:t>
      </w:r>
      <w:r>
        <w:rPr/>
        <w:t>con</w:t>
      </w:r>
      <w:r>
        <w:rPr>
          <w:spacing w:val="-6"/>
        </w:rPr>
        <w:t> </w:t>
      </w:r>
      <w:r>
        <w:rPr/>
        <w:t>presencia</w:t>
      </w:r>
      <w:r>
        <w:rPr>
          <w:spacing w:val="-4"/>
        </w:rPr>
        <w:t> </w:t>
      </w:r>
      <w:r>
        <w:rPr/>
        <w:t>mundial,</w:t>
      </w:r>
      <w:r>
        <w:rPr>
          <w:spacing w:val="-3"/>
        </w:rPr>
        <w:t> </w:t>
      </w:r>
      <w:r>
        <w:rPr/>
        <w:t>que</w:t>
      </w:r>
      <w:r>
        <w:rPr>
          <w:spacing w:val="-7"/>
        </w:rPr>
        <w:t> </w:t>
      </w:r>
      <w:r>
        <w:rPr/>
        <w:t>en</w:t>
      </w:r>
      <w:r>
        <w:rPr>
          <w:spacing w:val="-6"/>
        </w:rPr>
        <w:t> </w:t>
      </w:r>
      <w:r>
        <w:rPr/>
        <w:t>su</w:t>
      </w:r>
      <w:r>
        <w:rPr>
          <w:spacing w:val="-6"/>
        </w:rPr>
        <w:t> </w:t>
      </w:r>
      <w:r>
        <w:rPr/>
        <w:t>mayoría</w:t>
      </w:r>
      <w:r>
        <w:rPr>
          <w:spacing w:val="-7"/>
        </w:rPr>
        <w:t> </w:t>
      </w:r>
      <w:r>
        <w:rPr/>
        <w:t>se</w:t>
      </w:r>
      <w:r>
        <w:rPr>
          <w:spacing w:val="-6"/>
        </w:rPr>
        <w:t> </w:t>
      </w:r>
      <w:r>
        <w:rPr/>
        <w:t>han</w:t>
      </w:r>
      <w:r>
        <w:rPr>
          <w:spacing w:val="-6"/>
        </w:rPr>
        <w:t> </w:t>
      </w:r>
      <w:r>
        <w:rPr/>
        <w:t>ubicado en la región Asia</w:t>
      </w:r>
      <w:r>
        <w:rPr>
          <w:spacing w:val="-4"/>
        </w:rPr>
        <w:t> </w:t>
      </w:r>
      <w:r>
        <w:rPr/>
        <w:t>Pacífico.</w:t>
      </w:r>
    </w:p>
    <w:p>
      <w:pPr>
        <w:pStyle w:val="BodyText"/>
        <w:spacing w:before="2"/>
        <w:rPr>
          <w:sz w:val="21"/>
        </w:rPr>
      </w:pPr>
    </w:p>
    <w:p>
      <w:pPr>
        <w:pStyle w:val="BodyText"/>
        <w:spacing w:line="360" w:lineRule="auto"/>
        <w:ind w:left="102" w:right="117"/>
        <w:jc w:val="both"/>
      </w:pPr>
      <w:r>
        <w:rPr/>
        <w:t>Debido a lo anterior, surge la inquietud de conocer cuáles han sido las tendencias que la industria</w:t>
      </w:r>
      <w:r>
        <w:rPr>
          <w:spacing w:val="-17"/>
        </w:rPr>
        <w:t> </w:t>
      </w:r>
      <w:r>
        <w:rPr/>
        <w:t>automotriz</w:t>
      </w:r>
      <w:r>
        <w:rPr>
          <w:spacing w:val="-15"/>
        </w:rPr>
        <w:t> </w:t>
      </w:r>
      <w:r>
        <w:rPr/>
        <w:t>de</w:t>
      </w:r>
      <w:r>
        <w:rPr>
          <w:spacing w:val="-17"/>
        </w:rPr>
        <w:t> </w:t>
      </w:r>
      <w:r>
        <w:rPr/>
        <w:t>México</w:t>
      </w:r>
      <w:r>
        <w:rPr>
          <w:spacing w:val="-16"/>
        </w:rPr>
        <w:t> </w:t>
      </w:r>
      <w:r>
        <w:rPr/>
        <w:t>ha</w:t>
      </w:r>
      <w:r>
        <w:rPr>
          <w:spacing w:val="-17"/>
        </w:rPr>
        <w:t> </w:t>
      </w:r>
      <w:r>
        <w:rPr/>
        <w:t>tenido</w:t>
      </w:r>
      <w:r>
        <w:rPr>
          <w:spacing w:val="-16"/>
        </w:rPr>
        <w:t> </w:t>
      </w:r>
      <w:r>
        <w:rPr/>
        <w:t>en</w:t>
      </w:r>
      <w:r>
        <w:rPr>
          <w:spacing w:val="-13"/>
        </w:rPr>
        <w:t> </w:t>
      </w:r>
      <w:r>
        <w:rPr/>
        <w:t>el</w:t>
      </w:r>
      <w:r>
        <w:rPr>
          <w:spacing w:val="-15"/>
        </w:rPr>
        <w:t> </w:t>
      </w:r>
      <w:r>
        <w:rPr/>
        <w:t>marco</w:t>
      </w:r>
      <w:r>
        <w:rPr>
          <w:spacing w:val="-16"/>
        </w:rPr>
        <w:t> </w:t>
      </w:r>
      <w:r>
        <w:rPr/>
        <w:t>del</w:t>
      </w:r>
      <w:r>
        <w:rPr>
          <w:spacing w:val="-15"/>
        </w:rPr>
        <w:t> </w:t>
      </w:r>
      <w:r>
        <w:rPr/>
        <w:t>desarrollo</w:t>
      </w:r>
      <w:r>
        <w:rPr>
          <w:spacing w:val="-16"/>
        </w:rPr>
        <w:t> </w:t>
      </w:r>
      <w:r>
        <w:rPr/>
        <w:t>del</w:t>
      </w:r>
      <w:r>
        <w:rPr>
          <w:spacing w:val="-15"/>
        </w:rPr>
        <w:t> </w:t>
      </w:r>
      <w:r>
        <w:rPr/>
        <w:t>sector</w:t>
      </w:r>
      <w:r>
        <w:rPr>
          <w:spacing w:val="-16"/>
        </w:rPr>
        <w:t> </w:t>
      </w:r>
      <w:r>
        <w:rPr/>
        <w:t>manufacturero, </w:t>
      </w:r>
      <w:r>
        <w:rPr>
          <w:spacing w:val="-3"/>
        </w:rPr>
        <w:t>ya </w:t>
      </w:r>
      <w:r>
        <w:rPr/>
        <w:t>que se trata de una industria que desde hace noventa años tiene presencia en nuestro país y</w:t>
      </w:r>
      <w:r>
        <w:rPr>
          <w:spacing w:val="-9"/>
        </w:rPr>
        <w:t> </w:t>
      </w:r>
      <w:r>
        <w:rPr/>
        <w:t>que</w:t>
      </w:r>
      <w:r>
        <w:rPr>
          <w:spacing w:val="-7"/>
        </w:rPr>
        <w:t> </w:t>
      </w:r>
      <w:r>
        <w:rPr/>
        <w:t>recientemente</w:t>
      </w:r>
      <w:r>
        <w:rPr>
          <w:spacing w:val="-4"/>
        </w:rPr>
        <w:t> </w:t>
      </w:r>
      <w:r>
        <w:rPr/>
        <w:t>se</w:t>
      </w:r>
      <w:r>
        <w:rPr>
          <w:spacing w:val="-7"/>
        </w:rPr>
        <w:t> </w:t>
      </w:r>
      <w:r>
        <w:rPr/>
        <w:t>ha</w:t>
      </w:r>
      <w:r>
        <w:rPr>
          <w:spacing w:val="-7"/>
        </w:rPr>
        <w:t> </w:t>
      </w:r>
      <w:r>
        <w:rPr/>
        <w:t>considerado</w:t>
      </w:r>
      <w:r>
        <w:rPr>
          <w:spacing w:val="-6"/>
        </w:rPr>
        <w:t> </w:t>
      </w:r>
      <w:r>
        <w:rPr/>
        <w:t>como</w:t>
      </w:r>
      <w:r>
        <w:rPr>
          <w:spacing w:val="-6"/>
        </w:rPr>
        <w:t> </w:t>
      </w:r>
      <w:r>
        <w:rPr/>
        <w:t>un</w:t>
      </w:r>
      <w:r>
        <w:rPr>
          <w:spacing w:val="-6"/>
        </w:rPr>
        <w:t> </w:t>
      </w:r>
      <w:r>
        <w:rPr/>
        <w:t>sector</w:t>
      </w:r>
      <w:r>
        <w:rPr>
          <w:spacing w:val="-7"/>
        </w:rPr>
        <w:t> </w:t>
      </w:r>
      <w:r>
        <w:rPr/>
        <w:t>estratégico</w:t>
      </w:r>
      <w:r>
        <w:rPr>
          <w:spacing w:val="-6"/>
        </w:rPr>
        <w:t> </w:t>
      </w:r>
      <w:r>
        <w:rPr/>
        <w:t>dentro</w:t>
      </w:r>
      <w:r>
        <w:rPr>
          <w:spacing w:val="-6"/>
        </w:rPr>
        <w:t> </w:t>
      </w:r>
      <w:r>
        <w:rPr/>
        <w:t>del</w:t>
      </w:r>
      <w:r>
        <w:rPr>
          <w:spacing w:val="-3"/>
        </w:rPr>
        <w:t> </w:t>
      </w:r>
      <w:r>
        <w:rPr/>
        <w:t>crecimiento</w:t>
      </w:r>
      <w:r>
        <w:rPr>
          <w:spacing w:val="-6"/>
        </w:rPr>
        <w:t> </w:t>
      </w:r>
      <w:r>
        <w:rPr/>
        <w:t>del sector</w:t>
      </w:r>
      <w:r>
        <w:rPr>
          <w:spacing w:val="-5"/>
        </w:rPr>
        <w:t> </w:t>
      </w:r>
      <w:r>
        <w:rPr/>
        <w:t>manufacturero.</w:t>
      </w:r>
    </w:p>
    <w:p>
      <w:pPr>
        <w:spacing w:after="0" w:line="360" w:lineRule="auto"/>
        <w:jc w:val="both"/>
        <w:sectPr>
          <w:pgSz w:w="12240" w:h="15840"/>
          <w:pgMar w:header="0" w:footer="1035" w:top="1360" w:bottom="1220" w:left="1600" w:right="1580"/>
        </w:sectPr>
      </w:pPr>
    </w:p>
    <w:p>
      <w:pPr>
        <w:pStyle w:val="Heading1"/>
        <w:spacing w:before="55"/>
        <w:ind w:left="1227" w:right="119"/>
      </w:pPr>
      <w:bookmarkStart w:name="_TOC_250022" w:id="13"/>
      <w:bookmarkEnd w:id="13"/>
      <w:r>
        <w:rPr/>
        <w:t>Capítulo 3. La manufactura y la industria automotriz en México</w:t>
      </w:r>
    </w:p>
    <w:p>
      <w:pPr>
        <w:pStyle w:val="BodyText"/>
        <w:spacing w:before="6"/>
        <w:rPr>
          <w:b/>
          <w:sz w:val="32"/>
        </w:rPr>
      </w:pPr>
    </w:p>
    <w:p>
      <w:pPr>
        <w:pStyle w:val="BodyText"/>
        <w:spacing w:line="360" w:lineRule="auto"/>
        <w:ind w:left="102" w:right="118"/>
        <w:jc w:val="both"/>
      </w:pPr>
      <w:r>
        <w:rPr/>
        <w:t>Como se menciona en el capítulo uno de este trabajo, Kaldor afirma que el sector manufacturero tiene un efecto multiplicador en la economía de los países, debido sobre</w:t>
      </w:r>
      <w:r>
        <w:rPr>
          <w:spacing w:val="-25"/>
        </w:rPr>
        <w:t> </w:t>
      </w:r>
      <w:r>
        <w:rPr/>
        <w:t>todo a la presencia de rendimientos crecientes, que generan un efecto de “arrastre” en otros sectores</w:t>
      </w:r>
      <w:r>
        <w:rPr>
          <w:spacing w:val="-8"/>
        </w:rPr>
        <w:t> </w:t>
      </w:r>
      <w:r>
        <w:rPr/>
        <w:t>de</w:t>
      </w:r>
      <w:r>
        <w:rPr>
          <w:spacing w:val="-10"/>
        </w:rPr>
        <w:t> </w:t>
      </w:r>
      <w:r>
        <w:rPr/>
        <w:t>la</w:t>
      </w:r>
      <w:r>
        <w:rPr>
          <w:spacing w:val="-9"/>
        </w:rPr>
        <w:t> </w:t>
      </w:r>
      <w:r>
        <w:rPr/>
        <w:t>economía.</w:t>
      </w:r>
      <w:r>
        <w:rPr>
          <w:spacing w:val="-5"/>
        </w:rPr>
        <w:t> </w:t>
      </w:r>
      <w:r>
        <w:rPr/>
        <w:t>Sánchez</w:t>
      </w:r>
      <w:r>
        <w:rPr>
          <w:spacing w:val="-7"/>
        </w:rPr>
        <w:t> </w:t>
      </w:r>
      <w:r>
        <w:rPr/>
        <w:t>(2011)</w:t>
      </w:r>
      <w:r>
        <w:rPr>
          <w:spacing w:val="-9"/>
        </w:rPr>
        <w:t> </w:t>
      </w:r>
      <w:r>
        <w:rPr/>
        <w:t>menciona</w:t>
      </w:r>
      <w:r>
        <w:rPr>
          <w:spacing w:val="-10"/>
        </w:rPr>
        <w:t> </w:t>
      </w:r>
      <w:r>
        <w:rPr/>
        <w:t>que</w:t>
      </w:r>
      <w:r>
        <w:rPr>
          <w:spacing w:val="-10"/>
        </w:rPr>
        <w:t> </w:t>
      </w:r>
      <w:r>
        <w:rPr/>
        <w:t>si</w:t>
      </w:r>
      <w:r>
        <w:rPr>
          <w:spacing w:val="-8"/>
        </w:rPr>
        <w:t> </w:t>
      </w:r>
      <w:r>
        <w:rPr/>
        <w:t>pensamos</w:t>
      </w:r>
      <w:r>
        <w:rPr>
          <w:spacing w:val="-8"/>
        </w:rPr>
        <w:t> </w:t>
      </w:r>
      <w:r>
        <w:rPr/>
        <w:t>en</w:t>
      </w:r>
      <w:r>
        <w:rPr>
          <w:spacing w:val="-7"/>
        </w:rPr>
        <w:t> </w:t>
      </w:r>
      <w:r>
        <w:rPr/>
        <w:t>la</w:t>
      </w:r>
      <w:r>
        <w:rPr>
          <w:spacing w:val="-9"/>
        </w:rPr>
        <w:t> </w:t>
      </w:r>
      <w:r>
        <w:rPr/>
        <w:t>historia</w:t>
      </w:r>
      <w:r>
        <w:rPr>
          <w:spacing w:val="-10"/>
        </w:rPr>
        <w:t> </w:t>
      </w:r>
      <w:r>
        <w:rPr/>
        <w:t>económica de México podemos observar que existen elementos para creer que son las actividades industrial- manufactureras las que determinan el crecimiento del producto</w:t>
      </w:r>
      <w:r>
        <w:rPr>
          <w:spacing w:val="-9"/>
        </w:rPr>
        <w:t> </w:t>
      </w:r>
      <w:r>
        <w:rPr/>
        <w:t>global.</w:t>
      </w:r>
    </w:p>
    <w:p>
      <w:pPr>
        <w:pStyle w:val="BodyText"/>
        <w:spacing w:before="4"/>
        <w:rPr>
          <w:sz w:val="21"/>
        </w:rPr>
      </w:pPr>
    </w:p>
    <w:p>
      <w:pPr>
        <w:pStyle w:val="BodyText"/>
        <w:spacing w:line="360" w:lineRule="auto" w:before="1"/>
        <w:ind w:left="102" w:right="118"/>
        <w:jc w:val="both"/>
      </w:pPr>
      <w:r>
        <w:rPr/>
        <w:t>Actualmente, el sector manufacturero de México tiene un papel protagónico dentro de la economía mexicana, debido a su importante aportación al PIB nacional y a los encadenamientos</w:t>
      </w:r>
      <w:r>
        <w:rPr>
          <w:spacing w:val="-3"/>
        </w:rPr>
        <w:t> </w:t>
      </w:r>
      <w:r>
        <w:rPr/>
        <w:t>con</w:t>
      </w:r>
      <w:r>
        <w:rPr>
          <w:spacing w:val="-4"/>
        </w:rPr>
        <w:t> </w:t>
      </w:r>
      <w:r>
        <w:rPr/>
        <w:t>el</w:t>
      </w:r>
      <w:r>
        <w:rPr>
          <w:spacing w:val="-2"/>
        </w:rPr>
        <w:t> </w:t>
      </w:r>
      <w:r>
        <w:rPr/>
        <w:t>resto</w:t>
      </w:r>
      <w:r>
        <w:rPr>
          <w:spacing w:val="-3"/>
        </w:rPr>
        <w:t> </w:t>
      </w:r>
      <w:r>
        <w:rPr/>
        <w:t>de</w:t>
      </w:r>
      <w:r>
        <w:rPr>
          <w:spacing w:val="-5"/>
        </w:rPr>
        <w:t> </w:t>
      </w:r>
      <w:r>
        <w:rPr/>
        <w:t>los</w:t>
      </w:r>
      <w:r>
        <w:rPr>
          <w:spacing w:val="-3"/>
        </w:rPr>
        <w:t> </w:t>
      </w:r>
      <w:r>
        <w:rPr/>
        <w:t>sectores</w:t>
      </w:r>
      <w:r>
        <w:rPr>
          <w:spacing w:val="-2"/>
        </w:rPr>
        <w:t> </w:t>
      </w:r>
      <w:r>
        <w:rPr/>
        <w:t>económicos,</w:t>
      </w:r>
      <w:r>
        <w:rPr>
          <w:spacing w:val="-4"/>
        </w:rPr>
        <w:t> </w:t>
      </w:r>
      <w:r>
        <w:rPr/>
        <w:t>con</w:t>
      </w:r>
      <w:r>
        <w:rPr>
          <w:spacing w:val="-4"/>
        </w:rPr>
        <w:t> </w:t>
      </w:r>
      <w:r>
        <w:rPr/>
        <w:t>lo</w:t>
      </w:r>
      <w:r>
        <w:rPr>
          <w:spacing w:val="-3"/>
        </w:rPr>
        <w:t> </w:t>
      </w:r>
      <w:r>
        <w:rPr/>
        <w:t>que</w:t>
      </w:r>
      <w:r>
        <w:rPr>
          <w:spacing w:val="-5"/>
        </w:rPr>
        <w:t> </w:t>
      </w:r>
      <w:r>
        <w:rPr/>
        <w:t>se</w:t>
      </w:r>
      <w:r>
        <w:rPr>
          <w:spacing w:val="-5"/>
        </w:rPr>
        <w:t> </w:t>
      </w:r>
      <w:r>
        <w:rPr/>
        <w:t>ha</w:t>
      </w:r>
      <w:r>
        <w:rPr>
          <w:spacing w:val="-2"/>
        </w:rPr>
        <w:t> </w:t>
      </w:r>
      <w:r>
        <w:rPr/>
        <w:t>constituido</w:t>
      </w:r>
      <w:r>
        <w:rPr>
          <w:spacing w:val="-3"/>
        </w:rPr>
        <w:t> </w:t>
      </w:r>
      <w:r>
        <w:rPr/>
        <w:t>como uno de los principales impulsores de crecimiento económico del</w:t>
      </w:r>
      <w:r>
        <w:rPr>
          <w:spacing w:val="-12"/>
        </w:rPr>
        <w:t> </w:t>
      </w:r>
      <w:r>
        <w:rPr/>
        <w:t>país.</w:t>
      </w:r>
    </w:p>
    <w:p>
      <w:pPr>
        <w:pStyle w:val="BodyText"/>
        <w:spacing w:before="4"/>
        <w:rPr>
          <w:sz w:val="21"/>
        </w:rPr>
      </w:pPr>
    </w:p>
    <w:p>
      <w:pPr>
        <w:pStyle w:val="BodyText"/>
        <w:spacing w:line="360" w:lineRule="auto" w:before="1"/>
        <w:ind w:left="102" w:right="119"/>
        <w:jc w:val="both"/>
      </w:pPr>
      <w:r>
        <w:rPr/>
        <w:t>Además, se observa que al interior del sector las principales ramas industriales que destacan por</w:t>
      </w:r>
      <w:r>
        <w:rPr>
          <w:spacing w:val="-10"/>
        </w:rPr>
        <w:t> </w:t>
      </w:r>
      <w:r>
        <w:rPr/>
        <w:t>su</w:t>
      </w:r>
      <w:r>
        <w:rPr>
          <w:spacing w:val="-9"/>
        </w:rPr>
        <w:t> </w:t>
      </w:r>
      <w:r>
        <w:rPr/>
        <w:t>aportación</w:t>
      </w:r>
      <w:r>
        <w:rPr>
          <w:spacing w:val="-9"/>
        </w:rPr>
        <w:t> </w:t>
      </w:r>
      <w:r>
        <w:rPr/>
        <w:t>al</w:t>
      </w:r>
      <w:r>
        <w:rPr>
          <w:spacing w:val="-9"/>
        </w:rPr>
        <w:t> </w:t>
      </w:r>
      <w:r>
        <w:rPr/>
        <w:t>PIB</w:t>
      </w:r>
      <w:r>
        <w:rPr>
          <w:spacing w:val="-7"/>
        </w:rPr>
        <w:t> </w:t>
      </w:r>
      <w:r>
        <w:rPr/>
        <w:t>manufacturero</w:t>
      </w:r>
      <w:r>
        <w:rPr>
          <w:spacing w:val="-10"/>
        </w:rPr>
        <w:t> </w:t>
      </w:r>
      <w:r>
        <w:rPr/>
        <w:t>son</w:t>
      </w:r>
      <w:r>
        <w:rPr>
          <w:spacing w:val="-9"/>
        </w:rPr>
        <w:t> </w:t>
      </w:r>
      <w:r>
        <w:rPr/>
        <w:t>aquellas</w:t>
      </w:r>
      <w:r>
        <w:rPr>
          <w:spacing w:val="-9"/>
        </w:rPr>
        <w:t> </w:t>
      </w:r>
      <w:r>
        <w:rPr/>
        <w:t>que</w:t>
      </w:r>
      <w:r>
        <w:rPr>
          <w:spacing w:val="-11"/>
        </w:rPr>
        <w:t> </w:t>
      </w:r>
      <w:r>
        <w:rPr/>
        <w:t>están</w:t>
      </w:r>
      <w:r>
        <w:rPr>
          <w:spacing w:val="-10"/>
        </w:rPr>
        <w:t> </w:t>
      </w:r>
      <w:r>
        <w:rPr/>
        <w:t>orientadas</w:t>
      </w:r>
      <w:r>
        <w:rPr>
          <w:spacing w:val="-9"/>
        </w:rPr>
        <w:t> </w:t>
      </w:r>
      <w:r>
        <w:rPr/>
        <w:t>al</w:t>
      </w:r>
      <w:r>
        <w:rPr>
          <w:spacing w:val="-7"/>
        </w:rPr>
        <w:t> </w:t>
      </w:r>
      <w:r>
        <w:rPr/>
        <w:t>mercado</w:t>
      </w:r>
      <w:r>
        <w:rPr>
          <w:spacing w:val="-10"/>
        </w:rPr>
        <w:t> </w:t>
      </w:r>
      <w:r>
        <w:rPr/>
        <w:t>externo y que producen bienes de consumo final duradero como: vehículos automotores, equipos y aparatos electrónicos, electrodomésticos y la industria de autopartes (CEFP,</w:t>
      </w:r>
      <w:r>
        <w:rPr>
          <w:spacing w:val="-14"/>
        </w:rPr>
        <w:t> </w:t>
      </w:r>
      <w:r>
        <w:rPr/>
        <w:t>2004).</w:t>
      </w:r>
    </w:p>
    <w:p>
      <w:pPr>
        <w:pStyle w:val="BodyText"/>
        <w:spacing w:before="4"/>
        <w:rPr>
          <w:sz w:val="21"/>
        </w:rPr>
      </w:pPr>
    </w:p>
    <w:p>
      <w:pPr>
        <w:pStyle w:val="BodyText"/>
        <w:spacing w:line="360" w:lineRule="auto" w:before="1"/>
        <w:ind w:left="102" w:right="114"/>
        <w:jc w:val="both"/>
      </w:pPr>
      <w:r>
        <w:rPr/>
        <w:t>El objetivo de este capítulo es analizar el desarrollo y dinámica de la industria automotriz y manufacturera de México, lo que permite dar evidencia de la importancia de estas dos industrias en el país. En esta lógica, el presente capítulo se divide en dos grandes apartados, en el primero se destaca la evolución y dinámica del sector manufacturero nacional y en el segundo se analiza la evolución y desempeño de la industria automotriz a nivel nacional, presentando aspectos relacionados con el establecimiento, características y relocalización</w:t>
      </w:r>
      <w:r>
        <w:rPr>
          <w:spacing w:val="-37"/>
        </w:rPr>
        <w:t> </w:t>
      </w:r>
      <w:r>
        <w:rPr/>
        <w:t>de la industria</w:t>
      </w:r>
      <w:r>
        <w:rPr>
          <w:spacing w:val="-1"/>
        </w:rPr>
        <w:t> </w:t>
      </w:r>
      <w:r>
        <w:rPr/>
        <w:t>automotriz.</w:t>
      </w:r>
    </w:p>
    <w:p>
      <w:pPr>
        <w:pStyle w:val="BodyText"/>
        <w:spacing w:before="7"/>
        <w:rPr>
          <w:sz w:val="21"/>
        </w:rPr>
      </w:pPr>
    </w:p>
    <w:p>
      <w:pPr>
        <w:pStyle w:val="Heading1"/>
        <w:numPr>
          <w:ilvl w:val="1"/>
          <w:numId w:val="15"/>
        </w:numPr>
        <w:tabs>
          <w:tab w:pos="523" w:val="left" w:leader="none"/>
        </w:tabs>
        <w:spacing w:line="240" w:lineRule="auto" w:before="0" w:after="0"/>
        <w:ind w:left="522" w:right="0" w:hanging="420"/>
        <w:jc w:val="both"/>
      </w:pPr>
      <w:bookmarkStart w:name="_TOC_250021" w:id="14"/>
      <w:r>
        <w:rPr/>
        <w:t>Desarrollo del sector manufacturero en</w:t>
      </w:r>
      <w:r>
        <w:rPr>
          <w:spacing w:val="-9"/>
        </w:rPr>
        <w:t> </w:t>
      </w:r>
      <w:bookmarkEnd w:id="14"/>
      <w:r>
        <w:rPr/>
        <w:t>México</w:t>
      </w:r>
    </w:p>
    <w:p>
      <w:pPr>
        <w:pStyle w:val="BodyText"/>
        <w:spacing w:before="6"/>
        <w:rPr>
          <w:b/>
          <w:sz w:val="32"/>
        </w:rPr>
      </w:pPr>
    </w:p>
    <w:p>
      <w:pPr>
        <w:pStyle w:val="BodyText"/>
        <w:spacing w:line="360" w:lineRule="auto"/>
        <w:ind w:left="102" w:right="116"/>
        <w:jc w:val="both"/>
      </w:pPr>
      <w:r>
        <w:rPr/>
        <w:t>A partir de los años cuarenta y hasta la segunda mitad de los años setenta del siglo pasado, el</w:t>
      </w:r>
      <w:r>
        <w:rPr>
          <w:spacing w:val="-7"/>
        </w:rPr>
        <w:t> </w:t>
      </w:r>
      <w:r>
        <w:rPr/>
        <w:t>desarrollo</w:t>
      </w:r>
      <w:r>
        <w:rPr>
          <w:spacing w:val="-7"/>
        </w:rPr>
        <w:t> </w:t>
      </w:r>
      <w:r>
        <w:rPr/>
        <w:t>económico</w:t>
      </w:r>
      <w:r>
        <w:rPr>
          <w:spacing w:val="-5"/>
        </w:rPr>
        <w:t> </w:t>
      </w:r>
      <w:r>
        <w:rPr/>
        <w:t>de</w:t>
      </w:r>
      <w:r>
        <w:rPr>
          <w:spacing w:val="-8"/>
        </w:rPr>
        <w:t> </w:t>
      </w:r>
      <w:r>
        <w:rPr/>
        <w:t>México</w:t>
      </w:r>
      <w:r>
        <w:rPr>
          <w:spacing w:val="-8"/>
        </w:rPr>
        <w:t> </w:t>
      </w:r>
      <w:r>
        <w:rPr/>
        <w:t>estuvo</w:t>
      </w:r>
      <w:r>
        <w:rPr>
          <w:spacing w:val="-7"/>
        </w:rPr>
        <w:t> </w:t>
      </w:r>
      <w:r>
        <w:rPr/>
        <w:t>basado</w:t>
      </w:r>
      <w:r>
        <w:rPr>
          <w:spacing w:val="-5"/>
        </w:rPr>
        <w:t> </w:t>
      </w:r>
      <w:r>
        <w:rPr/>
        <w:t>en</w:t>
      </w:r>
      <w:r>
        <w:rPr>
          <w:spacing w:val="-7"/>
        </w:rPr>
        <w:t> </w:t>
      </w:r>
      <w:r>
        <w:rPr/>
        <w:t>la</w:t>
      </w:r>
      <w:r>
        <w:rPr>
          <w:spacing w:val="-8"/>
        </w:rPr>
        <w:t> </w:t>
      </w:r>
      <w:r>
        <w:rPr/>
        <w:t>participación</w:t>
      </w:r>
      <w:r>
        <w:rPr>
          <w:spacing w:val="-7"/>
        </w:rPr>
        <w:t> </w:t>
      </w:r>
      <w:r>
        <w:rPr/>
        <w:t>de</w:t>
      </w:r>
      <w:r>
        <w:rPr>
          <w:spacing w:val="-8"/>
        </w:rPr>
        <w:t> </w:t>
      </w:r>
      <w:r>
        <w:rPr/>
        <w:t>un</w:t>
      </w:r>
      <w:r>
        <w:rPr>
          <w:spacing w:val="-5"/>
        </w:rPr>
        <w:t> </w:t>
      </w:r>
      <w:r>
        <w:rPr/>
        <w:t>estado</w:t>
      </w:r>
      <w:r>
        <w:rPr>
          <w:spacing w:val="-7"/>
        </w:rPr>
        <w:t> </w:t>
      </w:r>
      <w:r>
        <w:rPr/>
        <w:t>fuerte</w:t>
      </w:r>
      <w:r>
        <w:rPr>
          <w:spacing w:val="-8"/>
        </w:rPr>
        <w:t> </w:t>
      </w:r>
      <w:r>
        <w:rPr/>
        <w:t>que fomentó la industrialización a través de una política de sustitución de importaciones. La política económica se centró en el establecimiento de niveles moderados de protección efectiva para la manufactura, lo que permitió transformar al país de una economía agraria </w:t>
      </w:r>
      <w:r>
        <w:rPr>
          <w:spacing w:val="9"/>
        </w:rPr>
        <w:t> </w:t>
      </w:r>
      <w:r>
        <w:rPr/>
        <w:t>a</w:t>
      </w:r>
    </w:p>
    <w:p>
      <w:pPr>
        <w:spacing w:after="0" w:line="360" w:lineRule="auto"/>
        <w:jc w:val="both"/>
        <w:sectPr>
          <w:pgSz w:w="12240" w:h="15840"/>
          <w:pgMar w:header="0" w:footer="1035" w:top="1360" w:bottom="1220" w:left="1600" w:right="1580"/>
        </w:sectPr>
      </w:pPr>
    </w:p>
    <w:p>
      <w:pPr>
        <w:pStyle w:val="BodyText"/>
        <w:spacing w:line="360" w:lineRule="auto" w:before="50"/>
        <w:ind w:left="102" w:right="118"/>
        <w:jc w:val="both"/>
      </w:pPr>
      <w:r>
        <w:rPr/>
        <w:t>una sociedad urbana y semi-industrial. Durante este periodo la manufactura fue la fuerza impulsora del crecimiento; la producción de este sector se expandió a una tasa promedio cercana a 8% anual, impulsada por una demanda interna muy dinámica. En este periodo, la proporción de la manufactura en el PIB alcanzó el 25% (Moreno-Brid, Santamaría, Rivas, 2008).</w:t>
      </w:r>
    </w:p>
    <w:p>
      <w:pPr>
        <w:pStyle w:val="BodyText"/>
        <w:spacing w:before="4"/>
        <w:rPr>
          <w:sz w:val="21"/>
        </w:rPr>
      </w:pPr>
    </w:p>
    <w:p>
      <w:pPr>
        <w:pStyle w:val="BodyText"/>
        <w:spacing w:line="360" w:lineRule="auto" w:before="1"/>
        <w:ind w:left="102" w:right="117"/>
        <w:jc w:val="both"/>
      </w:pPr>
      <w:r>
        <w:rPr/>
        <w:t>En sentido estricto, el término maquila o manufactura de acuerdo con la CEPAL (2007), hace referencia a una actividad productiva en la que el productor no es propietario de la materia prima usada en el proceso, y en ocasiones no es dueño del equipo y maquinaria con que se realiza dicho proceso productivo. Actualmente, de acuerdo con el INEGI es la actividad económica que transforma una gran diversidad de materias primas en diferentes artículos para el consumo.</w:t>
      </w:r>
    </w:p>
    <w:p>
      <w:pPr>
        <w:pStyle w:val="BodyText"/>
        <w:spacing w:before="4"/>
        <w:rPr>
          <w:sz w:val="21"/>
        </w:rPr>
      </w:pPr>
    </w:p>
    <w:p>
      <w:pPr>
        <w:pStyle w:val="BodyText"/>
        <w:spacing w:line="360" w:lineRule="auto" w:before="1"/>
        <w:ind w:left="102" w:right="118"/>
        <w:jc w:val="both"/>
      </w:pPr>
      <w:r>
        <w:rPr/>
        <w:t>El origen de la industria manufacturera en México se remonta a 1965, cuando se promulgó el</w:t>
      </w:r>
      <w:r>
        <w:rPr>
          <w:spacing w:val="-14"/>
        </w:rPr>
        <w:t> </w:t>
      </w:r>
      <w:r>
        <w:rPr/>
        <w:t>Programa</w:t>
      </w:r>
      <w:r>
        <w:rPr>
          <w:spacing w:val="-13"/>
        </w:rPr>
        <w:t> </w:t>
      </w:r>
      <w:r>
        <w:rPr/>
        <w:t>de</w:t>
      </w:r>
      <w:r>
        <w:rPr>
          <w:spacing w:val="-13"/>
        </w:rPr>
        <w:t> </w:t>
      </w:r>
      <w:r>
        <w:rPr/>
        <w:t>Industrialización</w:t>
      </w:r>
      <w:r>
        <w:rPr>
          <w:spacing w:val="-14"/>
        </w:rPr>
        <w:t> </w:t>
      </w:r>
      <w:r>
        <w:rPr/>
        <w:t>Fronteriza</w:t>
      </w:r>
      <w:r>
        <w:rPr>
          <w:spacing w:val="-15"/>
        </w:rPr>
        <w:t> </w:t>
      </w:r>
      <w:r>
        <w:rPr/>
        <w:t>(PIF),</w:t>
      </w:r>
      <w:r>
        <w:rPr>
          <w:spacing w:val="-11"/>
        </w:rPr>
        <w:t> </w:t>
      </w:r>
      <w:r>
        <w:rPr/>
        <w:t>el</w:t>
      </w:r>
      <w:r>
        <w:rPr>
          <w:spacing w:val="-14"/>
        </w:rPr>
        <w:t> </w:t>
      </w:r>
      <w:r>
        <w:rPr/>
        <w:t>cual</w:t>
      </w:r>
      <w:r>
        <w:rPr>
          <w:spacing w:val="-14"/>
        </w:rPr>
        <w:t> </w:t>
      </w:r>
      <w:r>
        <w:rPr/>
        <w:t>buscaba</w:t>
      </w:r>
      <w:r>
        <w:rPr>
          <w:spacing w:val="-13"/>
        </w:rPr>
        <w:t> </w:t>
      </w:r>
      <w:r>
        <w:rPr/>
        <w:t>atraer</w:t>
      </w:r>
      <w:r>
        <w:rPr>
          <w:spacing w:val="-15"/>
        </w:rPr>
        <w:t> </w:t>
      </w:r>
      <w:r>
        <w:rPr/>
        <w:t>inversión</w:t>
      </w:r>
      <w:r>
        <w:rPr>
          <w:spacing w:val="-14"/>
        </w:rPr>
        <w:t> </w:t>
      </w:r>
      <w:r>
        <w:rPr/>
        <w:t>extranjera, principalmente</w:t>
      </w:r>
      <w:r>
        <w:rPr>
          <w:spacing w:val="-12"/>
        </w:rPr>
        <w:t> </w:t>
      </w:r>
      <w:r>
        <w:rPr/>
        <w:t>de</w:t>
      </w:r>
      <w:r>
        <w:rPr>
          <w:spacing w:val="-12"/>
        </w:rPr>
        <w:t> </w:t>
      </w:r>
      <w:r>
        <w:rPr/>
        <w:t>Estados</w:t>
      </w:r>
      <w:r>
        <w:rPr>
          <w:spacing w:val="-11"/>
        </w:rPr>
        <w:t> </w:t>
      </w:r>
      <w:r>
        <w:rPr/>
        <w:t>Unidos,</w:t>
      </w:r>
      <w:r>
        <w:rPr>
          <w:spacing w:val="-11"/>
        </w:rPr>
        <w:t> </w:t>
      </w:r>
      <w:r>
        <w:rPr/>
        <w:t>para</w:t>
      </w:r>
      <w:r>
        <w:rPr>
          <w:spacing w:val="-13"/>
        </w:rPr>
        <w:t> </w:t>
      </w:r>
      <w:r>
        <w:rPr/>
        <w:t>operaciones</w:t>
      </w:r>
      <w:r>
        <w:rPr>
          <w:spacing w:val="-11"/>
        </w:rPr>
        <w:t> </w:t>
      </w:r>
      <w:r>
        <w:rPr/>
        <w:t>de</w:t>
      </w:r>
      <w:r>
        <w:rPr>
          <w:spacing w:val="-12"/>
        </w:rPr>
        <w:t> </w:t>
      </w:r>
      <w:r>
        <w:rPr/>
        <w:t>ensamble</w:t>
      </w:r>
      <w:r>
        <w:rPr>
          <w:spacing w:val="-12"/>
        </w:rPr>
        <w:t> </w:t>
      </w:r>
      <w:r>
        <w:rPr/>
        <w:t>en</w:t>
      </w:r>
      <w:r>
        <w:rPr>
          <w:spacing w:val="-9"/>
        </w:rPr>
        <w:t> </w:t>
      </w:r>
      <w:r>
        <w:rPr/>
        <w:t>la</w:t>
      </w:r>
      <w:r>
        <w:rPr>
          <w:spacing w:val="-12"/>
        </w:rPr>
        <w:t> </w:t>
      </w:r>
      <w:r>
        <w:rPr/>
        <w:t>frontera</w:t>
      </w:r>
      <w:r>
        <w:rPr>
          <w:spacing w:val="-13"/>
        </w:rPr>
        <w:t> </w:t>
      </w:r>
      <w:r>
        <w:rPr/>
        <w:t>norte</w:t>
      </w:r>
      <w:r>
        <w:rPr>
          <w:spacing w:val="-12"/>
        </w:rPr>
        <w:t> </w:t>
      </w:r>
      <w:r>
        <w:rPr/>
        <w:t>del</w:t>
      </w:r>
      <w:r>
        <w:rPr>
          <w:spacing w:val="-11"/>
        </w:rPr>
        <w:t> </w:t>
      </w:r>
      <w:r>
        <w:rPr/>
        <w:t>país y</w:t>
      </w:r>
      <w:r>
        <w:rPr>
          <w:spacing w:val="-9"/>
        </w:rPr>
        <w:t> </w:t>
      </w:r>
      <w:r>
        <w:rPr/>
        <w:t>su</w:t>
      </w:r>
      <w:r>
        <w:rPr>
          <w:spacing w:val="-6"/>
        </w:rPr>
        <w:t> </w:t>
      </w:r>
      <w:r>
        <w:rPr/>
        <w:t>posterior</w:t>
      </w:r>
      <w:r>
        <w:rPr>
          <w:spacing w:val="-5"/>
        </w:rPr>
        <w:t> </w:t>
      </w:r>
      <w:r>
        <w:rPr/>
        <w:t>exportación.</w:t>
      </w:r>
      <w:r>
        <w:rPr>
          <w:spacing w:val="-4"/>
        </w:rPr>
        <w:t> </w:t>
      </w:r>
      <w:r>
        <w:rPr/>
        <w:t>Los</w:t>
      </w:r>
      <w:r>
        <w:rPr>
          <w:spacing w:val="-6"/>
        </w:rPr>
        <w:t> </w:t>
      </w:r>
      <w:r>
        <w:rPr/>
        <w:t>objetivos</w:t>
      </w:r>
      <w:r>
        <w:rPr>
          <w:spacing w:val="-6"/>
        </w:rPr>
        <w:t> </w:t>
      </w:r>
      <w:r>
        <w:rPr/>
        <w:t>principales</w:t>
      </w:r>
      <w:r>
        <w:rPr>
          <w:spacing w:val="-6"/>
        </w:rPr>
        <w:t> </w:t>
      </w:r>
      <w:r>
        <w:rPr/>
        <w:t>de</w:t>
      </w:r>
      <w:r>
        <w:rPr>
          <w:spacing w:val="-7"/>
        </w:rPr>
        <w:t> </w:t>
      </w:r>
      <w:r>
        <w:rPr/>
        <w:t>este</w:t>
      </w:r>
      <w:r>
        <w:rPr>
          <w:spacing w:val="-6"/>
        </w:rPr>
        <w:t> </w:t>
      </w:r>
      <w:r>
        <w:rPr/>
        <w:t>programa,</w:t>
      </w:r>
      <w:r>
        <w:rPr>
          <w:spacing w:val="-5"/>
        </w:rPr>
        <w:t> </w:t>
      </w:r>
      <w:r>
        <w:rPr/>
        <w:t>por</w:t>
      </w:r>
      <w:r>
        <w:rPr>
          <w:spacing w:val="-5"/>
        </w:rPr>
        <w:t> </w:t>
      </w:r>
      <w:r>
        <w:rPr/>
        <w:t>medio</w:t>
      </w:r>
      <w:r>
        <w:rPr>
          <w:spacing w:val="-6"/>
        </w:rPr>
        <w:t> </w:t>
      </w:r>
      <w:r>
        <w:rPr/>
        <w:t>del</w:t>
      </w:r>
      <w:r>
        <w:rPr>
          <w:spacing w:val="-6"/>
        </w:rPr>
        <w:t> </w:t>
      </w:r>
      <w:r>
        <w:rPr/>
        <w:t>cual</w:t>
      </w:r>
      <w:r>
        <w:rPr>
          <w:spacing w:val="-6"/>
        </w:rPr>
        <w:t> </w:t>
      </w:r>
      <w:r>
        <w:rPr/>
        <w:t>se creó la industria maquiladora de exportación, eran generar empleos, fomentar la industrialización y reducir el déficit comercial (CEPAL,</w:t>
      </w:r>
      <w:r>
        <w:rPr>
          <w:spacing w:val="-13"/>
        </w:rPr>
        <w:t> </w:t>
      </w:r>
      <w:r>
        <w:rPr/>
        <w:t>2007).</w:t>
      </w:r>
    </w:p>
    <w:p>
      <w:pPr>
        <w:pStyle w:val="BodyText"/>
        <w:spacing w:before="4"/>
        <w:rPr>
          <w:sz w:val="21"/>
        </w:rPr>
      </w:pPr>
    </w:p>
    <w:p>
      <w:pPr>
        <w:pStyle w:val="BodyText"/>
        <w:spacing w:line="360" w:lineRule="auto" w:before="1"/>
        <w:ind w:left="102" w:right="117"/>
        <w:jc w:val="both"/>
      </w:pPr>
      <w:r>
        <w:rPr/>
        <w:t>En la segunda mitad de los años setenta, hubo dificultades serias para sustituir las importaciones de bienes de capital de alta tecnología y el gasto público se convirtió en el motor del crecimiento (Moreno-Brid, Santamaría, Rivas, 2008). Loría (2009) señala que la economía mexicana cambió su composición productiva hacia los sectores de servicios y de construcción en detrimento de la manufactura, con lo cual se salió de una trayectoria promisoria de acumulación y crecimiento, a pesar de que el gobierno mexicano replanteó la estrategia</w:t>
      </w:r>
      <w:r>
        <w:rPr>
          <w:spacing w:val="-5"/>
        </w:rPr>
        <w:t> </w:t>
      </w:r>
      <w:r>
        <w:rPr/>
        <w:t>económica</w:t>
      </w:r>
      <w:r>
        <w:rPr>
          <w:spacing w:val="-2"/>
        </w:rPr>
        <w:t> </w:t>
      </w:r>
      <w:r>
        <w:rPr/>
        <w:t>a</w:t>
      </w:r>
      <w:r>
        <w:rPr>
          <w:spacing w:val="-5"/>
        </w:rPr>
        <w:t> </w:t>
      </w:r>
      <w:r>
        <w:rPr/>
        <w:t>partir</w:t>
      </w:r>
      <w:r>
        <w:rPr>
          <w:spacing w:val="-4"/>
        </w:rPr>
        <w:t> </w:t>
      </w:r>
      <w:r>
        <w:rPr/>
        <w:t>de</w:t>
      </w:r>
      <w:r>
        <w:rPr>
          <w:spacing w:val="-5"/>
        </w:rPr>
        <w:t> </w:t>
      </w:r>
      <w:r>
        <w:rPr/>
        <w:t>1983,</w:t>
      </w:r>
      <w:r>
        <w:rPr>
          <w:spacing w:val="-4"/>
        </w:rPr>
        <w:t> </w:t>
      </w:r>
      <w:r>
        <w:rPr/>
        <w:t>la</w:t>
      </w:r>
      <w:r>
        <w:rPr>
          <w:spacing w:val="-4"/>
        </w:rPr>
        <w:t> </w:t>
      </w:r>
      <w:r>
        <w:rPr/>
        <w:t>economía</w:t>
      </w:r>
      <w:r>
        <w:rPr>
          <w:spacing w:val="-5"/>
        </w:rPr>
        <w:t> </w:t>
      </w:r>
      <w:r>
        <w:rPr/>
        <w:t>mexicana</w:t>
      </w:r>
      <w:r>
        <w:rPr>
          <w:spacing w:val="-2"/>
        </w:rPr>
        <w:t> </w:t>
      </w:r>
      <w:r>
        <w:rPr/>
        <w:t>comenzó</w:t>
      </w:r>
      <w:r>
        <w:rPr>
          <w:spacing w:val="-4"/>
        </w:rPr>
        <w:t> </w:t>
      </w:r>
      <w:r>
        <w:rPr/>
        <w:t>a</w:t>
      </w:r>
      <w:r>
        <w:rPr>
          <w:spacing w:val="-5"/>
        </w:rPr>
        <w:t> </w:t>
      </w:r>
      <w:r>
        <w:rPr/>
        <w:t>perder</w:t>
      </w:r>
      <w:r>
        <w:rPr>
          <w:spacing w:val="-5"/>
        </w:rPr>
        <w:t> </w:t>
      </w:r>
      <w:r>
        <w:rPr/>
        <w:t>rápidamente eficiencia del capital y de la inversión, por lo que entró en una fase de lento crecimiento</w:t>
      </w:r>
      <w:r>
        <w:rPr>
          <w:spacing w:val="-22"/>
        </w:rPr>
        <w:t> </w:t>
      </w:r>
      <w:r>
        <w:rPr/>
        <w:t>que se explica por la caída secular de la productividad multifactorial que se asocia a una fuerte tercerización</w:t>
      </w:r>
      <w:r>
        <w:rPr>
          <w:spacing w:val="-7"/>
        </w:rPr>
        <w:t> </w:t>
      </w:r>
      <w:r>
        <w:rPr/>
        <w:t>improductiva.</w:t>
      </w:r>
    </w:p>
    <w:p>
      <w:pPr>
        <w:pStyle w:val="BodyText"/>
        <w:spacing w:before="5"/>
        <w:rPr>
          <w:sz w:val="21"/>
        </w:rPr>
      </w:pPr>
    </w:p>
    <w:p>
      <w:pPr>
        <w:pStyle w:val="BodyText"/>
        <w:spacing w:line="360" w:lineRule="auto"/>
        <w:ind w:left="102" w:right="116"/>
        <w:jc w:val="both"/>
      </w:pPr>
      <w:r>
        <w:rPr/>
        <w:t>A partir de la década de los ochenta se inicia con una transición hacia lo que se ha definido como la modernización del aparato productivo, esto es, la transformación    de una industria</w:t>
      </w:r>
    </w:p>
    <w:p>
      <w:pPr>
        <w:pStyle w:val="BodyText"/>
        <w:spacing w:before="5"/>
        <w:rPr>
          <w:sz w:val="11"/>
        </w:rPr>
      </w:pPr>
    </w:p>
    <w:p>
      <w:pPr>
        <w:pStyle w:val="BodyText"/>
        <w:spacing w:before="69"/>
        <w:ind w:right="117"/>
        <w:jc w:val="right"/>
      </w:pPr>
      <w:r>
        <w:rPr/>
        <w:t>54</w:t>
      </w:r>
    </w:p>
    <w:p>
      <w:pPr>
        <w:spacing w:after="0"/>
        <w:jc w:val="right"/>
        <w:sectPr>
          <w:footerReference w:type="default" r:id="rId32"/>
          <w:pgSz w:w="12240" w:h="15840"/>
          <w:pgMar w:footer="0" w:header="0" w:top="1360" w:bottom="280" w:left="1600" w:right="1580"/>
        </w:sectPr>
      </w:pPr>
    </w:p>
    <w:p>
      <w:pPr>
        <w:pStyle w:val="BodyText"/>
        <w:spacing w:line="360" w:lineRule="auto" w:before="50"/>
        <w:ind w:left="102" w:right="119"/>
        <w:jc w:val="both"/>
      </w:pPr>
      <w:r>
        <w:rPr/>
        <w:t>protegida hacia otra con capacidad para competir en el mercado mundial. Este proceso de modernización es llevado a cabo fundamentalmente a través de procesos</w:t>
      </w:r>
      <w:r>
        <w:rPr>
          <w:spacing w:val="-40"/>
        </w:rPr>
        <w:t> </w:t>
      </w:r>
      <w:r>
        <w:rPr/>
        <w:t>de reestructuración micro al interior de las empresas </w:t>
      </w:r>
      <w:r>
        <w:rPr>
          <w:spacing w:val="-3"/>
        </w:rPr>
        <w:t>y, </w:t>
      </w:r>
      <w:r>
        <w:rPr/>
        <w:t>más recientemente, a través de las relaciones entre ellas (Carrillo y Ramírez,</w:t>
      </w:r>
      <w:r>
        <w:rPr>
          <w:spacing w:val="-7"/>
        </w:rPr>
        <w:t> </w:t>
      </w:r>
      <w:r>
        <w:rPr/>
        <w:t>1997).</w:t>
      </w:r>
    </w:p>
    <w:p>
      <w:pPr>
        <w:pStyle w:val="BodyText"/>
        <w:spacing w:before="2"/>
        <w:rPr>
          <w:sz w:val="21"/>
        </w:rPr>
      </w:pPr>
    </w:p>
    <w:p>
      <w:pPr>
        <w:pStyle w:val="BodyText"/>
        <w:spacing w:line="360" w:lineRule="auto"/>
        <w:ind w:left="102" w:right="117"/>
        <w:jc w:val="both"/>
      </w:pPr>
      <w:r>
        <w:rPr/>
        <w:t>En este sentido, se presentan cambios relevantes en la estructura productiva de la industria manufacturera,</w:t>
      </w:r>
      <w:r>
        <w:rPr>
          <w:spacing w:val="-14"/>
        </w:rPr>
        <w:t> </w:t>
      </w:r>
      <w:r>
        <w:rPr/>
        <w:t>debido</w:t>
      </w:r>
      <w:r>
        <w:rPr>
          <w:spacing w:val="-14"/>
        </w:rPr>
        <w:t> </w:t>
      </w:r>
      <w:r>
        <w:rPr/>
        <w:t>al</w:t>
      </w:r>
      <w:r>
        <w:rPr>
          <w:spacing w:val="-14"/>
        </w:rPr>
        <w:t> </w:t>
      </w:r>
      <w:r>
        <w:rPr/>
        <w:t>inicio</w:t>
      </w:r>
      <w:r>
        <w:rPr>
          <w:spacing w:val="-14"/>
        </w:rPr>
        <w:t> </w:t>
      </w:r>
      <w:r>
        <w:rPr/>
        <w:t>del</w:t>
      </w:r>
      <w:r>
        <w:rPr>
          <w:spacing w:val="-14"/>
        </w:rPr>
        <w:t> </w:t>
      </w:r>
      <w:r>
        <w:rPr/>
        <w:t>proceso</w:t>
      </w:r>
      <w:r>
        <w:rPr>
          <w:spacing w:val="-14"/>
        </w:rPr>
        <w:t> </w:t>
      </w:r>
      <w:r>
        <w:rPr/>
        <w:t>de</w:t>
      </w:r>
      <w:r>
        <w:rPr>
          <w:spacing w:val="-15"/>
        </w:rPr>
        <w:t> </w:t>
      </w:r>
      <w:r>
        <w:rPr/>
        <w:t>apertura</w:t>
      </w:r>
      <w:r>
        <w:rPr>
          <w:spacing w:val="-16"/>
        </w:rPr>
        <w:t> </w:t>
      </w:r>
      <w:r>
        <w:rPr/>
        <w:t>económica,</w:t>
      </w:r>
      <w:r>
        <w:rPr>
          <w:spacing w:val="-12"/>
        </w:rPr>
        <w:t> </w:t>
      </w:r>
      <w:r>
        <w:rPr/>
        <w:t>destacándose</w:t>
      </w:r>
      <w:r>
        <w:rPr>
          <w:spacing w:val="-15"/>
        </w:rPr>
        <w:t> </w:t>
      </w:r>
      <w:r>
        <w:rPr/>
        <w:t>los</w:t>
      </w:r>
      <w:r>
        <w:rPr>
          <w:spacing w:val="-14"/>
        </w:rPr>
        <w:t> </w:t>
      </w:r>
      <w:r>
        <w:rPr/>
        <w:t>cambios sustanciales en la estructura comercial, productiva, de inversión y empleo en ese sector. Es importante mencionar que en la década de los ochenta se creó el Programa de Importación Temporal</w:t>
      </w:r>
      <w:r>
        <w:rPr>
          <w:spacing w:val="-12"/>
        </w:rPr>
        <w:t> </w:t>
      </w:r>
      <w:r>
        <w:rPr/>
        <w:t>para</w:t>
      </w:r>
      <w:r>
        <w:rPr>
          <w:spacing w:val="-12"/>
        </w:rPr>
        <w:t> </w:t>
      </w:r>
      <w:r>
        <w:rPr/>
        <w:t>Producir</w:t>
      </w:r>
      <w:r>
        <w:rPr>
          <w:spacing w:val="-10"/>
        </w:rPr>
        <w:t> </w:t>
      </w:r>
      <w:r>
        <w:rPr/>
        <w:t>Artículos</w:t>
      </w:r>
      <w:r>
        <w:rPr>
          <w:spacing w:val="-11"/>
        </w:rPr>
        <w:t> </w:t>
      </w:r>
      <w:r>
        <w:rPr/>
        <w:t>de</w:t>
      </w:r>
      <w:r>
        <w:rPr>
          <w:spacing w:val="-13"/>
        </w:rPr>
        <w:t> </w:t>
      </w:r>
      <w:r>
        <w:rPr/>
        <w:t>Exportación</w:t>
      </w:r>
      <w:r>
        <w:rPr>
          <w:spacing w:val="45"/>
        </w:rPr>
        <w:t> </w:t>
      </w:r>
      <w:r>
        <w:rPr/>
        <w:t>(PITEX)</w:t>
      </w:r>
      <w:r>
        <w:rPr>
          <w:spacing w:val="-6"/>
        </w:rPr>
        <w:t> </w:t>
      </w:r>
      <w:r>
        <w:rPr/>
        <w:t>y</w:t>
      </w:r>
      <w:r>
        <w:rPr>
          <w:spacing w:val="-17"/>
        </w:rPr>
        <w:t> </w:t>
      </w:r>
      <w:r>
        <w:rPr/>
        <w:t>poco</w:t>
      </w:r>
      <w:r>
        <w:rPr>
          <w:spacing w:val="-12"/>
        </w:rPr>
        <w:t> </w:t>
      </w:r>
      <w:r>
        <w:rPr/>
        <w:t>después</w:t>
      </w:r>
      <w:r>
        <w:rPr>
          <w:spacing w:val="-9"/>
        </w:rPr>
        <w:t> </w:t>
      </w:r>
      <w:r>
        <w:rPr/>
        <w:t>el</w:t>
      </w:r>
      <w:r>
        <w:rPr>
          <w:spacing w:val="-10"/>
        </w:rPr>
        <w:t> </w:t>
      </w:r>
      <w:r>
        <w:rPr/>
        <w:t>Programa</w:t>
      </w:r>
      <w:r>
        <w:rPr>
          <w:spacing w:val="-10"/>
        </w:rPr>
        <w:t> </w:t>
      </w:r>
      <w:r>
        <w:rPr/>
        <w:t>para empresas Altamente Exportadoras (ALTEX), los cuales otorgaban incentivos fiscales, buscando promover la exportación de artículos manufacturados (CEPAL,</w:t>
      </w:r>
      <w:r>
        <w:rPr>
          <w:spacing w:val="-8"/>
        </w:rPr>
        <w:t> </w:t>
      </w:r>
      <w:r>
        <w:rPr/>
        <w:t>2007).</w:t>
      </w:r>
    </w:p>
    <w:p>
      <w:pPr>
        <w:pStyle w:val="BodyText"/>
        <w:spacing w:before="4"/>
        <w:rPr>
          <w:sz w:val="21"/>
        </w:rPr>
      </w:pPr>
    </w:p>
    <w:p>
      <w:pPr>
        <w:pStyle w:val="BodyText"/>
        <w:spacing w:line="360" w:lineRule="auto" w:before="1"/>
        <w:ind w:left="102" w:right="115"/>
        <w:jc w:val="both"/>
      </w:pPr>
      <w:r>
        <w:rPr/>
        <w:t>De acuerdo con Verduzco (2005), la apertura económica comenzó en 1984 con la terminación parcial de los permisos de importación que prevalecían desde 1956. Posteriormente, se debe considerar a la industria manufacturera como móvil de los</w:t>
      </w:r>
      <w:r>
        <w:rPr>
          <w:spacing w:val="-20"/>
        </w:rPr>
        <w:t> </w:t>
      </w:r>
      <w:r>
        <w:rPr/>
        <w:t>acuerdos comerciales que dieron inicio con el ingreso de México al Acuerdo General sobre</w:t>
      </w:r>
      <w:r>
        <w:rPr>
          <w:spacing w:val="-32"/>
        </w:rPr>
        <w:t> </w:t>
      </w:r>
      <w:r>
        <w:rPr/>
        <w:t>Aranceles Aduaneros y Comercio (GATT) en 1986, donde se eliminaron los permisos previos, se redujeron las tarifas arancelarias, dando lugar a la instrumentación de una política de promoción</w:t>
      </w:r>
      <w:r>
        <w:rPr>
          <w:spacing w:val="-13"/>
        </w:rPr>
        <w:t> </w:t>
      </w:r>
      <w:r>
        <w:rPr/>
        <w:t>de</w:t>
      </w:r>
      <w:r>
        <w:rPr>
          <w:spacing w:val="-14"/>
        </w:rPr>
        <w:t> </w:t>
      </w:r>
      <w:r>
        <w:rPr/>
        <w:t>las</w:t>
      </w:r>
      <w:r>
        <w:rPr>
          <w:spacing w:val="-14"/>
        </w:rPr>
        <w:t> </w:t>
      </w:r>
      <w:r>
        <w:rPr/>
        <w:t>exportaciones</w:t>
      </w:r>
      <w:r>
        <w:rPr>
          <w:spacing w:val="-14"/>
        </w:rPr>
        <w:t> </w:t>
      </w:r>
      <w:r>
        <w:rPr/>
        <w:t>que</w:t>
      </w:r>
      <w:r>
        <w:rPr>
          <w:spacing w:val="-14"/>
        </w:rPr>
        <w:t> </w:t>
      </w:r>
      <w:r>
        <w:rPr/>
        <w:t>cobra</w:t>
      </w:r>
      <w:r>
        <w:rPr>
          <w:spacing w:val="-14"/>
        </w:rPr>
        <w:t> </w:t>
      </w:r>
      <w:r>
        <w:rPr/>
        <w:t>mayor</w:t>
      </w:r>
      <w:r>
        <w:rPr>
          <w:spacing w:val="-14"/>
        </w:rPr>
        <w:t> </w:t>
      </w:r>
      <w:r>
        <w:rPr/>
        <w:t>auge</w:t>
      </w:r>
      <w:r>
        <w:rPr>
          <w:spacing w:val="-14"/>
        </w:rPr>
        <w:t> </w:t>
      </w:r>
      <w:r>
        <w:rPr/>
        <w:t>a</w:t>
      </w:r>
      <w:r>
        <w:rPr>
          <w:spacing w:val="-14"/>
        </w:rPr>
        <w:t> </w:t>
      </w:r>
      <w:r>
        <w:rPr/>
        <w:t>partir</w:t>
      </w:r>
      <w:r>
        <w:rPr>
          <w:spacing w:val="-14"/>
        </w:rPr>
        <w:t> </w:t>
      </w:r>
      <w:r>
        <w:rPr/>
        <w:t>del</w:t>
      </w:r>
      <w:r>
        <w:rPr>
          <w:spacing w:val="-13"/>
        </w:rPr>
        <w:t> </w:t>
      </w:r>
      <w:r>
        <w:rPr/>
        <w:t>Tratado</w:t>
      </w:r>
      <w:r>
        <w:rPr>
          <w:spacing w:val="-14"/>
        </w:rPr>
        <w:t> </w:t>
      </w:r>
      <w:r>
        <w:rPr/>
        <w:t>de</w:t>
      </w:r>
      <w:r>
        <w:rPr>
          <w:spacing w:val="-12"/>
        </w:rPr>
        <w:t> </w:t>
      </w:r>
      <w:r>
        <w:rPr/>
        <w:t>Libre</w:t>
      </w:r>
      <w:r>
        <w:rPr>
          <w:spacing w:val="-11"/>
        </w:rPr>
        <w:t> </w:t>
      </w:r>
      <w:r>
        <w:rPr/>
        <w:t>Comercio de América del Norte (TLCAN) (CEFP,</w:t>
      </w:r>
      <w:r>
        <w:rPr>
          <w:spacing w:val="-6"/>
        </w:rPr>
        <w:t> </w:t>
      </w:r>
      <w:r>
        <w:rPr/>
        <w:t>2005).</w:t>
      </w:r>
    </w:p>
    <w:p>
      <w:pPr>
        <w:pStyle w:val="BodyText"/>
        <w:spacing w:before="4"/>
        <w:rPr>
          <w:sz w:val="21"/>
        </w:rPr>
      </w:pPr>
    </w:p>
    <w:p>
      <w:pPr>
        <w:pStyle w:val="BodyText"/>
        <w:spacing w:line="360" w:lineRule="auto" w:before="1"/>
        <w:ind w:left="102" w:right="117"/>
        <w:jc w:val="both"/>
      </w:pPr>
      <w:r>
        <w:rPr/>
        <w:t>En el caso particular del Tratado de Libre Comercio con América del Norte (TLCAN) el tema de la industria maquiladora se discutió con la intención de dar mayor impulso a esta industria</w:t>
      </w:r>
      <w:r>
        <w:rPr>
          <w:spacing w:val="-10"/>
        </w:rPr>
        <w:t> </w:t>
      </w:r>
      <w:r>
        <w:rPr/>
        <w:t>manufacturera,</w:t>
      </w:r>
      <w:r>
        <w:rPr>
          <w:spacing w:val="-7"/>
        </w:rPr>
        <w:t> </w:t>
      </w:r>
      <w:r>
        <w:rPr/>
        <w:t>de</w:t>
      </w:r>
      <w:r>
        <w:rPr>
          <w:spacing w:val="-11"/>
        </w:rPr>
        <w:t> </w:t>
      </w:r>
      <w:r>
        <w:rPr/>
        <w:t>tal</w:t>
      </w:r>
      <w:r>
        <w:rPr>
          <w:spacing w:val="-10"/>
        </w:rPr>
        <w:t> </w:t>
      </w:r>
      <w:r>
        <w:rPr/>
        <w:t>manera</w:t>
      </w:r>
      <w:r>
        <w:rPr>
          <w:spacing w:val="-11"/>
        </w:rPr>
        <w:t> </w:t>
      </w:r>
      <w:r>
        <w:rPr/>
        <w:t>que</w:t>
      </w:r>
      <w:r>
        <w:rPr>
          <w:spacing w:val="-11"/>
        </w:rPr>
        <w:t> </w:t>
      </w:r>
      <w:r>
        <w:rPr/>
        <w:t>los</w:t>
      </w:r>
      <w:r>
        <w:rPr>
          <w:spacing w:val="-8"/>
        </w:rPr>
        <w:t> </w:t>
      </w:r>
      <w:r>
        <w:rPr/>
        <w:t>resultados</w:t>
      </w:r>
      <w:r>
        <w:rPr>
          <w:spacing w:val="-9"/>
        </w:rPr>
        <w:t> </w:t>
      </w:r>
      <w:r>
        <w:rPr/>
        <w:t>fueran</w:t>
      </w:r>
      <w:r>
        <w:rPr>
          <w:spacing w:val="-9"/>
        </w:rPr>
        <w:t> </w:t>
      </w:r>
      <w:r>
        <w:rPr/>
        <w:t>positivos</w:t>
      </w:r>
      <w:r>
        <w:rPr>
          <w:spacing w:val="-9"/>
        </w:rPr>
        <w:t> </w:t>
      </w:r>
      <w:r>
        <w:rPr/>
        <w:t>para</w:t>
      </w:r>
      <w:r>
        <w:rPr>
          <w:spacing w:val="-11"/>
        </w:rPr>
        <w:t> </w:t>
      </w:r>
      <w:r>
        <w:rPr/>
        <w:t>los</w:t>
      </w:r>
      <w:r>
        <w:rPr>
          <w:spacing w:val="-9"/>
        </w:rPr>
        <w:t> </w:t>
      </w:r>
      <w:r>
        <w:rPr/>
        <w:t>tres</w:t>
      </w:r>
      <w:r>
        <w:rPr>
          <w:spacing w:val="-9"/>
        </w:rPr>
        <w:t> </w:t>
      </w:r>
      <w:r>
        <w:rPr/>
        <w:t>países miembros, así dentro de este acuerdo las manufacturas serian consideradas como motor de desarrollo (Villalpando, 2004). En sus primeros años, el TLCAN impulsó fuertemente las exportaciones no-maquiladoras, al mismo tiempo que fortalecía la expansión de las exportaciones maquiladoras. Asimismo, ahondó la integración de la manufactura del país a la economía de Estados Unidos (Kato,</w:t>
      </w:r>
      <w:r>
        <w:rPr>
          <w:spacing w:val="-8"/>
        </w:rPr>
        <w:t> </w:t>
      </w:r>
      <w:r>
        <w:rPr/>
        <w:t>2008).</w:t>
      </w:r>
    </w:p>
    <w:p>
      <w:pPr>
        <w:pStyle w:val="BodyText"/>
        <w:spacing w:before="5"/>
        <w:rPr>
          <w:sz w:val="21"/>
        </w:rPr>
      </w:pPr>
    </w:p>
    <w:p>
      <w:pPr>
        <w:pStyle w:val="BodyText"/>
        <w:spacing w:line="360" w:lineRule="auto"/>
        <w:ind w:left="102" w:right="118"/>
        <w:jc w:val="both"/>
      </w:pPr>
      <w:r>
        <w:rPr/>
        <w:t>El proceso de liberalización comercial permitió la inserción de México en los mercados globales,  aumentando  su  importancia  en  la  exportación  de  manufacturas  no</w:t>
      </w:r>
      <w:r>
        <w:rPr>
          <w:spacing w:val="51"/>
        </w:rPr>
        <w:t> </w:t>
      </w:r>
      <w:r>
        <w:rPr/>
        <w:t>petroleras</w:t>
      </w:r>
    </w:p>
    <w:p>
      <w:pPr>
        <w:spacing w:after="0" w:line="360" w:lineRule="auto"/>
        <w:jc w:val="both"/>
        <w:sectPr>
          <w:footerReference w:type="default" r:id="rId33"/>
          <w:pgSz w:w="12240" w:h="15840"/>
          <w:pgMar w:footer="1035" w:header="0" w:top="1360" w:bottom="1220" w:left="1600" w:right="1580"/>
          <w:pgNumType w:start="55"/>
        </w:sectPr>
      </w:pPr>
    </w:p>
    <w:p>
      <w:pPr>
        <w:pStyle w:val="BodyText"/>
        <w:spacing w:line="360" w:lineRule="auto" w:before="50"/>
        <w:ind w:left="102" w:right="119"/>
        <w:jc w:val="both"/>
      </w:pPr>
      <w:r>
        <w:rPr/>
        <w:t>(Moreno-Brid </w:t>
      </w:r>
      <w:r>
        <w:rPr>
          <w:i/>
        </w:rPr>
        <w:t>et al</w:t>
      </w:r>
      <w:r>
        <w:rPr/>
        <w:t>., 2006). Con ello, se dio un cambio estructural importante, pues las exportaciones petroleras dejaron de ser el grupo de exportaciones más significativas en el total de las ventas externas, así su papel como principal generador de divisas fue sustituido por las exportaciones manufactureras.</w:t>
      </w:r>
    </w:p>
    <w:p>
      <w:pPr>
        <w:pStyle w:val="BodyText"/>
        <w:spacing w:before="2"/>
        <w:rPr>
          <w:sz w:val="21"/>
        </w:rPr>
      </w:pPr>
    </w:p>
    <w:p>
      <w:pPr>
        <w:pStyle w:val="BodyText"/>
        <w:spacing w:line="360" w:lineRule="auto"/>
        <w:ind w:left="102" w:right="116"/>
        <w:jc w:val="both"/>
      </w:pPr>
      <w:r>
        <w:rPr/>
        <w:t>Además, la industria manufacturera ha atraído un flujo considerable de inversiones, como porcentaje de la inversión total nacional la inversión manufacturera representó más del 40% en</w:t>
      </w:r>
      <w:r>
        <w:rPr>
          <w:spacing w:val="-5"/>
        </w:rPr>
        <w:t> </w:t>
      </w:r>
      <w:r>
        <w:rPr/>
        <w:t>los</w:t>
      </w:r>
      <w:r>
        <w:rPr>
          <w:spacing w:val="-5"/>
        </w:rPr>
        <w:t> </w:t>
      </w:r>
      <w:r>
        <w:rPr/>
        <w:t>dos</w:t>
      </w:r>
      <w:r>
        <w:rPr>
          <w:spacing w:val="-5"/>
        </w:rPr>
        <w:t> </w:t>
      </w:r>
      <w:r>
        <w:rPr/>
        <w:t>primeros</w:t>
      </w:r>
      <w:r>
        <w:rPr>
          <w:spacing w:val="-3"/>
        </w:rPr>
        <w:t> </w:t>
      </w:r>
      <w:r>
        <w:rPr/>
        <w:t>años</w:t>
      </w:r>
      <w:r>
        <w:rPr>
          <w:spacing w:val="-3"/>
        </w:rPr>
        <w:t> </w:t>
      </w:r>
      <w:r>
        <w:rPr/>
        <w:t>de</w:t>
      </w:r>
      <w:r>
        <w:rPr>
          <w:spacing w:val="-6"/>
        </w:rPr>
        <w:t> </w:t>
      </w:r>
      <w:r>
        <w:rPr/>
        <w:t>los</w:t>
      </w:r>
      <w:r>
        <w:rPr>
          <w:spacing w:val="-5"/>
        </w:rPr>
        <w:t> </w:t>
      </w:r>
      <w:r>
        <w:rPr/>
        <w:t>ochenta y</w:t>
      </w:r>
      <w:r>
        <w:rPr>
          <w:spacing w:val="-8"/>
        </w:rPr>
        <w:t> </w:t>
      </w:r>
      <w:r>
        <w:rPr/>
        <w:t>promedió</w:t>
      </w:r>
      <w:r>
        <w:rPr>
          <w:spacing w:val="-5"/>
        </w:rPr>
        <w:t> </w:t>
      </w:r>
      <w:r>
        <w:rPr/>
        <w:t>36.0%</w:t>
      </w:r>
      <w:r>
        <w:rPr>
          <w:spacing w:val="-4"/>
        </w:rPr>
        <w:t> </w:t>
      </w:r>
      <w:r>
        <w:rPr/>
        <w:t>entre</w:t>
      </w:r>
      <w:r>
        <w:rPr>
          <w:spacing w:val="-6"/>
        </w:rPr>
        <w:t> </w:t>
      </w:r>
      <w:r>
        <w:rPr/>
        <w:t>1982</w:t>
      </w:r>
      <w:r>
        <w:rPr>
          <w:spacing w:val="1"/>
        </w:rPr>
        <w:t> </w:t>
      </w:r>
      <w:r>
        <w:rPr/>
        <w:t>y</w:t>
      </w:r>
      <w:r>
        <w:rPr>
          <w:spacing w:val="-10"/>
        </w:rPr>
        <w:t> </w:t>
      </w:r>
      <w:r>
        <w:rPr/>
        <w:t>1988</w:t>
      </w:r>
      <w:r>
        <w:rPr>
          <w:spacing w:val="-3"/>
        </w:rPr>
        <w:t> </w:t>
      </w:r>
      <w:r>
        <w:rPr/>
        <w:t>(CEFP,</w:t>
      </w:r>
      <w:r>
        <w:rPr>
          <w:spacing w:val="-5"/>
        </w:rPr>
        <w:t> </w:t>
      </w:r>
      <w:r>
        <w:rPr/>
        <w:t>2005). De acuerdo con cifras de la Secretaría de Economía, 2014, al segundo trimestre de 2014 la industria manufacturera atrajo el 71.8 %, de la inversión extrajera directa de</w:t>
      </w:r>
      <w:r>
        <w:rPr>
          <w:spacing w:val="-13"/>
        </w:rPr>
        <w:t> </w:t>
      </w:r>
      <w:r>
        <w:rPr/>
        <w:t>México.</w:t>
      </w:r>
    </w:p>
    <w:p>
      <w:pPr>
        <w:pStyle w:val="BodyText"/>
        <w:spacing w:before="4"/>
        <w:rPr>
          <w:sz w:val="21"/>
        </w:rPr>
      </w:pPr>
    </w:p>
    <w:p>
      <w:pPr>
        <w:pStyle w:val="BodyText"/>
        <w:spacing w:line="360" w:lineRule="auto" w:before="1"/>
        <w:ind w:left="102" w:right="119"/>
        <w:jc w:val="both"/>
      </w:pPr>
      <w:r>
        <w:rPr/>
        <w:t>Así, la liberalización económica ha provocado que las empresas manufactureras que presentan mayores niveles de crecimiento sean aquellas que están asociadas con la participación de capital extranjero, ejemplo de ello son la industria automotriz y la industria de aparatos eléctricos y electrónicos, pues las reformas macroeconómicas sirvieron para impulsar el dinamismo que habían logrado anteriormente bajo la protección del estado mexicano,</w:t>
      </w:r>
      <w:r>
        <w:rPr>
          <w:spacing w:val="-4"/>
        </w:rPr>
        <w:t> </w:t>
      </w:r>
      <w:r>
        <w:rPr/>
        <w:t>al</w:t>
      </w:r>
      <w:r>
        <w:rPr>
          <w:spacing w:val="-3"/>
        </w:rPr>
        <w:t> </w:t>
      </w:r>
      <w:r>
        <w:rPr/>
        <w:t>otorgar</w:t>
      </w:r>
      <w:r>
        <w:rPr>
          <w:spacing w:val="-5"/>
        </w:rPr>
        <w:t> </w:t>
      </w:r>
      <w:r>
        <w:rPr/>
        <w:t>mayor</w:t>
      </w:r>
      <w:r>
        <w:rPr>
          <w:spacing w:val="-5"/>
        </w:rPr>
        <w:t> </w:t>
      </w:r>
      <w:r>
        <w:rPr/>
        <w:t>libertad</w:t>
      </w:r>
      <w:r>
        <w:rPr>
          <w:spacing w:val="-4"/>
        </w:rPr>
        <w:t> </w:t>
      </w:r>
      <w:r>
        <w:rPr/>
        <w:t>a</w:t>
      </w:r>
      <w:r>
        <w:rPr>
          <w:spacing w:val="-5"/>
        </w:rPr>
        <w:t> </w:t>
      </w:r>
      <w:r>
        <w:rPr/>
        <w:t>las</w:t>
      </w:r>
      <w:r>
        <w:rPr>
          <w:spacing w:val="-4"/>
        </w:rPr>
        <w:t> </w:t>
      </w:r>
      <w:r>
        <w:rPr/>
        <w:t>trasnacionales</w:t>
      </w:r>
      <w:r>
        <w:rPr>
          <w:spacing w:val="-4"/>
        </w:rPr>
        <w:t> </w:t>
      </w:r>
      <w:r>
        <w:rPr/>
        <w:t>en</w:t>
      </w:r>
      <w:r>
        <w:rPr>
          <w:spacing w:val="-4"/>
        </w:rPr>
        <w:t> </w:t>
      </w:r>
      <w:r>
        <w:rPr/>
        <w:t>su</w:t>
      </w:r>
      <w:r>
        <w:rPr>
          <w:spacing w:val="-4"/>
        </w:rPr>
        <w:t> </w:t>
      </w:r>
      <w:r>
        <w:rPr/>
        <w:t>toma</w:t>
      </w:r>
      <w:r>
        <w:rPr>
          <w:spacing w:val="-5"/>
        </w:rPr>
        <w:t> </w:t>
      </w:r>
      <w:r>
        <w:rPr/>
        <w:t>de</w:t>
      </w:r>
      <w:r>
        <w:rPr>
          <w:spacing w:val="-5"/>
        </w:rPr>
        <w:t> </w:t>
      </w:r>
      <w:r>
        <w:rPr/>
        <w:t>decisiones,</w:t>
      </w:r>
      <w:r>
        <w:rPr>
          <w:spacing w:val="-4"/>
        </w:rPr>
        <w:t> </w:t>
      </w:r>
      <w:r>
        <w:rPr/>
        <w:t>en</w:t>
      </w:r>
      <w:r>
        <w:rPr>
          <w:spacing w:val="-4"/>
        </w:rPr>
        <w:t> </w:t>
      </w:r>
      <w:r>
        <w:rPr/>
        <w:t>torno</w:t>
      </w:r>
      <w:r>
        <w:rPr>
          <w:spacing w:val="-4"/>
        </w:rPr>
        <w:t> </w:t>
      </w:r>
      <w:r>
        <w:rPr/>
        <w:t>a la ubicación de plantas en México, en concordancia con sus estrategias globales de producción (Moreno-Brid,</w:t>
      </w:r>
      <w:r>
        <w:rPr>
          <w:spacing w:val="-6"/>
        </w:rPr>
        <w:t> </w:t>
      </w:r>
      <w:r>
        <w:rPr/>
        <w:t>1999).</w:t>
      </w:r>
    </w:p>
    <w:p>
      <w:pPr>
        <w:pStyle w:val="BodyText"/>
        <w:spacing w:before="4"/>
        <w:rPr>
          <w:sz w:val="21"/>
        </w:rPr>
      </w:pPr>
    </w:p>
    <w:p>
      <w:pPr>
        <w:pStyle w:val="BodyText"/>
        <w:spacing w:line="360" w:lineRule="auto" w:before="1"/>
        <w:ind w:left="102" w:right="115"/>
        <w:jc w:val="both"/>
      </w:pPr>
      <w:r>
        <w:rPr/>
        <w:t>De manera general, podemos decir que el PIB manufacturero tuvo una tasa de crecimiento acelerado hasta la década de los años setenta (cuando empezó a disminuir) registrando una tasa de crecimiento de 6.3 % promedio anual, mientras que el PIB nacional creció a una</w:t>
      </w:r>
      <w:r>
        <w:rPr>
          <w:spacing w:val="-40"/>
        </w:rPr>
        <w:t> </w:t>
      </w:r>
      <w:r>
        <w:rPr/>
        <w:t>tasa de 6.7 % anual. Entre 1980 y 1990 el crecimiento económico del sector se vio afectado por las crisis económicas de los ochenta, por lo que la tasa de crecimiento anual en ese periodo fue de 2.1 por ciento, no obstante fue ligeramente mayor que la que registró el PIB total </w:t>
      </w:r>
      <w:r>
        <w:rPr>
          <w:spacing w:val="51"/>
        </w:rPr>
        <w:t> </w:t>
      </w:r>
      <w:r>
        <w:rPr/>
        <w:t>de</w:t>
      </w:r>
    </w:p>
    <w:p>
      <w:pPr>
        <w:pStyle w:val="BodyText"/>
        <w:spacing w:line="360" w:lineRule="auto" w:before="6"/>
        <w:ind w:left="102" w:right="118"/>
        <w:jc w:val="both"/>
      </w:pPr>
      <w:r>
        <w:rPr/>
        <w:t>1.9 por ciento. De 1990 a 2000 el PIB manufacturero creció en promedio anual 4.4%, mientras que el PIB total nacional creció en 3.4% (CEFP, 2005).</w:t>
      </w:r>
    </w:p>
    <w:p>
      <w:pPr>
        <w:pStyle w:val="BodyText"/>
        <w:spacing w:before="4"/>
        <w:rPr>
          <w:sz w:val="21"/>
        </w:rPr>
      </w:pPr>
    </w:p>
    <w:p>
      <w:pPr>
        <w:pStyle w:val="BodyText"/>
        <w:spacing w:line="360" w:lineRule="auto" w:before="1"/>
        <w:ind w:left="102" w:right="117"/>
        <w:jc w:val="both"/>
      </w:pPr>
      <w:r>
        <w:rPr/>
        <w:t>Como vemos, desde los años sesenta la evolución del sector industrial ha sido determinante en la evolución del PIB total, siendo el sector manufacturero, en comparación con los otros sectores industriales, el de mayor participación en este último.</w:t>
      </w:r>
    </w:p>
    <w:p>
      <w:pPr>
        <w:spacing w:after="0" w:line="360" w:lineRule="auto"/>
        <w:jc w:val="both"/>
        <w:sectPr>
          <w:pgSz w:w="12240" w:h="15840"/>
          <w:pgMar w:header="0" w:footer="1035" w:top="1360" w:bottom="1220" w:left="1600" w:right="1580"/>
        </w:sectPr>
      </w:pPr>
    </w:p>
    <w:p>
      <w:pPr>
        <w:pStyle w:val="Heading1"/>
        <w:numPr>
          <w:ilvl w:val="1"/>
          <w:numId w:val="15"/>
        </w:numPr>
        <w:tabs>
          <w:tab w:pos="522" w:val="left" w:leader="none"/>
        </w:tabs>
        <w:spacing w:line="240" w:lineRule="auto" w:before="55" w:after="0"/>
        <w:ind w:left="522" w:right="0" w:hanging="420"/>
        <w:jc w:val="both"/>
      </w:pPr>
      <w:bookmarkStart w:name="_TOC_250020" w:id="15"/>
      <w:r>
        <w:rPr/>
        <w:t>La dinámica del sector manufacturero en</w:t>
      </w:r>
      <w:r>
        <w:rPr>
          <w:spacing w:val="-8"/>
        </w:rPr>
        <w:t> </w:t>
      </w:r>
      <w:bookmarkEnd w:id="15"/>
      <w:r>
        <w:rPr/>
        <w:t>México</w:t>
      </w:r>
    </w:p>
    <w:p>
      <w:pPr>
        <w:pStyle w:val="BodyText"/>
        <w:spacing w:before="6"/>
        <w:rPr>
          <w:b/>
          <w:sz w:val="32"/>
        </w:rPr>
      </w:pPr>
    </w:p>
    <w:p>
      <w:pPr>
        <w:pStyle w:val="BodyText"/>
        <w:spacing w:line="360" w:lineRule="auto"/>
        <w:ind w:left="102" w:right="114"/>
        <w:jc w:val="both"/>
      </w:pPr>
      <w:r>
        <w:rPr/>
        <w:t>El sector manufacturero en México ha transcurrido por profundos cambios estructurales en las últimas dos décadas, en específico, después del proceso de apertura de la economía mexicana</w:t>
      </w:r>
      <w:r>
        <w:rPr>
          <w:spacing w:val="-12"/>
        </w:rPr>
        <w:t> </w:t>
      </w:r>
      <w:r>
        <w:rPr/>
        <w:t>iniciado</w:t>
      </w:r>
      <w:r>
        <w:rPr>
          <w:spacing w:val="-11"/>
        </w:rPr>
        <w:t> </w:t>
      </w:r>
      <w:r>
        <w:rPr/>
        <w:t>en</w:t>
      </w:r>
      <w:r>
        <w:rPr>
          <w:spacing w:val="-11"/>
        </w:rPr>
        <w:t> </w:t>
      </w:r>
      <w:r>
        <w:rPr/>
        <w:t>1982</w:t>
      </w:r>
      <w:r>
        <w:rPr>
          <w:spacing w:val="-9"/>
        </w:rPr>
        <w:t> </w:t>
      </w:r>
      <w:r>
        <w:rPr/>
        <w:t>y</w:t>
      </w:r>
      <w:r>
        <w:rPr>
          <w:spacing w:val="-16"/>
        </w:rPr>
        <w:t> </w:t>
      </w:r>
      <w:r>
        <w:rPr/>
        <w:t>tras</w:t>
      </w:r>
      <w:r>
        <w:rPr>
          <w:spacing w:val="-11"/>
        </w:rPr>
        <w:t> </w:t>
      </w:r>
      <w:r>
        <w:rPr/>
        <w:t>la</w:t>
      </w:r>
      <w:r>
        <w:rPr>
          <w:spacing w:val="-9"/>
        </w:rPr>
        <w:t> </w:t>
      </w:r>
      <w:r>
        <w:rPr/>
        <w:t>adopción</w:t>
      </w:r>
      <w:r>
        <w:rPr>
          <w:spacing w:val="-8"/>
        </w:rPr>
        <w:t> </w:t>
      </w:r>
      <w:r>
        <w:rPr/>
        <w:t>de</w:t>
      </w:r>
      <w:r>
        <w:rPr>
          <w:spacing w:val="-12"/>
        </w:rPr>
        <w:t> </w:t>
      </w:r>
      <w:r>
        <w:rPr/>
        <w:t>la</w:t>
      </w:r>
      <w:r>
        <w:rPr>
          <w:spacing w:val="-7"/>
        </w:rPr>
        <w:t> </w:t>
      </w:r>
      <w:r>
        <w:rPr/>
        <w:t>estrategia</w:t>
      </w:r>
      <w:r>
        <w:rPr>
          <w:spacing w:val="-12"/>
        </w:rPr>
        <w:t> </w:t>
      </w:r>
      <w:r>
        <w:rPr/>
        <w:t>de</w:t>
      </w:r>
      <w:r>
        <w:rPr>
          <w:spacing w:val="-12"/>
        </w:rPr>
        <w:t> </w:t>
      </w:r>
      <w:r>
        <w:rPr/>
        <w:t>promoción</w:t>
      </w:r>
      <w:r>
        <w:rPr>
          <w:spacing w:val="-8"/>
        </w:rPr>
        <w:t> </w:t>
      </w:r>
      <w:r>
        <w:rPr/>
        <w:t>de</w:t>
      </w:r>
      <w:r>
        <w:rPr>
          <w:spacing w:val="-12"/>
        </w:rPr>
        <w:t> </w:t>
      </w:r>
      <w:r>
        <w:rPr/>
        <w:t>exportaciones, el sector manufacturero del país se convirtió en el motor del crecimiento económico de México, para el año 2014 representó el 16.7% del Producto Interno Bruto, siendo el sector con mayor participación (INEGI,</w:t>
      </w:r>
      <w:r>
        <w:rPr>
          <w:spacing w:val="-10"/>
        </w:rPr>
        <w:t> </w:t>
      </w:r>
      <w:r>
        <w:rPr/>
        <w:t>2015).</w:t>
      </w:r>
    </w:p>
    <w:p>
      <w:pPr>
        <w:pStyle w:val="BodyText"/>
        <w:spacing w:before="4"/>
        <w:rPr>
          <w:sz w:val="21"/>
        </w:rPr>
      </w:pPr>
    </w:p>
    <w:p>
      <w:pPr>
        <w:pStyle w:val="BodyText"/>
        <w:spacing w:line="360" w:lineRule="auto" w:before="1"/>
        <w:ind w:left="102" w:right="116"/>
        <w:jc w:val="both"/>
      </w:pPr>
      <w:r>
        <w:rPr/>
        <w:t>En este sentido, en la gráfica 3.1, donde se observan los porcentajes de participación del sector manufacturero en el PIB total de México, desde 1980 hasta el 2014 la producción manufacturera ha representado el 17.2% del PIB total, específicamente en el año 2000 el sector manufacturero tuvo una participación record, del 18.7% en la producción total, mientras que en 1983 tuvo su peor participación pues solo representó el 15.8% de PIB nacional.</w:t>
      </w:r>
    </w:p>
    <w:p>
      <w:pPr>
        <w:pStyle w:val="BodyText"/>
        <w:spacing w:before="10"/>
        <w:rPr>
          <w:sz w:val="21"/>
        </w:rPr>
      </w:pPr>
    </w:p>
    <w:p>
      <w:pPr>
        <w:pStyle w:val="Heading1"/>
        <w:spacing w:line="360" w:lineRule="auto"/>
        <w:ind w:left="3417" w:right="172" w:hanging="3248"/>
      </w:pPr>
      <w:r>
        <w:rPr/>
        <w:pict>
          <v:group style="position:absolute;margin-left:105.824997pt;margin-top:40.998123pt;width:400.35pt;height:173.7pt;mso-position-horizontal-relative:page;mso-position-vertical-relative:paragraph;z-index:-500944" coordorigin="2116,820" coordsize="8007,3474">
            <v:shape style="position:absolute;left:2722;top:1046;width:7176;height:2642" type="#_x0000_t75" stroked="false">
              <v:imagedata r:id="rId34" o:title=""/>
            </v:shape>
            <v:shape style="position:absolute;left:2722;top:1046;width:7176;height:2643" coordorigin="2722,1046" coordsize="7176,2643" path="m2722,3247l9898,3247m2722,2807l9898,2807m2722,2368l9898,2368m2722,1927l9898,1927m2722,1487l9898,1487m2722,1046l9898,1046m2722,1046l2722,3688m2926,1046l2926,3688m3132,1046l3132,3688m3336,1046l3336,3688m3542,1046l3542,3688m3746,1046l3746,3688m3950,1046l3950,3688m4157,1046l4157,3688m4361,1046l4361,3688m4567,1046l4567,3688m4771,1046l4771,3688m4978,1046l4978,3688m5182,1046l5182,3688m5386,1046l5386,3688m5592,1046l5592,3688m5796,1046l5796,3688m6002,1046l6002,3688m6206,1046l6206,3688m6410,1046l6410,3688m6617,1046l6617,3688m6821,1046l6821,3688m7027,1046l7027,3688m7231,1046l7231,3688m7438,1046l7438,3688m7642,1046l7642,3688m7846,1046l7846,3688m8052,1046l8052,3688m8256,1046l8256,3688m8462,1046l8462,3688m8666,1046l8666,3688m8870,1046l8870,3688m9077,1046l9077,3688m9281,1046l9281,3688m9487,1046l9487,3688m9691,1046l9691,3688m9898,1046l9898,3688e" filled="false" stroked="true" strokeweight=".72pt" strokecolor="#d9d9d9">
              <v:path arrowok="t"/>
            </v:shape>
            <v:line style="position:absolute" from="2824,2159" to="2824,3688" stroked="true" strokeweight="2.76pt" strokecolor="#539e39"/>
            <v:line style="position:absolute" from="3029,2188" to="3029,3688" stroked="true" strokeweight="2.88pt" strokecolor="#539e39"/>
            <v:line style="position:absolute" from="3234,2222" to="3234,3688" stroked="true" strokeweight="2.76pt" strokecolor="#539e39"/>
            <v:line style="position:absolute" from="3439,2296" to="3439,3688" stroked="true" strokeweight="2.88pt" strokecolor="#539e39"/>
            <v:line style="position:absolute" from="3644,2275" to="3644,3688" stroked="true" strokeweight="2.76pt" strokecolor="#539e39"/>
            <v:line style="position:absolute" from="3848,2215" to="3848,3688" stroked="true" strokeweight="2.76pt" strokecolor="#539e39"/>
            <v:shape style="position:absolute;left:4055;top:2241;width:204;height:1448" coordorigin="4055,2241" coordsize="204,1448" path="m4055,2253l4055,3688m4259,2241l4259,3688e" filled="false" stroked="true" strokeweight="2.76pt" strokecolor="#539e39">
              <v:path arrowok="t"/>
            </v:shape>
            <v:line style="position:absolute" from="4464,2207" to="4464,3688" stroked="true" strokeweight="2.88pt" strokecolor="#539e39"/>
            <v:line style="position:absolute" from="4669,2155" to="4669,3688" stroked="true" strokeweight="2.76pt" strokecolor="#539e39"/>
            <v:line style="position:absolute" from="4874,2131" to="4874,3688" stroked="true" strokeweight="2.88pt" strokecolor="#539e39"/>
            <v:line style="position:absolute" from="5080,2143" to="5080,3688" stroked="true" strokeweight="2.76pt" strokecolor="#539e39"/>
            <v:line style="position:absolute" from="5284,2133" to="5284,3688" stroked="true" strokeweight="2.76pt" strokecolor="#539e39"/>
            <v:line style="position:absolute" from="5489,2174" to="5489,3688" stroked="true" strokeweight="2.88pt" strokecolor="#539e39"/>
            <v:line style="position:absolute" from="5694,2195" to="5694,3688" stroked="true" strokeweight="2.76pt" strokecolor="#539e39"/>
            <v:line style="position:absolute" from="5899,2188" to="5899,3688" stroked="true" strokeweight="2.88pt" strokecolor="#539e39"/>
            <v:line style="position:absolute" from="6104,2140" to="6104,3688" stroked="true" strokeweight="2.76pt" strokecolor="#539e39"/>
            <v:shape style="position:absolute;left:6308;top:2051;width:411;height:1637" coordorigin="6308,2051" coordsize="411,1637" path="m6308,2087l6308,3688m6515,2051l6515,3688m6719,2051l6719,3688e" filled="false" stroked="true" strokeweight="2.76pt" strokecolor="#539e39">
              <v:path arrowok="t"/>
            </v:shape>
            <v:line style="position:absolute" from="6924,2044" to="6924,3688" stroked="true" strokeweight="2.88pt" strokecolor="#539e39"/>
            <v:line style="position:absolute" from="7129,2085" to="7129,3688" stroked="true" strokeweight="2.76pt" strokecolor="#539e39"/>
            <v:line style="position:absolute" from="7333,2097" to="7333,3688" stroked="true" strokeweight="2.76pt" strokecolor="#539e39"/>
            <v:shape style="position:absolute;left:7540;top:2140;width:204;height:1548" coordorigin="7540,2140" coordsize="204,1548" path="m7540,2140l7540,3688m7744,2152l7744,3688e" filled="false" stroked="true" strokeweight="2.76pt" strokecolor="#539e39">
              <v:path arrowok="t"/>
            </v:shape>
            <v:line style="position:absolute" from="7949,2157" to="7949,3688" stroked="true" strokeweight="2.88pt" strokecolor="#539e39"/>
            <v:line style="position:absolute" from="8154,2164" to="8154,3688" stroked="true" strokeweight="2.76pt" strokecolor="#539e39"/>
            <v:line style="position:absolute" from="8359,2195" to="8359,3688" stroked="true" strokeweight="2.88pt" strokecolor="#539e39"/>
            <v:line style="position:absolute" from="8564,2231" to="8564,3688" stroked="true" strokeweight="2.76pt" strokecolor="#539e39"/>
            <v:shape style="position:absolute;left:8768;top:2234;width:411;height:1455" coordorigin="8768,2234" coordsize="411,1455" path="m8768,2287l8768,3688m8975,2241l8975,3688m9179,2234l9179,3688e" filled="false" stroked="true" strokeweight="2.76pt" strokecolor="#539e39">
              <v:path arrowok="t"/>
            </v:shape>
            <v:line style="position:absolute" from="9384,2234" to="9384,3688" stroked="true" strokeweight="2.88pt" strokecolor="#539e39"/>
            <v:line style="position:absolute" from="9589,2239" to="9589,3688" stroked="true" strokeweight="2.76pt" strokecolor="#539e39"/>
            <v:line style="position:absolute" from="9793,2215" to="9793,3688" stroked="true" strokeweight="2.76pt" strokecolor="#539e39"/>
            <v:line style="position:absolute" from="2722,3688" to="9898,3688" stroked="true" strokeweight=".72pt" strokecolor="#d9d9d9"/>
            <v:shape style="position:absolute;left:2124;top:827;width:7992;height:3459" type="#_x0000_t202" filled="false" stroked="true" strokeweight=".72pt" strokecolor="#d9d9d9">
              <v:textbox inset="0,0,0,0">
                <w:txbxContent>
                  <w:p>
                    <w:pPr>
                      <w:spacing w:before="101"/>
                      <w:ind w:left="122" w:right="0" w:firstLine="0"/>
                      <w:jc w:val="left"/>
                      <w:rPr>
                        <w:sz w:val="18"/>
                      </w:rPr>
                    </w:pPr>
                    <w:r>
                      <w:rPr>
                        <w:color w:val="585858"/>
                        <w:sz w:val="18"/>
                      </w:rPr>
                      <w:t>30.0</w:t>
                    </w:r>
                  </w:p>
                  <w:p>
                    <w:pPr>
                      <w:spacing w:line="240" w:lineRule="auto" w:before="3"/>
                      <w:rPr>
                        <w:sz w:val="20"/>
                      </w:rPr>
                    </w:pPr>
                  </w:p>
                  <w:p>
                    <w:pPr>
                      <w:spacing w:before="0"/>
                      <w:ind w:left="122" w:right="0" w:firstLine="0"/>
                      <w:jc w:val="left"/>
                      <w:rPr>
                        <w:sz w:val="18"/>
                      </w:rPr>
                    </w:pPr>
                    <w:r>
                      <w:rPr>
                        <w:color w:val="585858"/>
                        <w:sz w:val="18"/>
                      </w:rPr>
                      <w:t>25.0</w:t>
                    </w:r>
                  </w:p>
                  <w:p>
                    <w:pPr>
                      <w:spacing w:line="240" w:lineRule="auto" w:before="3"/>
                      <w:rPr>
                        <w:sz w:val="20"/>
                      </w:rPr>
                    </w:pPr>
                  </w:p>
                  <w:p>
                    <w:pPr>
                      <w:spacing w:before="0"/>
                      <w:ind w:left="122" w:right="0" w:firstLine="0"/>
                      <w:jc w:val="left"/>
                      <w:rPr>
                        <w:sz w:val="18"/>
                      </w:rPr>
                    </w:pPr>
                    <w:r>
                      <w:rPr>
                        <w:color w:val="585858"/>
                        <w:sz w:val="18"/>
                      </w:rPr>
                      <w:t>20.0</w:t>
                    </w:r>
                  </w:p>
                  <w:p>
                    <w:pPr>
                      <w:spacing w:line="240" w:lineRule="auto" w:before="3"/>
                      <w:rPr>
                        <w:sz w:val="20"/>
                      </w:rPr>
                    </w:pPr>
                  </w:p>
                  <w:p>
                    <w:pPr>
                      <w:spacing w:before="1"/>
                      <w:ind w:left="122" w:right="0" w:firstLine="0"/>
                      <w:jc w:val="left"/>
                      <w:rPr>
                        <w:sz w:val="18"/>
                      </w:rPr>
                    </w:pPr>
                    <w:r>
                      <w:rPr>
                        <w:color w:val="585858"/>
                        <w:sz w:val="18"/>
                      </w:rPr>
                      <w:t>15.0</w:t>
                    </w:r>
                  </w:p>
                  <w:p>
                    <w:pPr>
                      <w:spacing w:line="240" w:lineRule="auto" w:before="3"/>
                      <w:rPr>
                        <w:sz w:val="20"/>
                      </w:rPr>
                    </w:pPr>
                  </w:p>
                  <w:p>
                    <w:pPr>
                      <w:spacing w:before="0"/>
                      <w:ind w:left="122" w:right="0" w:firstLine="0"/>
                      <w:jc w:val="left"/>
                      <w:rPr>
                        <w:sz w:val="18"/>
                      </w:rPr>
                    </w:pPr>
                    <w:r>
                      <w:rPr>
                        <w:color w:val="585858"/>
                        <w:sz w:val="18"/>
                      </w:rPr>
                      <w:t>10.0</w:t>
                    </w:r>
                  </w:p>
                  <w:p>
                    <w:pPr>
                      <w:spacing w:line="240" w:lineRule="auto" w:before="3"/>
                      <w:rPr>
                        <w:sz w:val="20"/>
                      </w:rPr>
                    </w:pPr>
                  </w:p>
                  <w:p>
                    <w:pPr>
                      <w:spacing w:before="0"/>
                      <w:ind w:left="212" w:right="0" w:firstLine="0"/>
                      <w:jc w:val="left"/>
                      <w:rPr>
                        <w:sz w:val="18"/>
                      </w:rPr>
                    </w:pPr>
                    <w:r>
                      <w:rPr>
                        <w:color w:val="585858"/>
                        <w:sz w:val="18"/>
                      </w:rPr>
                      <w:t>5.0</w:t>
                    </w:r>
                  </w:p>
                  <w:p>
                    <w:pPr>
                      <w:spacing w:line="240" w:lineRule="auto" w:before="3"/>
                      <w:rPr>
                        <w:sz w:val="20"/>
                      </w:rPr>
                    </w:pPr>
                  </w:p>
                  <w:p>
                    <w:pPr>
                      <w:spacing w:before="0"/>
                      <w:ind w:left="212" w:right="0" w:firstLine="0"/>
                      <w:jc w:val="left"/>
                      <w:rPr>
                        <w:sz w:val="18"/>
                      </w:rPr>
                    </w:pPr>
                    <w:r>
                      <w:rPr>
                        <w:color w:val="585858"/>
                        <w:sz w:val="18"/>
                      </w:rPr>
                      <w:t>0.0</w:t>
                    </w:r>
                  </w:p>
                </w:txbxContent>
              </v:textbox>
              <w10:wrap type="none"/>
            </v:shape>
            <w10:wrap type="none"/>
          </v:group>
        </w:pict>
      </w:r>
      <w:r>
        <w:rPr/>
        <w:pict>
          <v:shape style="position:absolute;margin-left:136.600418pt;margin-top:81.260483pt;width:358.65pt;height:28.9pt;mso-position-horizontal-relative:page;mso-position-vertical-relative:paragraph;z-index:1960" type="#_x0000_t202" filled="false" stroked="false">
            <v:textbox inset="0,0,0,0" style="layout-flow:vertical;mso-layout-flow-alt:bottom-to-top">
              <w:txbxContent>
                <w:p>
                  <w:pPr>
                    <w:spacing w:before="0"/>
                    <w:ind w:left="136" w:right="0" w:firstLine="0"/>
                    <w:jc w:val="left"/>
                    <w:rPr>
                      <w:sz w:val="16"/>
                    </w:rPr>
                  </w:pPr>
                  <w:r>
                    <w:rPr>
                      <w:color w:val="404040"/>
                      <w:w w:val="100"/>
                      <w:sz w:val="16"/>
                    </w:rPr>
                    <w:t>17.4</w:t>
                  </w:r>
                </w:p>
                <w:p>
                  <w:pPr>
                    <w:spacing w:before="21"/>
                    <w:ind w:left="130" w:right="0" w:firstLine="0"/>
                    <w:jc w:val="left"/>
                    <w:rPr>
                      <w:sz w:val="16"/>
                    </w:rPr>
                  </w:pPr>
                  <w:r>
                    <w:rPr>
                      <w:color w:val="404040"/>
                      <w:w w:val="100"/>
                      <w:sz w:val="16"/>
                    </w:rPr>
                    <w:t>17.0</w:t>
                  </w:r>
                </w:p>
                <w:p>
                  <w:pPr>
                    <w:spacing w:before="21"/>
                    <w:ind w:left="95" w:right="0" w:firstLine="0"/>
                    <w:jc w:val="left"/>
                    <w:rPr>
                      <w:sz w:val="16"/>
                    </w:rPr>
                  </w:pPr>
                  <w:r>
                    <w:rPr>
                      <w:color w:val="404040"/>
                      <w:w w:val="100"/>
                      <w:sz w:val="16"/>
                    </w:rPr>
                    <w:t>16.6</w:t>
                  </w:r>
                </w:p>
                <w:p>
                  <w:pPr>
                    <w:spacing w:before="21"/>
                    <w:ind w:left="20" w:right="0" w:firstLine="0"/>
                    <w:jc w:val="left"/>
                    <w:rPr>
                      <w:sz w:val="16"/>
                    </w:rPr>
                  </w:pPr>
                  <w:r>
                    <w:rPr>
                      <w:color w:val="404040"/>
                      <w:w w:val="100"/>
                      <w:sz w:val="16"/>
                    </w:rPr>
                    <w:t>15.8</w:t>
                  </w:r>
                </w:p>
                <w:p>
                  <w:pPr>
                    <w:spacing w:before="21"/>
                    <w:ind w:left="42" w:right="0" w:firstLine="0"/>
                    <w:jc w:val="left"/>
                    <w:rPr>
                      <w:sz w:val="16"/>
                    </w:rPr>
                  </w:pPr>
                  <w:r>
                    <w:rPr>
                      <w:color w:val="404040"/>
                      <w:w w:val="100"/>
                      <w:sz w:val="16"/>
                    </w:rPr>
                    <w:t>16.1</w:t>
                  </w:r>
                </w:p>
                <w:p>
                  <w:pPr>
                    <w:spacing w:before="21"/>
                    <w:ind w:left="102" w:right="0" w:firstLine="0"/>
                    <w:jc w:val="left"/>
                    <w:rPr>
                      <w:sz w:val="16"/>
                    </w:rPr>
                  </w:pPr>
                  <w:r>
                    <w:rPr>
                      <w:color w:val="404040"/>
                      <w:w w:val="100"/>
                      <w:sz w:val="16"/>
                    </w:rPr>
                    <w:t>16.7</w:t>
                  </w:r>
                </w:p>
                <w:p>
                  <w:pPr>
                    <w:spacing w:before="21"/>
                    <w:ind w:left="64" w:right="0" w:firstLine="0"/>
                    <w:jc w:val="left"/>
                    <w:rPr>
                      <w:sz w:val="16"/>
                    </w:rPr>
                  </w:pPr>
                  <w:r>
                    <w:rPr>
                      <w:color w:val="404040"/>
                      <w:w w:val="100"/>
                      <w:sz w:val="16"/>
                    </w:rPr>
                    <w:t>16.3</w:t>
                  </w:r>
                </w:p>
                <w:p>
                  <w:pPr>
                    <w:spacing w:before="21"/>
                    <w:ind w:left="76" w:right="0" w:firstLine="0"/>
                    <w:jc w:val="left"/>
                    <w:rPr>
                      <w:sz w:val="16"/>
                    </w:rPr>
                  </w:pPr>
                  <w:r>
                    <w:rPr>
                      <w:color w:val="404040"/>
                      <w:w w:val="100"/>
                      <w:sz w:val="16"/>
                    </w:rPr>
                    <w:t>16.4</w:t>
                  </w:r>
                </w:p>
                <w:p>
                  <w:pPr>
                    <w:spacing w:before="21"/>
                    <w:ind w:left="108" w:right="0" w:firstLine="0"/>
                    <w:jc w:val="left"/>
                    <w:rPr>
                      <w:sz w:val="16"/>
                    </w:rPr>
                  </w:pPr>
                  <w:r>
                    <w:rPr>
                      <w:color w:val="404040"/>
                      <w:w w:val="100"/>
                      <w:sz w:val="16"/>
                    </w:rPr>
                    <w:t>16.8</w:t>
                  </w:r>
                </w:p>
                <w:p>
                  <w:pPr>
                    <w:spacing w:before="21"/>
                    <w:ind w:left="162" w:right="0" w:firstLine="0"/>
                    <w:jc w:val="left"/>
                    <w:rPr>
                      <w:sz w:val="16"/>
                    </w:rPr>
                  </w:pPr>
                  <w:r>
                    <w:rPr>
                      <w:color w:val="404040"/>
                      <w:w w:val="100"/>
                      <w:sz w:val="16"/>
                    </w:rPr>
                    <w:t>17.4</w:t>
                  </w:r>
                </w:p>
                <w:p>
                  <w:pPr>
                    <w:spacing w:before="21"/>
                    <w:ind w:left="186" w:right="0" w:firstLine="0"/>
                    <w:jc w:val="left"/>
                    <w:rPr>
                      <w:sz w:val="16"/>
                    </w:rPr>
                  </w:pPr>
                  <w:r>
                    <w:rPr>
                      <w:color w:val="404040"/>
                      <w:w w:val="100"/>
                      <w:sz w:val="16"/>
                    </w:rPr>
                    <w:t>17.7</w:t>
                  </w:r>
                </w:p>
                <w:p>
                  <w:pPr>
                    <w:spacing w:before="21"/>
                    <w:ind w:left="174" w:right="0" w:firstLine="0"/>
                    <w:jc w:val="left"/>
                    <w:rPr>
                      <w:sz w:val="16"/>
                    </w:rPr>
                  </w:pPr>
                  <w:r>
                    <w:rPr>
                      <w:color w:val="404040"/>
                      <w:w w:val="100"/>
                      <w:sz w:val="16"/>
                    </w:rPr>
                    <w:t>17.6</w:t>
                  </w:r>
                </w:p>
                <w:p>
                  <w:pPr>
                    <w:spacing w:before="21"/>
                    <w:ind w:left="183" w:right="0" w:firstLine="0"/>
                    <w:jc w:val="left"/>
                    <w:rPr>
                      <w:sz w:val="16"/>
                    </w:rPr>
                  </w:pPr>
                  <w:r>
                    <w:rPr>
                      <w:color w:val="404040"/>
                      <w:w w:val="100"/>
                      <w:sz w:val="16"/>
                    </w:rPr>
                    <w:t>17.7</w:t>
                  </w:r>
                </w:p>
                <w:p>
                  <w:pPr>
                    <w:spacing w:before="21"/>
                    <w:ind w:left="143" w:right="0" w:firstLine="0"/>
                    <w:jc w:val="left"/>
                    <w:rPr>
                      <w:sz w:val="16"/>
                    </w:rPr>
                  </w:pPr>
                  <w:r>
                    <w:rPr>
                      <w:color w:val="404040"/>
                      <w:w w:val="100"/>
                      <w:sz w:val="16"/>
                    </w:rPr>
                    <w:t>17.2</w:t>
                  </w:r>
                </w:p>
                <w:p>
                  <w:pPr>
                    <w:spacing w:before="21"/>
                    <w:ind w:left="120" w:right="0" w:firstLine="0"/>
                    <w:jc w:val="left"/>
                    <w:rPr>
                      <w:sz w:val="16"/>
                    </w:rPr>
                  </w:pPr>
                  <w:r>
                    <w:rPr>
                      <w:color w:val="404040"/>
                      <w:w w:val="100"/>
                      <w:sz w:val="16"/>
                    </w:rPr>
                    <w:t>16.9</w:t>
                  </w:r>
                </w:p>
                <w:p>
                  <w:pPr>
                    <w:spacing w:before="21"/>
                    <w:ind w:left="128" w:right="0" w:firstLine="0"/>
                    <w:jc w:val="left"/>
                    <w:rPr>
                      <w:sz w:val="16"/>
                    </w:rPr>
                  </w:pPr>
                  <w:r>
                    <w:rPr>
                      <w:color w:val="404040"/>
                      <w:w w:val="100"/>
                      <w:sz w:val="16"/>
                    </w:rPr>
                    <w:t>17.0</w:t>
                  </w:r>
                </w:p>
                <w:p>
                  <w:pPr>
                    <w:spacing w:before="21"/>
                    <w:ind w:left="177" w:right="0" w:firstLine="0"/>
                    <w:jc w:val="left"/>
                    <w:rPr>
                      <w:sz w:val="16"/>
                    </w:rPr>
                  </w:pPr>
                  <w:r>
                    <w:rPr>
                      <w:color w:val="404040"/>
                      <w:w w:val="100"/>
                      <w:sz w:val="16"/>
                    </w:rPr>
                    <w:t>17.6</w:t>
                  </w:r>
                </w:p>
                <w:p>
                  <w:pPr>
                    <w:spacing w:before="21"/>
                    <w:ind w:left="228" w:right="0" w:firstLine="0"/>
                    <w:jc w:val="left"/>
                    <w:rPr>
                      <w:sz w:val="16"/>
                    </w:rPr>
                  </w:pPr>
                  <w:r>
                    <w:rPr>
                      <w:color w:val="404040"/>
                      <w:w w:val="100"/>
                      <w:sz w:val="16"/>
                    </w:rPr>
                    <w:t>18.2</w:t>
                  </w:r>
                </w:p>
                <w:p>
                  <w:pPr>
                    <w:spacing w:before="21"/>
                    <w:ind w:left="265" w:right="0" w:firstLine="0"/>
                    <w:jc w:val="left"/>
                    <w:rPr>
                      <w:sz w:val="16"/>
                    </w:rPr>
                  </w:pPr>
                  <w:r>
                    <w:rPr>
                      <w:color w:val="404040"/>
                      <w:w w:val="100"/>
                      <w:sz w:val="16"/>
                    </w:rPr>
                    <w:t>18.6</w:t>
                  </w:r>
                </w:p>
                <w:p>
                  <w:pPr>
                    <w:spacing w:before="21"/>
                    <w:ind w:left="266" w:right="0" w:firstLine="0"/>
                    <w:jc w:val="left"/>
                    <w:rPr>
                      <w:sz w:val="16"/>
                    </w:rPr>
                  </w:pPr>
                  <w:r>
                    <w:rPr>
                      <w:color w:val="404040"/>
                      <w:w w:val="100"/>
                      <w:sz w:val="16"/>
                    </w:rPr>
                    <w:t>18.6</w:t>
                  </w:r>
                </w:p>
                <w:p>
                  <w:pPr>
                    <w:spacing w:before="21"/>
                    <w:ind w:left="273" w:right="0" w:firstLine="0"/>
                    <w:jc w:val="left"/>
                    <w:rPr>
                      <w:sz w:val="16"/>
                    </w:rPr>
                  </w:pPr>
                  <w:r>
                    <w:rPr>
                      <w:color w:val="404040"/>
                      <w:w w:val="100"/>
                      <w:sz w:val="16"/>
                    </w:rPr>
                    <w:t>18.7</w:t>
                  </w:r>
                </w:p>
                <w:p>
                  <w:pPr>
                    <w:spacing w:before="21"/>
                    <w:ind w:left="232" w:right="0" w:firstLine="0"/>
                    <w:jc w:val="left"/>
                    <w:rPr>
                      <w:sz w:val="16"/>
                    </w:rPr>
                  </w:pPr>
                  <w:r>
                    <w:rPr>
                      <w:color w:val="404040"/>
                      <w:w w:val="100"/>
                      <w:sz w:val="16"/>
                    </w:rPr>
                    <w:t>18.2</w:t>
                  </w:r>
                </w:p>
                <w:p>
                  <w:pPr>
                    <w:spacing w:before="21"/>
                    <w:ind w:left="219" w:right="0" w:firstLine="0"/>
                    <w:jc w:val="left"/>
                    <w:rPr>
                      <w:sz w:val="16"/>
                    </w:rPr>
                  </w:pPr>
                  <w:r>
                    <w:rPr>
                      <w:color w:val="404040"/>
                      <w:w w:val="100"/>
                      <w:sz w:val="16"/>
                    </w:rPr>
                    <w:t>18.1</w:t>
                  </w:r>
                </w:p>
                <w:p>
                  <w:pPr>
                    <w:spacing w:before="21"/>
                    <w:ind w:left="175" w:right="0" w:firstLine="0"/>
                    <w:jc w:val="left"/>
                    <w:rPr>
                      <w:sz w:val="16"/>
                    </w:rPr>
                  </w:pPr>
                  <w:r>
                    <w:rPr>
                      <w:color w:val="404040"/>
                      <w:w w:val="100"/>
                      <w:sz w:val="16"/>
                    </w:rPr>
                    <w:t>17.6</w:t>
                  </w:r>
                </w:p>
                <w:p>
                  <w:pPr>
                    <w:spacing w:before="21"/>
                    <w:ind w:left="165" w:right="0" w:firstLine="0"/>
                    <w:jc w:val="left"/>
                    <w:rPr>
                      <w:sz w:val="16"/>
                    </w:rPr>
                  </w:pPr>
                  <w:r>
                    <w:rPr>
                      <w:color w:val="404040"/>
                      <w:w w:val="100"/>
                      <w:sz w:val="16"/>
                    </w:rPr>
                    <w:t>17.4</w:t>
                  </w:r>
                </w:p>
                <w:p>
                  <w:pPr>
                    <w:spacing w:before="21"/>
                    <w:ind w:left="160" w:right="0" w:firstLine="0"/>
                    <w:jc w:val="left"/>
                    <w:rPr>
                      <w:sz w:val="16"/>
                    </w:rPr>
                  </w:pPr>
                  <w:r>
                    <w:rPr>
                      <w:color w:val="404040"/>
                      <w:w w:val="100"/>
                      <w:sz w:val="16"/>
                    </w:rPr>
                    <w:t>17.4</w:t>
                  </w:r>
                </w:p>
                <w:p>
                  <w:pPr>
                    <w:spacing w:before="21"/>
                    <w:ind w:left="153" w:right="0" w:firstLine="0"/>
                    <w:jc w:val="left"/>
                    <w:rPr>
                      <w:sz w:val="16"/>
                    </w:rPr>
                  </w:pPr>
                  <w:r>
                    <w:rPr>
                      <w:color w:val="404040"/>
                      <w:w w:val="100"/>
                      <w:sz w:val="16"/>
                    </w:rPr>
                    <w:t>17.3</w:t>
                  </w:r>
                </w:p>
                <w:p>
                  <w:pPr>
                    <w:spacing w:before="21"/>
                    <w:ind w:left="121" w:right="0" w:firstLine="0"/>
                    <w:jc w:val="left"/>
                    <w:rPr>
                      <w:sz w:val="16"/>
                    </w:rPr>
                  </w:pPr>
                  <w:r>
                    <w:rPr>
                      <w:color w:val="404040"/>
                      <w:w w:val="100"/>
                      <w:sz w:val="16"/>
                    </w:rPr>
                    <w:t>16.9</w:t>
                  </w:r>
                </w:p>
                <w:p>
                  <w:pPr>
                    <w:spacing w:before="21"/>
                    <w:ind w:left="85" w:right="0" w:firstLine="0"/>
                    <w:jc w:val="left"/>
                    <w:rPr>
                      <w:sz w:val="16"/>
                    </w:rPr>
                  </w:pPr>
                  <w:r>
                    <w:rPr>
                      <w:color w:val="404040"/>
                      <w:w w:val="100"/>
                      <w:sz w:val="16"/>
                    </w:rPr>
                    <w:t>16.5</w:t>
                  </w:r>
                </w:p>
                <w:p>
                  <w:pPr>
                    <w:spacing w:before="21"/>
                    <w:ind w:left="29" w:right="0" w:firstLine="0"/>
                    <w:jc w:val="left"/>
                    <w:rPr>
                      <w:sz w:val="16"/>
                    </w:rPr>
                  </w:pPr>
                  <w:r>
                    <w:rPr>
                      <w:color w:val="404040"/>
                      <w:w w:val="100"/>
                      <w:sz w:val="16"/>
                    </w:rPr>
                    <w:t>15.9</w:t>
                  </w:r>
                </w:p>
                <w:p>
                  <w:pPr>
                    <w:spacing w:before="21"/>
                    <w:ind w:left="75" w:right="0" w:firstLine="0"/>
                    <w:jc w:val="left"/>
                    <w:rPr>
                      <w:sz w:val="16"/>
                    </w:rPr>
                  </w:pPr>
                  <w:r>
                    <w:rPr>
                      <w:color w:val="404040"/>
                      <w:w w:val="100"/>
                      <w:sz w:val="16"/>
                    </w:rPr>
                    <w:t>16.4</w:t>
                  </w:r>
                </w:p>
                <w:p>
                  <w:pPr>
                    <w:spacing w:before="21"/>
                    <w:ind w:left="83" w:right="0" w:firstLine="0"/>
                    <w:jc w:val="left"/>
                    <w:rPr>
                      <w:sz w:val="16"/>
                    </w:rPr>
                  </w:pPr>
                  <w:r>
                    <w:rPr>
                      <w:color w:val="404040"/>
                      <w:w w:val="100"/>
                      <w:sz w:val="16"/>
                    </w:rPr>
                    <w:t>16.5</w:t>
                  </w:r>
                </w:p>
                <w:p>
                  <w:pPr>
                    <w:spacing w:before="21"/>
                    <w:ind w:left="83" w:right="0" w:firstLine="0"/>
                    <w:jc w:val="left"/>
                    <w:rPr>
                      <w:sz w:val="16"/>
                    </w:rPr>
                  </w:pPr>
                  <w:r>
                    <w:rPr>
                      <w:color w:val="404040"/>
                      <w:w w:val="100"/>
                      <w:sz w:val="16"/>
                    </w:rPr>
                    <w:t>16.5</w:t>
                  </w:r>
                </w:p>
                <w:p>
                  <w:pPr>
                    <w:spacing w:before="21"/>
                    <w:ind w:left="79" w:right="0" w:firstLine="0"/>
                    <w:jc w:val="left"/>
                    <w:rPr>
                      <w:sz w:val="16"/>
                    </w:rPr>
                  </w:pPr>
                  <w:r>
                    <w:rPr>
                      <w:color w:val="404040"/>
                      <w:w w:val="100"/>
                      <w:sz w:val="16"/>
                    </w:rPr>
                    <w:t>16.5</w:t>
                  </w:r>
                </w:p>
                <w:p>
                  <w:pPr>
                    <w:spacing w:before="21"/>
                    <w:ind w:left="102" w:right="0" w:firstLine="0"/>
                    <w:jc w:val="left"/>
                    <w:rPr>
                      <w:sz w:val="16"/>
                    </w:rPr>
                  </w:pPr>
                  <w:r>
                    <w:rPr>
                      <w:color w:val="404040"/>
                      <w:w w:val="100"/>
                      <w:sz w:val="16"/>
                    </w:rPr>
                    <w:t>16.7</w:t>
                  </w:r>
                </w:p>
              </w:txbxContent>
            </v:textbox>
            <w10:wrap type="none"/>
          </v:shape>
        </w:pict>
      </w:r>
      <w:r>
        <w:rPr/>
        <w:t>Gráfica 3.1. Participación porcentual de la producción manufacturera en el PIB total de México, 1980-2014</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0"/>
        <w:rPr>
          <w:b/>
        </w:rPr>
      </w:pPr>
    </w:p>
    <w:p>
      <w:pPr>
        <w:spacing w:before="0"/>
        <w:ind w:left="383" w:right="397" w:firstLine="0"/>
        <w:jc w:val="center"/>
        <w:rPr>
          <w:sz w:val="18"/>
        </w:rPr>
      </w:pPr>
      <w:r>
        <w:rPr/>
        <w:pict>
          <v:shape style="position:absolute;margin-left:136.047943pt;margin-top:-32.202663pt;width:359.6pt;height:20.05pt;mso-position-horizontal-relative:page;mso-position-vertical-relative:paragraph;z-index:1936" type="#_x0000_t202" filled="false" stroked="false">
            <v:textbox inset="0,0,0,0" style="layout-flow:vertical;mso-layout-flow-alt:bottom-to-top">
              <w:txbxContent>
                <w:p>
                  <w:pPr>
                    <w:spacing w:line="203" w:lineRule="exact" w:before="0"/>
                    <w:ind w:left="20" w:right="0" w:firstLine="0"/>
                    <w:jc w:val="left"/>
                    <w:rPr>
                      <w:sz w:val="18"/>
                    </w:rPr>
                  </w:pPr>
                  <w:r>
                    <w:rPr>
                      <w:color w:val="585858"/>
                      <w:spacing w:val="1"/>
                      <w:sz w:val="18"/>
                    </w:rPr>
                    <w:t>1</w:t>
                  </w:r>
                  <w:r>
                    <w:rPr>
                      <w:color w:val="585858"/>
                      <w:spacing w:val="-2"/>
                      <w:sz w:val="18"/>
                    </w:rPr>
                    <w:t>9</w:t>
                  </w:r>
                  <w:r>
                    <w:rPr>
                      <w:color w:val="585858"/>
                      <w:spacing w:val="1"/>
                      <w:sz w:val="18"/>
                    </w:rPr>
                    <w:t>8</w:t>
                  </w:r>
                  <w:r>
                    <w:rPr>
                      <w:color w:val="585858"/>
                      <w:sz w:val="18"/>
                    </w:rPr>
                    <w:t>0</w:t>
                  </w:r>
                </w:p>
                <w:p>
                  <w:pPr>
                    <w:spacing w:line="205" w:lineRule="exact" w:before="0"/>
                    <w:ind w:left="20" w:right="0" w:firstLine="0"/>
                    <w:jc w:val="left"/>
                    <w:rPr>
                      <w:sz w:val="18"/>
                    </w:rPr>
                  </w:pPr>
                  <w:r>
                    <w:rPr>
                      <w:color w:val="585858"/>
                      <w:spacing w:val="1"/>
                      <w:sz w:val="18"/>
                    </w:rPr>
                    <w:t>1</w:t>
                  </w:r>
                  <w:r>
                    <w:rPr>
                      <w:color w:val="585858"/>
                      <w:spacing w:val="-2"/>
                      <w:sz w:val="18"/>
                    </w:rPr>
                    <w:t>9</w:t>
                  </w:r>
                  <w:r>
                    <w:rPr>
                      <w:color w:val="585858"/>
                      <w:spacing w:val="1"/>
                      <w:sz w:val="18"/>
                    </w:rPr>
                    <w:t>8</w:t>
                  </w:r>
                  <w:r>
                    <w:rPr>
                      <w:color w:val="585858"/>
                      <w:sz w:val="18"/>
                    </w:rPr>
                    <w:t>1</w:t>
                  </w:r>
                </w:p>
                <w:p>
                  <w:pPr>
                    <w:spacing w:line="205" w:lineRule="exact" w:before="0"/>
                    <w:ind w:left="20" w:right="0" w:firstLine="0"/>
                    <w:jc w:val="left"/>
                    <w:rPr>
                      <w:sz w:val="18"/>
                    </w:rPr>
                  </w:pPr>
                  <w:r>
                    <w:rPr>
                      <w:color w:val="585858"/>
                      <w:spacing w:val="1"/>
                      <w:sz w:val="18"/>
                    </w:rPr>
                    <w:t>1</w:t>
                  </w:r>
                  <w:r>
                    <w:rPr>
                      <w:color w:val="585858"/>
                      <w:spacing w:val="-2"/>
                      <w:sz w:val="18"/>
                    </w:rPr>
                    <w:t>9</w:t>
                  </w:r>
                  <w:r>
                    <w:rPr>
                      <w:color w:val="585858"/>
                      <w:spacing w:val="1"/>
                      <w:sz w:val="18"/>
                    </w:rPr>
                    <w:t>8</w:t>
                  </w:r>
                  <w:r>
                    <w:rPr>
                      <w:color w:val="585858"/>
                      <w:sz w:val="18"/>
                    </w:rPr>
                    <w:t>2</w:t>
                  </w:r>
                </w:p>
                <w:p>
                  <w:pPr>
                    <w:spacing w:line="205" w:lineRule="exact" w:before="0"/>
                    <w:ind w:left="20" w:right="0" w:firstLine="0"/>
                    <w:jc w:val="left"/>
                    <w:rPr>
                      <w:sz w:val="18"/>
                    </w:rPr>
                  </w:pPr>
                  <w:r>
                    <w:rPr>
                      <w:color w:val="585858"/>
                      <w:spacing w:val="1"/>
                      <w:sz w:val="18"/>
                    </w:rPr>
                    <w:t>1</w:t>
                  </w:r>
                  <w:r>
                    <w:rPr>
                      <w:color w:val="585858"/>
                      <w:spacing w:val="-2"/>
                      <w:sz w:val="18"/>
                    </w:rPr>
                    <w:t>9</w:t>
                  </w:r>
                  <w:r>
                    <w:rPr>
                      <w:color w:val="585858"/>
                      <w:spacing w:val="1"/>
                      <w:sz w:val="18"/>
                    </w:rPr>
                    <w:t>8</w:t>
                  </w:r>
                  <w:r>
                    <w:rPr>
                      <w:color w:val="585858"/>
                      <w:sz w:val="18"/>
                    </w:rPr>
                    <w:t>3</w:t>
                  </w:r>
                </w:p>
                <w:p>
                  <w:pPr>
                    <w:spacing w:line="205" w:lineRule="exact" w:before="0"/>
                    <w:ind w:left="20" w:right="0" w:firstLine="0"/>
                    <w:jc w:val="left"/>
                    <w:rPr>
                      <w:sz w:val="18"/>
                    </w:rPr>
                  </w:pPr>
                  <w:r>
                    <w:rPr>
                      <w:color w:val="585858"/>
                      <w:spacing w:val="1"/>
                      <w:sz w:val="18"/>
                    </w:rPr>
                    <w:t>1</w:t>
                  </w:r>
                  <w:r>
                    <w:rPr>
                      <w:color w:val="585858"/>
                      <w:spacing w:val="-2"/>
                      <w:sz w:val="18"/>
                    </w:rPr>
                    <w:t>9</w:t>
                  </w:r>
                  <w:r>
                    <w:rPr>
                      <w:color w:val="585858"/>
                      <w:spacing w:val="1"/>
                      <w:sz w:val="18"/>
                    </w:rPr>
                    <w:t>8</w:t>
                  </w:r>
                  <w:r>
                    <w:rPr>
                      <w:color w:val="585858"/>
                      <w:sz w:val="18"/>
                    </w:rPr>
                    <w:t>4</w:t>
                  </w:r>
                </w:p>
                <w:p>
                  <w:pPr>
                    <w:spacing w:line="205" w:lineRule="exact" w:before="0"/>
                    <w:ind w:left="20" w:right="0" w:firstLine="0"/>
                    <w:jc w:val="left"/>
                    <w:rPr>
                      <w:sz w:val="18"/>
                    </w:rPr>
                  </w:pPr>
                  <w:r>
                    <w:rPr>
                      <w:color w:val="585858"/>
                      <w:spacing w:val="1"/>
                      <w:sz w:val="18"/>
                    </w:rPr>
                    <w:t>1</w:t>
                  </w:r>
                  <w:r>
                    <w:rPr>
                      <w:color w:val="585858"/>
                      <w:spacing w:val="-2"/>
                      <w:sz w:val="18"/>
                    </w:rPr>
                    <w:t>9</w:t>
                  </w:r>
                  <w:r>
                    <w:rPr>
                      <w:color w:val="585858"/>
                      <w:spacing w:val="1"/>
                      <w:sz w:val="18"/>
                    </w:rPr>
                    <w:t>8</w:t>
                  </w:r>
                  <w:r>
                    <w:rPr>
                      <w:color w:val="585858"/>
                      <w:sz w:val="18"/>
                    </w:rPr>
                    <w:t>5</w:t>
                  </w:r>
                </w:p>
                <w:p>
                  <w:pPr>
                    <w:spacing w:line="205" w:lineRule="exact" w:before="0"/>
                    <w:ind w:left="20" w:right="0" w:firstLine="0"/>
                    <w:jc w:val="left"/>
                    <w:rPr>
                      <w:sz w:val="18"/>
                    </w:rPr>
                  </w:pPr>
                  <w:r>
                    <w:rPr>
                      <w:color w:val="585858"/>
                      <w:spacing w:val="1"/>
                      <w:sz w:val="18"/>
                    </w:rPr>
                    <w:t>1</w:t>
                  </w:r>
                  <w:r>
                    <w:rPr>
                      <w:color w:val="585858"/>
                      <w:spacing w:val="-2"/>
                      <w:sz w:val="18"/>
                    </w:rPr>
                    <w:t>9</w:t>
                  </w:r>
                  <w:r>
                    <w:rPr>
                      <w:color w:val="585858"/>
                      <w:spacing w:val="1"/>
                      <w:sz w:val="18"/>
                    </w:rPr>
                    <w:t>8</w:t>
                  </w:r>
                  <w:r>
                    <w:rPr>
                      <w:color w:val="585858"/>
                      <w:sz w:val="18"/>
                    </w:rPr>
                    <w:t>6</w:t>
                  </w:r>
                </w:p>
                <w:p>
                  <w:pPr>
                    <w:spacing w:line="205" w:lineRule="exact" w:before="0"/>
                    <w:ind w:left="20" w:right="0" w:firstLine="0"/>
                    <w:jc w:val="left"/>
                    <w:rPr>
                      <w:sz w:val="18"/>
                    </w:rPr>
                  </w:pPr>
                  <w:r>
                    <w:rPr>
                      <w:color w:val="585858"/>
                      <w:spacing w:val="1"/>
                      <w:sz w:val="18"/>
                    </w:rPr>
                    <w:t>1</w:t>
                  </w:r>
                  <w:r>
                    <w:rPr>
                      <w:color w:val="585858"/>
                      <w:spacing w:val="-2"/>
                      <w:sz w:val="18"/>
                    </w:rPr>
                    <w:t>9</w:t>
                  </w:r>
                  <w:r>
                    <w:rPr>
                      <w:color w:val="585858"/>
                      <w:spacing w:val="1"/>
                      <w:sz w:val="18"/>
                    </w:rPr>
                    <w:t>8</w:t>
                  </w:r>
                  <w:r>
                    <w:rPr>
                      <w:color w:val="585858"/>
                      <w:sz w:val="18"/>
                    </w:rPr>
                    <w:t>7</w:t>
                  </w:r>
                </w:p>
                <w:p>
                  <w:pPr>
                    <w:spacing w:line="205" w:lineRule="exact" w:before="0"/>
                    <w:ind w:left="20" w:right="0" w:firstLine="0"/>
                    <w:jc w:val="left"/>
                    <w:rPr>
                      <w:sz w:val="18"/>
                    </w:rPr>
                  </w:pPr>
                  <w:r>
                    <w:rPr>
                      <w:color w:val="585858"/>
                      <w:spacing w:val="1"/>
                      <w:sz w:val="18"/>
                    </w:rPr>
                    <w:t>1</w:t>
                  </w:r>
                  <w:r>
                    <w:rPr>
                      <w:color w:val="585858"/>
                      <w:spacing w:val="-2"/>
                      <w:sz w:val="18"/>
                    </w:rPr>
                    <w:t>9</w:t>
                  </w:r>
                  <w:r>
                    <w:rPr>
                      <w:color w:val="585858"/>
                      <w:spacing w:val="1"/>
                      <w:sz w:val="18"/>
                    </w:rPr>
                    <w:t>8</w:t>
                  </w:r>
                  <w:r>
                    <w:rPr>
                      <w:color w:val="585858"/>
                      <w:sz w:val="18"/>
                    </w:rPr>
                    <w:t>8</w:t>
                  </w:r>
                </w:p>
                <w:p>
                  <w:pPr>
                    <w:spacing w:line="205" w:lineRule="exact" w:before="0"/>
                    <w:ind w:left="20" w:right="0" w:firstLine="0"/>
                    <w:jc w:val="left"/>
                    <w:rPr>
                      <w:sz w:val="18"/>
                    </w:rPr>
                  </w:pPr>
                  <w:r>
                    <w:rPr>
                      <w:color w:val="585858"/>
                      <w:spacing w:val="1"/>
                      <w:sz w:val="18"/>
                    </w:rPr>
                    <w:t>1</w:t>
                  </w:r>
                  <w:r>
                    <w:rPr>
                      <w:color w:val="585858"/>
                      <w:spacing w:val="-2"/>
                      <w:sz w:val="18"/>
                    </w:rPr>
                    <w:t>9</w:t>
                  </w:r>
                  <w:r>
                    <w:rPr>
                      <w:color w:val="585858"/>
                      <w:spacing w:val="1"/>
                      <w:sz w:val="18"/>
                    </w:rPr>
                    <w:t>8</w:t>
                  </w:r>
                  <w:r>
                    <w:rPr>
                      <w:color w:val="585858"/>
                      <w:sz w:val="18"/>
                    </w:rPr>
                    <w:t>9</w:t>
                  </w:r>
                </w:p>
                <w:p>
                  <w:pPr>
                    <w:spacing w:line="205" w:lineRule="exact" w:before="0"/>
                    <w:ind w:left="20" w:right="0" w:firstLine="0"/>
                    <w:jc w:val="left"/>
                    <w:rPr>
                      <w:sz w:val="18"/>
                    </w:rPr>
                  </w:pPr>
                  <w:r>
                    <w:rPr>
                      <w:color w:val="585858"/>
                      <w:spacing w:val="1"/>
                      <w:sz w:val="18"/>
                    </w:rPr>
                    <w:t>1</w:t>
                  </w:r>
                  <w:r>
                    <w:rPr>
                      <w:color w:val="585858"/>
                      <w:spacing w:val="-2"/>
                      <w:sz w:val="18"/>
                    </w:rPr>
                    <w:t>9</w:t>
                  </w:r>
                  <w:r>
                    <w:rPr>
                      <w:color w:val="585858"/>
                      <w:spacing w:val="1"/>
                      <w:sz w:val="18"/>
                    </w:rPr>
                    <w:t>9</w:t>
                  </w:r>
                  <w:r>
                    <w:rPr>
                      <w:color w:val="585858"/>
                      <w:sz w:val="18"/>
                    </w:rPr>
                    <w:t>0</w:t>
                  </w:r>
                </w:p>
                <w:p>
                  <w:pPr>
                    <w:spacing w:line="205" w:lineRule="exact" w:before="0"/>
                    <w:ind w:left="20" w:right="0" w:firstLine="0"/>
                    <w:jc w:val="left"/>
                    <w:rPr>
                      <w:sz w:val="18"/>
                    </w:rPr>
                  </w:pPr>
                  <w:r>
                    <w:rPr>
                      <w:color w:val="585858"/>
                      <w:spacing w:val="1"/>
                      <w:sz w:val="18"/>
                    </w:rPr>
                    <w:t>1</w:t>
                  </w:r>
                  <w:r>
                    <w:rPr>
                      <w:color w:val="585858"/>
                      <w:spacing w:val="-2"/>
                      <w:sz w:val="18"/>
                    </w:rPr>
                    <w:t>9</w:t>
                  </w:r>
                  <w:r>
                    <w:rPr>
                      <w:color w:val="585858"/>
                      <w:spacing w:val="1"/>
                      <w:sz w:val="18"/>
                    </w:rPr>
                    <w:t>9</w:t>
                  </w:r>
                  <w:r>
                    <w:rPr>
                      <w:color w:val="585858"/>
                      <w:sz w:val="18"/>
                    </w:rPr>
                    <w:t>1</w:t>
                  </w:r>
                </w:p>
                <w:p>
                  <w:pPr>
                    <w:spacing w:line="205" w:lineRule="exact" w:before="0"/>
                    <w:ind w:left="20" w:right="0" w:firstLine="0"/>
                    <w:jc w:val="left"/>
                    <w:rPr>
                      <w:sz w:val="18"/>
                    </w:rPr>
                  </w:pPr>
                  <w:r>
                    <w:rPr>
                      <w:color w:val="585858"/>
                      <w:spacing w:val="1"/>
                      <w:sz w:val="18"/>
                    </w:rPr>
                    <w:t>1</w:t>
                  </w:r>
                  <w:r>
                    <w:rPr>
                      <w:color w:val="585858"/>
                      <w:spacing w:val="-2"/>
                      <w:sz w:val="18"/>
                    </w:rPr>
                    <w:t>9</w:t>
                  </w:r>
                  <w:r>
                    <w:rPr>
                      <w:color w:val="585858"/>
                      <w:spacing w:val="1"/>
                      <w:sz w:val="18"/>
                    </w:rPr>
                    <w:t>9</w:t>
                  </w:r>
                  <w:r>
                    <w:rPr>
                      <w:color w:val="585858"/>
                      <w:sz w:val="18"/>
                    </w:rPr>
                    <w:t>2</w:t>
                  </w:r>
                </w:p>
                <w:p>
                  <w:pPr>
                    <w:spacing w:line="205" w:lineRule="exact" w:before="0"/>
                    <w:ind w:left="20" w:right="0" w:firstLine="0"/>
                    <w:jc w:val="left"/>
                    <w:rPr>
                      <w:sz w:val="18"/>
                    </w:rPr>
                  </w:pPr>
                  <w:r>
                    <w:rPr>
                      <w:color w:val="585858"/>
                      <w:spacing w:val="1"/>
                      <w:sz w:val="18"/>
                    </w:rPr>
                    <w:t>1</w:t>
                  </w:r>
                  <w:r>
                    <w:rPr>
                      <w:color w:val="585858"/>
                      <w:spacing w:val="-2"/>
                      <w:sz w:val="18"/>
                    </w:rPr>
                    <w:t>9</w:t>
                  </w:r>
                  <w:r>
                    <w:rPr>
                      <w:color w:val="585858"/>
                      <w:spacing w:val="1"/>
                      <w:sz w:val="18"/>
                    </w:rPr>
                    <w:t>9</w:t>
                  </w:r>
                  <w:r>
                    <w:rPr>
                      <w:color w:val="585858"/>
                      <w:sz w:val="18"/>
                    </w:rPr>
                    <w:t>3</w:t>
                  </w:r>
                </w:p>
                <w:p>
                  <w:pPr>
                    <w:spacing w:line="205" w:lineRule="exact" w:before="0"/>
                    <w:ind w:left="20" w:right="0" w:firstLine="0"/>
                    <w:jc w:val="left"/>
                    <w:rPr>
                      <w:sz w:val="18"/>
                    </w:rPr>
                  </w:pPr>
                  <w:r>
                    <w:rPr>
                      <w:color w:val="585858"/>
                      <w:spacing w:val="1"/>
                      <w:sz w:val="18"/>
                    </w:rPr>
                    <w:t>1</w:t>
                  </w:r>
                  <w:r>
                    <w:rPr>
                      <w:color w:val="585858"/>
                      <w:spacing w:val="-2"/>
                      <w:sz w:val="18"/>
                    </w:rPr>
                    <w:t>9</w:t>
                  </w:r>
                  <w:r>
                    <w:rPr>
                      <w:color w:val="585858"/>
                      <w:spacing w:val="1"/>
                      <w:sz w:val="18"/>
                    </w:rPr>
                    <w:t>9</w:t>
                  </w:r>
                  <w:r>
                    <w:rPr>
                      <w:color w:val="585858"/>
                      <w:sz w:val="18"/>
                    </w:rPr>
                    <w:t>4</w:t>
                  </w:r>
                </w:p>
                <w:p>
                  <w:pPr>
                    <w:spacing w:line="205" w:lineRule="exact" w:before="0"/>
                    <w:ind w:left="20" w:right="0" w:firstLine="0"/>
                    <w:jc w:val="left"/>
                    <w:rPr>
                      <w:sz w:val="18"/>
                    </w:rPr>
                  </w:pPr>
                  <w:r>
                    <w:rPr>
                      <w:color w:val="585858"/>
                      <w:spacing w:val="1"/>
                      <w:sz w:val="18"/>
                    </w:rPr>
                    <w:t>1</w:t>
                  </w:r>
                  <w:r>
                    <w:rPr>
                      <w:color w:val="585858"/>
                      <w:spacing w:val="-2"/>
                      <w:sz w:val="18"/>
                    </w:rPr>
                    <w:t>9</w:t>
                  </w:r>
                  <w:r>
                    <w:rPr>
                      <w:color w:val="585858"/>
                      <w:spacing w:val="1"/>
                      <w:sz w:val="18"/>
                    </w:rPr>
                    <w:t>9</w:t>
                  </w:r>
                  <w:r>
                    <w:rPr>
                      <w:color w:val="585858"/>
                      <w:sz w:val="18"/>
                    </w:rPr>
                    <w:t>5</w:t>
                  </w:r>
                </w:p>
                <w:p>
                  <w:pPr>
                    <w:spacing w:line="205" w:lineRule="exact" w:before="0"/>
                    <w:ind w:left="20" w:right="0" w:firstLine="0"/>
                    <w:jc w:val="left"/>
                    <w:rPr>
                      <w:sz w:val="18"/>
                    </w:rPr>
                  </w:pPr>
                  <w:r>
                    <w:rPr>
                      <w:color w:val="585858"/>
                      <w:spacing w:val="1"/>
                      <w:sz w:val="18"/>
                    </w:rPr>
                    <w:t>1</w:t>
                  </w:r>
                  <w:r>
                    <w:rPr>
                      <w:color w:val="585858"/>
                      <w:spacing w:val="-2"/>
                      <w:sz w:val="18"/>
                    </w:rPr>
                    <w:t>9</w:t>
                  </w:r>
                  <w:r>
                    <w:rPr>
                      <w:color w:val="585858"/>
                      <w:spacing w:val="1"/>
                      <w:sz w:val="18"/>
                    </w:rPr>
                    <w:t>9</w:t>
                  </w:r>
                  <w:r>
                    <w:rPr>
                      <w:color w:val="585858"/>
                      <w:sz w:val="18"/>
                    </w:rPr>
                    <w:t>6</w:t>
                  </w:r>
                </w:p>
                <w:p>
                  <w:pPr>
                    <w:spacing w:line="205" w:lineRule="exact" w:before="0"/>
                    <w:ind w:left="20" w:right="0" w:firstLine="0"/>
                    <w:jc w:val="left"/>
                    <w:rPr>
                      <w:sz w:val="18"/>
                    </w:rPr>
                  </w:pPr>
                  <w:r>
                    <w:rPr>
                      <w:color w:val="585858"/>
                      <w:spacing w:val="1"/>
                      <w:sz w:val="18"/>
                    </w:rPr>
                    <w:t>1</w:t>
                  </w:r>
                  <w:r>
                    <w:rPr>
                      <w:color w:val="585858"/>
                      <w:spacing w:val="-2"/>
                      <w:sz w:val="18"/>
                    </w:rPr>
                    <w:t>9</w:t>
                  </w:r>
                  <w:r>
                    <w:rPr>
                      <w:color w:val="585858"/>
                      <w:spacing w:val="1"/>
                      <w:sz w:val="18"/>
                    </w:rPr>
                    <w:t>9</w:t>
                  </w:r>
                  <w:r>
                    <w:rPr>
                      <w:color w:val="585858"/>
                      <w:sz w:val="18"/>
                    </w:rPr>
                    <w:t>7</w:t>
                  </w:r>
                </w:p>
                <w:p>
                  <w:pPr>
                    <w:spacing w:line="205" w:lineRule="exact" w:before="0"/>
                    <w:ind w:left="20" w:right="0" w:firstLine="0"/>
                    <w:jc w:val="left"/>
                    <w:rPr>
                      <w:sz w:val="18"/>
                    </w:rPr>
                  </w:pPr>
                  <w:r>
                    <w:rPr>
                      <w:color w:val="585858"/>
                      <w:spacing w:val="1"/>
                      <w:sz w:val="18"/>
                    </w:rPr>
                    <w:t>1</w:t>
                  </w:r>
                  <w:r>
                    <w:rPr>
                      <w:color w:val="585858"/>
                      <w:spacing w:val="-2"/>
                      <w:sz w:val="18"/>
                    </w:rPr>
                    <w:t>9</w:t>
                  </w:r>
                  <w:r>
                    <w:rPr>
                      <w:color w:val="585858"/>
                      <w:spacing w:val="1"/>
                      <w:sz w:val="18"/>
                    </w:rPr>
                    <w:t>9</w:t>
                  </w:r>
                  <w:r>
                    <w:rPr>
                      <w:color w:val="585858"/>
                      <w:sz w:val="18"/>
                    </w:rPr>
                    <w:t>8</w:t>
                  </w:r>
                </w:p>
                <w:p>
                  <w:pPr>
                    <w:spacing w:line="205" w:lineRule="exact" w:before="0"/>
                    <w:ind w:left="20" w:right="0" w:firstLine="0"/>
                    <w:jc w:val="left"/>
                    <w:rPr>
                      <w:sz w:val="18"/>
                    </w:rPr>
                  </w:pPr>
                  <w:r>
                    <w:rPr>
                      <w:color w:val="585858"/>
                      <w:spacing w:val="1"/>
                      <w:sz w:val="18"/>
                    </w:rPr>
                    <w:t>1</w:t>
                  </w:r>
                  <w:r>
                    <w:rPr>
                      <w:color w:val="585858"/>
                      <w:spacing w:val="-2"/>
                      <w:sz w:val="18"/>
                    </w:rPr>
                    <w:t>9</w:t>
                  </w:r>
                  <w:r>
                    <w:rPr>
                      <w:color w:val="585858"/>
                      <w:spacing w:val="1"/>
                      <w:sz w:val="18"/>
                    </w:rPr>
                    <w:t>9</w:t>
                  </w:r>
                  <w:r>
                    <w:rPr>
                      <w:color w:val="585858"/>
                      <w:sz w:val="18"/>
                    </w:rPr>
                    <w:t>9</w:t>
                  </w:r>
                </w:p>
                <w:p>
                  <w:pPr>
                    <w:spacing w:line="205" w:lineRule="exact" w:before="0"/>
                    <w:ind w:left="20" w:right="0" w:firstLine="0"/>
                    <w:jc w:val="left"/>
                    <w:rPr>
                      <w:sz w:val="18"/>
                    </w:rPr>
                  </w:pPr>
                  <w:r>
                    <w:rPr>
                      <w:color w:val="585858"/>
                      <w:spacing w:val="1"/>
                      <w:sz w:val="18"/>
                    </w:rPr>
                    <w:t>2</w:t>
                  </w:r>
                  <w:r>
                    <w:rPr>
                      <w:color w:val="585858"/>
                      <w:spacing w:val="-2"/>
                      <w:sz w:val="18"/>
                    </w:rPr>
                    <w:t>0</w:t>
                  </w:r>
                  <w:r>
                    <w:rPr>
                      <w:color w:val="585858"/>
                      <w:spacing w:val="1"/>
                      <w:sz w:val="18"/>
                    </w:rPr>
                    <w:t>0</w:t>
                  </w:r>
                  <w:r>
                    <w:rPr>
                      <w:color w:val="585858"/>
                      <w:sz w:val="18"/>
                    </w:rPr>
                    <w:t>0</w:t>
                  </w:r>
                </w:p>
                <w:p>
                  <w:pPr>
                    <w:spacing w:line="205" w:lineRule="exact" w:before="0"/>
                    <w:ind w:left="20" w:right="0" w:firstLine="0"/>
                    <w:jc w:val="left"/>
                    <w:rPr>
                      <w:sz w:val="18"/>
                    </w:rPr>
                  </w:pPr>
                  <w:r>
                    <w:rPr>
                      <w:color w:val="585858"/>
                      <w:spacing w:val="1"/>
                      <w:sz w:val="18"/>
                    </w:rPr>
                    <w:t>2</w:t>
                  </w:r>
                  <w:r>
                    <w:rPr>
                      <w:color w:val="585858"/>
                      <w:spacing w:val="-2"/>
                      <w:sz w:val="18"/>
                    </w:rPr>
                    <w:t>0</w:t>
                  </w:r>
                  <w:r>
                    <w:rPr>
                      <w:color w:val="585858"/>
                      <w:spacing w:val="1"/>
                      <w:sz w:val="18"/>
                    </w:rPr>
                    <w:t>0</w:t>
                  </w:r>
                  <w:r>
                    <w:rPr>
                      <w:color w:val="585858"/>
                      <w:sz w:val="18"/>
                    </w:rPr>
                    <w:t>1</w:t>
                  </w:r>
                </w:p>
                <w:p>
                  <w:pPr>
                    <w:spacing w:line="205" w:lineRule="exact" w:before="0"/>
                    <w:ind w:left="20" w:right="0" w:firstLine="0"/>
                    <w:jc w:val="left"/>
                    <w:rPr>
                      <w:sz w:val="18"/>
                    </w:rPr>
                  </w:pPr>
                  <w:r>
                    <w:rPr>
                      <w:color w:val="585858"/>
                      <w:spacing w:val="1"/>
                      <w:sz w:val="18"/>
                    </w:rPr>
                    <w:t>2</w:t>
                  </w:r>
                  <w:r>
                    <w:rPr>
                      <w:color w:val="585858"/>
                      <w:spacing w:val="-2"/>
                      <w:sz w:val="18"/>
                    </w:rPr>
                    <w:t>0</w:t>
                  </w:r>
                  <w:r>
                    <w:rPr>
                      <w:color w:val="585858"/>
                      <w:spacing w:val="1"/>
                      <w:sz w:val="18"/>
                    </w:rPr>
                    <w:t>0</w:t>
                  </w:r>
                  <w:r>
                    <w:rPr>
                      <w:color w:val="585858"/>
                      <w:sz w:val="18"/>
                    </w:rPr>
                    <w:t>2</w:t>
                  </w:r>
                </w:p>
                <w:p>
                  <w:pPr>
                    <w:spacing w:line="205" w:lineRule="exact" w:before="0"/>
                    <w:ind w:left="20" w:right="0" w:firstLine="0"/>
                    <w:jc w:val="left"/>
                    <w:rPr>
                      <w:sz w:val="18"/>
                    </w:rPr>
                  </w:pPr>
                  <w:r>
                    <w:rPr>
                      <w:color w:val="585858"/>
                      <w:spacing w:val="1"/>
                      <w:sz w:val="18"/>
                    </w:rPr>
                    <w:t>2</w:t>
                  </w:r>
                  <w:r>
                    <w:rPr>
                      <w:color w:val="585858"/>
                      <w:spacing w:val="-2"/>
                      <w:sz w:val="18"/>
                    </w:rPr>
                    <w:t>0</w:t>
                  </w:r>
                  <w:r>
                    <w:rPr>
                      <w:color w:val="585858"/>
                      <w:spacing w:val="1"/>
                      <w:sz w:val="18"/>
                    </w:rPr>
                    <w:t>0</w:t>
                  </w:r>
                  <w:r>
                    <w:rPr>
                      <w:color w:val="585858"/>
                      <w:sz w:val="18"/>
                    </w:rPr>
                    <w:t>3</w:t>
                  </w:r>
                </w:p>
                <w:p>
                  <w:pPr>
                    <w:spacing w:line="205" w:lineRule="exact" w:before="0"/>
                    <w:ind w:left="20" w:right="0" w:firstLine="0"/>
                    <w:jc w:val="left"/>
                    <w:rPr>
                      <w:sz w:val="18"/>
                    </w:rPr>
                  </w:pPr>
                  <w:r>
                    <w:rPr>
                      <w:color w:val="585858"/>
                      <w:spacing w:val="1"/>
                      <w:sz w:val="18"/>
                    </w:rPr>
                    <w:t>2</w:t>
                  </w:r>
                  <w:r>
                    <w:rPr>
                      <w:color w:val="585858"/>
                      <w:spacing w:val="-2"/>
                      <w:sz w:val="18"/>
                    </w:rPr>
                    <w:t>0</w:t>
                  </w:r>
                  <w:r>
                    <w:rPr>
                      <w:color w:val="585858"/>
                      <w:spacing w:val="1"/>
                      <w:sz w:val="18"/>
                    </w:rPr>
                    <w:t>0</w:t>
                  </w:r>
                  <w:r>
                    <w:rPr>
                      <w:color w:val="585858"/>
                      <w:sz w:val="18"/>
                    </w:rPr>
                    <w:t>4</w:t>
                  </w:r>
                </w:p>
                <w:p>
                  <w:pPr>
                    <w:spacing w:line="205" w:lineRule="exact" w:before="0"/>
                    <w:ind w:left="20" w:right="0" w:firstLine="0"/>
                    <w:jc w:val="left"/>
                    <w:rPr>
                      <w:sz w:val="18"/>
                    </w:rPr>
                  </w:pPr>
                  <w:r>
                    <w:rPr>
                      <w:color w:val="585858"/>
                      <w:spacing w:val="1"/>
                      <w:sz w:val="18"/>
                    </w:rPr>
                    <w:t>2</w:t>
                  </w:r>
                  <w:r>
                    <w:rPr>
                      <w:color w:val="585858"/>
                      <w:spacing w:val="-2"/>
                      <w:sz w:val="18"/>
                    </w:rPr>
                    <w:t>0</w:t>
                  </w:r>
                  <w:r>
                    <w:rPr>
                      <w:color w:val="585858"/>
                      <w:spacing w:val="1"/>
                      <w:sz w:val="18"/>
                    </w:rPr>
                    <w:t>0</w:t>
                  </w:r>
                  <w:r>
                    <w:rPr>
                      <w:color w:val="585858"/>
                      <w:sz w:val="18"/>
                    </w:rPr>
                    <w:t>5</w:t>
                  </w:r>
                </w:p>
                <w:p>
                  <w:pPr>
                    <w:spacing w:line="205" w:lineRule="exact" w:before="0"/>
                    <w:ind w:left="20" w:right="0" w:firstLine="0"/>
                    <w:jc w:val="left"/>
                    <w:rPr>
                      <w:sz w:val="18"/>
                    </w:rPr>
                  </w:pPr>
                  <w:r>
                    <w:rPr>
                      <w:color w:val="585858"/>
                      <w:spacing w:val="1"/>
                      <w:sz w:val="18"/>
                    </w:rPr>
                    <w:t>2</w:t>
                  </w:r>
                  <w:r>
                    <w:rPr>
                      <w:color w:val="585858"/>
                      <w:spacing w:val="-2"/>
                      <w:sz w:val="18"/>
                    </w:rPr>
                    <w:t>0</w:t>
                  </w:r>
                  <w:r>
                    <w:rPr>
                      <w:color w:val="585858"/>
                      <w:spacing w:val="1"/>
                      <w:sz w:val="18"/>
                    </w:rPr>
                    <w:t>0</w:t>
                  </w:r>
                  <w:r>
                    <w:rPr>
                      <w:color w:val="585858"/>
                      <w:sz w:val="18"/>
                    </w:rPr>
                    <w:t>6</w:t>
                  </w:r>
                </w:p>
                <w:p>
                  <w:pPr>
                    <w:spacing w:line="205" w:lineRule="exact" w:before="0"/>
                    <w:ind w:left="20" w:right="0" w:firstLine="0"/>
                    <w:jc w:val="left"/>
                    <w:rPr>
                      <w:sz w:val="18"/>
                    </w:rPr>
                  </w:pPr>
                  <w:r>
                    <w:rPr>
                      <w:color w:val="585858"/>
                      <w:spacing w:val="1"/>
                      <w:sz w:val="18"/>
                    </w:rPr>
                    <w:t>2</w:t>
                  </w:r>
                  <w:r>
                    <w:rPr>
                      <w:color w:val="585858"/>
                      <w:spacing w:val="-2"/>
                      <w:sz w:val="18"/>
                    </w:rPr>
                    <w:t>0</w:t>
                  </w:r>
                  <w:r>
                    <w:rPr>
                      <w:color w:val="585858"/>
                      <w:spacing w:val="1"/>
                      <w:sz w:val="18"/>
                    </w:rPr>
                    <w:t>0</w:t>
                  </w:r>
                  <w:r>
                    <w:rPr>
                      <w:color w:val="585858"/>
                      <w:sz w:val="18"/>
                    </w:rPr>
                    <w:t>7</w:t>
                  </w:r>
                </w:p>
                <w:p>
                  <w:pPr>
                    <w:spacing w:line="205" w:lineRule="exact" w:before="0"/>
                    <w:ind w:left="20" w:right="0" w:firstLine="0"/>
                    <w:jc w:val="left"/>
                    <w:rPr>
                      <w:sz w:val="18"/>
                    </w:rPr>
                  </w:pPr>
                  <w:r>
                    <w:rPr>
                      <w:color w:val="585858"/>
                      <w:spacing w:val="1"/>
                      <w:sz w:val="18"/>
                    </w:rPr>
                    <w:t>2</w:t>
                  </w:r>
                  <w:r>
                    <w:rPr>
                      <w:color w:val="585858"/>
                      <w:spacing w:val="-2"/>
                      <w:sz w:val="18"/>
                    </w:rPr>
                    <w:t>0</w:t>
                  </w:r>
                  <w:r>
                    <w:rPr>
                      <w:color w:val="585858"/>
                      <w:spacing w:val="1"/>
                      <w:sz w:val="18"/>
                    </w:rPr>
                    <w:t>0</w:t>
                  </w:r>
                  <w:r>
                    <w:rPr>
                      <w:color w:val="585858"/>
                      <w:sz w:val="18"/>
                    </w:rPr>
                    <w:t>8</w:t>
                  </w:r>
                </w:p>
                <w:p>
                  <w:pPr>
                    <w:spacing w:line="205" w:lineRule="exact" w:before="0"/>
                    <w:ind w:left="20" w:right="0" w:firstLine="0"/>
                    <w:jc w:val="left"/>
                    <w:rPr>
                      <w:sz w:val="18"/>
                    </w:rPr>
                  </w:pPr>
                  <w:r>
                    <w:rPr>
                      <w:color w:val="585858"/>
                      <w:spacing w:val="1"/>
                      <w:sz w:val="18"/>
                    </w:rPr>
                    <w:t>2</w:t>
                  </w:r>
                  <w:r>
                    <w:rPr>
                      <w:color w:val="585858"/>
                      <w:spacing w:val="-2"/>
                      <w:sz w:val="18"/>
                    </w:rPr>
                    <w:t>0</w:t>
                  </w:r>
                  <w:r>
                    <w:rPr>
                      <w:color w:val="585858"/>
                      <w:spacing w:val="1"/>
                      <w:sz w:val="18"/>
                    </w:rPr>
                    <w:t>0</w:t>
                  </w:r>
                  <w:r>
                    <w:rPr>
                      <w:color w:val="585858"/>
                      <w:sz w:val="18"/>
                    </w:rPr>
                    <w:t>9</w:t>
                  </w:r>
                </w:p>
                <w:p>
                  <w:pPr>
                    <w:spacing w:line="205" w:lineRule="exact" w:before="0"/>
                    <w:ind w:left="20" w:right="0" w:firstLine="0"/>
                    <w:jc w:val="left"/>
                    <w:rPr>
                      <w:sz w:val="18"/>
                    </w:rPr>
                  </w:pPr>
                  <w:r>
                    <w:rPr>
                      <w:color w:val="585858"/>
                      <w:spacing w:val="1"/>
                      <w:sz w:val="18"/>
                    </w:rPr>
                    <w:t>2</w:t>
                  </w:r>
                  <w:r>
                    <w:rPr>
                      <w:color w:val="585858"/>
                      <w:spacing w:val="-2"/>
                      <w:sz w:val="18"/>
                    </w:rPr>
                    <w:t>0</w:t>
                  </w:r>
                  <w:r>
                    <w:rPr>
                      <w:color w:val="585858"/>
                      <w:spacing w:val="1"/>
                      <w:sz w:val="18"/>
                    </w:rPr>
                    <w:t>1</w:t>
                  </w:r>
                  <w:r>
                    <w:rPr>
                      <w:color w:val="585858"/>
                      <w:sz w:val="18"/>
                    </w:rPr>
                    <w:t>0</w:t>
                  </w:r>
                </w:p>
                <w:p>
                  <w:pPr>
                    <w:spacing w:line="205" w:lineRule="exact" w:before="0"/>
                    <w:ind w:left="20" w:right="0" w:firstLine="0"/>
                    <w:jc w:val="left"/>
                    <w:rPr>
                      <w:sz w:val="18"/>
                    </w:rPr>
                  </w:pPr>
                  <w:r>
                    <w:rPr>
                      <w:color w:val="585858"/>
                      <w:spacing w:val="1"/>
                      <w:sz w:val="18"/>
                    </w:rPr>
                    <w:t>2</w:t>
                  </w:r>
                  <w:r>
                    <w:rPr>
                      <w:color w:val="585858"/>
                      <w:spacing w:val="-2"/>
                      <w:sz w:val="18"/>
                    </w:rPr>
                    <w:t>0</w:t>
                  </w:r>
                  <w:r>
                    <w:rPr>
                      <w:color w:val="585858"/>
                      <w:spacing w:val="1"/>
                      <w:sz w:val="18"/>
                    </w:rPr>
                    <w:t>1</w:t>
                  </w:r>
                  <w:r>
                    <w:rPr>
                      <w:color w:val="585858"/>
                      <w:sz w:val="18"/>
                    </w:rPr>
                    <w:t>1</w:t>
                  </w:r>
                </w:p>
                <w:p>
                  <w:pPr>
                    <w:spacing w:line="205" w:lineRule="exact" w:before="0"/>
                    <w:ind w:left="20" w:right="0" w:firstLine="0"/>
                    <w:jc w:val="left"/>
                    <w:rPr>
                      <w:sz w:val="18"/>
                    </w:rPr>
                  </w:pPr>
                  <w:r>
                    <w:rPr>
                      <w:color w:val="585858"/>
                      <w:spacing w:val="1"/>
                      <w:sz w:val="18"/>
                    </w:rPr>
                    <w:t>2</w:t>
                  </w:r>
                  <w:r>
                    <w:rPr>
                      <w:color w:val="585858"/>
                      <w:spacing w:val="-2"/>
                      <w:sz w:val="18"/>
                    </w:rPr>
                    <w:t>0</w:t>
                  </w:r>
                  <w:r>
                    <w:rPr>
                      <w:color w:val="585858"/>
                      <w:spacing w:val="1"/>
                      <w:sz w:val="18"/>
                    </w:rPr>
                    <w:t>1</w:t>
                  </w:r>
                  <w:r>
                    <w:rPr>
                      <w:color w:val="585858"/>
                      <w:sz w:val="18"/>
                    </w:rPr>
                    <w:t>2</w:t>
                  </w:r>
                </w:p>
                <w:p>
                  <w:pPr>
                    <w:spacing w:line="205" w:lineRule="exact" w:before="0"/>
                    <w:ind w:left="20" w:right="0" w:firstLine="0"/>
                    <w:jc w:val="left"/>
                    <w:rPr>
                      <w:sz w:val="18"/>
                    </w:rPr>
                  </w:pPr>
                  <w:r>
                    <w:rPr>
                      <w:color w:val="585858"/>
                      <w:spacing w:val="1"/>
                      <w:sz w:val="18"/>
                    </w:rPr>
                    <w:t>2</w:t>
                  </w:r>
                  <w:r>
                    <w:rPr>
                      <w:color w:val="585858"/>
                      <w:spacing w:val="-2"/>
                      <w:sz w:val="18"/>
                    </w:rPr>
                    <w:t>0</w:t>
                  </w:r>
                  <w:r>
                    <w:rPr>
                      <w:color w:val="585858"/>
                      <w:spacing w:val="1"/>
                      <w:sz w:val="18"/>
                    </w:rPr>
                    <w:t>1</w:t>
                  </w:r>
                  <w:r>
                    <w:rPr>
                      <w:color w:val="585858"/>
                      <w:sz w:val="18"/>
                    </w:rPr>
                    <w:t>3</w:t>
                  </w:r>
                </w:p>
                <w:p>
                  <w:pPr>
                    <w:spacing w:line="206" w:lineRule="exact" w:before="0"/>
                    <w:ind w:left="20" w:right="0" w:firstLine="0"/>
                    <w:jc w:val="left"/>
                    <w:rPr>
                      <w:sz w:val="18"/>
                    </w:rPr>
                  </w:pPr>
                  <w:r>
                    <w:rPr>
                      <w:color w:val="585858"/>
                      <w:spacing w:val="1"/>
                      <w:sz w:val="18"/>
                    </w:rPr>
                    <w:t>2</w:t>
                  </w:r>
                  <w:r>
                    <w:rPr>
                      <w:color w:val="585858"/>
                      <w:spacing w:val="-2"/>
                      <w:sz w:val="18"/>
                    </w:rPr>
                    <w:t>0</w:t>
                  </w:r>
                  <w:r>
                    <w:rPr>
                      <w:color w:val="585858"/>
                      <w:spacing w:val="1"/>
                      <w:sz w:val="18"/>
                    </w:rPr>
                    <w:t>1</w:t>
                  </w:r>
                  <w:r>
                    <w:rPr>
                      <w:color w:val="585858"/>
                      <w:sz w:val="18"/>
                    </w:rPr>
                    <w:t>4</w:t>
                  </w:r>
                </w:p>
              </w:txbxContent>
            </v:textbox>
            <w10:wrap type="none"/>
          </v:shape>
        </w:pict>
      </w:r>
      <w:r>
        <w:rPr>
          <w:sz w:val="18"/>
        </w:rPr>
        <w:t>Fuente: Elaboración propia con base en datos de INEGI (2015).</w:t>
      </w:r>
    </w:p>
    <w:p>
      <w:pPr>
        <w:pStyle w:val="BodyText"/>
        <w:rPr>
          <w:sz w:val="18"/>
        </w:rPr>
      </w:pPr>
    </w:p>
    <w:p>
      <w:pPr>
        <w:pStyle w:val="BodyText"/>
        <w:spacing w:line="360" w:lineRule="auto" w:before="135"/>
        <w:ind w:left="102" w:right="118"/>
        <w:jc w:val="both"/>
      </w:pPr>
      <w:r>
        <w:rPr/>
        <w:t>Por otra parte, se observa una relación muy estrecha entre el producto total y el producto manufacturero,</w:t>
      </w:r>
      <w:r>
        <w:rPr>
          <w:spacing w:val="-13"/>
        </w:rPr>
        <w:t> </w:t>
      </w:r>
      <w:r>
        <w:rPr/>
        <w:t>se</w:t>
      </w:r>
      <w:r>
        <w:rPr>
          <w:spacing w:val="-13"/>
        </w:rPr>
        <w:t> </w:t>
      </w:r>
      <w:r>
        <w:rPr/>
        <w:t>trata</w:t>
      </w:r>
      <w:r>
        <w:rPr>
          <w:spacing w:val="-13"/>
        </w:rPr>
        <w:t> </w:t>
      </w:r>
      <w:r>
        <w:rPr/>
        <w:t>de</w:t>
      </w:r>
      <w:r>
        <w:rPr>
          <w:spacing w:val="-13"/>
        </w:rPr>
        <w:t> </w:t>
      </w:r>
      <w:r>
        <w:rPr/>
        <w:t>una</w:t>
      </w:r>
      <w:r>
        <w:rPr>
          <w:spacing w:val="-13"/>
        </w:rPr>
        <w:t> </w:t>
      </w:r>
      <w:r>
        <w:rPr/>
        <w:t>relación</w:t>
      </w:r>
      <w:r>
        <w:rPr>
          <w:spacing w:val="-12"/>
        </w:rPr>
        <w:t> </w:t>
      </w:r>
      <w:r>
        <w:rPr/>
        <w:t>procíclica,</w:t>
      </w:r>
      <w:r>
        <w:rPr>
          <w:spacing w:val="-10"/>
        </w:rPr>
        <w:t> </w:t>
      </w:r>
      <w:r>
        <w:rPr/>
        <w:t>pues</w:t>
      </w:r>
      <w:r>
        <w:rPr>
          <w:spacing w:val="-12"/>
        </w:rPr>
        <w:t> </w:t>
      </w:r>
      <w:r>
        <w:rPr/>
        <w:t>si</w:t>
      </w:r>
      <w:r>
        <w:rPr>
          <w:spacing w:val="-11"/>
        </w:rPr>
        <w:t> </w:t>
      </w:r>
      <w:r>
        <w:rPr/>
        <w:t>la</w:t>
      </w:r>
      <w:r>
        <w:rPr>
          <w:spacing w:val="-13"/>
        </w:rPr>
        <w:t> </w:t>
      </w:r>
      <w:r>
        <w:rPr/>
        <w:t>producción</w:t>
      </w:r>
      <w:r>
        <w:rPr>
          <w:spacing w:val="-12"/>
        </w:rPr>
        <w:t> </w:t>
      </w:r>
      <w:r>
        <w:rPr/>
        <w:t>manufacturera</w:t>
      </w:r>
      <w:r>
        <w:rPr>
          <w:spacing w:val="-14"/>
        </w:rPr>
        <w:t> </w:t>
      </w:r>
      <w:r>
        <w:rPr/>
        <w:t>crece, también crece el PIB nacional y si por el contario la producción del sector manufacturero disminuye,</w:t>
      </w:r>
      <w:r>
        <w:rPr>
          <w:spacing w:val="-5"/>
        </w:rPr>
        <w:t> </w:t>
      </w:r>
      <w:r>
        <w:rPr/>
        <w:t>del</w:t>
      </w:r>
      <w:r>
        <w:rPr>
          <w:spacing w:val="-4"/>
        </w:rPr>
        <w:t> </w:t>
      </w:r>
      <w:r>
        <w:rPr/>
        <w:t>mismo</w:t>
      </w:r>
      <w:r>
        <w:rPr>
          <w:spacing w:val="-4"/>
        </w:rPr>
        <w:t> </w:t>
      </w:r>
      <w:r>
        <w:rPr/>
        <w:t>modo</w:t>
      </w:r>
      <w:r>
        <w:rPr>
          <w:spacing w:val="-5"/>
        </w:rPr>
        <w:t> </w:t>
      </w:r>
      <w:r>
        <w:rPr/>
        <w:t>disminuye</w:t>
      </w:r>
      <w:r>
        <w:rPr>
          <w:spacing w:val="-6"/>
        </w:rPr>
        <w:t> </w:t>
      </w:r>
      <w:r>
        <w:rPr/>
        <w:t>el</w:t>
      </w:r>
      <w:r>
        <w:rPr>
          <w:spacing w:val="-4"/>
        </w:rPr>
        <w:t> </w:t>
      </w:r>
      <w:r>
        <w:rPr/>
        <w:t>producto</w:t>
      </w:r>
      <w:r>
        <w:rPr>
          <w:spacing w:val="-5"/>
        </w:rPr>
        <w:t> </w:t>
      </w:r>
      <w:r>
        <w:rPr/>
        <w:t>total</w:t>
      </w:r>
      <w:r>
        <w:rPr>
          <w:spacing w:val="-4"/>
        </w:rPr>
        <w:t> </w:t>
      </w:r>
      <w:r>
        <w:rPr/>
        <w:t>nacional.</w:t>
      </w:r>
      <w:r>
        <w:rPr>
          <w:spacing w:val="-5"/>
        </w:rPr>
        <w:t> </w:t>
      </w:r>
      <w:r>
        <w:rPr/>
        <w:t>Asimismo</w:t>
      </w:r>
      <w:r>
        <w:rPr>
          <w:spacing w:val="-5"/>
        </w:rPr>
        <w:t> </w:t>
      </w:r>
      <w:r>
        <w:rPr/>
        <w:t>se</w:t>
      </w:r>
      <w:r>
        <w:rPr>
          <w:spacing w:val="-6"/>
        </w:rPr>
        <w:t> </w:t>
      </w:r>
      <w:r>
        <w:rPr/>
        <w:t>observa</w:t>
      </w:r>
      <w:r>
        <w:rPr>
          <w:spacing w:val="-7"/>
        </w:rPr>
        <w:t> </w:t>
      </w:r>
      <w:r>
        <w:rPr/>
        <w:t>que</w:t>
      </w:r>
    </w:p>
    <w:p>
      <w:pPr>
        <w:spacing w:after="0" w:line="360" w:lineRule="auto"/>
        <w:jc w:val="both"/>
        <w:sectPr>
          <w:pgSz w:w="12240" w:h="15840"/>
          <w:pgMar w:header="0" w:footer="1035" w:top="1360" w:bottom="1220" w:left="1600" w:right="1580"/>
        </w:sectPr>
      </w:pPr>
    </w:p>
    <w:p>
      <w:pPr>
        <w:pStyle w:val="BodyText"/>
        <w:spacing w:line="360" w:lineRule="auto" w:before="50"/>
        <w:ind w:left="102" w:right="242"/>
        <w:jc w:val="both"/>
      </w:pPr>
      <w:r>
        <w:rPr/>
        <w:t>en</w:t>
      </w:r>
      <w:r>
        <w:rPr>
          <w:spacing w:val="-12"/>
        </w:rPr>
        <w:t> </w:t>
      </w:r>
      <w:r>
        <w:rPr/>
        <w:t>general</w:t>
      </w:r>
      <w:r>
        <w:rPr>
          <w:spacing w:val="-12"/>
        </w:rPr>
        <w:t> </w:t>
      </w:r>
      <w:r>
        <w:rPr/>
        <w:t>el</w:t>
      </w:r>
      <w:r>
        <w:rPr>
          <w:spacing w:val="-12"/>
        </w:rPr>
        <w:t> </w:t>
      </w:r>
      <w:r>
        <w:rPr/>
        <w:t>PIB</w:t>
      </w:r>
      <w:r>
        <w:rPr>
          <w:spacing w:val="-12"/>
        </w:rPr>
        <w:t> </w:t>
      </w:r>
      <w:r>
        <w:rPr/>
        <w:t>manufacturero</w:t>
      </w:r>
      <w:r>
        <w:rPr>
          <w:spacing w:val="-13"/>
        </w:rPr>
        <w:t> </w:t>
      </w:r>
      <w:r>
        <w:rPr/>
        <w:t>tiene</w:t>
      </w:r>
      <w:r>
        <w:rPr>
          <w:spacing w:val="-13"/>
        </w:rPr>
        <w:t> </w:t>
      </w:r>
      <w:r>
        <w:rPr/>
        <w:t>tasas</w:t>
      </w:r>
      <w:r>
        <w:rPr>
          <w:spacing w:val="-12"/>
        </w:rPr>
        <w:t> </w:t>
      </w:r>
      <w:r>
        <w:rPr/>
        <w:t>de</w:t>
      </w:r>
      <w:r>
        <w:rPr>
          <w:spacing w:val="-13"/>
        </w:rPr>
        <w:t> </w:t>
      </w:r>
      <w:r>
        <w:rPr/>
        <w:t>crecimiento</w:t>
      </w:r>
      <w:r>
        <w:rPr>
          <w:spacing w:val="-12"/>
        </w:rPr>
        <w:t> </w:t>
      </w:r>
      <w:r>
        <w:rPr/>
        <w:t>mayores</w:t>
      </w:r>
      <w:r>
        <w:rPr>
          <w:spacing w:val="-12"/>
        </w:rPr>
        <w:t> </w:t>
      </w:r>
      <w:r>
        <w:rPr/>
        <w:t>al</w:t>
      </w:r>
      <w:r>
        <w:rPr>
          <w:spacing w:val="-12"/>
        </w:rPr>
        <w:t> </w:t>
      </w:r>
      <w:r>
        <w:rPr/>
        <w:t>PIB</w:t>
      </w:r>
      <w:r>
        <w:rPr>
          <w:spacing w:val="-12"/>
        </w:rPr>
        <w:t> </w:t>
      </w:r>
      <w:r>
        <w:rPr/>
        <w:t>total,</w:t>
      </w:r>
      <w:r>
        <w:rPr>
          <w:spacing w:val="-12"/>
        </w:rPr>
        <w:t> </w:t>
      </w:r>
      <w:r>
        <w:rPr/>
        <w:t>sin</w:t>
      </w:r>
      <w:r>
        <w:rPr>
          <w:spacing w:val="-11"/>
        </w:rPr>
        <w:t> </w:t>
      </w:r>
      <w:r>
        <w:rPr/>
        <w:t>embargo muestra también caídas más pronunciadas que el PIB</w:t>
      </w:r>
      <w:r>
        <w:rPr>
          <w:spacing w:val="-10"/>
        </w:rPr>
        <w:t> </w:t>
      </w:r>
      <w:r>
        <w:rPr/>
        <w:t>nacional.</w:t>
      </w:r>
    </w:p>
    <w:p>
      <w:pPr>
        <w:pStyle w:val="BodyText"/>
        <w:spacing w:before="7"/>
        <w:rPr>
          <w:sz w:val="21"/>
        </w:rPr>
      </w:pPr>
    </w:p>
    <w:p>
      <w:pPr>
        <w:pStyle w:val="Heading1"/>
        <w:spacing w:line="360" w:lineRule="auto"/>
        <w:ind w:left="1383" w:right="1521"/>
        <w:jc w:val="center"/>
      </w:pPr>
      <w:r>
        <w:rPr/>
        <w:pict>
          <v:group style="position:absolute;margin-left:107.144997pt;margin-top:41.048119pt;width:397.75pt;height:173.7pt;mso-position-horizontal-relative:page;mso-position-vertical-relative:paragraph;z-index:-500560" coordorigin="2143,821" coordsize="7955,3474">
            <v:shape style="position:absolute;left:2899;top:1049;width:6970;height:2580" type="#_x0000_t75" stroked="false">
              <v:imagedata r:id="rId35" o:title=""/>
            </v:shape>
            <v:shape style="position:absolute;left:2899;top:1049;width:6970;height:2580" coordorigin="2899,1049" coordsize="6970,2580" path="m2899,3629l9869,3629m2899,3113l9869,3113m2899,2081l9869,2081m2899,1565l9869,1565m2899,1049l9869,1049e" filled="false" stroked="true" strokeweight=".72pt" strokecolor="#d9d9d9">
              <v:path arrowok="t"/>
            </v:shape>
            <v:shape style="position:absolute;left:3002;top:1049;width:6764;height:2580" coordorigin="3002,1049" coordsize="6764,2580" path="m3002,1049l3002,3629m3206,1049l3206,3629m3413,1049l3413,3629m3617,1049l3617,3629m3821,1049l3821,3629m4027,1049l4027,3629m4231,1049l4231,3629m4438,1049l4438,3629m4642,1049l4642,3629m4846,1049l4846,3629m5052,1049l5052,3629m5256,1049l5256,3629m5462,1049l5462,3629m5666,1049l5666,3629m5870,1049l5870,3629m6077,1049l6077,3629m6281,1049l6281,3629m6487,1049l6487,3629m6691,1049l6691,3629m6898,1049l6898,3629m7102,1049l7102,3629m7306,1049l7306,3629m7512,1049l7512,3629m7716,1049l7716,3629m7922,1049l7922,3629m8126,1049l8126,3629m8330,1049l8330,3629m8537,1049l8537,3629m8741,1049l8741,3629m8947,1049l8947,3629m9151,1049l9151,3629m9355,1049l9355,3629m9562,1049l9562,3629m9766,1049l9766,3629e" filled="false" stroked="true" strokeweight=".72pt" strokecolor="#d9d9d9">
              <v:path arrowok="t"/>
            </v:shape>
            <v:shape style="position:absolute;left:2899;top:1049;width:6970;height:2580" coordorigin="2899,1049" coordsize="6970,2580" path="m2899,1049l2899,3629m3106,1049l3106,3629m3310,1049l3310,3629m3514,1049l3514,3629m3720,1049l3720,3629m3924,1049l3924,3629m4130,1049l4130,3629m4334,1049l4334,3629m4538,1049l4538,3629m4745,1049l4745,3629m4949,1049l4949,3629m5155,1049l5155,3629m5359,1049l5359,3629m5563,1049l5563,3629m5770,1049l5770,3629m5974,1049l5974,3629m6180,1049l6180,3629m6384,1049l6384,3629m6588,1049l6588,3629m6794,1049l6794,3629m6998,1049l6998,3629m7205,1049l7205,3629m7409,1049l7409,3629m7613,1049l7613,3629m7819,1049l7819,3629m8023,1049l8023,3629m8230,1049l8230,3629m8434,1049l8434,3629m8638,1049l8638,3629m8844,1049l8844,3629m9048,1049l9048,3629m9254,1049l9254,3629m9458,1049l9458,3629m9662,1049l9662,3629m9869,1049l9869,3629e" filled="false" stroked="true" strokeweight=".72pt" strokecolor="#d9d9d9">
              <v:path arrowok="t"/>
            </v:shape>
            <v:line style="position:absolute" from="2899,2597" to="9869,2597" stroked="true" strokeweight=".72pt" strokecolor="#d9d9d9"/>
            <v:shape style="position:absolute;left:3002;top:1515;width:6764;height:1952" coordorigin="3002,1515" coordsize="6764,1952" path="m3002,1916l3206,2890,3413,3466,3617,2074,3821,1925,4027,3173,4231,2331,4438,2232,4642,1788,4846,1896,5052,2244,5256,2168,5462,2667,5666,2273,5870,3137,6077,1635,6281,1515,6487,1868,6691,2319,6898,2002,7102,2919,7306,2667,7512,2739,7716,2230,7922,2316,8126,2134,8330,2499,8537,2703,8741,3459,8947,1716,9151,2124,9355,2182,9562,2484,9766,2276e" filled="false" stroked="true" strokeweight="1.68pt" strokecolor="#539e39">
              <v:path arrowok="t"/>
            </v:shape>
            <v:line style="position:absolute" from="5461,2397" to="5668,2109" stroked="true" strokeweight="1.8pt" strokecolor="#89b833">
              <v:stroke dashstyle="dash"/>
            </v:line>
            <v:shape style="position:absolute;left:3001;top:1718;width:6766;height:1474" coordorigin="3001,1718" coordsize="6766,1474" path="m3001,1718l3208,2651,3412,2958,3618,2243,3822,2373,4026,2918,4232,2418,4436,2466,4643,2174,4847,2063,5051,2164,5257,2231,5461,2397m5668,2109l5872,3191,6076,1991,6282,1878,6486,2111,6692,2322,6896,2051,7100,2661,7307,2584,7511,2452,7717,2154,7921,2284,8125,2082,8332,2272,8536,2452,8742,3083,8946,2070,9150,2181,9356,2183,9560,2454,9767,2524e" filled="false" stroked="true" strokeweight="1.8pt" strokecolor="#89b833">
              <v:path arrowok="t"/>
              <v:stroke dashstyle="longDash"/>
            </v:shape>
            <v:shape style="position:absolute;left:2150;top:828;width:7940;height:3459" type="#_x0000_t202" filled="false" stroked="true" strokeweight=".72pt" strokecolor="#d9d9d9">
              <v:textbox inset="0,0,0,0">
                <w:txbxContent>
                  <w:p>
                    <w:pPr>
                      <w:spacing w:before="102"/>
                      <w:ind w:left="184" w:right="0" w:firstLine="0"/>
                      <w:jc w:val="left"/>
                      <w:rPr>
                        <w:sz w:val="18"/>
                      </w:rPr>
                    </w:pPr>
                    <w:r>
                      <w:rPr>
                        <w:color w:val="585858"/>
                        <w:sz w:val="18"/>
                      </w:rPr>
                      <w:t>15.00</w:t>
                    </w:r>
                  </w:p>
                  <w:p>
                    <w:pPr>
                      <w:spacing w:line="240" w:lineRule="auto" w:before="10"/>
                      <w:rPr>
                        <w:sz w:val="26"/>
                      </w:rPr>
                    </w:pPr>
                  </w:p>
                  <w:p>
                    <w:pPr>
                      <w:spacing w:before="0"/>
                      <w:ind w:left="184" w:right="0" w:firstLine="0"/>
                      <w:jc w:val="left"/>
                      <w:rPr>
                        <w:sz w:val="18"/>
                      </w:rPr>
                    </w:pPr>
                    <w:r>
                      <w:rPr>
                        <w:color w:val="585858"/>
                        <w:sz w:val="18"/>
                      </w:rPr>
                      <w:t>10.00</w:t>
                    </w:r>
                  </w:p>
                  <w:p>
                    <w:pPr>
                      <w:spacing w:line="240" w:lineRule="auto" w:before="10"/>
                      <w:rPr>
                        <w:sz w:val="26"/>
                      </w:rPr>
                    </w:pPr>
                  </w:p>
                  <w:p>
                    <w:pPr>
                      <w:spacing w:before="0"/>
                      <w:ind w:left="113" w:right="7171" w:firstLine="0"/>
                      <w:jc w:val="center"/>
                      <w:rPr>
                        <w:sz w:val="18"/>
                      </w:rPr>
                    </w:pPr>
                    <w:r>
                      <w:rPr>
                        <w:color w:val="585858"/>
                        <w:sz w:val="18"/>
                      </w:rPr>
                      <w:t>5.00</w:t>
                    </w:r>
                  </w:p>
                  <w:p>
                    <w:pPr>
                      <w:spacing w:line="240" w:lineRule="auto" w:before="10"/>
                      <w:rPr>
                        <w:sz w:val="26"/>
                      </w:rPr>
                    </w:pPr>
                  </w:p>
                  <w:p>
                    <w:pPr>
                      <w:spacing w:before="0"/>
                      <w:ind w:left="113" w:right="7171" w:firstLine="0"/>
                      <w:jc w:val="center"/>
                      <w:rPr>
                        <w:sz w:val="18"/>
                      </w:rPr>
                    </w:pPr>
                    <w:r>
                      <w:rPr>
                        <w:color w:val="585858"/>
                        <w:sz w:val="18"/>
                      </w:rPr>
                      <w:t>0.00</w:t>
                    </w:r>
                  </w:p>
                  <w:p>
                    <w:pPr>
                      <w:spacing w:line="240" w:lineRule="auto" w:before="10"/>
                      <w:rPr>
                        <w:sz w:val="26"/>
                      </w:rPr>
                    </w:pPr>
                  </w:p>
                  <w:p>
                    <w:pPr>
                      <w:spacing w:before="0"/>
                      <w:ind w:left="214" w:right="0" w:firstLine="0"/>
                      <w:jc w:val="left"/>
                      <w:rPr>
                        <w:sz w:val="18"/>
                      </w:rPr>
                    </w:pPr>
                    <w:r>
                      <w:rPr>
                        <w:color w:val="585858"/>
                        <w:sz w:val="18"/>
                      </w:rPr>
                      <w:t>-5.00</w:t>
                    </w:r>
                  </w:p>
                  <w:p>
                    <w:pPr>
                      <w:spacing w:line="240" w:lineRule="auto" w:before="10"/>
                      <w:rPr>
                        <w:sz w:val="26"/>
                      </w:rPr>
                    </w:pPr>
                  </w:p>
                  <w:p>
                    <w:pPr>
                      <w:spacing w:before="0"/>
                      <w:ind w:left="112" w:right="7321" w:firstLine="0"/>
                      <w:jc w:val="center"/>
                      <w:rPr>
                        <w:sz w:val="18"/>
                      </w:rPr>
                    </w:pPr>
                    <w:r>
                      <w:rPr>
                        <w:color w:val="585858"/>
                        <w:sz w:val="18"/>
                      </w:rPr>
                      <w:t>-10.00</w:t>
                    </w:r>
                  </w:p>
                  <w:p>
                    <w:pPr>
                      <w:spacing w:line="240" w:lineRule="auto" w:before="10"/>
                      <w:rPr>
                        <w:sz w:val="14"/>
                      </w:rPr>
                    </w:pPr>
                  </w:p>
                  <w:p>
                    <w:pPr>
                      <w:tabs>
                        <w:tab w:pos="4717" w:val="left" w:leader="none"/>
                        <w:tab w:pos="5277" w:val="left" w:leader="none"/>
                      </w:tabs>
                      <w:spacing w:before="1"/>
                      <w:ind w:left="2379" w:right="0" w:firstLine="0"/>
                      <w:jc w:val="left"/>
                      <w:rPr>
                        <w:sz w:val="18"/>
                      </w:rPr>
                    </w:pPr>
                    <w:r>
                      <w:rPr>
                        <w:color w:val="585858"/>
                        <w:sz w:val="18"/>
                      </w:rPr>
                      <w:t>PIB</w:t>
                    </w:r>
                    <w:r>
                      <w:rPr>
                        <w:color w:val="585858"/>
                        <w:spacing w:val="-4"/>
                        <w:sz w:val="18"/>
                      </w:rPr>
                      <w:t> </w:t>
                    </w:r>
                    <w:r>
                      <w:rPr>
                        <w:color w:val="585858"/>
                        <w:sz w:val="18"/>
                      </w:rPr>
                      <w:t>MANUFACTURERO</w:t>
                      <w:tab/>
                      <w:tab/>
                      <w:t>PIB</w:t>
                    </w:r>
                    <w:r>
                      <w:rPr>
                        <w:color w:val="585858"/>
                        <w:spacing w:val="-3"/>
                        <w:sz w:val="18"/>
                      </w:rPr>
                      <w:t> </w:t>
                    </w:r>
                    <w:r>
                      <w:rPr>
                        <w:color w:val="585858"/>
                        <w:sz w:val="18"/>
                      </w:rPr>
                      <w:t>TOTAL</w:t>
                    </w:r>
                  </w:p>
                </w:txbxContent>
              </v:textbox>
              <w10:wrap type="none"/>
            </v:shape>
            <w10:wrap type="none"/>
          </v:group>
        </w:pict>
      </w:r>
      <w:r>
        <w:rPr/>
        <w:t>Gráfica 3.2. PIB total y Manufacturero de México, 1981-2014 (Tasas de crecimiento)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12"/>
        </w:rPr>
      </w:pPr>
      <w:r>
        <w:rPr/>
        <w:pict>
          <v:line style="position:absolute;mso-position-horizontal-relative:page;mso-position-vertical-relative:paragraph;z-index:1984;mso-wrap-distance-left:0;mso-wrap-distance-right:0" from="198.839996pt,9.732447pt" to="224.039996pt,9.732447pt" stroked="true" strokeweight="1.68pt" strokecolor="#539e39">
            <w10:wrap type="topAndBottom"/>
          </v:line>
        </w:pict>
      </w:r>
      <w:r>
        <w:rPr/>
        <w:pict>
          <v:line style="position:absolute;mso-position-horizontal-relative:page;mso-position-vertical-relative:paragraph;z-index:2008;mso-wrap-distance-left:0;mso-wrap-distance-right:0" from="343.73999pt,9.792446pt" to="368.93999pt,9.792446pt" stroked="true" strokeweight="1.8pt" strokecolor="#89b833">
            <v:stroke dashstyle="longDash"/>
            <w10:wrap type="topAndBottom"/>
          </v:line>
        </w:pict>
      </w:r>
    </w:p>
    <w:p>
      <w:pPr>
        <w:pStyle w:val="BodyText"/>
        <w:spacing w:before="9"/>
        <w:rPr>
          <w:b/>
          <w:sz w:val="31"/>
        </w:rPr>
      </w:pPr>
    </w:p>
    <w:p>
      <w:pPr>
        <w:spacing w:before="0"/>
        <w:ind w:left="1383" w:right="1517" w:firstLine="0"/>
        <w:jc w:val="center"/>
        <w:rPr>
          <w:sz w:val="18"/>
        </w:rPr>
      </w:pPr>
      <w:r>
        <w:rPr/>
        <w:pict>
          <v:shape style="position:absolute;margin-left:144.947937pt;margin-top:-86.875656pt;width:349.3pt;height:20.05pt;mso-position-horizontal-relative:page;mso-position-vertical-relative:paragraph;z-index:2320" type="#_x0000_t202" filled="false" stroked="false">
            <v:textbox inset="0,0,0,0" style="layout-flow:vertical;mso-layout-flow-alt:bottom-to-top">
              <w:txbxContent>
                <w:p>
                  <w:pPr>
                    <w:spacing w:line="203" w:lineRule="exact" w:before="0"/>
                    <w:ind w:left="20" w:right="0" w:firstLine="0"/>
                    <w:jc w:val="left"/>
                    <w:rPr>
                      <w:sz w:val="18"/>
                    </w:rPr>
                  </w:pPr>
                  <w:r>
                    <w:rPr>
                      <w:color w:val="585858"/>
                      <w:spacing w:val="1"/>
                      <w:sz w:val="18"/>
                    </w:rPr>
                    <w:t>1</w:t>
                  </w:r>
                  <w:r>
                    <w:rPr>
                      <w:color w:val="585858"/>
                      <w:spacing w:val="-2"/>
                      <w:sz w:val="18"/>
                    </w:rPr>
                    <w:t>9</w:t>
                  </w:r>
                  <w:r>
                    <w:rPr>
                      <w:color w:val="585858"/>
                      <w:spacing w:val="1"/>
                      <w:sz w:val="18"/>
                    </w:rPr>
                    <w:t>8</w:t>
                  </w:r>
                  <w:r>
                    <w:rPr>
                      <w:color w:val="585858"/>
                      <w:sz w:val="18"/>
                    </w:rPr>
                    <w:t>1</w:t>
                  </w:r>
                </w:p>
                <w:p>
                  <w:pPr>
                    <w:spacing w:line="205" w:lineRule="exact" w:before="0"/>
                    <w:ind w:left="20" w:right="0" w:firstLine="0"/>
                    <w:jc w:val="left"/>
                    <w:rPr>
                      <w:sz w:val="18"/>
                    </w:rPr>
                  </w:pPr>
                  <w:r>
                    <w:rPr>
                      <w:color w:val="585858"/>
                      <w:spacing w:val="1"/>
                      <w:sz w:val="18"/>
                    </w:rPr>
                    <w:t>1</w:t>
                  </w:r>
                  <w:r>
                    <w:rPr>
                      <w:color w:val="585858"/>
                      <w:spacing w:val="-2"/>
                      <w:sz w:val="18"/>
                    </w:rPr>
                    <w:t>9</w:t>
                  </w:r>
                  <w:r>
                    <w:rPr>
                      <w:color w:val="585858"/>
                      <w:spacing w:val="1"/>
                      <w:sz w:val="18"/>
                    </w:rPr>
                    <w:t>8</w:t>
                  </w:r>
                  <w:r>
                    <w:rPr>
                      <w:color w:val="585858"/>
                      <w:sz w:val="18"/>
                    </w:rPr>
                    <w:t>2</w:t>
                  </w:r>
                </w:p>
                <w:p>
                  <w:pPr>
                    <w:spacing w:line="205" w:lineRule="exact" w:before="0"/>
                    <w:ind w:left="20" w:right="0" w:firstLine="0"/>
                    <w:jc w:val="left"/>
                    <w:rPr>
                      <w:sz w:val="18"/>
                    </w:rPr>
                  </w:pPr>
                  <w:r>
                    <w:rPr>
                      <w:color w:val="585858"/>
                      <w:spacing w:val="1"/>
                      <w:sz w:val="18"/>
                    </w:rPr>
                    <w:t>1</w:t>
                  </w:r>
                  <w:r>
                    <w:rPr>
                      <w:color w:val="585858"/>
                      <w:spacing w:val="-2"/>
                      <w:sz w:val="18"/>
                    </w:rPr>
                    <w:t>9</w:t>
                  </w:r>
                  <w:r>
                    <w:rPr>
                      <w:color w:val="585858"/>
                      <w:spacing w:val="1"/>
                      <w:sz w:val="18"/>
                    </w:rPr>
                    <w:t>8</w:t>
                  </w:r>
                  <w:r>
                    <w:rPr>
                      <w:color w:val="585858"/>
                      <w:sz w:val="18"/>
                    </w:rPr>
                    <w:t>3</w:t>
                  </w:r>
                </w:p>
                <w:p>
                  <w:pPr>
                    <w:spacing w:line="205" w:lineRule="exact" w:before="0"/>
                    <w:ind w:left="20" w:right="0" w:firstLine="0"/>
                    <w:jc w:val="left"/>
                    <w:rPr>
                      <w:sz w:val="18"/>
                    </w:rPr>
                  </w:pPr>
                  <w:r>
                    <w:rPr>
                      <w:color w:val="585858"/>
                      <w:spacing w:val="1"/>
                      <w:sz w:val="18"/>
                    </w:rPr>
                    <w:t>1</w:t>
                  </w:r>
                  <w:r>
                    <w:rPr>
                      <w:color w:val="585858"/>
                      <w:spacing w:val="-2"/>
                      <w:sz w:val="18"/>
                    </w:rPr>
                    <w:t>9</w:t>
                  </w:r>
                  <w:r>
                    <w:rPr>
                      <w:color w:val="585858"/>
                      <w:spacing w:val="1"/>
                      <w:sz w:val="18"/>
                    </w:rPr>
                    <w:t>8</w:t>
                  </w:r>
                  <w:r>
                    <w:rPr>
                      <w:color w:val="585858"/>
                      <w:sz w:val="18"/>
                    </w:rPr>
                    <w:t>4</w:t>
                  </w:r>
                </w:p>
                <w:p>
                  <w:pPr>
                    <w:spacing w:line="205" w:lineRule="exact" w:before="0"/>
                    <w:ind w:left="20" w:right="0" w:firstLine="0"/>
                    <w:jc w:val="left"/>
                    <w:rPr>
                      <w:sz w:val="18"/>
                    </w:rPr>
                  </w:pPr>
                  <w:r>
                    <w:rPr>
                      <w:color w:val="585858"/>
                      <w:spacing w:val="1"/>
                      <w:sz w:val="18"/>
                    </w:rPr>
                    <w:t>1</w:t>
                  </w:r>
                  <w:r>
                    <w:rPr>
                      <w:color w:val="585858"/>
                      <w:spacing w:val="-2"/>
                      <w:sz w:val="18"/>
                    </w:rPr>
                    <w:t>9</w:t>
                  </w:r>
                  <w:r>
                    <w:rPr>
                      <w:color w:val="585858"/>
                      <w:spacing w:val="1"/>
                      <w:sz w:val="18"/>
                    </w:rPr>
                    <w:t>8</w:t>
                  </w:r>
                  <w:r>
                    <w:rPr>
                      <w:color w:val="585858"/>
                      <w:sz w:val="18"/>
                    </w:rPr>
                    <w:t>5</w:t>
                  </w:r>
                </w:p>
                <w:p>
                  <w:pPr>
                    <w:spacing w:line="205" w:lineRule="exact" w:before="0"/>
                    <w:ind w:left="20" w:right="0" w:firstLine="0"/>
                    <w:jc w:val="left"/>
                    <w:rPr>
                      <w:sz w:val="18"/>
                    </w:rPr>
                  </w:pPr>
                  <w:r>
                    <w:rPr>
                      <w:color w:val="585858"/>
                      <w:w w:val="100"/>
                      <w:sz w:val="18"/>
                    </w:rPr>
                    <w:t>1</w:t>
                  </w:r>
                  <w:r>
                    <w:rPr>
                      <w:color w:val="585858"/>
                      <w:spacing w:val="-2"/>
                      <w:w w:val="100"/>
                      <w:sz w:val="18"/>
                    </w:rPr>
                    <w:t>9</w:t>
                  </w:r>
                  <w:r>
                    <w:rPr>
                      <w:color w:val="585858"/>
                      <w:w w:val="100"/>
                      <w:sz w:val="18"/>
                    </w:rPr>
                    <w:t>86</w:t>
                  </w:r>
                </w:p>
                <w:p>
                  <w:pPr>
                    <w:spacing w:line="205" w:lineRule="exact" w:before="0"/>
                    <w:ind w:left="20" w:right="0" w:firstLine="0"/>
                    <w:jc w:val="left"/>
                    <w:rPr>
                      <w:sz w:val="18"/>
                    </w:rPr>
                  </w:pPr>
                  <w:r>
                    <w:rPr>
                      <w:color w:val="585858"/>
                      <w:spacing w:val="1"/>
                      <w:sz w:val="18"/>
                    </w:rPr>
                    <w:t>1</w:t>
                  </w:r>
                  <w:r>
                    <w:rPr>
                      <w:color w:val="585858"/>
                      <w:spacing w:val="-2"/>
                      <w:sz w:val="18"/>
                    </w:rPr>
                    <w:t>9</w:t>
                  </w:r>
                  <w:r>
                    <w:rPr>
                      <w:color w:val="585858"/>
                      <w:spacing w:val="1"/>
                      <w:sz w:val="18"/>
                    </w:rPr>
                    <w:t>8</w:t>
                  </w:r>
                  <w:r>
                    <w:rPr>
                      <w:color w:val="585858"/>
                      <w:sz w:val="18"/>
                    </w:rPr>
                    <w:t>7</w:t>
                  </w:r>
                </w:p>
                <w:p>
                  <w:pPr>
                    <w:spacing w:line="205" w:lineRule="exact" w:before="0"/>
                    <w:ind w:left="20" w:right="0" w:firstLine="0"/>
                    <w:jc w:val="left"/>
                    <w:rPr>
                      <w:sz w:val="18"/>
                    </w:rPr>
                  </w:pPr>
                  <w:r>
                    <w:rPr>
                      <w:color w:val="585858"/>
                      <w:spacing w:val="1"/>
                      <w:sz w:val="18"/>
                    </w:rPr>
                    <w:t>1</w:t>
                  </w:r>
                  <w:r>
                    <w:rPr>
                      <w:color w:val="585858"/>
                      <w:spacing w:val="-2"/>
                      <w:sz w:val="18"/>
                    </w:rPr>
                    <w:t>9</w:t>
                  </w:r>
                  <w:r>
                    <w:rPr>
                      <w:color w:val="585858"/>
                      <w:spacing w:val="1"/>
                      <w:sz w:val="18"/>
                    </w:rPr>
                    <w:t>8</w:t>
                  </w:r>
                  <w:r>
                    <w:rPr>
                      <w:color w:val="585858"/>
                      <w:sz w:val="18"/>
                    </w:rPr>
                    <w:t>8</w:t>
                  </w:r>
                </w:p>
                <w:p>
                  <w:pPr>
                    <w:spacing w:line="205" w:lineRule="exact" w:before="0"/>
                    <w:ind w:left="20" w:right="0" w:firstLine="0"/>
                    <w:jc w:val="left"/>
                    <w:rPr>
                      <w:sz w:val="18"/>
                    </w:rPr>
                  </w:pPr>
                  <w:r>
                    <w:rPr>
                      <w:color w:val="585858"/>
                      <w:spacing w:val="1"/>
                      <w:sz w:val="18"/>
                    </w:rPr>
                    <w:t>1</w:t>
                  </w:r>
                  <w:r>
                    <w:rPr>
                      <w:color w:val="585858"/>
                      <w:spacing w:val="-2"/>
                      <w:sz w:val="18"/>
                    </w:rPr>
                    <w:t>9</w:t>
                  </w:r>
                  <w:r>
                    <w:rPr>
                      <w:color w:val="585858"/>
                      <w:spacing w:val="1"/>
                      <w:sz w:val="18"/>
                    </w:rPr>
                    <w:t>8</w:t>
                  </w:r>
                  <w:r>
                    <w:rPr>
                      <w:color w:val="585858"/>
                      <w:sz w:val="18"/>
                    </w:rPr>
                    <w:t>9</w:t>
                  </w:r>
                </w:p>
                <w:p>
                  <w:pPr>
                    <w:spacing w:line="205" w:lineRule="exact" w:before="0"/>
                    <w:ind w:left="20" w:right="0" w:firstLine="0"/>
                    <w:jc w:val="left"/>
                    <w:rPr>
                      <w:sz w:val="18"/>
                    </w:rPr>
                  </w:pPr>
                  <w:r>
                    <w:rPr>
                      <w:color w:val="585858"/>
                      <w:spacing w:val="1"/>
                      <w:sz w:val="18"/>
                    </w:rPr>
                    <w:t>1</w:t>
                  </w:r>
                  <w:r>
                    <w:rPr>
                      <w:color w:val="585858"/>
                      <w:spacing w:val="-2"/>
                      <w:sz w:val="18"/>
                    </w:rPr>
                    <w:t>9</w:t>
                  </w:r>
                  <w:r>
                    <w:rPr>
                      <w:color w:val="585858"/>
                      <w:spacing w:val="1"/>
                      <w:sz w:val="18"/>
                    </w:rPr>
                    <w:t>9</w:t>
                  </w:r>
                  <w:r>
                    <w:rPr>
                      <w:color w:val="585858"/>
                      <w:sz w:val="18"/>
                    </w:rPr>
                    <w:t>0</w:t>
                  </w:r>
                </w:p>
                <w:p>
                  <w:pPr>
                    <w:spacing w:line="205" w:lineRule="exact" w:before="0"/>
                    <w:ind w:left="20" w:right="0" w:firstLine="0"/>
                    <w:jc w:val="left"/>
                    <w:rPr>
                      <w:sz w:val="18"/>
                    </w:rPr>
                  </w:pPr>
                  <w:r>
                    <w:rPr>
                      <w:color w:val="585858"/>
                      <w:spacing w:val="1"/>
                      <w:sz w:val="18"/>
                    </w:rPr>
                    <w:t>1</w:t>
                  </w:r>
                  <w:r>
                    <w:rPr>
                      <w:color w:val="585858"/>
                      <w:spacing w:val="-2"/>
                      <w:sz w:val="18"/>
                    </w:rPr>
                    <w:t>9</w:t>
                  </w:r>
                  <w:r>
                    <w:rPr>
                      <w:color w:val="585858"/>
                      <w:spacing w:val="1"/>
                      <w:sz w:val="18"/>
                    </w:rPr>
                    <w:t>9</w:t>
                  </w:r>
                  <w:r>
                    <w:rPr>
                      <w:color w:val="585858"/>
                      <w:sz w:val="18"/>
                    </w:rPr>
                    <w:t>1</w:t>
                  </w:r>
                </w:p>
                <w:p>
                  <w:pPr>
                    <w:spacing w:line="205" w:lineRule="exact" w:before="0"/>
                    <w:ind w:left="20" w:right="0" w:firstLine="0"/>
                    <w:jc w:val="left"/>
                    <w:rPr>
                      <w:sz w:val="18"/>
                    </w:rPr>
                  </w:pPr>
                  <w:r>
                    <w:rPr>
                      <w:color w:val="585858"/>
                      <w:spacing w:val="1"/>
                      <w:sz w:val="18"/>
                    </w:rPr>
                    <w:t>1</w:t>
                  </w:r>
                  <w:r>
                    <w:rPr>
                      <w:color w:val="585858"/>
                      <w:spacing w:val="-2"/>
                      <w:sz w:val="18"/>
                    </w:rPr>
                    <w:t>9</w:t>
                  </w:r>
                  <w:r>
                    <w:rPr>
                      <w:color w:val="585858"/>
                      <w:spacing w:val="1"/>
                      <w:sz w:val="18"/>
                    </w:rPr>
                    <w:t>9</w:t>
                  </w:r>
                  <w:r>
                    <w:rPr>
                      <w:color w:val="585858"/>
                      <w:sz w:val="18"/>
                    </w:rPr>
                    <w:t>2</w:t>
                  </w:r>
                </w:p>
                <w:p>
                  <w:pPr>
                    <w:spacing w:line="205" w:lineRule="exact" w:before="0"/>
                    <w:ind w:left="20" w:right="0" w:firstLine="0"/>
                    <w:jc w:val="left"/>
                    <w:rPr>
                      <w:sz w:val="18"/>
                    </w:rPr>
                  </w:pPr>
                  <w:r>
                    <w:rPr>
                      <w:color w:val="585858"/>
                      <w:spacing w:val="1"/>
                      <w:sz w:val="18"/>
                    </w:rPr>
                    <w:t>1</w:t>
                  </w:r>
                  <w:r>
                    <w:rPr>
                      <w:color w:val="585858"/>
                      <w:spacing w:val="-2"/>
                      <w:sz w:val="18"/>
                    </w:rPr>
                    <w:t>9</w:t>
                  </w:r>
                  <w:r>
                    <w:rPr>
                      <w:color w:val="585858"/>
                      <w:spacing w:val="1"/>
                      <w:sz w:val="18"/>
                    </w:rPr>
                    <w:t>9</w:t>
                  </w:r>
                  <w:r>
                    <w:rPr>
                      <w:color w:val="585858"/>
                      <w:sz w:val="18"/>
                    </w:rPr>
                    <w:t>3</w:t>
                  </w:r>
                </w:p>
                <w:p>
                  <w:pPr>
                    <w:spacing w:line="205" w:lineRule="exact" w:before="0"/>
                    <w:ind w:left="20" w:right="0" w:firstLine="0"/>
                    <w:jc w:val="left"/>
                    <w:rPr>
                      <w:sz w:val="18"/>
                    </w:rPr>
                  </w:pPr>
                  <w:r>
                    <w:rPr>
                      <w:color w:val="585858"/>
                      <w:spacing w:val="1"/>
                      <w:sz w:val="18"/>
                    </w:rPr>
                    <w:t>1</w:t>
                  </w:r>
                  <w:r>
                    <w:rPr>
                      <w:color w:val="585858"/>
                      <w:spacing w:val="-2"/>
                      <w:sz w:val="18"/>
                    </w:rPr>
                    <w:t>9</w:t>
                  </w:r>
                  <w:r>
                    <w:rPr>
                      <w:color w:val="585858"/>
                      <w:spacing w:val="1"/>
                      <w:sz w:val="18"/>
                    </w:rPr>
                    <w:t>9</w:t>
                  </w:r>
                  <w:r>
                    <w:rPr>
                      <w:color w:val="585858"/>
                      <w:sz w:val="18"/>
                    </w:rPr>
                    <w:t>4</w:t>
                  </w:r>
                </w:p>
                <w:p>
                  <w:pPr>
                    <w:spacing w:line="205" w:lineRule="exact" w:before="0"/>
                    <w:ind w:left="20" w:right="0" w:firstLine="0"/>
                    <w:jc w:val="left"/>
                    <w:rPr>
                      <w:sz w:val="18"/>
                    </w:rPr>
                  </w:pPr>
                  <w:r>
                    <w:rPr>
                      <w:color w:val="585858"/>
                      <w:w w:val="100"/>
                      <w:sz w:val="18"/>
                    </w:rPr>
                    <w:t>1</w:t>
                  </w:r>
                  <w:r>
                    <w:rPr>
                      <w:color w:val="585858"/>
                      <w:spacing w:val="-2"/>
                      <w:w w:val="100"/>
                      <w:sz w:val="18"/>
                    </w:rPr>
                    <w:t>9</w:t>
                  </w:r>
                  <w:r>
                    <w:rPr>
                      <w:color w:val="585858"/>
                      <w:w w:val="100"/>
                      <w:sz w:val="18"/>
                    </w:rPr>
                    <w:t>95</w:t>
                  </w:r>
                </w:p>
                <w:p>
                  <w:pPr>
                    <w:spacing w:line="205" w:lineRule="exact" w:before="0"/>
                    <w:ind w:left="20" w:right="0" w:firstLine="0"/>
                    <w:jc w:val="left"/>
                    <w:rPr>
                      <w:sz w:val="18"/>
                    </w:rPr>
                  </w:pPr>
                  <w:r>
                    <w:rPr>
                      <w:color w:val="585858"/>
                      <w:spacing w:val="1"/>
                      <w:sz w:val="18"/>
                    </w:rPr>
                    <w:t>1</w:t>
                  </w:r>
                  <w:r>
                    <w:rPr>
                      <w:color w:val="585858"/>
                      <w:spacing w:val="-2"/>
                      <w:sz w:val="18"/>
                    </w:rPr>
                    <w:t>9</w:t>
                  </w:r>
                  <w:r>
                    <w:rPr>
                      <w:color w:val="585858"/>
                      <w:spacing w:val="1"/>
                      <w:sz w:val="18"/>
                    </w:rPr>
                    <w:t>9</w:t>
                  </w:r>
                  <w:r>
                    <w:rPr>
                      <w:color w:val="585858"/>
                      <w:sz w:val="18"/>
                    </w:rPr>
                    <w:t>6</w:t>
                  </w:r>
                </w:p>
                <w:p>
                  <w:pPr>
                    <w:spacing w:line="205" w:lineRule="exact" w:before="0"/>
                    <w:ind w:left="20" w:right="0" w:firstLine="0"/>
                    <w:jc w:val="left"/>
                    <w:rPr>
                      <w:sz w:val="18"/>
                    </w:rPr>
                  </w:pPr>
                  <w:r>
                    <w:rPr>
                      <w:color w:val="585858"/>
                      <w:spacing w:val="1"/>
                      <w:sz w:val="18"/>
                    </w:rPr>
                    <w:t>1</w:t>
                  </w:r>
                  <w:r>
                    <w:rPr>
                      <w:color w:val="585858"/>
                      <w:spacing w:val="-2"/>
                      <w:sz w:val="18"/>
                    </w:rPr>
                    <w:t>9</w:t>
                  </w:r>
                  <w:r>
                    <w:rPr>
                      <w:color w:val="585858"/>
                      <w:spacing w:val="1"/>
                      <w:sz w:val="18"/>
                    </w:rPr>
                    <w:t>9</w:t>
                  </w:r>
                  <w:r>
                    <w:rPr>
                      <w:color w:val="585858"/>
                      <w:sz w:val="18"/>
                    </w:rPr>
                    <w:t>7</w:t>
                  </w:r>
                </w:p>
                <w:p>
                  <w:pPr>
                    <w:spacing w:line="205" w:lineRule="exact" w:before="0"/>
                    <w:ind w:left="20" w:right="0" w:firstLine="0"/>
                    <w:jc w:val="left"/>
                    <w:rPr>
                      <w:sz w:val="18"/>
                    </w:rPr>
                  </w:pPr>
                  <w:r>
                    <w:rPr>
                      <w:color w:val="585858"/>
                      <w:spacing w:val="1"/>
                      <w:sz w:val="18"/>
                    </w:rPr>
                    <w:t>1</w:t>
                  </w:r>
                  <w:r>
                    <w:rPr>
                      <w:color w:val="585858"/>
                      <w:spacing w:val="-2"/>
                      <w:sz w:val="18"/>
                    </w:rPr>
                    <w:t>9</w:t>
                  </w:r>
                  <w:r>
                    <w:rPr>
                      <w:color w:val="585858"/>
                      <w:spacing w:val="1"/>
                      <w:sz w:val="18"/>
                    </w:rPr>
                    <w:t>9</w:t>
                  </w:r>
                  <w:r>
                    <w:rPr>
                      <w:color w:val="585858"/>
                      <w:sz w:val="18"/>
                    </w:rPr>
                    <w:t>8</w:t>
                  </w:r>
                </w:p>
                <w:p>
                  <w:pPr>
                    <w:spacing w:line="205" w:lineRule="exact" w:before="0"/>
                    <w:ind w:left="20" w:right="0" w:firstLine="0"/>
                    <w:jc w:val="left"/>
                    <w:rPr>
                      <w:sz w:val="18"/>
                    </w:rPr>
                  </w:pPr>
                  <w:r>
                    <w:rPr>
                      <w:color w:val="585858"/>
                      <w:spacing w:val="1"/>
                      <w:sz w:val="18"/>
                    </w:rPr>
                    <w:t>1</w:t>
                  </w:r>
                  <w:r>
                    <w:rPr>
                      <w:color w:val="585858"/>
                      <w:spacing w:val="-2"/>
                      <w:sz w:val="18"/>
                    </w:rPr>
                    <w:t>9</w:t>
                  </w:r>
                  <w:r>
                    <w:rPr>
                      <w:color w:val="585858"/>
                      <w:spacing w:val="1"/>
                      <w:sz w:val="18"/>
                    </w:rPr>
                    <w:t>9</w:t>
                  </w:r>
                  <w:r>
                    <w:rPr>
                      <w:color w:val="585858"/>
                      <w:sz w:val="18"/>
                    </w:rPr>
                    <w:t>9</w:t>
                  </w:r>
                </w:p>
                <w:p>
                  <w:pPr>
                    <w:spacing w:line="205" w:lineRule="exact" w:before="0"/>
                    <w:ind w:left="20" w:right="0" w:firstLine="0"/>
                    <w:jc w:val="left"/>
                    <w:rPr>
                      <w:sz w:val="18"/>
                    </w:rPr>
                  </w:pPr>
                  <w:r>
                    <w:rPr>
                      <w:color w:val="585858"/>
                      <w:spacing w:val="1"/>
                      <w:sz w:val="18"/>
                    </w:rPr>
                    <w:t>2</w:t>
                  </w:r>
                  <w:r>
                    <w:rPr>
                      <w:color w:val="585858"/>
                      <w:spacing w:val="-2"/>
                      <w:sz w:val="18"/>
                    </w:rPr>
                    <w:t>0</w:t>
                  </w:r>
                  <w:r>
                    <w:rPr>
                      <w:color w:val="585858"/>
                      <w:spacing w:val="1"/>
                      <w:sz w:val="18"/>
                    </w:rPr>
                    <w:t>0</w:t>
                  </w:r>
                  <w:r>
                    <w:rPr>
                      <w:color w:val="585858"/>
                      <w:sz w:val="18"/>
                    </w:rPr>
                    <w:t>0</w:t>
                  </w:r>
                </w:p>
                <w:p>
                  <w:pPr>
                    <w:spacing w:line="205" w:lineRule="exact" w:before="0"/>
                    <w:ind w:left="20" w:right="0" w:firstLine="0"/>
                    <w:jc w:val="left"/>
                    <w:rPr>
                      <w:sz w:val="18"/>
                    </w:rPr>
                  </w:pPr>
                  <w:r>
                    <w:rPr>
                      <w:color w:val="585858"/>
                      <w:spacing w:val="1"/>
                      <w:sz w:val="18"/>
                    </w:rPr>
                    <w:t>2</w:t>
                  </w:r>
                  <w:r>
                    <w:rPr>
                      <w:color w:val="585858"/>
                      <w:spacing w:val="-2"/>
                      <w:sz w:val="18"/>
                    </w:rPr>
                    <w:t>0</w:t>
                  </w:r>
                  <w:r>
                    <w:rPr>
                      <w:color w:val="585858"/>
                      <w:spacing w:val="1"/>
                      <w:sz w:val="18"/>
                    </w:rPr>
                    <w:t>0</w:t>
                  </w:r>
                  <w:r>
                    <w:rPr>
                      <w:color w:val="585858"/>
                      <w:sz w:val="18"/>
                    </w:rPr>
                    <w:t>1</w:t>
                  </w:r>
                </w:p>
                <w:p>
                  <w:pPr>
                    <w:spacing w:line="205" w:lineRule="exact" w:before="0"/>
                    <w:ind w:left="20" w:right="0" w:firstLine="0"/>
                    <w:jc w:val="left"/>
                    <w:rPr>
                      <w:sz w:val="18"/>
                    </w:rPr>
                  </w:pPr>
                  <w:r>
                    <w:rPr>
                      <w:color w:val="585858"/>
                      <w:spacing w:val="1"/>
                      <w:sz w:val="18"/>
                    </w:rPr>
                    <w:t>2</w:t>
                  </w:r>
                  <w:r>
                    <w:rPr>
                      <w:color w:val="585858"/>
                      <w:spacing w:val="-2"/>
                      <w:sz w:val="18"/>
                    </w:rPr>
                    <w:t>0</w:t>
                  </w:r>
                  <w:r>
                    <w:rPr>
                      <w:color w:val="585858"/>
                      <w:spacing w:val="1"/>
                      <w:sz w:val="18"/>
                    </w:rPr>
                    <w:t>0</w:t>
                  </w:r>
                  <w:r>
                    <w:rPr>
                      <w:color w:val="585858"/>
                      <w:sz w:val="18"/>
                    </w:rPr>
                    <w:t>2</w:t>
                  </w:r>
                </w:p>
                <w:p>
                  <w:pPr>
                    <w:spacing w:line="205" w:lineRule="exact" w:before="0"/>
                    <w:ind w:left="20" w:right="0" w:firstLine="0"/>
                    <w:jc w:val="left"/>
                    <w:rPr>
                      <w:sz w:val="18"/>
                    </w:rPr>
                  </w:pPr>
                  <w:r>
                    <w:rPr>
                      <w:color w:val="585858"/>
                      <w:spacing w:val="1"/>
                      <w:sz w:val="18"/>
                    </w:rPr>
                    <w:t>2</w:t>
                  </w:r>
                  <w:r>
                    <w:rPr>
                      <w:color w:val="585858"/>
                      <w:spacing w:val="-2"/>
                      <w:sz w:val="18"/>
                    </w:rPr>
                    <w:t>0</w:t>
                  </w:r>
                  <w:r>
                    <w:rPr>
                      <w:color w:val="585858"/>
                      <w:spacing w:val="1"/>
                      <w:sz w:val="18"/>
                    </w:rPr>
                    <w:t>0</w:t>
                  </w:r>
                  <w:r>
                    <w:rPr>
                      <w:color w:val="585858"/>
                      <w:sz w:val="18"/>
                    </w:rPr>
                    <w:t>3</w:t>
                  </w:r>
                </w:p>
                <w:p>
                  <w:pPr>
                    <w:spacing w:line="205" w:lineRule="exact" w:before="0"/>
                    <w:ind w:left="20" w:right="0" w:firstLine="0"/>
                    <w:jc w:val="left"/>
                    <w:rPr>
                      <w:sz w:val="18"/>
                    </w:rPr>
                  </w:pPr>
                  <w:r>
                    <w:rPr>
                      <w:color w:val="585858"/>
                      <w:w w:val="100"/>
                      <w:sz w:val="18"/>
                    </w:rPr>
                    <w:t>2</w:t>
                  </w:r>
                  <w:r>
                    <w:rPr>
                      <w:color w:val="585858"/>
                      <w:spacing w:val="-2"/>
                      <w:w w:val="100"/>
                      <w:sz w:val="18"/>
                    </w:rPr>
                    <w:t>0</w:t>
                  </w:r>
                  <w:r>
                    <w:rPr>
                      <w:color w:val="585858"/>
                      <w:w w:val="100"/>
                      <w:sz w:val="18"/>
                    </w:rPr>
                    <w:t>04</w:t>
                  </w:r>
                </w:p>
                <w:p>
                  <w:pPr>
                    <w:spacing w:line="205" w:lineRule="exact" w:before="0"/>
                    <w:ind w:left="20" w:right="0" w:firstLine="0"/>
                    <w:jc w:val="left"/>
                    <w:rPr>
                      <w:sz w:val="18"/>
                    </w:rPr>
                  </w:pPr>
                  <w:r>
                    <w:rPr>
                      <w:color w:val="585858"/>
                      <w:spacing w:val="1"/>
                      <w:sz w:val="18"/>
                    </w:rPr>
                    <w:t>2</w:t>
                  </w:r>
                  <w:r>
                    <w:rPr>
                      <w:color w:val="585858"/>
                      <w:spacing w:val="-2"/>
                      <w:sz w:val="18"/>
                    </w:rPr>
                    <w:t>0</w:t>
                  </w:r>
                  <w:r>
                    <w:rPr>
                      <w:color w:val="585858"/>
                      <w:spacing w:val="1"/>
                      <w:sz w:val="18"/>
                    </w:rPr>
                    <w:t>0</w:t>
                  </w:r>
                  <w:r>
                    <w:rPr>
                      <w:color w:val="585858"/>
                      <w:sz w:val="18"/>
                    </w:rPr>
                    <w:t>5</w:t>
                  </w:r>
                </w:p>
                <w:p>
                  <w:pPr>
                    <w:spacing w:line="205" w:lineRule="exact" w:before="0"/>
                    <w:ind w:left="20" w:right="0" w:firstLine="0"/>
                    <w:jc w:val="left"/>
                    <w:rPr>
                      <w:sz w:val="18"/>
                    </w:rPr>
                  </w:pPr>
                  <w:r>
                    <w:rPr>
                      <w:color w:val="585858"/>
                      <w:spacing w:val="1"/>
                      <w:sz w:val="18"/>
                    </w:rPr>
                    <w:t>2</w:t>
                  </w:r>
                  <w:r>
                    <w:rPr>
                      <w:color w:val="585858"/>
                      <w:spacing w:val="-2"/>
                      <w:sz w:val="18"/>
                    </w:rPr>
                    <w:t>0</w:t>
                  </w:r>
                  <w:r>
                    <w:rPr>
                      <w:color w:val="585858"/>
                      <w:spacing w:val="1"/>
                      <w:sz w:val="18"/>
                    </w:rPr>
                    <w:t>0</w:t>
                  </w:r>
                  <w:r>
                    <w:rPr>
                      <w:color w:val="585858"/>
                      <w:sz w:val="18"/>
                    </w:rPr>
                    <w:t>6</w:t>
                  </w:r>
                </w:p>
                <w:p>
                  <w:pPr>
                    <w:spacing w:line="205" w:lineRule="exact" w:before="0"/>
                    <w:ind w:left="20" w:right="0" w:firstLine="0"/>
                    <w:jc w:val="left"/>
                    <w:rPr>
                      <w:sz w:val="18"/>
                    </w:rPr>
                  </w:pPr>
                  <w:r>
                    <w:rPr>
                      <w:color w:val="585858"/>
                      <w:spacing w:val="1"/>
                      <w:sz w:val="18"/>
                    </w:rPr>
                    <w:t>2</w:t>
                  </w:r>
                  <w:r>
                    <w:rPr>
                      <w:color w:val="585858"/>
                      <w:spacing w:val="-2"/>
                      <w:sz w:val="18"/>
                    </w:rPr>
                    <w:t>0</w:t>
                  </w:r>
                  <w:r>
                    <w:rPr>
                      <w:color w:val="585858"/>
                      <w:spacing w:val="1"/>
                      <w:sz w:val="18"/>
                    </w:rPr>
                    <w:t>0</w:t>
                  </w:r>
                  <w:r>
                    <w:rPr>
                      <w:color w:val="585858"/>
                      <w:sz w:val="18"/>
                    </w:rPr>
                    <w:t>7</w:t>
                  </w:r>
                </w:p>
                <w:p>
                  <w:pPr>
                    <w:spacing w:line="205" w:lineRule="exact" w:before="0"/>
                    <w:ind w:left="20" w:right="0" w:firstLine="0"/>
                    <w:jc w:val="left"/>
                    <w:rPr>
                      <w:sz w:val="18"/>
                    </w:rPr>
                  </w:pPr>
                  <w:r>
                    <w:rPr>
                      <w:color w:val="585858"/>
                      <w:spacing w:val="1"/>
                      <w:sz w:val="18"/>
                    </w:rPr>
                    <w:t>2</w:t>
                  </w:r>
                  <w:r>
                    <w:rPr>
                      <w:color w:val="585858"/>
                      <w:spacing w:val="-2"/>
                      <w:sz w:val="18"/>
                    </w:rPr>
                    <w:t>0</w:t>
                  </w:r>
                  <w:r>
                    <w:rPr>
                      <w:color w:val="585858"/>
                      <w:spacing w:val="1"/>
                      <w:sz w:val="18"/>
                    </w:rPr>
                    <w:t>0</w:t>
                  </w:r>
                  <w:r>
                    <w:rPr>
                      <w:color w:val="585858"/>
                      <w:sz w:val="18"/>
                    </w:rPr>
                    <w:t>8</w:t>
                  </w:r>
                </w:p>
                <w:p>
                  <w:pPr>
                    <w:spacing w:line="205" w:lineRule="exact" w:before="0"/>
                    <w:ind w:left="20" w:right="0" w:firstLine="0"/>
                    <w:jc w:val="left"/>
                    <w:rPr>
                      <w:sz w:val="18"/>
                    </w:rPr>
                  </w:pPr>
                  <w:r>
                    <w:rPr>
                      <w:color w:val="585858"/>
                      <w:spacing w:val="1"/>
                      <w:sz w:val="18"/>
                    </w:rPr>
                    <w:t>2</w:t>
                  </w:r>
                  <w:r>
                    <w:rPr>
                      <w:color w:val="585858"/>
                      <w:spacing w:val="-2"/>
                      <w:sz w:val="18"/>
                    </w:rPr>
                    <w:t>0</w:t>
                  </w:r>
                  <w:r>
                    <w:rPr>
                      <w:color w:val="585858"/>
                      <w:spacing w:val="1"/>
                      <w:sz w:val="18"/>
                    </w:rPr>
                    <w:t>0</w:t>
                  </w:r>
                  <w:r>
                    <w:rPr>
                      <w:color w:val="585858"/>
                      <w:sz w:val="18"/>
                    </w:rPr>
                    <w:t>9</w:t>
                  </w:r>
                </w:p>
                <w:p>
                  <w:pPr>
                    <w:spacing w:line="205" w:lineRule="exact" w:before="0"/>
                    <w:ind w:left="20" w:right="0" w:firstLine="0"/>
                    <w:jc w:val="left"/>
                    <w:rPr>
                      <w:sz w:val="18"/>
                    </w:rPr>
                  </w:pPr>
                  <w:r>
                    <w:rPr>
                      <w:color w:val="585858"/>
                      <w:spacing w:val="1"/>
                      <w:sz w:val="18"/>
                    </w:rPr>
                    <w:t>2</w:t>
                  </w:r>
                  <w:r>
                    <w:rPr>
                      <w:color w:val="585858"/>
                      <w:spacing w:val="-2"/>
                      <w:sz w:val="18"/>
                    </w:rPr>
                    <w:t>0</w:t>
                  </w:r>
                  <w:r>
                    <w:rPr>
                      <w:color w:val="585858"/>
                      <w:spacing w:val="1"/>
                      <w:sz w:val="18"/>
                    </w:rPr>
                    <w:t>1</w:t>
                  </w:r>
                  <w:r>
                    <w:rPr>
                      <w:color w:val="585858"/>
                      <w:sz w:val="18"/>
                    </w:rPr>
                    <w:t>0</w:t>
                  </w:r>
                </w:p>
                <w:p>
                  <w:pPr>
                    <w:spacing w:line="205" w:lineRule="exact" w:before="0"/>
                    <w:ind w:left="20" w:right="0" w:firstLine="0"/>
                    <w:jc w:val="left"/>
                    <w:rPr>
                      <w:sz w:val="18"/>
                    </w:rPr>
                  </w:pPr>
                  <w:r>
                    <w:rPr>
                      <w:color w:val="585858"/>
                      <w:spacing w:val="1"/>
                      <w:sz w:val="18"/>
                    </w:rPr>
                    <w:t>2</w:t>
                  </w:r>
                  <w:r>
                    <w:rPr>
                      <w:color w:val="585858"/>
                      <w:spacing w:val="-2"/>
                      <w:sz w:val="18"/>
                    </w:rPr>
                    <w:t>0</w:t>
                  </w:r>
                  <w:r>
                    <w:rPr>
                      <w:color w:val="585858"/>
                      <w:spacing w:val="1"/>
                      <w:sz w:val="18"/>
                    </w:rPr>
                    <w:t>1</w:t>
                  </w:r>
                  <w:r>
                    <w:rPr>
                      <w:color w:val="585858"/>
                      <w:sz w:val="18"/>
                    </w:rPr>
                    <w:t>1</w:t>
                  </w:r>
                </w:p>
                <w:p>
                  <w:pPr>
                    <w:spacing w:line="205" w:lineRule="exact" w:before="0"/>
                    <w:ind w:left="20" w:right="0" w:firstLine="0"/>
                    <w:jc w:val="left"/>
                    <w:rPr>
                      <w:sz w:val="18"/>
                    </w:rPr>
                  </w:pPr>
                  <w:r>
                    <w:rPr>
                      <w:color w:val="585858"/>
                      <w:spacing w:val="1"/>
                      <w:sz w:val="18"/>
                    </w:rPr>
                    <w:t>2</w:t>
                  </w:r>
                  <w:r>
                    <w:rPr>
                      <w:color w:val="585858"/>
                      <w:spacing w:val="-2"/>
                      <w:sz w:val="18"/>
                    </w:rPr>
                    <w:t>0</w:t>
                  </w:r>
                  <w:r>
                    <w:rPr>
                      <w:color w:val="585858"/>
                      <w:spacing w:val="1"/>
                      <w:sz w:val="18"/>
                    </w:rPr>
                    <w:t>1</w:t>
                  </w:r>
                  <w:r>
                    <w:rPr>
                      <w:color w:val="585858"/>
                      <w:sz w:val="18"/>
                    </w:rPr>
                    <w:t>2</w:t>
                  </w:r>
                </w:p>
                <w:p>
                  <w:pPr>
                    <w:spacing w:line="205" w:lineRule="exact" w:before="0"/>
                    <w:ind w:left="20" w:right="0" w:firstLine="0"/>
                    <w:jc w:val="left"/>
                    <w:rPr>
                      <w:sz w:val="18"/>
                    </w:rPr>
                  </w:pPr>
                  <w:r>
                    <w:rPr>
                      <w:color w:val="585858"/>
                      <w:spacing w:val="1"/>
                      <w:sz w:val="18"/>
                    </w:rPr>
                    <w:t>2</w:t>
                  </w:r>
                  <w:r>
                    <w:rPr>
                      <w:color w:val="585858"/>
                      <w:spacing w:val="-2"/>
                      <w:sz w:val="18"/>
                    </w:rPr>
                    <w:t>0</w:t>
                  </w:r>
                  <w:r>
                    <w:rPr>
                      <w:color w:val="585858"/>
                      <w:spacing w:val="1"/>
                      <w:sz w:val="18"/>
                    </w:rPr>
                    <w:t>1</w:t>
                  </w:r>
                  <w:r>
                    <w:rPr>
                      <w:color w:val="585858"/>
                      <w:sz w:val="18"/>
                    </w:rPr>
                    <w:t>3</w:t>
                  </w:r>
                </w:p>
                <w:p>
                  <w:pPr>
                    <w:spacing w:line="206" w:lineRule="exact" w:before="0"/>
                    <w:ind w:left="20" w:right="0" w:firstLine="0"/>
                    <w:jc w:val="left"/>
                    <w:rPr>
                      <w:sz w:val="18"/>
                    </w:rPr>
                  </w:pPr>
                  <w:r>
                    <w:rPr>
                      <w:color w:val="585858"/>
                      <w:spacing w:val="1"/>
                      <w:sz w:val="18"/>
                    </w:rPr>
                    <w:t>2</w:t>
                  </w:r>
                  <w:r>
                    <w:rPr>
                      <w:color w:val="585858"/>
                      <w:spacing w:val="-2"/>
                      <w:sz w:val="18"/>
                    </w:rPr>
                    <w:t>0</w:t>
                  </w:r>
                  <w:r>
                    <w:rPr>
                      <w:color w:val="585858"/>
                      <w:spacing w:val="1"/>
                      <w:sz w:val="18"/>
                    </w:rPr>
                    <w:t>1</w:t>
                  </w:r>
                  <w:r>
                    <w:rPr>
                      <w:color w:val="585858"/>
                      <w:sz w:val="18"/>
                    </w:rPr>
                    <w:t>4</w:t>
                  </w:r>
                </w:p>
              </w:txbxContent>
            </v:textbox>
            <w10:wrap type="none"/>
          </v:shape>
        </w:pict>
      </w:r>
      <w:r>
        <w:rPr>
          <w:sz w:val="18"/>
        </w:rPr>
        <w:t>Fuente: Elaboración propia con base en datos de INEGI (2015).</w:t>
      </w:r>
    </w:p>
    <w:p>
      <w:pPr>
        <w:pStyle w:val="BodyText"/>
        <w:rPr>
          <w:sz w:val="18"/>
        </w:rPr>
      </w:pPr>
    </w:p>
    <w:p>
      <w:pPr>
        <w:pStyle w:val="BodyText"/>
        <w:spacing w:line="360" w:lineRule="auto" w:before="135"/>
        <w:ind w:left="102" w:right="235"/>
        <w:jc w:val="both"/>
      </w:pPr>
      <w:r>
        <w:rPr/>
        <w:t>Una variable importante de analizar es el empleo dentro del sector manufacturero, el cual</w:t>
      </w:r>
      <w:r>
        <w:rPr>
          <w:spacing w:val="-30"/>
        </w:rPr>
        <w:t> </w:t>
      </w:r>
      <w:r>
        <w:rPr/>
        <w:t>ha mostrado una tendencia creciente a lo largo del periodo de análisis y se ha constituido como uno</w:t>
      </w:r>
      <w:r>
        <w:rPr>
          <w:spacing w:val="-9"/>
        </w:rPr>
        <w:t> </w:t>
      </w:r>
      <w:r>
        <w:rPr/>
        <w:t>de</w:t>
      </w:r>
      <w:r>
        <w:rPr>
          <w:spacing w:val="-10"/>
        </w:rPr>
        <w:t> </w:t>
      </w:r>
      <w:r>
        <w:rPr/>
        <w:t>los</w:t>
      </w:r>
      <w:r>
        <w:rPr>
          <w:spacing w:val="-8"/>
        </w:rPr>
        <w:t> </w:t>
      </w:r>
      <w:r>
        <w:rPr/>
        <w:t>sectores</w:t>
      </w:r>
      <w:r>
        <w:rPr>
          <w:spacing w:val="-8"/>
        </w:rPr>
        <w:t> </w:t>
      </w:r>
      <w:r>
        <w:rPr/>
        <w:t>con</w:t>
      </w:r>
      <w:r>
        <w:rPr>
          <w:spacing w:val="-7"/>
        </w:rPr>
        <w:t> </w:t>
      </w:r>
      <w:r>
        <w:rPr/>
        <w:t>mayor</w:t>
      </w:r>
      <w:r>
        <w:rPr>
          <w:spacing w:val="-9"/>
        </w:rPr>
        <w:t> </w:t>
      </w:r>
      <w:r>
        <w:rPr/>
        <w:t>generación</w:t>
      </w:r>
      <w:r>
        <w:rPr>
          <w:spacing w:val="-8"/>
        </w:rPr>
        <w:t> </w:t>
      </w:r>
      <w:r>
        <w:rPr/>
        <w:t>de</w:t>
      </w:r>
      <w:r>
        <w:rPr>
          <w:spacing w:val="-10"/>
        </w:rPr>
        <w:t> </w:t>
      </w:r>
      <w:r>
        <w:rPr/>
        <w:t>empleo.</w:t>
      </w:r>
      <w:r>
        <w:rPr>
          <w:spacing w:val="-9"/>
        </w:rPr>
        <w:t> </w:t>
      </w:r>
      <w:r>
        <w:rPr/>
        <w:t>En</w:t>
      </w:r>
      <w:r>
        <w:rPr>
          <w:spacing w:val="-9"/>
        </w:rPr>
        <w:t> </w:t>
      </w:r>
      <w:r>
        <w:rPr/>
        <w:t>1980</w:t>
      </w:r>
      <w:r>
        <w:rPr>
          <w:spacing w:val="-6"/>
        </w:rPr>
        <w:t> </w:t>
      </w:r>
      <w:r>
        <w:rPr/>
        <w:t>el</w:t>
      </w:r>
      <w:r>
        <w:rPr>
          <w:spacing w:val="-8"/>
        </w:rPr>
        <w:t> </w:t>
      </w:r>
      <w:r>
        <w:rPr/>
        <w:t>personal</w:t>
      </w:r>
      <w:r>
        <w:rPr>
          <w:spacing w:val="-8"/>
        </w:rPr>
        <w:t> </w:t>
      </w:r>
      <w:r>
        <w:rPr/>
        <w:t>ocupado</w:t>
      </w:r>
      <w:r>
        <w:rPr>
          <w:spacing w:val="-9"/>
        </w:rPr>
        <w:t> </w:t>
      </w:r>
      <w:r>
        <w:rPr/>
        <w:t>dentro</w:t>
      </w:r>
      <w:r>
        <w:rPr>
          <w:spacing w:val="-7"/>
        </w:rPr>
        <w:t> </w:t>
      </w:r>
      <w:r>
        <w:rPr/>
        <w:t>de las manufacturas fue de 2, 146,620, mientras que para el año 2008 esta cifra se incrementó</w:t>
      </w:r>
      <w:r>
        <w:rPr>
          <w:spacing w:val="-28"/>
        </w:rPr>
        <w:t> </w:t>
      </w:r>
      <w:r>
        <w:rPr/>
        <w:t>a 4,</w:t>
      </w:r>
      <w:r>
        <w:rPr>
          <w:spacing w:val="-6"/>
        </w:rPr>
        <w:t> </w:t>
      </w:r>
      <w:r>
        <w:rPr/>
        <w:t>661,062</w:t>
      </w:r>
      <w:r>
        <w:rPr>
          <w:spacing w:val="-6"/>
        </w:rPr>
        <w:t> </w:t>
      </w:r>
      <w:r>
        <w:rPr/>
        <w:t>trabajadores</w:t>
      </w:r>
      <w:r>
        <w:rPr>
          <w:spacing w:val="-6"/>
        </w:rPr>
        <w:t> </w:t>
      </w:r>
      <w:r>
        <w:rPr/>
        <w:t>empleados</w:t>
      </w:r>
      <w:r>
        <w:rPr>
          <w:spacing w:val="-6"/>
        </w:rPr>
        <w:t> </w:t>
      </w:r>
      <w:r>
        <w:rPr/>
        <w:t>en</w:t>
      </w:r>
      <w:r>
        <w:rPr>
          <w:spacing w:val="-6"/>
        </w:rPr>
        <w:t> </w:t>
      </w:r>
      <w:r>
        <w:rPr/>
        <w:t>el</w:t>
      </w:r>
      <w:r>
        <w:rPr>
          <w:spacing w:val="-6"/>
        </w:rPr>
        <w:t> </w:t>
      </w:r>
      <w:r>
        <w:rPr/>
        <w:t>sector,</w:t>
      </w:r>
      <w:r>
        <w:rPr>
          <w:spacing w:val="-7"/>
        </w:rPr>
        <w:t> </w:t>
      </w:r>
      <w:r>
        <w:rPr/>
        <w:t>con</w:t>
      </w:r>
      <w:r>
        <w:rPr>
          <w:spacing w:val="-6"/>
        </w:rPr>
        <w:t> </w:t>
      </w:r>
      <w:r>
        <w:rPr/>
        <w:t>lo</w:t>
      </w:r>
      <w:r>
        <w:rPr>
          <w:spacing w:val="-6"/>
        </w:rPr>
        <w:t> </w:t>
      </w:r>
      <w:r>
        <w:rPr/>
        <w:t>que</w:t>
      </w:r>
      <w:r>
        <w:rPr>
          <w:spacing w:val="-7"/>
        </w:rPr>
        <w:t> </w:t>
      </w:r>
      <w:r>
        <w:rPr/>
        <w:t>se</w:t>
      </w:r>
      <w:r>
        <w:rPr>
          <w:spacing w:val="-7"/>
        </w:rPr>
        <w:t> </w:t>
      </w:r>
      <w:r>
        <w:rPr/>
        <w:t>dio</w:t>
      </w:r>
      <w:r>
        <w:rPr>
          <w:spacing w:val="-6"/>
        </w:rPr>
        <w:t> </w:t>
      </w:r>
      <w:r>
        <w:rPr/>
        <w:t>un</w:t>
      </w:r>
      <w:r>
        <w:rPr>
          <w:spacing w:val="-6"/>
        </w:rPr>
        <w:t> </w:t>
      </w:r>
      <w:r>
        <w:rPr/>
        <w:t>crecimiento</w:t>
      </w:r>
      <w:r>
        <w:rPr>
          <w:spacing w:val="-6"/>
        </w:rPr>
        <w:t> </w:t>
      </w:r>
      <w:r>
        <w:rPr/>
        <w:t>de</w:t>
      </w:r>
      <w:r>
        <w:rPr>
          <w:spacing w:val="-7"/>
        </w:rPr>
        <w:t> </w:t>
      </w:r>
      <w:r>
        <w:rPr/>
        <w:t>117%</w:t>
      </w:r>
      <w:r>
        <w:rPr>
          <w:spacing w:val="-7"/>
        </w:rPr>
        <w:t> </w:t>
      </w:r>
      <w:r>
        <w:rPr/>
        <w:t>en el periodo de 1980 a 2008 (véase gráfica 3.3) (INEGI, varios</w:t>
      </w:r>
      <w:r>
        <w:rPr>
          <w:spacing w:val="-13"/>
        </w:rPr>
        <w:t> </w:t>
      </w:r>
      <w:r>
        <w:rPr/>
        <w:t>años).</w:t>
      </w:r>
    </w:p>
    <w:p>
      <w:pPr>
        <w:pStyle w:val="BodyText"/>
        <w:spacing w:before="10"/>
        <w:rPr>
          <w:sz w:val="21"/>
        </w:rPr>
      </w:pPr>
    </w:p>
    <w:p>
      <w:pPr>
        <w:pStyle w:val="Heading1"/>
        <w:ind w:left="672" w:right="807"/>
        <w:jc w:val="center"/>
      </w:pPr>
      <w:r>
        <w:rPr/>
        <w:pict>
          <v:group style="position:absolute;margin-left:107.144997pt;margin-top:20.208111pt;width:397.75pt;height:170.95pt;mso-position-horizontal-relative:page;mso-position-vertical-relative:paragraph;z-index:2248;mso-wrap-distance-left:0;mso-wrap-distance-right:0" coordorigin="2143,404" coordsize="7955,3419">
            <v:shape style="position:absolute;left:3154;top:632;width:6715;height:2309" type="#_x0000_t75" stroked="false">
              <v:imagedata r:id="rId36" o:title=""/>
            </v:shape>
            <v:line style="position:absolute" from="9521,2708" to="9869,2708" stroked="true" strokeweight=".72pt" strokecolor="#d9d9d9"/>
            <v:line style="position:absolute" from="8561,2708" to="9259,2708" stroked="true" strokeweight=".72pt" strokecolor="#d9d9d9"/>
            <v:line style="position:absolute" from="7601,2708" to="8299,2708" stroked="true" strokeweight=".72pt" strokecolor="#d9d9d9"/>
            <v:line style="position:absolute" from="6643,2708" to="7339,2708" stroked="true" strokeweight=".72pt" strokecolor="#d9d9d9"/>
            <v:line style="position:absolute" from="5683,2708" to="6382,2708" stroked="true" strokeweight=".72pt" strokecolor="#d9d9d9"/>
            <v:line style="position:absolute" from="4723,2708" to="5422,2708" stroked="true" strokeweight=".72pt" strokecolor="#d9d9d9"/>
            <v:line style="position:absolute" from="3766,2708" to="4462,2708" stroked="true" strokeweight=".72pt" strokecolor="#d9d9d9"/>
            <v:line style="position:absolute" from="3154,2708" to="3504,2708" stroked="true" strokeweight=".72pt" strokecolor="#d9d9d9"/>
            <v:line style="position:absolute" from="9521,2478" to="9869,2478" stroked="true" strokeweight=".72pt" strokecolor="#d9d9d9"/>
            <v:line style="position:absolute" from="8561,2478" to="9259,2478" stroked="true" strokeweight=".72pt" strokecolor="#d9d9d9"/>
            <v:line style="position:absolute" from="7601,2478" to="8299,2478" stroked="true" strokeweight=".72pt" strokecolor="#d9d9d9"/>
            <v:line style="position:absolute" from="6643,2478" to="7339,2478" stroked="true" strokeweight=".72pt" strokecolor="#d9d9d9"/>
            <v:line style="position:absolute" from="5683,2478" to="6382,2478" stroked="true" strokeweight=".72pt" strokecolor="#d9d9d9"/>
            <v:line style="position:absolute" from="4723,2478" to="5422,2478" stroked="true" strokeweight=".72pt" strokecolor="#d9d9d9"/>
            <v:line style="position:absolute" from="3766,2478" to="4462,2478" stroked="true" strokeweight=".72pt" strokecolor="#d9d9d9"/>
            <v:line style="position:absolute" from="3154,2478" to="3504,2478" stroked="true" strokeweight=".72pt" strokecolor="#d9d9d9"/>
            <v:line style="position:absolute" from="9521,2248" to="9869,2248" stroked="true" strokeweight=".72pt" strokecolor="#d9d9d9"/>
            <v:line style="position:absolute" from="8561,2248" to="9259,2248" stroked="true" strokeweight=".72pt" strokecolor="#d9d9d9"/>
            <v:line style="position:absolute" from="7601,2248" to="8299,2248" stroked="true" strokeweight=".72pt" strokecolor="#d9d9d9"/>
            <v:line style="position:absolute" from="6643,2248" to="7339,2248" stroked="true" strokeweight=".72pt" strokecolor="#d9d9d9"/>
            <v:line style="position:absolute" from="5683,2248" to="6382,2248" stroked="true" strokeweight=".72pt" strokecolor="#d9d9d9"/>
            <v:line style="position:absolute" from="4723,2248" to="5422,2248" stroked="true" strokeweight=".72pt" strokecolor="#d9d9d9"/>
            <v:line style="position:absolute" from="3766,2248" to="4462,2248" stroked="true" strokeweight=".72pt" strokecolor="#d9d9d9"/>
            <v:line style="position:absolute" from="3154,2248" to="3504,2248" stroked="true" strokeweight=".72pt" strokecolor="#d9d9d9"/>
            <v:line style="position:absolute" from="9521,2017" to="9869,2017" stroked="true" strokeweight=".72pt" strokecolor="#d9d9d9"/>
            <v:line style="position:absolute" from="8561,2017" to="9259,2017" stroked="true" strokeweight=".72pt" strokecolor="#d9d9d9"/>
            <v:line style="position:absolute" from="7601,2017" to="8299,2017" stroked="true" strokeweight=".72pt" strokecolor="#d9d9d9"/>
            <v:line style="position:absolute" from="6643,2017" to="7339,2017" stroked="true" strokeweight=".72pt" strokecolor="#d9d9d9"/>
            <v:line style="position:absolute" from="5683,2017" to="6382,2017" stroked="true" strokeweight=".72pt" strokecolor="#d9d9d9"/>
            <v:line style="position:absolute" from="4723,2017" to="5422,2017" stroked="true" strokeweight=".72pt" strokecolor="#d9d9d9"/>
            <v:line style="position:absolute" from="3766,2017" to="4462,2017" stroked="true" strokeweight=".72pt" strokecolor="#d9d9d9"/>
            <v:line style="position:absolute" from="3154,2017" to="3504,2017" stroked="true" strokeweight=".72pt" strokecolor="#d9d9d9"/>
            <v:line style="position:absolute" from="9521,1787" to="9869,1787" stroked="true" strokeweight=".72pt" strokecolor="#d9d9d9"/>
            <v:line style="position:absolute" from="8561,1787" to="9259,1787" stroked="true" strokeweight=".72pt" strokecolor="#d9d9d9"/>
            <v:line style="position:absolute" from="7601,1787" to="8299,1787" stroked="true" strokeweight=".72pt" strokecolor="#d9d9d9"/>
            <v:line style="position:absolute" from="6643,1787" to="7339,1787" stroked="true" strokeweight=".72pt" strokecolor="#d9d9d9"/>
            <v:line style="position:absolute" from="5683,1787" to="6382,1787" stroked="true" strokeweight=".72pt" strokecolor="#d9d9d9"/>
            <v:line style="position:absolute" from="4723,1787" to="5422,1787" stroked="true" strokeweight=".72pt" strokecolor="#d9d9d9"/>
            <v:line style="position:absolute" from="3154,1787" to="4462,1787" stroked="true" strokeweight=".72pt" strokecolor="#d9d9d9"/>
            <v:line style="position:absolute" from="9521,1556" to="9869,1556" stroked="true" strokeweight=".72pt" strokecolor="#d9d9d9"/>
            <v:line style="position:absolute" from="8561,1556" to="9259,1556" stroked="true" strokeweight=".72pt" strokecolor="#d9d9d9"/>
            <v:line style="position:absolute" from="7601,1556" to="8299,1556" stroked="true" strokeweight=".72pt" strokecolor="#d9d9d9"/>
            <v:line style="position:absolute" from="6643,1556" to="7339,1556" stroked="true" strokeweight=".72pt" strokecolor="#d9d9d9"/>
            <v:line style="position:absolute" from="3154,1556" to="6382,1556" stroked="true" strokeweight=".72pt" strokecolor="#d9d9d9"/>
            <v:line style="position:absolute" from="9521,1326" to="9869,1326" stroked="true" strokeweight=".72pt" strokecolor="#d9d9d9"/>
            <v:line style="position:absolute" from="8561,1326" to="9259,1326" stroked="true" strokeweight=".72pt" strokecolor="#d9d9d9"/>
            <v:line style="position:absolute" from="7601,1326" to="8299,1326" stroked="true" strokeweight=".72pt" strokecolor="#d9d9d9"/>
            <v:line style="position:absolute" from="3154,1326" to="7339,1326" stroked="true" strokeweight=".72pt" strokecolor="#d9d9d9"/>
            <v:line style="position:absolute" from="9521,1093" to="9869,1093" stroked="true" strokeweight=".72pt" strokecolor="#d9d9d9"/>
            <v:line style="position:absolute" from="8561,1093" to="9259,1093" stroked="true" strokeweight=".72pt" strokecolor="#d9d9d9"/>
            <v:line style="position:absolute" from="7601,1093" to="8299,1093" stroked="true" strokeweight=".72pt" strokecolor="#d9d9d9"/>
            <v:line style="position:absolute" from="3154,1093" to="7339,1093" stroked="true" strokeweight=".72pt" strokecolor="#d9d9d9"/>
            <v:line style="position:absolute" from="9521,863" to="9869,863" stroked="true" strokeweight=".72pt" strokecolor="#d9d9d9"/>
            <v:line style="position:absolute" from="3154,863" to="9259,863" stroked="true" strokeweight=".72pt" strokecolor="#d9d9d9"/>
            <v:line style="position:absolute" from="3154,632" to="9869,632" stroked="true" strokeweight=".72pt" strokecolor="#d9d9d9"/>
            <v:line style="position:absolute" from="3154,632" to="3154,2941" stroked="true" strokeweight=".72pt" strokecolor="#d9d9d9"/>
            <v:line style="position:absolute" from="4114,632" to="4114,2941" stroked="true" strokeweight=".72pt" strokecolor="#d9d9d9"/>
            <v:line style="position:absolute" from="5074,632" to="5074,2941" stroked="true" strokeweight=".72pt" strokecolor="#d9d9d9"/>
            <v:line style="position:absolute" from="6031,632" to="6031,2941" stroked="true" strokeweight=".72pt" strokecolor="#d9d9d9"/>
            <v:line style="position:absolute" from="6991,632" to="6991,2941" stroked="true" strokeweight=".72pt" strokecolor="#d9d9d9"/>
            <v:line style="position:absolute" from="7951,632" to="7951,2941" stroked="true" strokeweight=".72pt" strokecolor="#d9d9d9"/>
            <v:line style="position:absolute" from="8909,632" to="8909,2941" stroked="true" strokeweight=".72pt" strokecolor="#d9d9d9"/>
            <v:line style="position:absolute" from="9869,632" to="9869,2941" stroked="true" strokeweight=".72pt" strokecolor="#d9d9d9"/>
            <v:rect style="position:absolute;left:3504;top:1950;width:262;height:991" filled="true" fillcolor="#539e39" stroked="false">
              <v:fill type="solid"/>
            </v:rect>
            <v:rect style="position:absolute;left:4462;top:1751;width:262;height:1190" filled="true" fillcolor="#539e39" stroked="false">
              <v:fill type="solid"/>
            </v:rect>
            <v:rect style="position:absolute;left:5422;top:1722;width:262;height:1219" filled="true" fillcolor="#539e39" stroked="false">
              <v:fill type="solid"/>
            </v:rect>
            <v:rect style="position:absolute;left:6382;top:1441;width:262;height:1500" filled="true" fillcolor="#539e39" stroked="false">
              <v:fill type="solid"/>
            </v:rect>
            <v:rect style="position:absolute;left:7339;top:1014;width:262;height:1927" filled="true" fillcolor="#539e39" stroked="false">
              <v:fill type="solid"/>
            </v:rect>
            <v:rect style="position:absolute;left:8299;top:1002;width:262;height:1939" filled="true" fillcolor="#539e39" stroked="false">
              <v:fill type="solid"/>
            </v:rect>
            <v:rect style="position:absolute;left:9259;top:788;width:262;height:2153" filled="true" fillcolor="#539e39" stroked="false">
              <v:fill type="solid"/>
            </v:rect>
            <v:line style="position:absolute" from="3154,2941" to="9869,2941" stroked="true" strokeweight=".72pt" strokecolor="#d9d9d9"/>
            <v:line style="position:absolute" from="4757,3535" to="4846,3535" stroked="true" strokeweight="4.440pt" strokecolor="#539e39"/>
            <v:rect style="position:absolute;left:2150;top:412;width:7939;height:3403" filled="false" stroked="true" strokeweight=".72pt" strokecolor="#d9d9d9"/>
            <v:shape style="position:absolute;left:2282;top:546;width:721;height:2488" type="#_x0000_t202" filled="false" stroked="false">
              <v:textbox inset="0,0,0,0">
                <w:txbxContent>
                  <w:p>
                    <w:pPr>
                      <w:spacing w:line="184" w:lineRule="exact" w:before="0"/>
                      <w:ind w:left="0" w:right="0" w:firstLine="0"/>
                      <w:jc w:val="center"/>
                      <w:rPr>
                        <w:sz w:val="18"/>
                      </w:rPr>
                    </w:pPr>
                    <w:r>
                      <w:rPr>
                        <w:color w:val="585858"/>
                        <w:sz w:val="18"/>
                      </w:rPr>
                      <w:t>5,000,000</w:t>
                    </w:r>
                  </w:p>
                  <w:p>
                    <w:pPr>
                      <w:spacing w:before="23"/>
                      <w:ind w:left="0" w:right="0" w:firstLine="0"/>
                      <w:jc w:val="center"/>
                      <w:rPr>
                        <w:sz w:val="18"/>
                      </w:rPr>
                    </w:pPr>
                    <w:r>
                      <w:rPr>
                        <w:color w:val="585858"/>
                        <w:sz w:val="18"/>
                      </w:rPr>
                      <w:t>4,500,000</w:t>
                    </w:r>
                  </w:p>
                  <w:p>
                    <w:pPr>
                      <w:spacing w:before="24"/>
                      <w:ind w:left="0" w:right="0" w:firstLine="0"/>
                      <w:jc w:val="center"/>
                      <w:rPr>
                        <w:sz w:val="18"/>
                      </w:rPr>
                    </w:pPr>
                    <w:r>
                      <w:rPr>
                        <w:color w:val="585858"/>
                        <w:sz w:val="18"/>
                      </w:rPr>
                      <w:t>4,000,000</w:t>
                    </w:r>
                  </w:p>
                  <w:p>
                    <w:pPr>
                      <w:spacing w:before="24"/>
                      <w:ind w:left="0" w:right="0" w:firstLine="0"/>
                      <w:jc w:val="center"/>
                      <w:rPr>
                        <w:sz w:val="18"/>
                      </w:rPr>
                    </w:pPr>
                    <w:r>
                      <w:rPr>
                        <w:color w:val="585858"/>
                        <w:sz w:val="18"/>
                      </w:rPr>
                      <w:t>3,500,000</w:t>
                    </w:r>
                  </w:p>
                  <w:p>
                    <w:pPr>
                      <w:spacing w:before="24"/>
                      <w:ind w:left="0" w:right="0" w:firstLine="0"/>
                      <w:jc w:val="center"/>
                      <w:rPr>
                        <w:sz w:val="18"/>
                      </w:rPr>
                    </w:pPr>
                    <w:r>
                      <w:rPr>
                        <w:color w:val="585858"/>
                        <w:sz w:val="18"/>
                      </w:rPr>
                      <w:t>3,000,000</w:t>
                    </w:r>
                  </w:p>
                  <w:p>
                    <w:pPr>
                      <w:spacing w:before="24"/>
                      <w:ind w:left="0" w:right="0" w:firstLine="0"/>
                      <w:jc w:val="center"/>
                      <w:rPr>
                        <w:sz w:val="18"/>
                      </w:rPr>
                    </w:pPr>
                    <w:r>
                      <w:rPr>
                        <w:color w:val="585858"/>
                        <w:sz w:val="18"/>
                      </w:rPr>
                      <w:t>2,500,000</w:t>
                    </w:r>
                  </w:p>
                  <w:p>
                    <w:pPr>
                      <w:spacing w:before="23"/>
                      <w:ind w:left="0" w:right="0" w:firstLine="0"/>
                      <w:jc w:val="center"/>
                      <w:rPr>
                        <w:sz w:val="18"/>
                      </w:rPr>
                    </w:pPr>
                    <w:r>
                      <w:rPr>
                        <w:color w:val="585858"/>
                        <w:sz w:val="18"/>
                      </w:rPr>
                      <w:t>2,000,000</w:t>
                    </w:r>
                  </w:p>
                  <w:p>
                    <w:pPr>
                      <w:spacing w:before="24"/>
                      <w:ind w:left="0" w:right="0" w:firstLine="0"/>
                      <w:jc w:val="center"/>
                      <w:rPr>
                        <w:sz w:val="18"/>
                      </w:rPr>
                    </w:pPr>
                    <w:r>
                      <w:rPr>
                        <w:color w:val="585858"/>
                        <w:sz w:val="18"/>
                      </w:rPr>
                      <w:t>1,500,000</w:t>
                    </w:r>
                  </w:p>
                  <w:p>
                    <w:pPr>
                      <w:spacing w:before="24"/>
                      <w:ind w:left="0" w:right="0" w:firstLine="0"/>
                      <w:jc w:val="center"/>
                      <w:rPr>
                        <w:sz w:val="18"/>
                      </w:rPr>
                    </w:pPr>
                    <w:r>
                      <w:rPr>
                        <w:color w:val="585858"/>
                        <w:sz w:val="18"/>
                      </w:rPr>
                      <w:t>1,000,000</w:t>
                    </w:r>
                  </w:p>
                  <w:p>
                    <w:pPr>
                      <w:spacing w:before="24"/>
                      <w:ind w:left="134" w:right="0" w:firstLine="0"/>
                      <w:jc w:val="center"/>
                      <w:rPr>
                        <w:sz w:val="18"/>
                      </w:rPr>
                    </w:pPr>
                    <w:r>
                      <w:rPr>
                        <w:color w:val="585858"/>
                        <w:sz w:val="18"/>
                      </w:rPr>
                      <w:t>500,000</w:t>
                    </w:r>
                  </w:p>
                  <w:p>
                    <w:pPr>
                      <w:spacing w:line="203" w:lineRule="exact" w:before="24"/>
                      <w:ind w:left="0" w:right="0" w:firstLine="0"/>
                      <w:jc w:val="right"/>
                      <w:rPr>
                        <w:sz w:val="18"/>
                      </w:rPr>
                    </w:pPr>
                    <w:r>
                      <w:rPr>
                        <w:color w:val="585858"/>
                        <w:sz w:val="18"/>
                      </w:rPr>
                      <w:t>0</w:t>
                    </w:r>
                  </w:p>
                </w:txbxContent>
              </v:textbox>
              <w10:wrap type="none"/>
            </v:shape>
            <v:shape style="position:absolute;left:9027;top:517;width:725;height:180" type="#_x0000_t202" filled="false" stroked="false">
              <v:textbox inset="0,0,0,0">
                <w:txbxContent>
                  <w:p>
                    <w:pPr>
                      <w:spacing w:line="180" w:lineRule="exact" w:before="0"/>
                      <w:ind w:left="0" w:right="-15" w:firstLine="0"/>
                      <w:jc w:val="left"/>
                      <w:rPr>
                        <w:sz w:val="18"/>
                      </w:rPr>
                    </w:pPr>
                    <w:r>
                      <w:rPr>
                        <w:color w:val="404040"/>
                        <w:sz w:val="18"/>
                      </w:rPr>
                      <w:t>4,661,062</w:t>
                    </w:r>
                  </w:p>
                </w:txbxContent>
              </v:textbox>
              <w10:wrap type="none"/>
            </v:shape>
            <v:shape style="position:absolute;left:7108;top:742;width:728;height:180" type="#_x0000_t202" filled="false" stroked="false">
              <v:textbox inset="0,0,0,0">
                <w:txbxContent>
                  <w:p>
                    <w:pPr>
                      <w:spacing w:line="180" w:lineRule="exact" w:before="0"/>
                      <w:ind w:left="0" w:right="-12" w:firstLine="0"/>
                      <w:jc w:val="left"/>
                      <w:rPr>
                        <w:sz w:val="18"/>
                      </w:rPr>
                    </w:pPr>
                    <w:r>
                      <w:rPr>
                        <w:color w:val="404040"/>
                        <w:sz w:val="18"/>
                      </w:rPr>
                      <w:t>4,175,400</w:t>
                    </w:r>
                  </w:p>
                </w:txbxContent>
              </v:textbox>
              <w10:wrap type="none"/>
            </v:shape>
            <v:shape style="position:absolute;left:8067;top:730;width:725;height:180" type="#_x0000_t202" filled="false" stroked="false">
              <v:textbox inset="0,0,0,0">
                <w:txbxContent>
                  <w:p>
                    <w:pPr>
                      <w:spacing w:line="180" w:lineRule="exact" w:before="0"/>
                      <w:ind w:left="0" w:right="-15" w:firstLine="0"/>
                      <w:jc w:val="left"/>
                      <w:rPr>
                        <w:sz w:val="18"/>
                      </w:rPr>
                    </w:pPr>
                    <w:r>
                      <w:rPr>
                        <w:color w:val="404040"/>
                        <w:sz w:val="18"/>
                      </w:rPr>
                      <w:t>4,198,579</w:t>
                    </w:r>
                  </w:p>
                </w:txbxContent>
              </v:textbox>
              <w10:wrap type="none"/>
            </v:shape>
            <v:shape style="position:absolute;left:6149;top:1170;width:725;height:180" type="#_x0000_t202" filled="false" stroked="false">
              <v:textbox inset="0,0,0,0">
                <w:txbxContent>
                  <w:p>
                    <w:pPr>
                      <w:spacing w:line="180" w:lineRule="exact" w:before="0"/>
                      <w:ind w:left="0" w:right="-15" w:firstLine="0"/>
                      <w:jc w:val="left"/>
                      <w:rPr>
                        <w:sz w:val="18"/>
                      </w:rPr>
                    </w:pPr>
                    <w:r>
                      <w:rPr>
                        <w:color w:val="404040"/>
                        <w:sz w:val="18"/>
                      </w:rPr>
                      <w:t>3,246,042</w:t>
                    </w:r>
                  </w:p>
                </w:txbxContent>
              </v:textbox>
              <w10:wrap type="none"/>
            </v:shape>
            <v:shape style="position:absolute;left:4230;top:1479;width:725;height:180" type="#_x0000_t202" filled="false" stroked="false">
              <v:textbox inset="0,0,0,0">
                <w:txbxContent>
                  <w:p>
                    <w:pPr>
                      <w:spacing w:line="180" w:lineRule="exact" w:before="0"/>
                      <w:ind w:left="0" w:right="-15" w:firstLine="0"/>
                      <w:jc w:val="left"/>
                      <w:rPr>
                        <w:sz w:val="18"/>
                      </w:rPr>
                    </w:pPr>
                    <w:r>
                      <w:rPr>
                        <w:color w:val="404040"/>
                        <w:sz w:val="18"/>
                      </w:rPr>
                      <w:t>2,576,775</w:t>
                    </w:r>
                  </w:p>
                </w:txbxContent>
              </v:textbox>
              <w10:wrap type="none"/>
            </v:shape>
            <v:shape style="position:absolute;left:5189;top:1450;width:725;height:180" type="#_x0000_t202" filled="false" stroked="false">
              <v:textbox inset="0,0,0,0">
                <w:txbxContent>
                  <w:p>
                    <w:pPr>
                      <w:spacing w:line="180" w:lineRule="exact" w:before="0"/>
                      <w:ind w:left="0" w:right="-15" w:firstLine="0"/>
                      <w:jc w:val="left"/>
                      <w:rPr>
                        <w:sz w:val="18"/>
                      </w:rPr>
                    </w:pPr>
                    <w:r>
                      <w:rPr>
                        <w:color w:val="404040"/>
                        <w:sz w:val="18"/>
                      </w:rPr>
                      <w:t>2,640,472</w:t>
                    </w:r>
                  </w:p>
                </w:txbxContent>
              </v:textbox>
              <w10:wrap type="none"/>
            </v:shape>
            <v:shape style="position:absolute;left:3271;top:1677;width:726;height:181" type="#_x0000_t202" filled="false" stroked="false">
              <v:textbox inset="0,0,0,0">
                <w:txbxContent>
                  <w:p>
                    <w:pPr>
                      <w:spacing w:line="180" w:lineRule="exact" w:before="0"/>
                      <w:ind w:left="0" w:right="-14" w:firstLine="0"/>
                      <w:jc w:val="left"/>
                      <w:rPr>
                        <w:sz w:val="18"/>
                      </w:rPr>
                    </w:pPr>
                    <w:r>
                      <w:rPr>
                        <w:color w:val="404040"/>
                        <w:sz w:val="18"/>
                      </w:rPr>
                      <w:t>2,146,620</w:t>
                    </w:r>
                  </w:p>
                </w:txbxContent>
              </v:textbox>
              <w10:wrap type="none"/>
            </v:shape>
            <v:shape style="position:absolute;left:3455;top:3065;width:6117;height:564" type="#_x0000_t202" filled="false" stroked="false">
              <v:textbox inset="0,0,0,0">
                <w:txbxContent>
                  <w:p>
                    <w:pPr>
                      <w:tabs>
                        <w:tab w:pos="958" w:val="left" w:leader="none"/>
                        <w:tab w:pos="1918" w:val="left" w:leader="none"/>
                        <w:tab w:pos="2878" w:val="left" w:leader="none"/>
                        <w:tab w:pos="3837" w:val="left" w:leader="none"/>
                        <w:tab w:pos="4796" w:val="left" w:leader="none"/>
                        <w:tab w:pos="5755" w:val="left" w:leader="none"/>
                      </w:tabs>
                      <w:spacing w:line="184" w:lineRule="exact" w:before="0"/>
                      <w:ind w:left="0" w:right="0" w:firstLine="0"/>
                      <w:jc w:val="left"/>
                      <w:rPr>
                        <w:sz w:val="18"/>
                      </w:rPr>
                    </w:pPr>
                    <w:r>
                      <w:rPr>
                        <w:color w:val="585858"/>
                        <w:sz w:val="18"/>
                      </w:rPr>
                      <w:t>1980</w:t>
                      <w:tab/>
                      <w:t>1986</w:t>
                      <w:tab/>
                      <w:t>1988</w:t>
                      <w:tab/>
                      <w:t>1994</w:t>
                      <w:tab/>
                      <w:t>1998</w:t>
                      <w:tab/>
                      <w:t>2003</w:t>
                      <w:tab/>
                      <w:t>2008</w:t>
                    </w:r>
                  </w:p>
                  <w:p>
                    <w:pPr>
                      <w:spacing w:line="240" w:lineRule="auto" w:before="4"/>
                      <w:rPr>
                        <w:b/>
                        <w:sz w:val="15"/>
                      </w:rPr>
                    </w:pPr>
                  </w:p>
                  <w:p>
                    <w:pPr>
                      <w:spacing w:line="203" w:lineRule="exact" w:before="0"/>
                      <w:ind w:left="1428" w:right="0" w:firstLine="0"/>
                      <w:jc w:val="left"/>
                      <w:rPr>
                        <w:sz w:val="18"/>
                      </w:rPr>
                    </w:pPr>
                    <w:r>
                      <w:rPr>
                        <w:color w:val="585858"/>
                        <w:sz w:val="18"/>
                      </w:rPr>
                      <w:t>Personal Ocupado en la Manufactura</w:t>
                    </w:r>
                  </w:p>
                </w:txbxContent>
              </v:textbox>
              <w10:wrap type="none"/>
            </v:shape>
            <w10:wrap type="topAndBottom"/>
          </v:group>
        </w:pict>
      </w:r>
      <w:r>
        <w:rPr/>
        <w:t>Gráfica 3.3. Evolución del empleo en la manufactura de México, 1980-2008</w:t>
      </w:r>
    </w:p>
    <w:p>
      <w:pPr>
        <w:spacing w:before="98"/>
        <w:ind w:left="1383" w:right="1516" w:firstLine="0"/>
        <w:jc w:val="center"/>
        <w:rPr>
          <w:sz w:val="18"/>
        </w:rPr>
      </w:pPr>
      <w:r>
        <w:rPr>
          <w:sz w:val="18"/>
        </w:rPr>
        <w:t>Fuente: Elaboración propia con datos de INEGI (varios años).</w:t>
      </w:r>
    </w:p>
    <w:p>
      <w:pPr>
        <w:spacing w:after="0"/>
        <w:jc w:val="center"/>
        <w:rPr>
          <w:sz w:val="18"/>
        </w:rPr>
        <w:sectPr>
          <w:pgSz w:w="12240" w:h="15840"/>
          <w:pgMar w:header="0" w:footer="1035" w:top="1360" w:bottom="1220" w:left="1600" w:right="1460"/>
        </w:sectPr>
      </w:pPr>
    </w:p>
    <w:p>
      <w:pPr>
        <w:pStyle w:val="BodyText"/>
        <w:spacing w:line="360" w:lineRule="auto" w:before="50"/>
        <w:ind w:left="102" w:right="117"/>
        <w:jc w:val="both"/>
      </w:pPr>
      <w:r>
        <w:rPr/>
        <w:t>Un factor de gran importancia y que pocas veces se considera es que la Inversión</w:t>
      </w:r>
      <w:r>
        <w:rPr>
          <w:spacing w:val="-15"/>
        </w:rPr>
        <w:t> </w:t>
      </w:r>
      <w:r>
        <w:rPr/>
        <w:t>Extranjera Directa (IED) que llega a nuestro país se dirige generalmente a alguna rama de la industria manufacturera. Datos de la Secretaría de Economía (SE) 2014, reportan que en promedio el 47 % del total de la IED percibida en nuestro país se dirigió al sector de las manufacturas durante el periodo de 1994 a 2013; específicamente en el año 2013 se recibió el mayor porcentaje</w:t>
      </w:r>
      <w:r>
        <w:rPr>
          <w:spacing w:val="-10"/>
        </w:rPr>
        <w:t> </w:t>
      </w:r>
      <w:r>
        <w:rPr/>
        <w:t>de</w:t>
      </w:r>
      <w:r>
        <w:rPr>
          <w:spacing w:val="-10"/>
        </w:rPr>
        <w:t> </w:t>
      </w:r>
      <w:r>
        <w:rPr/>
        <w:t>la</w:t>
      </w:r>
      <w:r>
        <w:rPr>
          <w:spacing w:val="-7"/>
        </w:rPr>
        <w:t> </w:t>
      </w:r>
      <w:r>
        <w:rPr/>
        <w:t>IED</w:t>
      </w:r>
      <w:r>
        <w:rPr>
          <w:spacing w:val="-10"/>
        </w:rPr>
        <w:t> </w:t>
      </w:r>
      <w:r>
        <w:rPr/>
        <w:t>en</w:t>
      </w:r>
      <w:r>
        <w:rPr>
          <w:spacing w:val="-9"/>
        </w:rPr>
        <w:t> </w:t>
      </w:r>
      <w:r>
        <w:rPr/>
        <w:t>el</w:t>
      </w:r>
      <w:r>
        <w:rPr>
          <w:spacing w:val="-11"/>
        </w:rPr>
        <w:t> </w:t>
      </w:r>
      <w:r>
        <w:rPr/>
        <w:t>sector,</w:t>
      </w:r>
      <w:r>
        <w:rPr>
          <w:spacing w:val="-9"/>
        </w:rPr>
        <w:t> </w:t>
      </w:r>
      <w:r>
        <w:rPr/>
        <w:t>acaparando</w:t>
      </w:r>
      <w:r>
        <w:rPr>
          <w:spacing w:val="-9"/>
        </w:rPr>
        <w:t> </w:t>
      </w:r>
      <w:r>
        <w:rPr/>
        <w:t>el</w:t>
      </w:r>
      <w:r>
        <w:rPr>
          <w:spacing w:val="-11"/>
        </w:rPr>
        <w:t> </w:t>
      </w:r>
      <w:r>
        <w:rPr/>
        <w:t>80</w:t>
      </w:r>
      <w:r>
        <w:rPr>
          <w:spacing w:val="-6"/>
        </w:rPr>
        <w:t> </w:t>
      </w:r>
      <w:r>
        <w:rPr/>
        <w:t>%</w:t>
      </w:r>
      <w:r>
        <w:rPr>
          <w:spacing w:val="-12"/>
        </w:rPr>
        <w:t> </w:t>
      </w:r>
      <w:r>
        <w:rPr/>
        <w:t>de</w:t>
      </w:r>
      <w:r>
        <w:rPr>
          <w:spacing w:val="-12"/>
        </w:rPr>
        <w:t> </w:t>
      </w:r>
      <w:r>
        <w:rPr/>
        <w:t>la</w:t>
      </w:r>
      <w:r>
        <w:rPr>
          <w:spacing w:val="-7"/>
        </w:rPr>
        <w:t> </w:t>
      </w:r>
      <w:r>
        <w:rPr/>
        <w:t>IED</w:t>
      </w:r>
      <w:r>
        <w:rPr>
          <w:spacing w:val="-10"/>
        </w:rPr>
        <w:t> </w:t>
      </w:r>
      <w:r>
        <w:rPr/>
        <w:t>total</w:t>
      </w:r>
      <w:r>
        <w:rPr>
          <w:spacing w:val="-11"/>
        </w:rPr>
        <w:t> </w:t>
      </w:r>
      <w:r>
        <w:rPr/>
        <w:t>de</w:t>
      </w:r>
      <w:r>
        <w:rPr>
          <w:spacing w:val="-12"/>
        </w:rPr>
        <w:t> </w:t>
      </w:r>
      <w:r>
        <w:rPr/>
        <w:t>México</w:t>
      </w:r>
      <w:r>
        <w:rPr>
          <w:spacing w:val="-12"/>
        </w:rPr>
        <w:t> </w:t>
      </w:r>
      <w:r>
        <w:rPr/>
        <w:t>con</w:t>
      </w:r>
      <w:r>
        <w:rPr>
          <w:spacing w:val="-7"/>
        </w:rPr>
        <w:t> </w:t>
      </w:r>
      <w:r>
        <w:rPr/>
        <w:t>28,133.9 mdd (véase gráfica</w:t>
      </w:r>
      <w:r>
        <w:rPr>
          <w:spacing w:val="-5"/>
        </w:rPr>
        <w:t> </w:t>
      </w:r>
      <w:r>
        <w:rPr/>
        <w:t>3.4).</w:t>
      </w:r>
    </w:p>
    <w:p>
      <w:pPr>
        <w:pStyle w:val="BodyText"/>
        <w:spacing w:before="10"/>
        <w:rPr>
          <w:sz w:val="21"/>
        </w:rPr>
      </w:pPr>
    </w:p>
    <w:p>
      <w:pPr>
        <w:pStyle w:val="Heading1"/>
        <w:spacing w:line="360" w:lineRule="auto"/>
        <w:ind w:left="244" w:right="262"/>
        <w:jc w:val="center"/>
      </w:pPr>
      <w:r>
        <w:rPr/>
        <w:t>Gráfica 3.4. Participación de la IED total en la industria manufacturera de México, 2000-2013 (millones de dólares)</w:t>
      </w:r>
    </w:p>
    <w:p>
      <w:pPr>
        <w:pStyle w:val="BodyText"/>
        <w:ind w:left="538"/>
        <w:rPr>
          <w:sz w:val="20"/>
        </w:rPr>
      </w:pPr>
      <w:r>
        <w:rPr>
          <w:sz w:val="20"/>
        </w:rPr>
        <w:pict>
          <v:group style="width:397.6pt;height:170.8pt;mso-position-horizontal-relative:char;mso-position-vertical-relative:line" coordorigin="0,0" coordsize="7952,3416">
            <v:shape style="position:absolute;left:739;top:226;width:6984;height:2309" type="#_x0000_t75" stroked="false">
              <v:imagedata r:id="rId37" o:title=""/>
            </v:shape>
            <v:line style="position:absolute" from="7594,2206" to="7724,2206" stroked="true" strokeweight=".72pt" strokecolor="#d9d9d9"/>
            <v:line style="position:absolute" from="7452,2206" to="7495,2206" stroked="true" strokeweight=".72pt" strokecolor="#d9d9d9"/>
            <v:line style="position:absolute" from="7095,2206" to="7356,2206" stroked="true" strokeweight=".72pt" strokecolor="#d9d9d9"/>
            <v:line style="position:absolute" from="6955,2206" to="6996,2206" stroked="true" strokeweight=".72pt" strokecolor="#d9d9d9"/>
            <v:line style="position:absolute" from="6595,2206" to="6857,2206" stroked="true" strokeweight=".72pt" strokecolor="#d9d9d9"/>
            <v:line style="position:absolute" from="6456,2206" to="6497,2206" stroked="true" strokeweight=".72pt" strokecolor="#d9d9d9"/>
            <v:line style="position:absolute" from="6096,2206" to="6358,2206" stroked="true" strokeweight=".72pt" strokecolor="#d9d9d9"/>
            <v:line style="position:absolute" from="5957,2206" to="5998,2206" stroked="true" strokeweight=".72pt" strokecolor="#d9d9d9"/>
            <v:line style="position:absolute" from="5597,2206" to="5859,2206" stroked="true" strokeweight=".72pt" strokecolor="#d9d9d9"/>
            <v:line style="position:absolute" from="5458,2206" to="5501,2206" stroked="true" strokeweight=".72pt" strokecolor="#d9d9d9"/>
            <v:line style="position:absolute" from="5098,2206" to="5360,2206" stroked="true" strokeweight=".72pt" strokecolor="#d9d9d9"/>
            <v:line style="position:absolute" from="4959,2206" to="5002,2206" stroked="true" strokeweight=".72pt" strokecolor="#d9d9d9"/>
            <v:line style="position:absolute" from="4601,2206" to="4860,2206" stroked="true" strokeweight=".72pt" strokecolor="#d9d9d9"/>
            <v:line style="position:absolute" from="4460,2206" to="4503,2206" stroked="true" strokeweight=".72pt" strokecolor="#d9d9d9"/>
            <v:line style="position:absolute" from="4102,2206" to="4364,2206" stroked="true" strokeweight=".72pt" strokecolor="#d9d9d9"/>
            <v:line style="position:absolute" from="3963,2206" to="4003,2206" stroked="true" strokeweight=".72pt" strokecolor="#d9d9d9"/>
            <v:line style="position:absolute" from="3603,2206" to="3864,2206" stroked="true" strokeweight=".72pt" strokecolor="#d9d9d9"/>
            <v:line style="position:absolute" from="3464,2206" to="3504,2206" stroked="true" strokeweight=".72pt" strokecolor="#d9d9d9"/>
            <v:line style="position:absolute" from="3104,2206" to="3365,2206" stroked="true" strokeweight=".72pt" strokecolor="#d9d9d9"/>
            <v:line style="position:absolute" from="2964,2206" to="3005,2206" stroked="true" strokeweight=".72pt" strokecolor="#d9d9d9"/>
            <v:line style="position:absolute" from="2604,2206" to="2866,2206" stroked="true" strokeweight=".72pt" strokecolor="#d9d9d9"/>
            <v:line style="position:absolute" from="2465,2206" to="2506,2206" stroked="true" strokeweight=".72pt" strokecolor="#d9d9d9"/>
            <v:line style="position:absolute" from="2105,2206" to="2367,2206" stroked="true" strokeweight=".72pt" strokecolor="#d9d9d9"/>
            <v:line style="position:absolute" from="1966,2206" to="2009,2206" stroked="true" strokeweight=".72pt" strokecolor="#d9d9d9"/>
            <v:line style="position:absolute" from="1608,2206" to="1868,2206" stroked="true" strokeweight=".72pt" strokecolor="#d9d9d9"/>
            <v:line style="position:absolute" from="1467,2206" to="1510,2206" stroked="true" strokeweight=".72pt" strokecolor="#d9d9d9"/>
            <v:line style="position:absolute" from="1109,2206" to="1368,2206" stroked="true" strokeweight=".72pt" strokecolor="#d9d9d9"/>
            <v:line style="position:absolute" from="968,2206" to="1011,2206" stroked="true" strokeweight=".72pt" strokecolor="#d9d9d9"/>
            <v:line style="position:absolute" from="739,2206" to="871,2206" stroked="true" strokeweight=".72pt" strokecolor="#d9d9d9"/>
            <v:line style="position:absolute" from="7594,1875" to="7724,1875" stroked="true" strokeweight=".72pt" strokecolor="#d9d9d9"/>
            <v:line style="position:absolute" from="7452,1875" to="7495,1875" stroked="true" strokeweight=".72pt" strokecolor="#d9d9d9"/>
            <v:line style="position:absolute" from="6955,1875" to="7356,1875" stroked="true" strokeweight=".72pt" strokecolor="#d9d9d9"/>
            <v:line style="position:absolute" from="6456,1875" to="6857,1875" stroked="true" strokeweight=".72pt" strokecolor="#d9d9d9"/>
            <v:line style="position:absolute" from="6096,1875" to="6358,1875" stroked="true" strokeweight=".72pt" strokecolor="#d9d9d9"/>
            <v:line style="position:absolute" from="5957,1875" to="5998,1875" stroked="true" strokeweight=".72pt" strokecolor="#d9d9d9"/>
            <v:line style="position:absolute" from="4959,1875" to="5859,1875" stroked="true" strokeweight=".72pt" strokecolor="#d9d9d9"/>
            <v:line style="position:absolute" from="4601,1875" to="4860,1875" stroked="true" strokeweight=".72pt" strokecolor="#d9d9d9"/>
            <v:line style="position:absolute" from="4460,1875" to="4503,1875" stroked="true" strokeweight=".72pt" strokecolor="#d9d9d9"/>
            <v:line style="position:absolute" from="3963,1875" to="4363,1875" stroked="true" strokeweight=".72pt" strokecolor="#d9d9d9"/>
            <v:line style="position:absolute" from="3603,1875" to="3864,1875" stroked="true" strokeweight=".72pt" strokecolor="#d9d9d9"/>
            <v:line style="position:absolute" from="3464,1875" to="3504,1875" stroked="true" strokeweight=".72pt" strokecolor="#d9d9d9"/>
            <v:line style="position:absolute" from="3104,1875" to="3365,1875" stroked="true" strokeweight=".72pt" strokecolor="#d9d9d9"/>
            <v:line style="position:absolute" from="2964,1875" to="3005,1875" stroked="true" strokeweight=".72pt" strokecolor="#d9d9d9"/>
            <v:line style="position:absolute" from="2465,1875" to="2866,1875" stroked="true" strokeweight=".72pt" strokecolor="#d9d9d9"/>
            <v:line style="position:absolute" from="968,1875" to="2367,1875" stroked="true" strokeweight=".72pt" strokecolor="#d9d9d9"/>
            <v:line style="position:absolute" from="739,1875" to="871,1875" stroked="true" strokeweight=".72pt" strokecolor="#d9d9d9"/>
            <v:line style="position:absolute" from="7594,1546" to="7724,1546" stroked="true" strokeweight=".72pt" strokecolor="#d9d9d9"/>
            <v:line style="position:absolute" from="7452,1546" to="7495,1546" stroked="true" strokeweight=".72pt" strokecolor="#d9d9d9"/>
            <v:line style="position:absolute" from="5957,1546" to="7356,1546" stroked="true" strokeweight=".72pt" strokecolor="#d9d9d9"/>
            <v:line style="position:absolute" from="4460,1546" to="5859,1546" stroked="true" strokeweight=".72pt" strokecolor="#d9d9d9"/>
            <v:line style="position:absolute" from="739,1546" to="4363,1546" stroked="true" strokeweight=".72pt" strokecolor="#d9d9d9"/>
            <v:line style="position:absolute" from="7594,1215" to="7724,1215" stroked="true" strokeweight=".72pt" strokecolor="#d9d9d9"/>
            <v:line style="position:absolute" from="7452,1215" to="7495,1215" stroked="true" strokeweight=".72pt" strokecolor="#d9d9d9"/>
            <v:line style="position:absolute" from="739,1215" to="7356,1215" stroked="true" strokeweight=".72pt" strokecolor="#d9d9d9"/>
            <v:line style="position:absolute" from="7594,886" to="7724,886" stroked="true" strokeweight=".72pt" strokecolor="#d9d9d9"/>
            <v:line style="position:absolute" from="7452,886" to="7495,886" stroked="true" strokeweight=".72pt" strokecolor="#d9d9d9"/>
            <v:line style="position:absolute" from="739,886" to="7356,886" stroked="true" strokeweight=".72pt" strokecolor="#d9d9d9"/>
            <v:line style="position:absolute" from="7452,557" to="7723,557" stroked="true" strokeweight=".72pt" strokecolor="#d9d9d9"/>
            <v:line style="position:absolute" from="739,557" to="7356,557" stroked="true" strokeweight=".72pt" strokecolor="#d9d9d9"/>
            <v:line style="position:absolute" from="739,226" to="7723,226" stroked="true" strokeweight=".72pt" strokecolor="#d9d9d9"/>
            <v:line style="position:absolute" from="739,226" to="739,2535" stroked="true" strokeweight=".72pt" strokecolor="#d9d9d9"/>
            <v:line style="position:absolute" from="1239,226" to="1239,2535" stroked="true" strokeweight=".72pt" strokecolor="#d9d9d9"/>
            <v:line style="position:absolute" from="1738,226" to="1738,2535" stroked="true" strokeweight=".72pt" strokecolor="#d9d9d9"/>
            <v:line style="position:absolute" from="2237,226" to="2237,2535" stroked="true" strokeweight=".72pt" strokecolor="#d9d9d9"/>
            <v:line style="position:absolute" from="2736,226" to="2736,2535" stroked="true" strokeweight=".72pt" strokecolor="#d9d9d9"/>
            <v:line style="position:absolute" from="3233,226" to="3233,2535" stroked="true" strokeweight=".72pt" strokecolor="#d9d9d9"/>
            <v:line style="position:absolute" from="3732,226" to="3732,2535" stroked="true" strokeweight=".72pt" strokecolor="#d9d9d9"/>
            <v:line style="position:absolute" from="4231,226" to="4231,2535" stroked="true" strokeweight=".72pt" strokecolor="#d9d9d9"/>
            <v:line style="position:absolute" from="4731,226" to="4731,2535" stroked="true" strokeweight=".72pt" strokecolor="#d9d9d9"/>
            <v:line style="position:absolute" from="5230,226" to="5230,2535" stroked="true" strokeweight=".72pt" strokecolor="#d9d9d9"/>
            <v:line style="position:absolute" from="5729,226" to="5729,2535" stroked="true" strokeweight=".72pt" strokecolor="#d9d9d9"/>
            <v:line style="position:absolute" from="6228,226" to="6228,2535" stroked="true" strokeweight=".72pt" strokecolor="#d9d9d9"/>
            <v:line style="position:absolute" from="6725,226" to="6725,2535" stroked="true" strokeweight=".72pt" strokecolor="#d9d9d9"/>
            <v:line style="position:absolute" from="7224,226" to="7224,2535" stroked="true" strokeweight=".72pt" strokecolor="#d9d9d9"/>
            <v:line style="position:absolute" from="7723,226" to="7723,2535" stroked="true" strokeweight=".72pt" strokecolor="#d9d9d9"/>
            <v:line style="position:absolute" from="919,1810" to="919,2535" stroked="true" strokeweight="4.8pt" strokecolor="#539e39"/>
            <v:line style="position:absolute" from="1418,2064" to="1418,2535" stroked="true" strokeweight="4.92pt" strokecolor="#539e39"/>
            <v:line style="position:absolute" from="1917,1889" to="1917,2535" stroked="true" strokeweight="4.92pt" strokecolor="#539e39"/>
            <v:line style="position:absolute" from="2416,1851" to="2416,2535" stroked="true" strokeweight="4.92pt" strokecolor="#539e39"/>
            <v:line style="position:absolute" from="2915,1563" to="2915,2535" stroked="true" strokeweight="4.92pt" strokecolor="#539e39"/>
            <v:line style="position:absolute" from="3414,1690" to="3414,2535" stroked="true" strokeweight="4.92pt" strokecolor="#539e39"/>
            <v:line style="position:absolute" from="3914,1796" to="3914,2535" stroked="true" strokeweight="4.92pt" strokecolor="#539e39"/>
            <v:line style="position:absolute" from="4411,1373" to="4411,2535" stroked="true" strokeweight="4.8pt" strokecolor="#539e39"/>
            <v:line style="position:absolute" from="4910,1568" to="4910,2535" stroked="true" strokeweight="4.92pt" strokecolor="#539e39"/>
            <v:line style="position:absolute" from="5409,1951" to="5409,2535" stroked="true" strokeweight="4.92pt" strokecolor="#539e39"/>
            <v:line style="position:absolute" from="5908,1503" to="5908,2535" stroked="true" strokeweight="4.92pt" strokecolor="#539e39"/>
            <v:line style="position:absolute" from="6407,1704" to="6407,2535" stroked="true" strokeweight="4.92pt" strokecolor="#539e39"/>
            <v:line style="position:absolute" from="6906,1709" to="6906,2535" stroked="true" strokeweight="4.92pt" strokecolor="#539e39"/>
            <v:line style="position:absolute" from="7404,430" to="7404,2535" stroked="true" strokeweight="4.8pt" strokecolor="#539e39"/>
            <v:line style="position:absolute" from="1060,1856" to="1060,2535" stroked="true" strokeweight="4.92pt" strokecolor="#89b833"/>
            <v:line style="position:absolute" from="1559,2112" to="1559,2535" stroked="true" strokeweight="4.92pt" strokecolor="#89b833"/>
            <v:line style="position:absolute" from="2057,1980" to="2057,2535" stroked="true" strokeweight="4.8pt" strokecolor="#89b833"/>
            <v:line style="position:absolute" from="2555,1889" to="2555,2535" stroked="true" strokeweight="4.92pt" strokecolor="#89b833"/>
            <v:line style="position:absolute" from="3054,1632" to="3054,2535" stroked="true" strokeweight="4.92pt" strokecolor="#89b833"/>
            <v:line style="position:absolute" from="3554,1755" to="3554,2535" stroked="true" strokeweight="4.92pt" strokecolor="#89b833"/>
            <v:line style="position:absolute" from="4053,1860" to="4053,2535" stroked="true" strokeweight="4.92pt" strokecolor="#89b833"/>
            <v:line style="position:absolute" from="4552,1688" to="4552,2535" stroked="true" strokeweight="4.92pt" strokecolor="#89b833"/>
            <v:line style="position:absolute" from="5050,1966" to="5050,2535" stroked="true" strokeweight="4.8pt" strokecolor="#89b833"/>
            <v:line style="position:absolute" from="5549,2084" to="5549,2535" stroked="true" strokeweight="4.8pt" strokecolor="#89b833"/>
            <v:line style="position:absolute" from="6047,1628" to="6047,2535" stroked="true" strokeweight="4.92pt" strokecolor="#89b833"/>
            <v:line style="position:absolute" from="6546,1889" to="6546,2535" stroked="true" strokeweight="4.92pt" strokecolor="#89b833"/>
            <v:line style="position:absolute" from="7045,2033" to="7045,2535" stroked="true" strokeweight="4.92pt" strokecolor="#89b833"/>
            <v:line style="position:absolute" from="7545,679" to="7545,2535" stroked="true" strokeweight="4.92pt" strokecolor="#89b833"/>
            <v:line style="position:absolute" from="739,2535" to="7723,2535" stroked="true" strokeweight=".72pt" strokecolor="#d9d9d9"/>
            <v:line style="position:absolute" from="2600,3129" to="2688,3129" stroked="true" strokeweight="4.440pt" strokecolor="#539e39"/>
            <v:line style="position:absolute" from="3382,3129" to="3473,3129" stroked="true" strokeweight="4.440pt" strokecolor="#89b833"/>
            <v:rect style="position:absolute;left:8;top:8;width:7937;height:3401" filled="false" stroked="true" strokeweight=".72pt" strokecolor="#d9d9d9"/>
            <v:shape style="position:absolute;left:138;top:140;width:451;height:2488" type="#_x0000_t202" filled="false" stroked="false">
              <v:textbox inset="0,0,0,0">
                <w:txbxContent>
                  <w:p>
                    <w:pPr>
                      <w:spacing w:line="184" w:lineRule="exact" w:before="0"/>
                      <w:ind w:left="0" w:right="-19" w:firstLine="0"/>
                      <w:jc w:val="left"/>
                      <w:rPr>
                        <w:sz w:val="18"/>
                      </w:rPr>
                    </w:pPr>
                    <w:r>
                      <w:rPr>
                        <w:color w:val="585858"/>
                        <w:sz w:val="18"/>
                      </w:rPr>
                      <w:t>35000</w:t>
                    </w:r>
                  </w:p>
                  <w:p>
                    <w:pPr>
                      <w:spacing w:before="122"/>
                      <w:ind w:left="0" w:right="-19" w:firstLine="0"/>
                      <w:jc w:val="left"/>
                      <w:rPr>
                        <w:sz w:val="18"/>
                      </w:rPr>
                    </w:pPr>
                    <w:r>
                      <w:rPr>
                        <w:color w:val="585858"/>
                        <w:sz w:val="18"/>
                      </w:rPr>
                      <w:t>30000</w:t>
                    </w:r>
                  </w:p>
                  <w:p>
                    <w:pPr>
                      <w:spacing w:before="123"/>
                      <w:ind w:left="0" w:right="-19" w:firstLine="0"/>
                      <w:jc w:val="left"/>
                      <w:rPr>
                        <w:sz w:val="18"/>
                      </w:rPr>
                    </w:pPr>
                    <w:r>
                      <w:rPr>
                        <w:color w:val="585858"/>
                        <w:sz w:val="18"/>
                      </w:rPr>
                      <w:t>25000</w:t>
                    </w:r>
                  </w:p>
                  <w:p>
                    <w:pPr>
                      <w:spacing w:before="123"/>
                      <w:ind w:left="0" w:right="-19" w:firstLine="0"/>
                      <w:jc w:val="left"/>
                      <w:rPr>
                        <w:sz w:val="18"/>
                      </w:rPr>
                    </w:pPr>
                    <w:r>
                      <w:rPr>
                        <w:color w:val="585858"/>
                        <w:sz w:val="18"/>
                      </w:rPr>
                      <w:t>20000</w:t>
                    </w:r>
                  </w:p>
                  <w:p>
                    <w:pPr>
                      <w:spacing w:before="123"/>
                      <w:ind w:left="0" w:right="-19" w:firstLine="0"/>
                      <w:jc w:val="left"/>
                      <w:rPr>
                        <w:sz w:val="18"/>
                      </w:rPr>
                    </w:pPr>
                    <w:r>
                      <w:rPr>
                        <w:color w:val="585858"/>
                        <w:sz w:val="18"/>
                      </w:rPr>
                      <w:t>15000</w:t>
                    </w:r>
                  </w:p>
                  <w:p>
                    <w:pPr>
                      <w:spacing w:before="122"/>
                      <w:ind w:left="0" w:right="-19" w:firstLine="0"/>
                      <w:jc w:val="left"/>
                      <w:rPr>
                        <w:sz w:val="18"/>
                      </w:rPr>
                    </w:pPr>
                    <w:r>
                      <w:rPr>
                        <w:color w:val="585858"/>
                        <w:sz w:val="18"/>
                      </w:rPr>
                      <w:t>10000</w:t>
                    </w:r>
                  </w:p>
                  <w:p>
                    <w:pPr>
                      <w:spacing w:before="123"/>
                      <w:ind w:left="89" w:right="-18" w:firstLine="0"/>
                      <w:jc w:val="left"/>
                      <w:rPr>
                        <w:sz w:val="18"/>
                      </w:rPr>
                    </w:pPr>
                    <w:r>
                      <w:rPr>
                        <w:color w:val="585858"/>
                        <w:sz w:val="18"/>
                      </w:rPr>
                      <w:t>5000</w:t>
                    </w:r>
                  </w:p>
                  <w:p>
                    <w:pPr>
                      <w:spacing w:line="203" w:lineRule="exact" w:before="123"/>
                      <w:ind w:left="0" w:right="0" w:firstLine="0"/>
                      <w:jc w:val="right"/>
                      <w:rPr>
                        <w:sz w:val="18"/>
                      </w:rPr>
                    </w:pPr>
                    <w:r>
                      <w:rPr>
                        <w:color w:val="585858"/>
                        <w:sz w:val="18"/>
                      </w:rPr>
                      <w:t>0</w:t>
                    </w:r>
                  </w:p>
                </w:txbxContent>
              </v:textbox>
              <w10:wrap type="none"/>
            </v:shape>
            <v:shape style="position:absolute;left:810;top:2659;width:6848;height:180" type="#_x0000_t202" filled="false" stroked="false">
              <v:textbox inset="0,0,0,0">
                <w:txbxContent>
                  <w:p>
                    <w:pPr>
                      <w:spacing w:line="180" w:lineRule="exact" w:before="0"/>
                      <w:ind w:left="0" w:right="0" w:firstLine="0"/>
                      <w:jc w:val="left"/>
                      <w:rPr>
                        <w:sz w:val="18"/>
                      </w:rPr>
                    </w:pPr>
                    <w:r>
                      <w:rPr>
                        <w:color w:val="585858"/>
                        <w:sz w:val="18"/>
                      </w:rPr>
                      <w:t>2000   2001   2002   2003   2004   2005   2006   2007   2008   2009   2010   2011   2012   2013</w:t>
                    </w:r>
                  </w:p>
                </w:txbxContent>
              </v:textbox>
              <w10:wrap type="none"/>
            </v:shape>
            <v:shape style="position:absolute;left:2727;top:3042;width:380;height:180" type="#_x0000_t202" filled="false" stroked="false">
              <v:textbox inset="0,0,0,0">
                <w:txbxContent>
                  <w:p>
                    <w:pPr>
                      <w:spacing w:line="180" w:lineRule="exact" w:before="0"/>
                      <w:ind w:left="0" w:right="-20" w:firstLine="0"/>
                      <w:jc w:val="left"/>
                      <w:rPr>
                        <w:sz w:val="18"/>
                      </w:rPr>
                    </w:pPr>
                    <w:r>
                      <w:rPr>
                        <w:color w:val="585858"/>
                        <w:sz w:val="18"/>
                      </w:rPr>
                      <w:t>Total</w:t>
                    </w:r>
                  </w:p>
                </w:txbxContent>
              </v:textbox>
              <w10:wrap type="none"/>
            </v:shape>
            <v:shape style="position:absolute;left:3511;top:3042;width:1862;height:180" type="#_x0000_t202" filled="false" stroked="false">
              <v:textbox inset="0,0,0,0">
                <w:txbxContent>
                  <w:p>
                    <w:pPr>
                      <w:spacing w:line="180" w:lineRule="exact" w:before="0"/>
                      <w:ind w:left="0" w:right="-13" w:firstLine="0"/>
                      <w:jc w:val="left"/>
                      <w:rPr>
                        <w:sz w:val="18"/>
                      </w:rPr>
                    </w:pPr>
                    <w:r>
                      <w:rPr>
                        <w:color w:val="585858"/>
                        <w:sz w:val="18"/>
                      </w:rPr>
                      <w:t>Industrias</w:t>
                    </w:r>
                    <w:r>
                      <w:rPr>
                        <w:color w:val="585858"/>
                        <w:spacing w:val="-10"/>
                        <w:sz w:val="18"/>
                      </w:rPr>
                      <w:t> </w:t>
                    </w:r>
                    <w:r>
                      <w:rPr>
                        <w:color w:val="585858"/>
                        <w:sz w:val="18"/>
                      </w:rPr>
                      <w:t>manufactureras</w:t>
                    </w:r>
                  </w:p>
                </w:txbxContent>
              </v:textbox>
              <w10:wrap type="none"/>
            </v:shape>
          </v:group>
        </w:pict>
      </w:r>
      <w:r>
        <w:rPr>
          <w:sz w:val="20"/>
        </w:rPr>
      </w:r>
    </w:p>
    <w:p>
      <w:pPr>
        <w:spacing w:before="124"/>
        <w:ind w:left="383" w:right="400" w:firstLine="0"/>
        <w:jc w:val="center"/>
        <w:rPr>
          <w:sz w:val="18"/>
        </w:rPr>
      </w:pPr>
      <w:r>
        <w:rPr>
          <w:sz w:val="18"/>
        </w:rPr>
        <w:t>Fuente: Elaboración propia con base en datos del INEGI (2014).</w:t>
      </w:r>
    </w:p>
    <w:p>
      <w:pPr>
        <w:pStyle w:val="BodyText"/>
        <w:rPr>
          <w:sz w:val="18"/>
        </w:rPr>
      </w:pPr>
    </w:p>
    <w:p>
      <w:pPr>
        <w:pStyle w:val="BodyText"/>
        <w:spacing w:line="360" w:lineRule="auto" w:before="137"/>
        <w:ind w:left="102" w:right="116"/>
        <w:jc w:val="both"/>
      </w:pPr>
      <w:r>
        <w:rPr/>
        <w:t>Por otro lado, en la gráfica 3.5 se presentan las principales características de los sectores productivos, se observa que las industrias manufactureras son las más productivas del país, rebasando</w:t>
      </w:r>
      <w:r>
        <w:rPr>
          <w:spacing w:val="-10"/>
        </w:rPr>
        <w:t> </w:t>
      </w:r>
      <w:r>
        <w:rPr/>
        <w:t>a</w:t>
      </w:r>
      <w:r>
        <w:rPr>
          <w:spacing w:val="-11"/>
        </w:rPr>
        <w:t> </w:t>
      </w:r>
      <w:r>
        <w:rPr/>
        <w:t>sectores</w:t>
      </w:r>
      <w:r>
        <w:rPr>
          <w:spacing w:val="-9"/>
        </w:rPr>
        <w:t> </w:t>
      </w:r>
      <w:r>
        <w:rPr/>
        <w:t>como</w:t>
      </w:r>
      <w:r>
        <w:rPr>
          <w:spacing w:val="-10"/>
        </w:rPr>
        <w:t> </w:t>
      </w:r>
      <w:r>
        <w:rPr/>
        <w:t>la</w:t>
      </w:r>
      <w:r>
        <w:rPr>
          <w:spacing w:val="-10"/>
        </w:rPr>
        <w:t> </w:t>
      </w:r>
      <w:r>
        <w:rPr/>
        <w:t>minería,</w:t>
      </w:r>
      <w:r>
        <w:rPr>
          <w:spacing w:val="-10"/>
        </w:rPr>
        <w:t> </w:t>
      </w:r>
      <w:r>
        <w:rPr/>
        <w:t>comercio</w:t>
      </w:r>
      <w:r>
        <w:rPr>
          <w:spacing w:val="-9"/>
        </w:rPr>
        <w:t> </w:t>
      </w:r>
      <w:r>
        <w:rPr/>
        <w:t>al</w:t>
      </w:r>
      <w:r>
        <w:rPr>
          <w:spacing w:val="-9"/>
        </w:rPr>
        <w:t> </w:t>
      </w:r>
      <w:r>
        <w:rPr/>
        <w:t>por</w:t>
      </w:r>
      <w:r>
        <w:rPr>
          <w:spacing w:val="-10"/>
        </w:rPr>
        <w:t> </w:t>
      </w:r>
      <w:r>
        <w:rPr/>
        <w:t>mayor</w:t>
      </w:r>
      <w:r>
        <w:rPr>
          <w:spacing w:val="-6"/>
        </w:rPr>
        <w:t> </w:t>
      </w:r>
      <w:r>
        <w:rPr/>
        <w:t>y</w:t>
      </w:r>
      <w:r>
        <w:rPr>
          <w:spacing w:val="-14"/>
        </w:rPr>
        <w:t> </w:t>
      </w:r>
      <w:r>
        <w:rPr/>
        <w:t>por</w:t>
      </w:r>
      <w:r>
        <w:rPr>
          <w:spacing w:val="-10"/>
        </w:rPr>
        <w:t> </w:t>
      </w:r>
      <w:r>
        <w:rPr/>
        <w:t>menor</w:t>
      </w:r>
      <w:r>
        <w:rPr>
          <w:spacing w:val="-11"/>
        </w:rPr>
        <w:t> </w:t>
      </w:r>
      <w:r>
        <w:rPr/>
        <w:t>así</w:t>
      </w:r>
      <w:r>
        <w:rPr>
          <w:spacing w:val="-9"/>
        </w:rPr>
        <w:t> </w:t>
      </w:r>
      <w:r>
        <w:rPr/>
        <w:t>como</w:t>
      </w:r>
      <w:r>
        <w:rPr>
          <w:spacing w:val="-9"/>
        </w:rPr>
        <w:t> </w:t>
      </w:r>
      <w:r>
        <w:rPr/>
        <w:t>servicios financieros</w:t>
      </w:r>
      <w:r>
        <w:rPr>
          <w:spacing w:val="-9"/>
        </w:rPr>
        <w:t> </w:t>
      </w:r>
      <w:r>
        <w:rPr/>
        <w:t>y</w:t>
      </w:r>
      <w:r>
        <w:rPr>
          <w:spacing w:val="-19"/>
        </w:rPr>
        <w:t> </w:t>
      </w:r>
      <w:r>
        <w:rPr/>
        <w:t>de</w:t>
      </w:r>
      <w:r>
        <w:rPr>
          <w:spacing w:val="-15"/>
        </w:rPr>
        <w:t> </w:t>
      </w:r>
      <w:r>
        <w:rPr/>
        <w:t>seguros,</w:t>
      </w:r>
      <w:r>
        <w:rPr>
          <w:spacing w:val="-13"/>
        </w:rPr>
        <w:t> </w:t>
      </w:r>
      <w:r>
        <w:rPr/>
        <w:t>etc.</w:t>
      </w:r>
      <w:r>
        <w:rPr>
          <w:spacing w:val="-15"/>
        </w:rPr>
        <w:t> </w:t>
      </w:r>
      <w:r>
        <w:rPr/>
        <w:t>Puntualmente,</w:t>
      </w:r>
      <w:r>
        <w:rPr>
          <w:spacing w:val="-14"/>
        </w:rPr>
        <w:t> </w:t>
      </w:r>
      <w:r>
        <w:rPr/>
        <w:t>para</w:t>
      </w:r>
      <w:r>
        <w:rPr>
          <w:spacing w:val="-16"/>
        </w:rPr>
        <w:t> </w:t>
      </w:r>
      <w:r>
        <w:rPr/>
        <w:t>el</w:t>
      </w:r>
      <w:r>
        <w:rPr>
          <w:spacing w:val="-12"/>
        </w:rPr>
        <w:t> </w:t>
      </w:r>
      <w:r>
        <w:rPr/>
        <w:t>año</w:t>
      </w:r>
      <w:r>
        <w:rPr>
          <w:spacing w:val="-14"/>
        </w:rPr>
        <w:t> </w:t>
      </w:r>
      <w:r>
        <w:rPr/>
        <w:t>2008,</w:t>
      </w:r>
      <w:r>
        <w:rPr>
          <w:spacing w:val="-14"/>
        </w:rPr>
        <w:t> </w:t>
      </w:r>
      <w:r>
        <w:rPr/>
        <w:t>la</w:t>
      </w:r>
      <w:r>
        <w:rPr>
          <w:spacing w:val="-15"/>
        </w:rPr>
        <w:t> </w:t>
      </w:r>
      <w:r>
        <w:rPr/>
        <w:t>industria</w:t>
      </w:r>
      <w:r>
        <w:rPr>
          <w:spacing w:val="-15"/>
        </w:rPr>
        <w:t> </w:t>
      </w:r>
      <w:r>
        <w:rPr/>
        <w:t>manufacturera</w:t>
      </w:r>
      <w:r>
        <w:rPr>
          <w:spacing w:val="-16"/>
        </w:rPr>
        <w:t> </w:t>
      </w:r>
      <w:r>
        <w:rPr/>
        <w:t>tuvo la mayor participación dentro de la producción bruta total, del total de remuneraciones y del valor agregado censal bruto a nivel nacional, con porcentajes de 44.3,32.6 y 29.3%. En cuanto a unidades económicas el sector representó el 11.75% con lo que empleó al 23.2% del total del personal ocupado a nivel</w:t>
      </w:r>
      <w:r>
        <w:rPr>
          <w:spacing w:val="-5"/>
        </w:rPr>
        <w:t> </w:t>
      </w:r>
      <w:r>
        <w:rPr/>
        <w:t>nacional.</w:t>
      </w:r>
    </w:p>
    <w:p>
      <w:pPr>
        <w:spacing w:after="0" w:line="360" w:lineRule="auto"/>
        <w:jc w:val="both"/>
        <w:sectPr>
          <w:pgSz w:w="12240" w:h="15840"/>
          <w:pgMar w:header="0" w:footer="1035" w:top="1360" w:bottom="1220" w:left="1600" w:right="1580"/>
        </w:sectPr>
      </w:pPr>
    </w:p>
    <w:p>
      <w:pPr>
        <w:pStyle w:val="Heading1"/>
        <w:spacing w:line="360" w:lineRule="auto" w:before="55"/>
        <w:ind w:right="400"/>
        <w:jc w:val="center"/>
      </w:pPr>
      <w:r>
        <w:rPr/>
        <w:pict>
          <v:group style="position:absolute;margin-left:100.184998pt;margin-top:43.798145pt;width:411.65pt;height:185.1pt;mso-position-horizontal-relative:page;mso-position-vertical-relative:paragraph;z-index:-500344" coordorigin="2004,876" coordsize="8233,3702">
            <v:shape style="position:absolute;left:2750;top:1025;width:7186;height:2050" type="#_x0000_t75" stroked="false">
              <v:imagedata r:id="rId38" o:title=""/>
            </v:shape>
            <v:line style="position:absolute" from="3972,2931" to="3972,3075" stroked="true" strokeweight="2.4pt" strokecolor="#539e39"/>
            <v:shape style="position:absolute;left:5484;top:2928;width:756;height:147" coordorigin="5484,2928" coordsize="756,147" path="m5484,2928l5484,3075m6240,2976l6240,3075e" filled="false" stroked="true" strokeweight="2.4pt" strokecolor="#539e39">
              <v:path arrowok="t"/>
            </v:shape>
            <v:line style="position:absolute" from="6997,2957" to="6997,3075" stroked="true" strokeweight="2.280pt" strokecolor="#539e39"/>
            <v:line style="position:absolute" from="8131,2945" to="8131,3075" stroked="true" strokeweight="2.4pt" strokecolor="#539e39"/>
            <v:line style="position:absolute" from="8510,2955" to="8510,3075" stroked="true" strokeweight="2.4pt" strokecolor="#539e39"/>
            <v:shape style="position:absolute;left:3283;top:2902;width:756;height:173" coordorigin="3283,2902" coordsize="756,173" path="m3283,2955l3283,3075m3662,2902l3662,3075m4039,2926l4039,3075e" filled="false" stroked="true" strokeweight="2.4pt" strokecolor="#89b833">
              <v:path arrowok="t"/>
            </v:shape>
            <v:line style="position:absolute" from="5930,2902" to="5930,3075" stroked="true" strokeweight="2.4pt" strokecolor="#89b833"/>
            <v:shape style="position:absolute;left:9334;top:2945;width:380;height:130" coordorigin="9334,2945" coordsize="380,130" path="m9334,2945l9334,3075m9713,2991l9713,3075e" filled="false" stroked="true" strokeweight="2.4pt" strokecolor="#89b833">
              <v:path arrowok="t"/>
            </v:shape>
            <v:line style="position:absolute" from="4108,2923" to="4108,3075" stroked="true" strokeweight="2.280pt" strokecolor="#c0cf39"/>
            <v:line style="position:absolute" from="4865,2899" to="4865,3075" stroked="true" strokeweight="2.4pt" strokecolor="#c0cf39"/>
            <v:line style="position:absolute" from="5621,2916" to="5621,3075" stroked="true" strokeweight="2.4pt" strokecolor="#c0cf39"/>
            <v:line style="position:absolute" from="5999,2907" to="5999,3075" stroked="true" strokeweight="2.280pt" strokecolor="#c0cf39"/>
            <v:line style="position:absolute" from="7889,2986" to="7889,3075" stroked="true" strokeweight="2.4pt" strokecolor="#c0cf39"/>
            <v:line style="position:absolute" from="9402,2969" to="9402,3075" stroked="true" strokeweight="2.280pt" strokecolor="#c0cf39"/>
            <v:line style="position:absolute" from="4176,2976" to="4176,3075" stroked="true" strokeweight="2.4pt" strokecolor="#019576"/>
            <v:line style="position:absolute" from="5688,2923" to="5688,3075" stroked="true" strokeweight="2.4pt" strokecolor="#019576"/>
            <v:line style="position:absolute" from="6067,2935" to="6067,3075" stroked="true" strokeweight="2.4pt" strokecolor="#019576"/>
            <v:line style="position:absolute" from="7957,2938" to="7957,3075" stroked="true" strokeweight="2.280pt" strokecolor="#019576"/>
            <v:line style="position:absolute" from="9470,2986" to="9470,3075" stroked="true" strokeweight="2.4pt" strokecolor="#019576"/>
            <v:shape style="position:absolute;left:2310;top:3133;width:737;height:839" type="#_x0000_t75" stroked="false">
              <v:imagedata r:id="rId39" o:title=""/>
            </v:shape>
            <v:shape style="position:absolute;left:2996;top:3228;width:330;height:344" type="#_x0000_t75" stroked="false">
              <v:imagedata r:id="rId40" o:title=""/>
            </v:shape>
            <v:shape style="position:absolute;left:2789;top:3133;width:7065;height:1328" type="#_x0000_t75" stroked="false">
              <v:imagedata r:id="rId41" o:title=""/>
            </v:shape>
            <v:line style="position:absolute" from="2532,4470" to="2606,4470" stroked="true" strokeweight="3.72pt" strokecolor="#539e39"/>
            <v:line style="position:absolute" from="4291,4470" to="4368,4470" stroked="true" strokeweight="3.72pt" strokecolor="#89b833"/>
            <v:line style="position:absolute" from="6168,4470" to="6245,4470" stroked="true" strokeweight="3.72pt" strokecolor="#c0cf39"/>
            <v:line style="position:absolute" from="7896,4470" to="7970,4470" stroked="true" strokeweight="3.72pt" strokecolor="#019576"/>
            <v:rect style="position:absolute;left:2011;top:883;width:8218;height:3686" filled="false" stroked="true" strokeweight=".72pt" strokecolor="#d9d9d9"/>
            <v:shape style="position:absolute;left:2282;top:938;width:316;height:2229" type="#_x0000_t202" filled="false" stroked="false">
              <v:textbox inset="0,0,0,0">
                <w:txbxContent>
                  <w:p>
                    <w:pPr>
                      <w:spacing w:line="182" w:lineRule="exact" w:before="0"/>
                      <w:ind w:left="0" w:right="-19" w:firstLine="0"/>
                      <w:jc w:val="left"/>
                      <w:rPr>
                        <w:sz w:val="18"/>
                      </w:rPr>
                    </w:pPr>
                    <w:r>
                      <w:rPr>
                        <w:color w:val="585858"/>
                        <w:sz w:val="18"/>
                      </w:rPr>
                      <w:t>50.0</w:t>
                    </w:r>
                  </w:p>
                  <w:p>
                    <w:pPr>
                      <w:spacing w:line="205" w:lineRule="exact" w:before="0"/>
                      <w:ind w:left="0" w:right="-19" w:firstLine="0"/>
                      <w:jc w:val="left"/>
                      <w:rPr>
                        <w:sz w:val="18"/>
                      </w:rPr>
                    </w:pPr>
                    <w:r>
                      <w:rPr>
                        <w:color w:val="585858"/>
                        <w:sz w:val="18"/>
                      </w:rPr>
                      <w:t>45.0</w:t>
                    </w:r>
                  </w:p>
                  <w:p>
                    <w:pPr>
                      <w:spacing w:line="205" w:lineRule="exact" w:before="0"/>
                      <w:ind w:left="0" w:right="-19" w:firstLine="0"/>
                      <w:jc w:val="left"/>
                      <w:rPr>
                        <w:sz w:val="18"/>
                      </w:rPr>
                    </w:pPr>
                    <w:r>
                      <w:rPr>
                        <w:color w:val="585858"/>
                        <w:sz w:val="18"/>
                      </w:rPr>
                      <w:t>40.0</w:t>
                    </w:r>
                  </w:p>
                  <w:p>
                    <w:pPr>
                      <w:spacing w:line="205" w:lineRule="exact" w:before="0"/>
                      <w:ind w:left="0" w:right="-19" w:firstLine="0"/>
                      <w:jc w:val="left"/>
                      <w:rPr>
                        <w:sz w:val="18"/>
                      </w:rPr>
                    </w:pPr>
                    <w:r>
                      <w:rPr>
                        <w:color w:val="585858"/>
                        <w:sz w:val="18"/>
                      </w:rPr>
                      <w:t>35.0</w:t>
                    </w:r>
                  </w:p>
                  <w:p>
                    <w:pPr>
                      <w:spacing w:line="205" w:lineRule="exact" w:before="0"/>
                      <w:ind w:left="0" w:right="-19" w:firstLine="0"/>
                      <w:jc w:val="left"/>
                      <w:rPr>
                        <w:sz w:val="18"/>
                      </w:rPr>
                    </w:pPr>
                    <w:r>
                      <w:rPr>
                        <w:color w:val="585858"/>
                        <w:sz w:val="18"/>
                      </w:rPr>
                      <w:t>30.0</w:t>
                    </w:r>
                  </w:p>
                  <w:p>
                    <w:pPr>
                      <w:spacing w:line="205" w:lineRule="exact" w:before="0"/>
                      <w:ind w:left="0" w:right="-19" w:firstLine="0"/>
                      <w:jc w:val="left"/>
                      <w:rPr>
                        <w:sz w:val="18"/>
                      </w:rPr>
                    </w:pPr>
                    <w:r>
                      <w:rPr>
                        <w:color w:val="585858"/>
                        <w:sz w:val="18"/>
                      </w:rPr>
                      <w:t>25.0</w:t>
                    </w:r>
                  </w:p>
                  <w:p>
                    <w:pPr>
                      <w:spacing w:line="205" w:lineRule="exact" w:before="0"/>
                      <w:ind w:left="0" w:right="-19" w:firstLine="0"/>
                      <w:jc w:val="left"/>
                      <w:rPr>
                        <w:sz w:val="18"/>
                      </w:rPr>
                    </w:pPr>
                    <w:r>
                      <w:rPr>
                        <w:color w:val="585858"/>
                        <w:sz w:val="18"/>
                      </w:rPr>
                      <w:t>20.0</w:t>
                    </w:r>
                  </w:p>
                  <w:p>
                    <w:pPr>
                      <w:spacing w:line="205" w:lineRule="exact" w:before="0"/>
                      <w:ind w:left="0" w:right="-19" w:firstLine="0"/>
                      <w:jc w:val="left"/>
                      <w:rPr>
                        <w:sz w:val="18"/>
                      </w:rPr>
                    </w:pPr>
                    <w:r>
                      <w:rPr>
                        <w:color w:val="585858"/>
                        <w:sz w:val="18"/>
                      </w:rPr>
                      <w:t>15.0</w:t>
                    </w:r>
                  </w:p>
                  <w:p>
                    <w:pPr>
                      <w:spacing w:line="205" w:lineRule="exact" w:before="0"/>
                      <w:ind w:left="0" w:right="-19" w:firstLine="0"/>
                      <w:jc w:val="left"/>
                      <w:rPr>
                        <w:sz w:val="18"/>
                      </w:rPr>
                    </w:pPr>
                    <w:r>
                      <w:rPr>
                        <w:color w:val="585858"/>
                        <w:sz w:val="18"/>
                      </w:rPr>
                      <w:t>10.0</w:t>
                    </w:r>
                  </w:p>
                  <w:p>
                    <w:pPr>
                      <w:spacing w:line="205" w:lineRule="exact" w:before="0"/>
                      <w:ind w:left="90" w:right="-19" w:firstLine="0"/>
                      <w:jc w:val="left"/>
                      <w:rPr>
                        <w:sz w:val="18"/>
                      </w:rPr>
                    </w:pPr>
                    <w:r>
                      <w:rPr>
                        <w:color w:val="585858"/>
                        <w:sz w:val="18"/>
                      </w:rPr>
                      <w:t>5.0</w:t>
                    </w:r>
                  </w:p>
                  <w:p>
                    <w:pPr>
                      <w:spacing w:line="202" w:lineRule="exact" w:before="0"/>
                      <w:ind w:left="90" w:right="-19" w:firstLine="0"/>
                      <w:jc w:val="left"/>
                      <w:rPr>
                        <w:sz w:val="18"/>
                      </w:rPr>
                    </w:pPr>
                    <w:r>
                      <w:rPr>
                        <w:color w:val="585858"/>
                        <w:sz w:val="18"/>
                      </w:rPr>
                      <w:t>0.0</w:t>
                    </w:r>
                  </w:p>
                </w:txbxContent>
              </v:textbox>
              <w10:wrap type="none"/>
            </v:shape>
            <v:shape style="position:absolute;left:2637;top:4397;width:7061;height:152" type="#_x0000_t202" filled="false" stroked="false">
              <v:textbox inset="0,0,0,0">
                <w:txbxContent>
                  <w:p>
                    <w:pPr>
                      <w:tabs>
                        <w:tab w:pos="1760" w:val="left" w:leader="none"/>
                        <w:tab w:pos="3637" w:val="left" w:leader="none"/>
                        <w:tab w:pos="5365" w:val="left" w:leader="none"/>
                      </w:tabs>
                      <w:spacing w:line="151" w:lineRule="exact" w:before="0"/>
                      <w:ind w:left="0" w:right="0" w:firstLine="0"/>
                      <w:jc w:val="left"/>
                      <w:rPr>
                        <w:sz w:val="15"/>
                      </w:rPr>
                    </w:pPr>
                    <w:r>
                      <w:rPr>
                        <w:color w:val="585858"/>
                        <w:sz w:val="15"/>
                      </w:rPr>
                      <w:t>Personal</w:t>
                    </w:r>
                    <w:r>
                      <w:rPr>
                        <w:color w:val="585858"/>
                        <w:spacing w:val="-3"/>
                        <w:sz w:val="15"/>
                      </w:rPr>
                      <w:t> </w:t>
                    </w:r>
                    <w:r>
                      <w:rPr>
                        <w:color w:val="585858"/>
                        <w:sz w:val="15"/>
                      </w:rPr>
                      <w:t>ocupado</w:t>
                    </w:r>
                    <w:r>
                      <w:rPr>
                        <w:color w:val="585858"/>
                        <w:spacing w:val="-3"/>
                        <w:sz w:val="15"/>
                      </w:rPr>
                      <w:t> </w:t>
                    </w:r>
                    <w:r>
                      <w:rPr>
                        <w:color w:val="585858"/>
                        <w:sz w:val="15"/>
                      </w:rPr>
                      <w:t>total</w:t>
                      <w:tab/>
                      <w:t>Total</w:t>
                    </w:r>
                    <w:r>
                      <w:rPr>
                        <w:color w:val="585858"/>
                        <w:spacing w:val="-2"/>
                        <w:sz w:val="15"/>
                      </w:rPr>
                      <w:t> </w:t>
                    </w:r>
                    <w:r>
                      <w:rPr>
                        <w:color w:val="585858"/>
                        <w:sz w:val="15"/>
                      </w:rPr>
                      <w:t>de</w:t>
                    </w:r>
                    <w:r>
                      <w:rPr>
                        <w:color w:val="585858"/>
                        <w:spacing w:val="-3"/>
                        <w:sz w:val="15"/>
                      </w:rPr>
                      <w:t> </w:t>
                    </w:r>
                    <w:r>
                      <w:rPr>
                        <w:color w:val="585858"/>
                        <w:sz w:val="15"/>
                      </w:rPr>
                      <w:t>remuneraciones</w:t>
                      <w:tab/>
                      <w:t>Producción</w:t>
                    </w:r>
                    <w:r>
                      <w:rPr>
                        <w:color w:val="585858"/>
                        <w:spacing w:val="-3"/>
                        <w:sz w:val="15"/>
                      </w:rPr>
                      <w:t> </w:t>
                    </w:r>
                    <w:r>
                      <w:rPr>
                        <w:color w:val="585858"/>
                        <w:sz w:val="15"/>
                      </w:rPr>
                      <w:t>bruta</w:t>
                    </w:r>
                    <w:r>
                      <w:rPr>
                        <w:color w:val="585858"/>
                        <w:spacing w:val="-4"/>
                        <w:sz w:val="15"/>
                      </w:rPr>
                      <w:t> </w:t>
                    </w:r>
                    <w:r>
                      <w:rPr>
                        <w:color w:val="585858"/>
                        <w:sz w:val="15"/>
                      </w:rPr>
                      <w:t>total</w:t>
                      <w:tab/>
                      <w:t>Valor agregado censal</w:t>
                    </w:r>
                    <w:r>
                      <w:rPr>
                        <w:color w:val="585858"/>
                        <w:spacing w:val="-11"/>
                        <w:sz w:val="15"/>
                      </w:rPr>
                      <w:t> </w:t>
                    </w:r>
                    <w:r>
                      <w:rPr>
                        <w:color w:val="585858"/>
                        <w:sz w:val="15"/>
                      </w:rPr>
                      <w:t>bruto</w:t>
                    </w:r>
                  </w:p>
                </w:txbxContent>
              </v:textbox>
              <w10:wrap type="none"/>
            </v:shape>
            <w10:wrap type="none"/>
          </v:group>
        </w:pict>
      </w:r>
      <w:r>
        <w:rPr/>
        <w:t>Gráfica 3.5. Principales características de los sectores productivos. México, 2008 (Participación porcentual)</w:t>
      </w:r>
    </w:p>
    <w:p>
      <w:pPr>
        <w:pStyle w:val="BodyText"/>
        <w:spacing w:after="1"/>
        <w:rPr>
          <w:b/>
          <w:sz w:val="12"/>
        </w:rPr>
      </w:pPr>
    </w:p>
    <w:tbl>
      <w:tblPr>
        <w:tblW w:w="0" w:type="auto"/>
        <w:jc w:val="left"/>
        <w:tblInd w:w="1143" w:type="dxa"/>
        <w:tblBorders>
          <w:top w:val="single" w:sz="6" w:space="0" w:color="D9D9D9"/>
          <w:left w:val="single" w:sz="6" w:space="0" w:color="D9D9D9"/>
          <w:bottom w:val="single" w:sz="6" w:space="0" w:color="D9D9D9"/>
          <w:right w:val="single" w:sz="6" w:space="0" w:color="D9D9D9"/>
          <w:insideH w:val="single" w:sz="6" w:space="0" w:color="D9D9D9"/>
          <w:insideV w:val="single" w:sz="6" w:space="0" w:color="D9D9D9"/>
        </w:tblBorders>
        <w:tblLayout w:type="fixed"/>
        <w:tblCellMar>
          <w:top w:w="0" w:type="dxa"/>
          <w:left w:w="0" w:type="dxa"/>
          <w:bottom w:w="0" w:type="dxa"/>
          <w:right w:w="0" w:type="dxa"/>
        </w:tblCellMar>
        <w:tblLook w:val="01E0"/>
      </w:tblPr>
      <w:tblGrid>
        <w:gridCol w:w="377"/>
        <w:gridCol w:w="259"/>
        <w:gridCol w:w="121"/>
        <w:gridCol w:w="257"/>
        <w:gridCol w:w="122"/>
        <w:gridCol w:w="377"/>
        <w:gridCol w:w="190"/>
        <w:gridCol w:w="233"/>
        <w:gridCol w:w="110"/>
        <w:gridCol w:w="180"/>
        <w:gridCol w:w="233"/>
        <w:gridCol w:w="146"/>
        <w:gridCol w:w="199"/>
        <w:gridCol w:w="222"/>
        <w:gridCol w:w="379"/>
        <w:gridCol w:w="190"/>
        <w:gridCol w:w="145"/>
        <w:gridCol w:w="421"/>
        <w:gridCol w:w="156"/>
        <w:gridCol w:w="223"/>
        <w:gridCol w:w="421"/>
        <w:gridCol w:w="112"/>
        <w:gridCol w:w="223"/>
        <w:gridCol w:w="155"/>
        <w:gridCol w:w="222"/>
        <w:gridCol w:w="379"/>
        <w:gridCol w:w="422"/>
        <w:gridCol w:w="377"/>
        <w:gridCol w:w="335"/>
      </w:tblGrid>
      <w:tr>
        <w:trPr>
          <w:trHeight w:val="206" w:hRule="exact"/>
        </w:trPr>
        <w:tc>
          <w:tcPr>
            <w:tcW w:w="377" w:type="dxa"/>
          </w:tcPr>
          <w:p>
            <w:pPr/>
          </w:p>
        </w:tc>
        <w:tc>
          <w:tcPr>
            <w:tcW w:w="379" w:type="dxa"/>
            <w:gridSpan w:val="2"/>
          </w:tcPr>
          <w:p>
            <w:pPr/>
          </w:p>
        </w:tc>
        <w:tc>
          <w:tcPr>
            <w:tcW w:w="379" w:type="dxa"/>
            <w:gridSpan w:val="2"/>
          </w:tcPr>
          <w:p>
            <w:pPr/>
          </w:p>
        </w:tc>
        <w:tc>
          <w:tcPr>
            <w:tcW w:w="377" w:type="dxa"/>
          </w:tcPr>
          <w:p>
            <w:pPr/>
          </w:p>
        </w:tc>
        <w:tc>
          <w:tcPr>
            <w:tcW w:w="422" w:type="dxa"/>
            <w:gridSpan w:val="2"/>
          </w:tcPr>
          <w:p>
            <w:pPr/>
          </w:p>
        </w:tc>
        <w:tc>
          <w:tcPr>
            <w:tcW w:w="290" w:type="dxa"/>
            <w:gridSpan w:val="2"/>
          </w:tcPr>
          <w:p>
            <w:pPr/>
          </w:p>
        </w:tc>
        <w:tc>
          <w:tcPr>
            <w:tcW w:w="379" w:type="dxa"/>
            <w:gridSpan w:val="2"/>
          </w:tcPr>
          <w:p>
            <w:pPr/>
          </w:p>
        </w:tc>
        <w:tc>
          <w:tcPr>
            <w:tcW w:w="421" w:type="dxa"/>
            <w:gridSpan w:val="2"/>
          </w:tcPr>
          <w:p>
            <w:pPr/>
          </w:p>
        </w:tc>
        <w:tc>
          <w:tcPr>
            <w:tcW w:w="379" w:type="dxa"/>
          </w:tcPr>
          <w:p>
            <w:pPr/>
          </w:p>
        </w:tc>
        <w:tc>
          <w:tcPr>
            <w:tcW w:w="335" w:type="dxa"/>
            <w:gridSpan w:val="2"/>
          </w:tcPr>
          <w:p>
            <w:pPr/>
          </w:p>
        </w:tc>
        <w:tc>
          <w:tcPr>
            <w:tcW w:w="421" w:type="dxa"/>
          </w:tcPr>
          <w:p>
            <w:pPr/>
          </w:p>
        </w:tc>
        <w:tc>
          <w:tcPr>
            <w:tcW w:w="379" w:type="dxa"/>
            <w:gridSpan w:val="2"/>
          </w:tcPr>
          <w:p>
            <w:pPr/>
          </w:p>
        </w:tc>
        <w:tc>
          <w:tcPr>
            <w:tcW w:w="421" w:type="dxa"/>
          </w:tcPr>
          <w:p>
            <w:pPr/>
          </w:p>
        </w:tc>
        <w:tc>
          <w:tcPr>
            <w:tcW w:w="335" w:type="dxa"/>
            <w:gridSpan w:val="2"/>
          </w:tcPr>
          <w:p>
            <w:pPr/>
          </w:p>
        </w:tc>
        <w:tc>
          <w:tcPr>
            <w:tcW w:w="377" w:type="dxa"/>
            <w:gridSpan w:val="2"/>
          </w:tcPr>
          <w:p>
            <w:pPr/>
          </w:p>
        </w:tc>
        <w:tc>
          <w:tcPr>
            <w:tcW w:w="379" w:type="dxa"/>
          </w:tcPr>
          <w:p>
            <w:pPr/>
          </w:p>
        </w:tc>
        <w:tc>
          <w:tcPr>
            <w:tcW w:w="422" w:type="dxa"/>
          </w:tcPr>
          <w:p>
            <w:pPr/>
          </w:p>
        </w:tc>
        <w:tc>
          <w:tcPr>
            <w:tcW w:w="377" w:type="dxa"/>
          </w:tcPr>
          <w:p>
            <w:pPr/>
          </w:p>
        </w:tc>
        <w:tc>
          <w:tcPr>
            <w:tcW w:w="335" w:type="dxa"/>
          </w:tcPr>
          <w:p>
            <w:pPr/>
          </w:p>
        </w:tc>
      </w:tr>
      <w:tr>
        <w:trPr>
          <w:trHeight w:val="204" w:hRule="exact"/>
        </w:trPr>
        <w:tc>
          <w:tcPr>
            <w:tcW w:w="377" w:type="dxa"/>
          </w:tcPr>
          <w:p>
            <w:pPr/>
          </w:p>
        </w:tc>
        <w:tc>
          <w:tcPr>
            <w:tcW w:w="379" w:type="dxa"/>
            <w:gridSpan w:val="2"/>
          </w:tcPr>
          <w:p>
            <w:pPr/>
          </w:p>
        </w:tc>
        <w:tc>
          <w:tcPr>
            <w:tcW w:w="379" w:type="dxa"/>
            <w:gridSpan w:val="2"/>
          </w:tcPr>
          <w:p>
            <w:pPr/>
          </w:p>
        </w:tc>
        <w:tc>
          <w:tcPr>
            <w:tcW w:w="377" w:type="dxa"/>
          </w:tcPr>
          <w:p>
            <w:pPr/>
          </w:p>
        </w:tc>
        <w:tc>
          <w:tcPr>
            <w:tcW w:w="190" w:type="dxa"/>
            <w:tcBorders>
              <w:right w:val="single" w:sz="19" w:space="0" w:color="C0CF39"/>
            </w:tcBorders>
          </w:tcPr>
          <w:p>
            <w:pPr/>
          </w:p>
        </w:tc>
        <w:tc>
          <w:tcPr>
            <w:tcW w:w="233" w:type="dxa"/>
            <w:tcBorders>
              <w:left w:val="single" w:sz="19" w:space="0" w:color="C0CF39"/>
            </w:tcBorders>
          </w:tcPr>
          <w:p>
            <w:pPr/>
          </w:p>
        </w:tc>
        <w:tc>
          <w:tcPr>
            <w:tcW w:w="290" w:type="dxa"/>
            <w:gridSpan w:val="2"/>
          </w:tcPr>
          <w:p>
            <w:pPr/>
          </w:p>
        </w:tc>
        <w:tc>
          <w:tcPr>
            <w:tcW w:w="379" w:type="dxa"/>
            <w:gridSpan w:val="2"/>
          </w:tcPr>
          <w:p>
            <w:pPr/>
          </w:p>
        </w:tc>
        <w:tc>
          <w:tcPr>
            <w:tcW w:w="421" w:type="dxa"/>
            <w:gridSpan w:val="2"/>
          </w:tcPr>
          <w:p>
            <w:pPr/>
          </w:p>
        </w:tc>
        <w:tc>
          <w:tcPr>
            <w:tcW w:w="379" w:type="dxa"/>
          </w:tcPr>
          <w:p>
            <w:pPr/>
          </w:p>
        </w:tc>
        <w:tc>
          <w:tcPr>
            <w:tcW w:w="335" w:type="dxa"/>
            <w:gridSpan w:val="2"/>
          </w:tcPr>
          <w:p>
            <w:pPr/>
          </w:p>
        </w:tc>
        <w:tc>
          <w:tcPr>
            <w:tcW w:w="421" w:type="dxa"/>
          </w:tcPr>
          <w:p>
            <w:pPr/>
          </w:p>
        </w:tc>
        <w:tc>
          <w:tcPr>
            <w:tcW w:w="379" w:type="dxa"/>
            <w:gridSpan w:val="2"/>
          </w:tcPr>
          <w:p>
            <w:pPr/>
          </w:p>
        </w:tc>
        <w:tc>
          <w:tcPr>
            <w:tcW w:w="421" w:type="dxa"/>
          </w:tcPr>
          <w:p>
            <w:pPr/>
          </w:p>
        </w:tc>
        <w:tc>
          <w:tcPr>
            <w:tcW w:w="335" w:type="dxa"/>
            <w:gridSpan w:val="2"/>
          </w:tcPr>
          <w:p>
            <w:pPr/>
          </w:p>
        </w:tc>
        <w:tc>
          <w:tcPr>
            <w:tcW w:w="377" w:type="dxa"/>
            <w:gridSpan w:val="2"/>
          </w:tcPr>
          <w:p>
            <w:pPr/>
          </w:p>
        </w:tc>
        <w:tc>
          <w:tcPr>
            <w:tcW w:w="379" w:type="dxa"/>
          </w:tcPr>
          <w:p>
            <w:pPr/>
          </w:p>
        </w:tc>
        <w:tc>
          <w:tcPr>
            <w:tcW w:w="422" w:type="dxa"/>
          </w:tcPr>
          <w:p>
            <w:pPr/>
          </w:p>
        </w:tc>
        <w:tc>
          <w:tcPr>
            <w:tcW w:w="377" w:type="dxa"/>
          </w:tcPr>
          <w:p>
            <w:pPr/>
          </w:p>
        </w:tc>
        <w:tc>
          <w:tcPr>
            <w:tcW w:w="335" w:type="dxa"/>
          </w:tcPr>
          <w:p>
            <w:pPr/>
          </w:p>
        </w:tc>
      </w:tr>
      <w:tr>
        <w:trPr>
          <w:trHeight w:val="204" w:hRule="exact"/>
        </w:trPr>
        <w:tc>
          <w:tcPr>
            <w:tcW w:w="377" w:type="dxa"/>
          </w:tcPr>
          <w:p>
            <w:pPr/>
          </w:p>
        </w:tc>
        <w:tc>
          <w:tcPr>
            <w:tcW w:w="379" w:type="dxa"/>
            <w:gridSpan w:val="2"/>
          </w:tcPr>
          <w:p>
            <w:pPr/>
          </w:p>
        </w:tc>
        <w:tc>
          <w:tcPr>
            <w:tcW w:w="379" w:type="dxa"/>
            <w:gridSpan w:val="2"/>
          </w:tcPr>
          <w:p>
            <w:pPr/>
          </w:p>
        </w:tc>
        <w:tc>
          <w:tcPr>
            <w:tcW w:w="377" w:type="dxa"/>
          </w:tcPr>
          <w:p>
            <w:pPr/>
          </w:p>
        </w:tc>
        <w:tc>
          <w:tcPr>
            <w:tcW w:w="190" w:type="dxa"/>
            <w:tcBorders>
              <w:right w:val="single" w:sz="19" w:space="0" w:color="C0CF39"/>
            </w:tcBorders>
          </w:tcPr>
          <w:p>
            <w:pPr/>
          </w:p>
        </w:tc>
        <w:tc>
          <w:tcPr>
            <w:tcW w:w="233" w:type="dxa"/>
            <w:tcBorders>
              <w:left w:val="single" w:sz="19" w:space="0" w:color="C0CF39"/>
            </w:tcBorders>
          </w:tcPr>
          <w:p>
            <w:pPr/>
          </w:p>
        </w:tc>
        <w:tc>
          <w:tcPr>
            <w:tcW w:w="290" w:type="dxa"/>
            <w:gridSpan w:val="2"/>
          </w:tcPr>
          <w:p>
            <w:pPr/>
          </w:p>
        </w:tc>
        <w:tc>
          <w:tcPr>
            <w:tcW w:w="379" w:type="dxa"/>
            <w:gridSpan w:val="2"/>
          </w:tcPr>
          <w:p>
            <w:pPr/>
          </w:p>
        </w:tc>
        <w:tc>
          <w:tcPr>
            <w:tcW w:w="421" w:type="dxa"/>
            <w:gridSpan w:val="2"/>
          </w:tcPr>
          <w:p>
            <w:pPr/>
          </w:p>
        </w:tc>
        <w:tc>
          <w:tcPr>
            <w:tcW w:w="379" w:type="dxa"/>
          </w:tcPr>
          <w:p>
            <w:pPr/>
          </w:p>
        </w:tc>
        <w:tc>
          <w:tcPr>
            <w:tcW w:w="335" w:type="dxa"/>
            <w:gridSpan w:val="2"/>
          </w:tcPr>
          <w:p>
            <w:pPr/>
          </w:p>
        </w:tc>
        <w:tc>
          <w:tcPr>
            <w:tcW w:w="421" w:type="dxa"/>
          </w:tcPr>
          <w:p>
            <w:pPr/>
          </w:p>
        </w:tc>
        <w:tc>
          <w:tcPr>
            <w:tcW w:w="379" w:type="dxa"/>
            <w:gridSpan w:val="2"/>
          </w:tcPr>
          <w:p>
            <w:pPr/>
          </w:p>
        </w:tc>
        <w:tc>
          <w:tcPr>
            <w:tcW w:w="421" w:type="dxa"/>
          </w:tcPr>
          <w:p>
            <w:pPr/>
          </w:p>
        </w:tc>
        <w:tc>
          <w:tcPr>
            <w:tcW w:w="335" w:type="dxa"/>
            <w:gridSpan w:val="2"/>
          </w:tcPr>
          <w:p>
            <w:pPr/>
          </w:p>
        </w:tc>
        <w:tc>
          <w:tcPr>
            <w:tcW w:w="377" w:type="dxa"/>
            <w:gridSpan w:val="2"/>
          </w:tcPr>
          <w:p>
            <w:pPr/>
          </w:p>
        </w:tc>
        <w:tc>
          <w:tcPr>
            <w:tcW w:w="379" w:type="dxa"/>
          </w:tcPr>
          <w:p>
            <w:pPr/>
          </w:p>
        </w:tc>
        <w:tc>
          <w:tcPr>
            <w:tcW w:w="422" w:type="dxa"/>
          </w:tcPr>
          <w:p>
            <w:pPr/>
          </w:p>
        </w:tc>
        <w:tc>
          <w:tcPr>
            <w:tcW w:w="377" w:type="dxa"/>
          </w:tcPr>
          <w:p>
            <w:pPr/>
          </w:p>
        </w:tc>
        <w:tc>
          <w:tcPr>
            <w:tcW w:w="335" w:type="dxa"/>
          </w:tcPr>
          <w:p>
            <w:pPr/>
          </w:p>
        </w:tc>
      </w:tr>
      <w:tr>
        <w:trPr>
          <w:trHeight w:val="206" w:hRule="exact"/>
        </w:trPr>
        <w:tc>
          <w:tcPr>
            <w:tcW w:w="377" w:type="dxa"/>
          </w:tcPr>
          <w:p>
            <w:pPr/>
          </w:p>
        </w:tc>
        <w:tc>
          <w:tcPr>
            <w:tcW w:w="379" w:type="dxa"/>
            <w:gridSpan w:val="2"/>
          </w:tcPr>
          <w:p>
            <w:pPr/>
          </w:p>
        </w:tc>
        <w:tc>
          <w:tcPr>
            <w:tcW w:w="379" w:type="dxa"/>
            <w:gridSpan w:val="2"/>
          </w:tcPr>
          <w:p>
            <w:pPr/>
          </w:p>
        </w:tc>
        <w:tc>
          <w:tcPr>
            <w:tcW w:w="377" w:type="dxa"/>
          </w:tcPr>
          <w:p>
            <w:pPr/>
          </w:p>
        </w:tc>
        <w:tc>
          <w:tcPr>
            <w:tcW w:w="190" w:type="dxa"/>
            <w:tcBorders>
              <w:right w:val="double" w:sz="15" w:space="0" w:color="C0CF39"/>
            </w:tcBorders>
          </w:tcPr>
          <w:p>
            <w:pPr/>
          </w:p>
        </w:tc>
        <w:tc>
          <w:tcPr>
            <w:tcW w:w="233" w:type="dxa"/>
            <w:tcBorders>
              <w:left w:val="double" w:sz="15" w:space="0" w:color="C0CF39"/>
            </w:tcBorders>
          </w:tcPr>
          <w:p>
            <w:pPr/>
          </w:p>
        </w:tc>
        <w:tc>
          <w:tcPr>
            <w:tcW w:w="290" w:type="dxa"/>
            <w:gridSpan w:val="2"/>
          </w:tcPr>
          <w:p>
            <w:pPr/>
          </w:p>
        </w:tc>
        <w:tc>
          <w:tcPr>
            <w:tcW w:w="379" w:type="dxa"/>
            <w:gridSpan w:val="2"/>
          </w:tcPr>
          <w:p>
            <w:pPr/>
          </w:p>
        </w:tc>
        <w:tc>
          <w:tcPr>
            <w:tcW w:w="421" w:type="dxa"/>
            <w:gridSpan w:val="2"/>
          </w:tcPr>
          <w:p>
            <w:pPr/>
          </w:p>
        </w:tc>
        <w:tc>
          <w:tcPr>
            <w:tcW w:w="379" w:type="dxa"/>
          </w:tcPr>
          <w:p>
            <w:pPr/>
          </w:p>
        </w:tc>
        <w:tc>
          <w:tcPr>
            <w:tcW w:w="335" w:type="dxa"/>
            <w:gridSpan w:val="2"/>
          </w:tcPr>
          <w:p>
            <w:pPr/>
          </w:p>
        </w:tc>
        <w:tc>
          <w:tcPr>
            <w:tcW w:w="421" w:type="dxa"/>
          </w:tcPr>
          <w:p>
            <w:pPr/>
          </w:p>
        </w:tc>
        <w:tc>
          <w:tcPr>
            <w:tcW w:w="379" w:type="dxa"/>
            <w:gridSpan w:val="2"/>
          </w:tcPr>
          <w:p>
            <w:pPr/>
          </w:p>
        </w:tc>
        <w:tc>
          <w:tcPr>
            <w:tcW w:w="421" w:type="dxa"/>
          </w:tcPr>
          <w:p>
            <w:pPr/>
          </w:p>
        </w:tc>
        <w:tc>
          <w:tcPr>
            <w:tcW w:w="335" w:type="dxa"/>
            <w:gridSpan w:val="2"/>
          </w:tcPr>
          <w:p>
            <w:pPr/>
          </w:p>
        </w:tc>
        <w:tc>
          <w:tcPr>
            <w:tcW w:w="377" w:type="dxa"/>
            <w:gridSpan w:val="2"/>
          </w:tcPr>
          <w:p>
            <w:pPr/>
          </w:p>
        </w:tc>
        <w:tc>
          <w:tcPr>
            <w:tcW w:w="379" w:type="dxa"/>
          </w:tcPr>
          <w:p>
            <w:pPr/>
          </w:p>
        </w:tc>
        <w:tc>
          <w:tcPr>
            <w:tcW w:w="422" w:type="dxa"/>
          </w:tcPr>
          <w:p>
            <w:pPr/>
          </w:p>
        </w:tc>
        <w:tc>
          <w:tcPr>
            <w:tcW w:w="377" w:type="dxa"/>
          </w:tcPr>
          <w:p>
            <w:pPr/>
          </w:p>
        </w:tc>
        <w:tc>
          <w:tcPr>
            <w:tcW w:w="335" w:type="dxa"/>
          </w:tcPr>
          <w:p>
            <w:pPr/>
          </w:p>
        </w:tc>
      </w:tr>
      <w:tr>
        <w:trPr>
          <w:trHeight w:val="204" w:hRule="exact"/>
        </w:trPr>
        <w:tc>
          <w:tcPr>
            <w:tcW w:w="377" w:type="dxa"/>
          </w:tcPr>
          <w:p>
            <w:pPr/>
          </w:p>
        </w:tc>
        <w:tc>
          <w:tcPr>
            <w:tcW w:w="379" w:type="dxa"/>
            <w:gridSpan w:val="2"/>
          </w:tcPr>
          <w:p>
            <w:pPr/>
          </w:p>
        </w:tc>
        <w:tc>
          <w:tcPr>
            <w:tcW w:w="379" w:type="dxa"/>
            <w:gridSpan w:val="2"/>
          </w:tcPr>
          <w:p>
            <w:pPr/>
          </w:p>
        </w:tc>
        <w:tc>
          <w:tcPr>
            <w:tcW w:w="377" w:type="dxa"/>
          </w:tcPr>
          <w:p>
            <w:pPr/>
          </w:p>
        </w:tc>
        <w:tc>
          <w:tcPr>
            <w:tcW w:w="190" w:type="dxa"/>
            <w:tcBorders>
              <w:right w:val="double" w:sz="15" w:space="0" w:color="C0CF39"/>
            </w:tcBorders>
          </w:tcPr>
          <w:p>
            <w:pPr/>
          </w:p>
        </w:tc>
        <w:tc>
          <w:tcPr>
            <w:tcW w:w="233" w:type="dxa"/>
            <w:tcBorders>
              <w:left w:val="double" w:sz="15" w:space="0" w:color="C0CF39"/>
            </w:tcBorders>
          </w:tcPr>
          <w:p>
            <w:pPr/>
          </w:p>
        </w:tc>
        <w:tc>
          <w:tcPr>
            <w:tcW w:w="290" w:type="dxa"/>
            <w:gridSpan w:val="2"/>
          </w:tcPr>
          <w:p>
            <w:pPr/>
          </w:p>
        </w:tc>
        <w:tc>
          <w:tcPr>
            <w:tcW w:w="379" w:type="dxa"/>
            <w:gridSpan w:val="2"/>
          </w:tcPr>
          <w:p>
            <w:pPr/>
          </w:p>
        </w:tc>
        <w:tc>
          <w:tcPr>
            <w:tcW w:w="421" w:type="dxa"/>
            <w:gridSpan w:val="2"/>
          </w:tcPr>
          <w:p>
            <w:pPr/>
          </w:p>
        </w:tc>
        <w:tc>
          <w:tcPr>
            <w:tcW w:w="379" w:type="dxa"/>
          </w:tcPr>
          <w:p>
            <w:pPr/>
          </w:p>
        </w:tc>
        <w:tc>
          <w:tcPr>
            <w:tcW w:w="335" w:type="dxa"/>
            <w:gridSpan w:val="2"/>
          </w:tcPr>
          <w:p>
            <w:pPr/>
          </w:p>
        </w:tc>
        <w:tc>
          <w:tcPr>
            <w:tcW w:w="421" w:type="dxa"/>
          </w:tcPr>
          <w:p>
            <w:pPr/>
          </w:p>
        </w:tc>
        <w:tc>
          <w:tcPr>
            <w:tcW w:w="379" w:type="dxa"/>
            <w:gridSpan w:val="2"/>
          </w:tcPr>
          <w:p>
            <w:pPr/>
          </w:p>
        </w:tc>
        <w:tc>
          <w:tcPr>
            <w:tcW w:w="421" w:type="dxa"/>
          </w:tcPr>
          <w:p>
            <w:pPr/>
          </w:p>
        </w:tc>
        <w:tc>
          <w:tcPr>
            <w:tcW w:w="335" w:type="dxa"/>
            <w:gridSpan w:val="2"/>
          </w:tcPr>
          <w:p>
            <w:pPr/>
          </w:p>
        </w:tc>
        <w:tc>
          <w:tcPr>
            <w:tcW w:w="377" w:type="dxa"/>
            <w:gridSpan w:val="2"/>
          </w:tcPr>
          <w:p>
            <w:pPr/>
          </w:p>
        </w:tc>
        <w:tc>
          <w:tcPr>
            <w:tcW w:w="379" w:type="dxa"/>
          </w:tcPr>
          <w:p>
            <w:pPr/>
          </w:p>
        </w:tc>
        <w:tc>
          <w:tcPr>
            <w:tcW w:w="422" w:type="dxa"/>
          </w:tcPr>
          <w:p>
            <w:pPr/>
          </w:p>
        </w:tc>
        <w:tc>
          <w:tcPr>
            <w:tcW w:w="377" w:type="dxa"/>
          </w:tcPr>
          <w:p>
            <w:pPr/>
          </w:p>
        </w:tc>
        <w:tc>
          <w:tcPr>
            <w:tcW w:w="335" w:type="dxa"/>
          </w:tcPr>
          <w:p>
            <w:pPr/>
          </w:p>
        </w:tc>
      </w:tr>
      <w:tr>
        <w:trPr>
          <w:trHeight w:val="204" w:hRule="exact"/>
        </w:trPr>
        <w:tc>
          <w:tcPr>
            <w:tcW w:w="377" w:type="dxa"/>
          </w:tcPr>
          <w:p>
            <w:pPr/>
          </w:p>
        </w:tc>
        <w:tc>
          <w:tcPr>
            <w:tcW w:w="379" w:type="dxa"/>
            <w:gridSpan w:val="2"/>
          </w:tcPr>
          <w:p>
            <w:pPr/>
          </w:p>
        </w:tc>
        <w:tc>
          <w:tcPr>
            <w:tcW w:w="379" w:type="dxa"/>
            <w:gridSpan w:val="2"/>
          </w:tcPr>
          <w:p>
            <w:pPr/>
          </w:p>
        </w:tc>
        <w:tc>
          <w:tcPr>
            <w:tcW w:w="377" w:type="dxa"/>
            <w:tcBorders>
              <w:right w:val="thickThinMediumGap" w:sz="24" w:space="0" w:color="539E39"/>
            </w:tcBorders>
          </w:tcPr>
          <w:p>
            <w:pPr/>
          </w:p>
        </w:tc>
        <w:tc>
          <w:tcPr>
            <w:tcW w:w="190" w:type="dxa"/>
            <w:tcBorders>
              <w:left w:val="thinThickMediumGap" w:sz="24" w:space="0" w:color="539E39"/>
              <w:right w:val="double" w:sz="15" w:space="0" w:color="C0CF39"/>
            </w:tcBorders>
          </w:tcPr>
          <w:p>
            <w:pPr/>
          </w:p>
        </w:tc>
        <w:tc>
          <w:tcPr>
            <w:tcW w:w="233" w:type="dxa"/>
            <w:tcBorders>
              <w:left w:val="double" w:sz="15" w:space="0" w:color="C0CF39"/>
            </w:tcBorders>
          </w:tcPr>
          <w:p>
            <w:pPr/>
          </w:p>
        </w:tc>
        <w:tc>
          <w:tcPr>
            <w:tcW w:w="290" w:type="dxa"/>
            <w:gridSpan w:val="2"/>
          </w:tcPr>
          <w:p>
            <w:pPr/>
          </w:p>
        </w:tc>
        <w:tc>
          <w:tcPr>
            <w:tcW w:w="379" w:type="dxa"/>
            <w:gridSpan w:val="2"/>
          </w:tcPr>
          <w:p>
            <w:pPr/>
          </w:p>
        </w:tc>
        <w:tc>
          <w:tcPr>
            <w:tcW w:w="421" w:type="dxa"/>
            <w:gridSpan w:val="2"/>
          </w:tcPr>
          <w:p>
            <w:pPr/>
          </w:p>
        </w:tc>
        <w:tc>
          <w:tcPr>
            <w:tcW w:w="379" w:type="dxa"/>
          </w:tcPr>
          <w:p>
            <w:pPr/>
          </w:p>
        </w:tc>
        <w:tc>
          <w:tcPr>
            <w:tcW w:w="335" w:type="dxa"/>
            <w:gridSpan w:val="2"/>
          </w:tcPr>
          <w:p>
            <w:pPr/>
          </w:p>
        </w:tc>
        <w:tc>
          <w:tcPr>
            <w:tcW w:w="421" w:type="dxa"/>
          </w:tcPr>
          <w:p>
            <w:pPr/>
          </w:p>
        </w:tc>
        <w:tc>
          <w:tcPr>
            <w:tcW w:w="379" w:type="dxa"/>
            <w:gridSpan w:val="2"/>
          </w:tcPr>
          <w:p>
            <w:pPr/>
          </w:p>
        </w:tc>
        <w:tc>
          <w:tcPr>
            <w:tcW w:w="421" w:type="dxa"/>
          </w:tcPr>
          <w:p>
            <w:pPr/>
          </w:p>
        </w:tc>
        <w:tc>
          <w:tcPr>
            <w:tcW w:w="335" w:type="dxa"/>
            <w:gridSpan w:val="2"/>
          </w:tcPr>
          <w:p>
            <w:pPr/>
          </w:p>
        </w:tc>
        <w:tc>
          <w:tcPr>
            <w:tcW w:w="377" w:type="dxa"/>
            <w:gridSpan w:val="2"/>
          </w:tcPr>
          <w:p>
            <w:pPr/>
          </w:p>
        </w:tc>
        <w:tc>
          <w:tcPr>
            <w:tcW w:w="379" w:type="dxa"/>
          </w:tcPr>
          <w:p>
            <w:pPr/>
          </w:p>
        </w:tc>
        <w:tc>
          <w:tcPr>
            <w:tcW w:w="422" w:type="dxa"/>
          </w:tcPr>
          <w:p>
            <w:pPr/>
          </w:p>
        </w:tc>
        <w:tc>
          <w:tcPr>
            <w:tcW w:w="377" w:type="dxa"/>
          </w:tcPr>
          <w:p>
            <w:pPr/>
          </w:p>
        </w:tc>
        <w:tc>
          <w:tcPr>
            <w:tcW w:w="335" w:type="dxa"/>
          </w:tcPr>
          <w:p>
            <w:pPr/>
          </w:p>
        </w:tc>
      </w:tr>
      <w:tr>
        <w:trPr>
          <w:trHeight w:val="206" w:hRule="exact"/>
        </w:trPr>
        <w:tc>
          <w:tcPr>
            <w:tcW w:w="377" w:type="dxa"/>
          </w:tcPr>
          <w:p>
            <w:pPr/>
          </w:p>
        </w:tc>
        <w:tc>
          <w:tcPr>
            <w:tcW w:w="259" w:type="dxa"/>
            <w:tcBorders>
              <w:right w:val="single" w:sz="19" w:space="0" w:color="019576"/>
            </w:tcBorders>
          </w:tcPr>
          <w:p>
            <w:pPr/>
          </w:p>
        </w:tc>
        <w:tc>
          <w:tcPr>
            <w:tcW w:w="121" w:type="dxa"/>
            <w:tcBorders>
              <w:left w:val="single" w:sz="19" w:space="0" w:color="019576"/>
            </w:tcBorders>
          </w:tcPr>
          <w:p>
            <w:pPr/>
          </w:p>
        </w:tc>
        <w:tc>
          <w:tcPr>
            <w:tcW w:w="379" w:type="dxa"/>
            <w:gridSpan w:val="2"/>
          </w:tcPr>
          <w:p>
            <w:pPr/>
          </w:p>
        </w:tc>
        <w:tc>
          <w:tcPr>
            <w:tcW w:w="377" w:type="dxa"/>
            <w:tcBorders>
              <w:right w:val="thickThinMediumGap" w:sz="24" w:space="0" w:color="539E39"/>
            </w:tcBorders>
          </w:tcPr>
          <w:p>
            <w:pPr/>
          </w:p>
        </w:tc>
        <w:tc>
          <w:tcPr>
            <w:tcW w:w="190" w:type="dxa"/>
            <w:tcBorders>
              <w:left w:val="thinThickMediumGap" w:sz="24" w:space="0" w:color="539E39"/>
              <w:right w:val="double" w:sz="15" w:space="0" w:color="C0CF39"/>
            </w:tcBorders>
          </w:tcPr>
          <w:p>
            <w:pPr/>
          </w:p>
        </w:tc>
        <w:tc>
          <w:tcPr>
            <w:tcW w:w="233" w:type="dxa"/>
            <w:tcBorders>
              <w:left w:val="double" w:sz="15" w:space="0" w:color="C0CF39"/>
            </w:tcBorders>
          </w:tcPr>
          <w:p>
            <w:pPr/>
          </w:p>
        </w:tc>
        <w:tc>
          <w:tcPr>
            <w:tcW w:w="290" w:type="dxa"/>
            <w:gridSpan w:val="2"/>
          </w:tcPr>
          <w:p>
            <w:pPr/>
          </w:p>
        </w:tc>
        <w:tc>
          <w:tcPr>
            <w:tcW w:w="379" w:type="dxa"/>
            <w:gridSpan w:val="2"/>
          </w:tcPr>
          <w:p>
            <w:pPr/>
          </w:p>
        </w:tc>
        <w:tc>
          <w:tcPr>
            <w:tcW w:w="421" w:type="dxa"/>
            <w:gridSpan w:val="2"/>
          </w:tcPr>
          <w:p>
            <w:pPr/>
          </w:p>
        </w:tc>
        <w:tc>
          <w:tcPr>
            <w:tcW w:w="379" w:type="dxa"/>
          </w:tcPr>
          <w:p>
            <w:pPr/>
          </w:p>
        </w:tc>
        <w:tc>
          <w:tcPr>
            <w:tcW w:w="335" w:type="dxa"/>
            <w:gridSpan w:val="2"/>
          </w:tcPr>
          <w:p>
            <w:pPr/>
          </w:p>
        </w:tc>
        <w:tc>
          <w:tcPr>
            <w:tcW w:w="421" w:type="dxa"/>
          </w:tcPr>
          <w:p>
            <w:pPr/>
          </w:p>
        </w:tc>
        <w:tc>
          <w:tcPr>
            <w:tcW w:w="379" w:type="dxa"/>
            <w:gridSpan w:val="2"/>
          </w:tcPr>
          <w:p>
            <w:pPr/>
          </w:p>
        </w:tc>
        <w:tc>
          <w:tcPr>
            <w:tcW w:w="421" w:type="dxa"/>
          </w:tcPr>
          <w:p>
            <w:pPr/>
          </w:p>
        </w:tc>
        <w:tc>
          <w:tcPr>
            <w:tcW w:w="335" w:type="dxa"/>
            <w:gridSpan w:val="2"/>
          </w:tcPr>
          <w:p>
            <w:pPr/>
          </w:p>
        </w:tc>
        <w:tc>
          <w:tcPr>
            <w:tcW w:w="377" w:type="dxa"/>
            <w:gridSpan w:val="2"/>
          </w:tcPr>
          <w:p>
            <w:pPr/>
          </w:p>
        </w:tc>
        <w:tc>
          <w:tcPr>
            <w:tcW w:w="379" w:type="dxa"/>
          </w:tcPr>
          <w:p>
            <w:pPr/>
          </w:p>
        </w:tc>
        <w:tc>
          <w:tcPr>
            <w:tcW w:w="422" w:type="dxa"/>
          </w:tcPr>
          <w:p>
            <w:pPr/>
          </w:p>
        </w:tc>
        <w:tc>
          <w:tcPr>
            <w:tcW w:w="377" w:type="dxa"/>
          </w:tcPr>
          <w:p>
            <w:pPr/>
          </w:p>
        </w:tc>
        <w:tc>
          <w:tcPr>
            <w:tcW w:w="335" w:type="dxa"/>
          </w:tcPr>
          <w:p>
            <w:pPr/>
          </w:p>
        </w:tc>
      </w:tr>
      <w:tr>
        <w:trPr>
          <w:trHeight w:val="204" w:hRule="exact"/>
        </w:trPr>
        <w:tc>
          <w:tcPr>
            <w:tcW w:w="377" w:type="dxa"/>
          </w:tcPr>
          <w:p>
            <w:pPr/>
          </w:p>
        </w:tc>
        <w:tc>
          <w:tcPr>
            <w:tcW w:w="259" w:type="dxa"/>
            <w:tcBorders>
              <w:right w:val="thickThinMediumGap" w:sz="23" w:space="0" w:color="019576"/>
            </w:tcBorders>
          </w:tcPr>
          <w:p>
            <w:pPr/>
          </w:p>
        </w:tc>
        <w:tc>
          <w:tcPr>
            <w:tcW w:w="121" w:type="dxa"/>
            <w:tcBorders>
              <w:left w:val="thinThickMediumGap" w:sz="23" w:space="0" w:color="019576"/>
            </w:tcBorders>
          </w:tcPr>
          <w:p>
            <w:pPr/>
          </w:p>
        </w:tc>
        <w:tc>
          <w:tcPr>
            <w:tcW w:w="379" w:type="dxa"/>
            <w:gridSpan w:val="2"/>
          </w:tcPr>
          <w:p>
            <w:pPr/>
          </w:p>
        </w:tc>
        <w:tc>
          <w:tcPr>
            <w:tcW w:w="377" w:type="dxa"/>
            <w:tcBorders>
              <w:right w:val="thickThinMediumGap" w:sz="24" w:space="0" w:color="539E39"/>
            </w:tcBorders>
          </w:tcPr>
          <w:p>
            <w:pPr/>
          </w:p>
        </w:tc>
        <w:tc>
          <w:tcPr>
            <w:tcW w:w="190" w:type="dxa"/>
            <w:tcBorders>
              <w:left w:val="thinThickMediumGap" w:sz="24" w:space="0" w:color="539E39"/>
              <w:right w:val="double" w:sz="15" w:space="0" w:color="C0CF39"/>
            </w:tcBorders>
          </w:tcPr>
          <w:p>
            <w:pPr/>
          </w:p>
        </w:tc>
        <w:tc>
          <w:tcPr>
            <w:tcW w:w="233" w:type="dxa"/>
            <w:tcBorders>
              <w:left w:val="double" w:sz="15" w:space="0" w:color="C0CF39"/>
            </w:tcBorders>
          </w:tcPr>
          <w:p>
            <w:pPr/>
          </w:p>
        </w:tc>
        <w:tc>
          <w:tcPr>
            <w:tcW w:w="290" w:type="dxa"/>
            <w:gridSpan w:val="2"/>
          </w:tcPr>
          <w:p>
            <w:pPr/>
          </w:p>
        </w:tc>
        <w:tc>
          <w:tcPr>
            <w:tcW w:w="379" w:type="dxa"/>
            <w:gridSpan w:val="2"/>
          </w:tcPr>
          <w:p>
            <w:pPr/>
          </w:p>
        </w:tc>
        <w:tc>
          <w:tcPr>
            <w:tcW w:w="421" w:type="dxa"/>
            <w:gridSpan w:val="2"/>
          </w:tcPr>
          <w:p>
            <w:pPr/>
          </w:p>
        </w:tc>
        <w:tc>
          <w:tcPr>
            <w:tcW w:w="379" w:type="dxa"/>
          </w:tcPr>
          <w:p>
            <w:pPr/>
          </w:p>
        </w:tc>
        <w:tc>
          <w:tcPr>
            <w:tcW w:w="335" w:type="dxa"/>
            <w:gridSpan w:val="2"/>
          </w:tcPr>
          <w:p>
            <w:pPr/>
          </w:p>
        </w:tc>
        <w:tc>
          <w:tcPr>
            <w:tcW w:w="421" w:type="dxa"/>
          </w:tcPr>
          <w:p>
            <w:pPr/>
          </w:p>
        </w:tc>
        <w:tc>
          <w:tcPr>
            <w:tcW w:w="379" w:type="dxa"/>
            <w:gridSpan w:val="2"/>
          </w:tcPr>
          <w:p>
            <w:pPr/>
          </w:p>
        </w:tc>
        <w:tc>
          <w:tcPr>
            <w:tcW w:w="421" w:type="dxa"/>
          </w:tcPr>
          <w:p>
            <w:pPr/>
          </w:p>
        </w:tc>
        <w:tc>
          <w:tcPr>
            <w:tcW w:w="335" w:type="dxa"/>
            <w:gridSpan w:val="2"/>
          </w:tcPr>
          <w:p>
            <w:pPr/>
          </w:p>
        </w:tc>
        <w:tc>
          <w:tcPr>
            <w:tcW w:w="377" w:type="dxa"/>
            <w:gridSpan w:val="2"/>
          </w:tcPr>
          <w:p>
            <w:pPr/>
          </w:p>
        </w:tc>
        <w:tc>
          <w:tcPr>
            <w:tcW w:w="379" w:type="dxa"/>
          </w:tcPr>
          <w:p>
            <w:pPr/>
          </w:p>
        </w:tc>
        <w:tc>
          <w:tcPr>
            <w:tcW w:w="422" w:type="dxa"/>
          </w:tcPr>
          <w:p>
            <w:pPr/>
          </w:p>
        </w:tc>
        <w:tc>
          <w:tcPr>
            <w:tcW w:w="377" w:type="dxa"/>
          </w:tcPr>
          <w:p>
            <w:pPr/>
          </w:p>
        </w:tc>
        <w:tc>
          <w:tcPr>
            <w:tcW w:w="335" w:type="dxa"/>
          </w:tcPr>
          <w:p>
            <w:pPr/>
          </w:p>
        </w:tc>
      </w:tr>
      <w:tr>
        <w:trPr>
          <w:trHeight w:val="206" w:hRule="exact"/>
        </w:trPr>
        <w:tc>
          <w:tcPr>
            <w:tcW w:w="377" w:type="dxa"/>
          </w:tcPr>
          <w:p>
            <w:pPr/>
          </w:p>
        </w:tc>
        <w:tc>
          <w:tcPr>
            <w:tcW w:w="259" w:type="dxa"/>
            <w:tcBorders>
              <w:right w:val="thickThinMediumGap" w:sz="23" w:space="0" w:color="019576"/>
            </w:tcBorders>
          </w:tcPr>
          <w:p>
            <w:pPr/>
          </w:p>
        </w:tc>
        <w:tc>
          <w:tcPr>
            <w:tcW w:w="121" w:type="dxa"/>
            <w:tcBorders>
              <w:left w:val="thinThickMediumGap" w:sz="23" w:space="0" w:color="019576"/>
            </w:tcBorders>
          </w:tcPr>
          <w:p>
            <w:pPr/>
          </w:p>
        </w:tc>
        <w:tc>
          <w:tcPr>
            <w:tcW w:w="379" w:type="dxa"/>
            <w:gridSpan w:val="2"/>
          </w:tcPr>
          <w:p>
            <w:pPr/>
          </w:p>
        </w:tc>
        <w:tc>
          <w:tcPr>
            <w:tcW w:w="377" w:type="dxa"/>
            <w:tcBorders>
              <w:right w:val="thickThinMediumGap" w:sz="24" w:space="0" w:color="539E39"/>
            </w:tcBorders>
          </w:tcPr>
          <w:p>
            <w:pPr/>
          </w:p>
        </w:tc>
        <w:tc>
          <w:tcPr>
            <w:tcW w:w="190" w:type="dxa"/>
            <w:tcBorders>
              <w:left w:val="thinThickMediumGap" w:sz="24" w:space="0" w:color="539E39"/>
              <w:right w:val="double" w:sz="15" w:space="0" w:color="C0CF39"/>
            </w:tcBorders>
          </w:tcPr>
          <w:p>
            <w:pPr/>
          </w:p>
        </w:tc>
        <w:tc>
          <w:tcPr>
            <w:tcW w:w="233" w:type="dxa"/>
            <w:tcBorders>
              <w:left w:val="double" w:sz="15" w:space="0" w:color="C0CF39"/>
            </w:tcBorders>
          </w:tcPr>
          <w:p>
            <w:pPr/>
          </w:p>
        </w:tc>
        <w:tc>
          <w:tcPr>
            <w:tcW w:w="290" w:type="dxa"/>
            <w:gridSpan w:val="2"/>
          </w:tcPr>
          <w:p>
            <w:pPr/>
          </w:p>
        </w:tc>
        <w:tc>
          <w:tcPr>
            <w:tcW w:w="233" w:type="dxa"/>
            <w:tcBorders>
              <w:right w:val="single" w:sz="19" w:space="0" w:color="89B833"/>
            </w:tcBorders>
          </w:tcPr>
          <w:p>
            <w:pPr/>
          </w:p>
        </w:tc>
        <w:tc>
          <w:tcPr>
            <w:tcW w:w="146" w:type="dxa"/>
            <w:tcBorders>
              <w:left w:val="single" w:sz="19" w:space="0" w:color="89B833"/>
              <w:right w:val="thinThickMediumGap" w:sz="24" w:space="0" w:color="019576"/>
            </w:tcBorders>
          </w:tcPr>
          <w:p>
            <w:pPr/>
          </w:p>
        </w:tc>
        <w:tc>
          <w:tcPr>
            <w:tcW w:w="199" w:type="dxa"/>
            <w:tcBorders>
              <w:left w:val="thickThinMediumGap" w:sz="24" w:space="0" w:color="019576"/>
              <w:right w:val="single" w:sz="18" w:space="0" w:color="89B833"/>
            </w:tcBorders>
          </w:tcPr>
          <w:p>
            <w:pPr/>
          </w:p>
        </w:tc>
        <w:tc>
          <w:tcPr>
            <w:tcW w:w="222" w:type="dxa"/>
            <w:tcBorders>
              <w:left w:val="single" w:sz="18" w:space="0" w:color="89B833"/>
            </w:tcBorders>
          </w:tcPr>
          <w:p>
            <w:pPr/>
          </w:p>
        </w:tc>
        <w:tc>
          <w:tcPr>
            <w:tcW w:w="379" w:type="dxa"/>
          </w:tcPr>
          <w:p>
            <w:pPr/>
          </w:p>
        </w:tc>
        <w:tc>
          <w:tcPr>
            <w:tcW w:w="335" w:type="dxa"/>
            <w:gridSpan w:val="2"/>
            <w:tcBorders>
              <w:right w:val="thinThickMediumGap" w:sz="24" w:space="0" w:color="019576"/>
            </w:tcBorders>
          </w:tcPr>
          <w:p>
            <w:pPr/>
          </w:p>
        </w:tc>
        <w:tc>
          <w:tcPr>
            <w:tcW w:w="421" w:type="dxa"/>
            <w:tcBorders>
              <w:left w:val="thickThinMediumGap" w:sz="24" w:space="0" w:color="019576"/>
            </w:tcBorders>
          </w:tcPr>
          <w:p>
            <w:pPr/>
          </w:p>
        </w:tc>
        <w:tc>
          <w:tcPr>
            <w:tcW w:w="379" w:type="dxa"/>
            <w:gridSpan w:val="2"/>
          </w:tcPr>
          <w:p>
            <w:pPr/>
          </w:p>
        </w:tc>
        <w:tc>
          <w:tcPr>
            <w:tcW w:w="421" w:type="dxa"/>
            <w:tcBorders>
              <w:right w:val="thickThinMediumGap" w:sz="24" w:space="0" w:color="539E39"/>
            </w:tcBorders>
          </w:tcPr>
          <w:p>
            <w:pPr/>
          </w:p>
        </w:tc>
        <w:tc>
          <w:tcPr>
            <w:tcW w:w="112" w:type="dxa"/>
            <w:tcBorders>
              <w:left w:val="thinThickMediumGap" w:sz="24" w:space="0" w:color="539E39"/>
              <w:right w:val="single" w:sz="19" w:space="0" w:color="89B833"/>
            </w:tcBorders>
          </w:tcPr>
          <w:p>
            <w:pPr/>
          </w:p>
        </w:tc>
        <w:tc>
          <w:tcPr>
            <w:tcW w:w="223" w:type="dxa"/>
            <w:tcBorders>
              <w:left w:val="single" w:sz="19" w:space="0" w:color="89B833"/>
            </w:tcBorders>
          </w:tcPr>
          <w:p>
            <w:pPr/>
          </w:p>
        </w:tc>
        <w:tc>
          <w:tcPr>
            <w:tcW w:w="377" w:type="dxa"/>
            <w:gridSpan w:val="2"/>
          </w:tcPr>
          <w:p>
            <w:pPr/>
          </w:p>
        </w:tc>
        <w:tc>
          <w:tcPr>
            <w:tcW w:w="379" w:type="dxa"/>
          </w:tcPr>
          <w:p>
            <w:pPr/>
          </w:p>
        </w:tc>
        <w:tc>
          <w:tcPr>
            <w:tcW w:w="422" w:type="dxa"/>
            <w:tcBorders>
              <w:right w:val="thickThinMediumGap" w:sz="24" w:space="0" w:color="539E39"/>
            </w:tcBorders>
          </w:tcPr>
          <w:p>
            <w:pPr/>
          </w:p>
        </w:tc>
        <w:tc>
          <w:tcPr>
            <w:tcW w:w="377" w:type="dxa"/>
            <w:tcBorders>
              <w:left w:val="thinThickMediumGap" w:sz="24" w:space="0" w:color="539E39"/>
            </w:tcBorders>
          </w:tcPr>
          <w:p>
            <w:pPr/>
          </w:p>
        </w:tc>
        <w:tc>
          <w:tcPr>
            <w:tcW w:w="335" w:type="dxa"/>
          </w:tcPr>
          <w:p>
            <w:pPr/>
          </w:p>
        </w:tc>
      </w:tr>
      <w:tr>
        <w:trPr>
          <w:trHeight w:val="204" w:hRule="exact"/>
        </w:trPr>
        <w:tc>
          <w:tcPr>
            <w:tcW w:w="377" w:type="dxa"/>
            <w:tcBorders>
              <w:bottom w:val="single" w:sz="14" w:space="0" w:color="539E39"/>
            </w:tcBorders>
          </w:tcPr>
          <w:p>
            <w:pPr/>
          </w:p>
        </w:tc>
        <w:tc>
          <w:tcPr>
            <w:tcW w:w="259" w:type="dxa"/>
            <w:tcBorders>
              <w:bottom w:val="single" w:sz="12" w:space="0" w:color="539E39"/>
              <w:right w:val="thickThinMediumGap" w:sz="23" w:space="0" w:color="019576"/>
            </w:tcBorders>
          </w:tcPr>
          <w:p>
            <w:pPr/>
          </w:p>
        </w:tc>
        <w:tc>
          <w:tcPr>
            <w:tcW w:w="121" w:type="dxa"/>
            <w:tcBorders>
              <w:left w:val="thinThickMediumGap" w:sz="23" w:space="0" w:color="019576"/>
            </w:tcBorders>
          </w:tcPr>
          <w:p>
            <w:pPr/>
          </w:p>
        </w:tc>
        <w:tc>
          <w:tcPr>
            <w:tcW w:w="257" w:type="dxa"/>
            <w:tcBorders>
              <w:bottom w:val="single" w:sz="19" w:space="0" w:color="539E39"/>
              <w:right w:val="double" w:sz="15" w:space="0" w:color="019576"/>
            </w:tcBorders>
          </w:tcPr>
          <w:p>
            <w:pPr/>
          </w:p>
        </w:tc>
        <w:tc>
          <w:tcPr>
            <w:tcW w:w="122" w:type="dxa"/>
            <w:tcBorders>
              <w:left w:val="double" w:sz="15" w:space="0" w:color="019576"/>
            </w:tcBorders>
          </w:tcPr>
          <w:p>
            <w:pPr/>
          </w:p>
        </w:tc>
        <w:tc>
          <w:tcPr>
            <w:tcW w:w="377" w:type="dxa"/>
            <w:tcBorders>
              <w:right w:val="thickThinMediumGap" w:sz="24" w:space="0" w:color="539E39"/>
            </w:tcBorders>
          </w:tcPr>
          <w:p>
            <w:pPr/>
          </w:p>
        </w:tc>
        <w:tc>
          <w:tcPr>
            <w:tcW w:w="190" w:type="dxa"/>
            <w:tcBorders>
              <w:left w:val="thinThickMediumGap" w:sz="24" w:space="0" w:color="539E39"/>
              <w:right w:val="double" w:sz="15" w:space="0" w:color="C0CF39"/>
            </w:tcBorders>
          </w:tcPr>
          <w:p>
            <w:pPr/>
          </w:p>
        </w:tc>
        <w:tc>
          <w:tcPr>
            <w:tcW w:w="233" w:type="dxa"/>
            <w:tcBorders>
              <w:left w:val="double" w:sz="15" w:space="0" w:color="C0CF39"/>
              <w:right w:val="thickThinMediumGap" w:sz="24" w:space="0" w:color="539E39"/>
            </w:tcBorders>
          </w:tcPr>
          <w:p>
            <w:pPr/>
          </w:p>
        </w:tc>
        <w:tc>
          <w:tcPr>
            <w:tcW w:w="110" w:type="dxa"/>
            <w:tcBorders>
              <w:left w:val="thinThickMediumGap" w:sz="24" w:space="0" w:color="539E39"/>
              <w:right w:val="single" w:sz="19" w:space="0" w:color="89B833"/>
            </w:tcBorders>
          </w:tcPr>
          <w:p>
            <w:pPr/>
          </w:p>
        </w:tc>
        <w:tc>
          <w:tcPr>
            <w:tcW w:w="180" w:type="dxa"/>
            <w:tcBorders>
              <w:left w:val="single" w:sz="19" w:space="0" w:color="89B833"/>
              <w:right w:val="thinThickMediumGap" w:sz="24" w:space="0" w:color="019576"/>
            </w:tcBorders>
          </w:tcPr>
          <w:p>
            <w:pPr/>
          </w:p>
        </w:tc>
        <w:tc>
          <w:tcPr>
            <w:tcW w:w="233" w:type="dxa"/>
            <w:tcBorders>
              <w:left w:val="thickThinMediumGap" w:sz="24" w:space="0" w:color="019576"/>
              <w:right w:val="double" w:sz="15" w:space="0" w:color="C0CF39"/>
            </w:tcBorders>
          </w:tcPr>
          <w:p>
            <w:pPr/>
          </w:p>
        </w:tc>
        <w:tc>
          <w:tcPr>
            <w:tcW w:w="146" w:type="dxa"/>
            <w:tcBorders>
              <w:left w:val="double" w:sz="15" w:space="0" w:color="C0CF39"/>
              <w:right w:val="thinThickMediumGap" w:sz="24" w:space="0" w:color="019576"/>
            </w:tcBorders>
          </w:tcPr>
          <w:p>
            <w:pPr/>
          </w:p>
        </w:tc>
        <w:tc>
          <w:tcPr>
            <w:tcW w:w="199" w:type="dxa"/>
            <w:tcBorders>
              <w:left w:val="thickThinMediumGap" w:sz="24" w:space="0" w:color="019576"/>
              <w:right w:val="single" w:sz="18" w:space="0" w:color="89B833"/>
            </w:tcBorders>
          </w:tcPr>
          <w:p>
            <w:pPr/>
          </w:p>
        </w:tc>
        <w:tc>
          <w:tcPr>
            <w:tcW w:w="222" w:type="dxa"/>
            <w:tcBorders>
              <w:left w:val="single" w:sz="18" w:space="0" w:color="89B833"/>
            </w:tcBorders>
          </w:tcPr>
          <w:p>
            <w:pPr/>
          </w:p>
        </w:tc>
        <w:tc>
          <w:tcPr>
            <w:tcW w:w="379" w:type="dxa"/>
            <w:tcBorders>
              <w:bottom w:val="single" w:sz="24" w:space="0" w:color="539E39"/>
            </w:tcBorders>
          </w:tcPr>
          <w:p>
            <w:pPr/>
          </w:p>
        </w:tc>
        <w:tc>
          <w:tcPr>
            <w:tcW w:w="190" w:type="dxa"/>
            <w:tcBorders>
              <w:right w:val="double" w:sz="15" w:space="0" w:color="C0CF39"/>
            </w:tcBorders>
          </w:tcPr>
          <w:p>
            <w:pPr/>
          </w:p>
        </w:tc>
        <w:tc>
          <w:tcPr>
            <w:tcW w:w="145" w:type="dxa"/>
            <w:tcBorders>
              <w:left w:val="double" w:sz="15" w:space="0" w:color="C0CF39"/>
              <w:right w:val="thinThickMediumGap" w:sz="24" w:space="0" w:color="019576"/>
            </w:tcBorders>
          </w:tcPr>
          <w:p>
            <w:pPr/>
          </w:p>
        </w:tc>
        <w:tc>
          <w:tcPr>
            <w:tcW w:w="421" w:type="dxa"/>
            <w:tcBorders>
              <w:left w:val="thickThinMediumGap" w:sz="24" w:space="0" w:color="019576"/>
              <w:bottom w:val="single" w:sz="19" w:space="0" w:color="539E39"/>
            </w:tcBorders>
          </w:tcPr>
          <w:p>
            <w:pPr/>
          </w:p>
        </w:tc>
        <w:tc>
          <w:tcPr>
            <w:tcW w:w="156" w:type="dxa"/>
            <w:tcBorders>
              <w:right w:val="single" w:sz="19" w:space="0" w:color="89B833"/>
            </w:tcBorders>
          </w:tcPr>
          <w:p>
            <w:pPr/>
          </w:p>
        </w:tc>
        <w:tc>
          <w:tcPr>
            <w:tcW w:w="223" w:type="dxa"/>
            <w:tcBorders>
              <w:left w:val="single" w:sz="19" w:space="0" w:color="89B833"/>
              <w:bottom w:val="single" w:sz="31" w:space="0" w:color="019576"/>
            </w:tcBorders>
          </w:tcPr>
          <w:p>
            <w:pPr/>
          </w:p>
        </w:tc>
        <w:tc>
          <w:tcPr>
            <w:tcW w:w="421" w:type="dxa"/>
            <w:tcBorders>
              <w:bottom w:val="single" w:sz="30" w:space="0" w:color="019576"/>
              <w:right w:val="thickThinMediumGap" w:sz="24" w:space="0" w:color="539E39"/>
            </w:tcBorders>
          </w:tcPr>
          <w:p>
            <w:pPr/>
          </w:p>
        </w:tc>
        <w:tc>
          <w:tcPr>
            <w:tcW w:w="112" w:type="dxa"/>
            <w:tcBorders>
              <w:left w:val="thinThickMediumGap" w:sz="24" w:space="0" w:color="539E39"/>
              <w:right w:val="single" w:sz="19" w:space="0" w:color="89B833"/>
            </w:tcBorders>
          </w:tcPr>
          <w:p>
            <w:pPr/>
          </w:p>
        </w:tc>
        <w:tc>
          <w:tcPr>
            <w:tcW w:w="223" w:type="dxa"/>
            <w:tcBorders>
              <w:left w:val="single" w:sz="19" w:space="0" w:color="89B833"/>
            </w:tcBorders>
          </w:tcPr>
          <w:p>
            <w:pPr/>
          </w:p>
        </w:tc>
        <w:tc>
          <w:tcPr>
            <w:tcW w:w="155" w:type="dxa"/>
            <w:tcBorders>
              <w:right w:val="single" w:sz="18" w:space="0" w:color="89B833"/>
            </w:tcBorders>
          </w:tcPr>
          <w:p>
            <w:pPr/>
          </w:p>
        </w:tc>
        <w:tc>
          <w:tcPr>
            <w:tcW w:w="222" w:type="dxa"/>
            <w:tcBorders>
              <w:left w:val="single" w:sz="18" w:space="0" w:color="89B833"/>
              <w:bottom w:val="single" w:sz="23" w:space="0" w:color="019576"/>
            </w:tcBorders>
          </w:tcPr>
          <w:p>
            <w:pPr/>
          </w:p>
        </w:tc>
        <w:tc>
          <w:tcPr>
            <w:tcW w:w="379" w:type="dxa"/>
            <w:tcBorders>
              <w:bottom w:val="single" w:sz="23" w:space="0" w:color="89B833"/>
            </w:tcBorders>
          </w:tcPr>
          <w:p>
            <w:pPr/>
          </w:p>
        </w:tc>
        <w:tc>
          <w:tcPr>
            <w:tcW w:w="422" w:type="dxa"/>
            <w:tcBorders>
              <w:bottom w:val="single" w:sz="16" w:space="0" w:color="539E39"/>
              <w:right w:val="thickThinMediumGap" w:sz="24" w:space="0" w:color="539E39"/>
            </w:tcBorders>
          </w:tcPr>
          <w:p>
            <w:pPr/>
          </w:p>
        </w:tc>
        <w:tc>
          <w:tcPr>
            <w:tcW w:w="377" w:type="dxa"/>
            <w:tcBorders>
              <w:left w:val="thinThickMediumGap" w:sz="24" w:space="0" w:color="539E39"/>
              <w:right w:val="thickThinMediumGap" w:sz="24" w:space="0" w:color="539E39"/>
            </w:tcBorders>
          </w:tcPr>
          <w:p>
            <w:pPr/>
          </w:p>
        </w:tc>
        <w:tc>
          <w:tcPr>
            <w:tcW w:w="335" w:type="dxa"/>
            <w:tcBorders>
              <w:left w:val="thinThickMediumGap" w:sz="24" w:space="0" w:color="539E39"/>
              <w:bottom w:val="single" w:sz="24" w:space="0" w:color="019576"/>
            </w:tcBorders>
          </w:tcPr>
          <w:p>
            <w:pPr/>
          </w:p>
        </w:tc>
      </w:tr>
    </w:tbl>
    <w:p>
      <w:pPr>
        <w:pStyle w:val="BodyText"/>
        <w:rPr>
          <w:b/>
        </w:rPr>
      </w:pPr>
    </w:p>
    <w:p>
      <w:pPr>
        <w:pStyle w:val="BodyText"/>
        <w:rPr>
          <w:b/>
        </w:rPr>
      </w:pPr>
    </w:p>
    <w:p>
      <w:pPr>
        <w:pStyle w:val="BodyText"/>
        <w:rPr>
          <w:b/>
        </w:rPr>
      </w:pPr>
    </w:p>
    <w:p>
      <w:pPr>
        <w:pStyle w:val="BodyText"/>
        <w:rPr>
          <w:b/>
        </w:rPr>
      </w:pPr>
    </w:p>
    <w:p>
      <w:pPr>
        <w:pStyle w:val="BodyText"/>
        <w:rPr>
          <w:b/>
        </w:rPr>
      </w:pPr>
    </w:p>
    <w:p>
      <w:pPr>
        <w:spacing w:before="214"/>
        <w:ind w:left="383" w:right="399" w:firstLine="0"/>
        <w:jc w:val="center"/>
        <w:rPr>
          <w:sz w:val="18"/>
        </w:rPr>
      </w:pPr>
      <w:r>
        <w:rPr>
          <w:sz w:val="18"/>
        </w:rPr>
        <w:t>Fuente: Elaboración propia con base en datos del Censo Económico de INEGI (2009).</w:t>
      </w:r>
    </w:p>
    <w:p>
      <w:pPr>
        <w:pStyle w:val="BodyText"/>
        <w:rPr>
          <w:sz w:val="18"/>
        </w:rPr>
      </w:pPr>
    </w:p>
    <w:p>
      <w:pPr>
        <w:pStyle w:val="BodyText"/>
        <w:spacing w:line="360" w:lineRule="auto" w:before="137"/>
        <w:ind w:left="102" w:right="117"/>
        <w:jc w:val="both"/>
      </w:pPr>
      <w:r>
        <w:rPr/>
        <w:t>Es importante mencionar, que al interior el sector manufacturero se compone por nueve grandes divisiones que son: DI. Productos alimenticios, bebidas y tabaco, DII. Textiles, prendas de vestir e industria del cuero, DIII. Industria de la madera y productos de madera, DIV.</w:t>
      </w:r>
      <w:r>
        <w:rPr>
          <w:spacing w:val="-14"/>
        </w:rPr>
        <w:t> </w:t>
      </w:r>
      <w:r>
        <w:rPr/>
        <w:t>Papel,</w:t>
      </w:r>
      <w:r>
        <w:rPr>
          <w:spacing w:val="-13"/>
        </w:rPr>
        <w:t> </w:t>
      </w:r>
      <w:r>
        <w:rPr/>
        <w:t>productos</w:t>
      </w:r>
      <w:r>
        <w:rPr>
          <w:spacing w:val="-13"/>
        </w:rPr>
        <w:t> </w:t>
      </w:r>
      <w:r>
        <w:rPr/>
        <w:t>del</w:t>
      </w:r>
      <w:r>
        <w:rPr>
          <w:spacing w:val="-13"/>
        </w:rPr>
        <w:t> </w:t>
      </w:r>
      <w:r>
        <w:rPr/>
        <w:t>papel,</w:t>
      </w:r>
      <w:r>
        <w:rPr>
          <w:spacing w:val="-13"/>
        </w:rPr>
        <w:t> </w:t>
      </w:r>
      <w:r>
        <w:rPr/>
        <w:t>imprentas</w:t>
      </w:r>
      <w:r>
        <w:rPr>
          <w:spacing w:val="-9"/>
        </w:rPr>
        <w:t> </w:t>
      </w:r>
      <w:r>
        <w:rPr/>
        <w:t>y</w:t>
      </w:r>
      <w:r>
        <w:rPr>
          <w:spacing w:val="-16"/>
        </w:rPr>
        <w:t> </w:t>
      </w:r>
      <w:r>
        <w:rPr/>
        <w:t>editoriales,</w:t>
      </w:r>
      <w:r>
        <w:rPr>
          <w:spacing w:val="-13"/>
        </w:rPr>
        <w:t> </w:t>
      </w:r>
      <w:r>
        <w:rPr/>
        <w:t>DV.</w:t>
      </w:r>
      <w:r>
        <w:rPr>
          <w:spacing w:val="-13"/>
        </w:rPr>
        <w:t> </w:t>
      </w:r>
      <w:r>
        <w:rPr/>
        <w:t>Sustancias</w:t>
      </w:r>
      <w:r>
        <w:rPr>
          <w:spacing w:val="-14"/>
        </w:rPr>
        <w:t> </w:t>
      </w:r>
      <w:r>
        <w:rPr/>
        <w:t>químicas,</w:t>
      </w:r>
      <w:r>
        <w:rPr>
          <w:spacing w:val="-13"/>
        </w:rPr>
        <w:t> </w:t>
      </w:r>
      <w:r>
        <w:rPr/>
        <w:t>derivados del petróleo, productos del caucho y plásticos, DVI. Productos de minerales no metálicos, exceptuando derivados del petróleo y carbón, DVII. Industrias metálicas básicas, DVIII. Productos metálicos, maquinaria y equipo y DIX. Otras industrias</w:t>
      </w:r>
      <w:r>
        <w:rPr>
          <w:spacing w:val="-13"/>
        </w:rPr>
        <w:t> </w:t>
      </w:r>
      <w:r>
        <w:rPr/>
        <w:t>manufactureras.</w:t>
      </w:r>
    </w:p>
    <w:p>
      <w:pPr>
        <w:pStyle w:val="BodyText"/>
        <w:spacing w:before="2"/>
        <w:rPr>
          <w:sz w:val="21"/>
        </w:rPr>
      </w:pPr>
    </w:p>
    <w:p>
      <w:pPr>
        <w:pStyle w:val="BodyText"/>
        <w:spacing w:line="360" w:lineRule="auto"/>
        <w:ind w:left="102" w:right="114"/>
        <w:jc w:val="both"/>
      </w:pPr>
      <w:r>
        <w:rPr/>
        <w:t>De estas nueve divisiones de acuerdo con el INEGI (2009), la de mayor participación es la división ocho correspondiente a los productos metálicos, maquinaria y equipo, pues,</w:t>
      </w:r>
      <w:r>
        <w:rPr>
          <w:spacing w:val="-22"/>
        </w:rPr>
        <w:t> </w:t>
      </w:r>
      <w:r>
        <w:rPr/>
        <w:t>emplea el 36.2 % del personal ocupado, el 42.1% de las remuneraciones totales, el 33.3% de la formación bruta de capital fijo, el 23.2% de la producción bruta total y 31.3% del valor agregado censal bruto (véase cuadro</w:t>
      </w:r>
      <w:r>
        <w:rPr>
          <w:spacing w:val="-8"/>
        </w:rPr>
        <w:t> </w:t>
      </w:r>
      <w:r>
        <w:rPr/>
        <w:t>3.1).</w:t>
      </w:r>
    </w:p>
    <w:p>
      <w:pPr>
        <w:pStyle w:val="BodyText"/>
        <w:spacing w:before="4"/>
        <w:rPr>
          <w:sz w:val="21"/>
        </w:rPr>
      </w:pPr>
    </w:p>
    <w:p>
      <w:pPr>
        <w:pStyle w:val="BodyText"/>
        <w:spacing w:line="360" w:lineRule="auto" w:before="1"/>
        <w:ind w:left="102" w:right="117"/>
        <w:jc w:val="both"/>
      </w:pPr>
      <w:r>
        <w:rPr/>
        <w:t>Al</w:t>
      </w:r>
      <w:r>
        <w:rPr>
          <w:spacing w:val="-4"/>
        </w:rPr>
        <w:t> </w:t>
      </w:r>
      <w:r>
        <w:rPr/>
        <w:t>mismo</w:t>
      </w:r>
      <w:r>
        <w:rPr>
          <w:spacing w:val="-3"/>
        </w:rPr>
        <w:t> </w:t>
      </w:r>
      <w:r>
        <w:rPr/>
        <w:t>tiempo,</w:t>
      </w:r>
      <w:r>
        <w:rPr>
          <w:spacing w:val="-3"/>
        </w:rPr>
        <w:t> </w:t>
      </w:r>
      <w:r>
        <w:rPr/>
        <w:t>se</w:t>
      </w:r>
      <w:r>
        <w:rPr>
          <w:spacing w:val="-5"/>
        </w:rPr>
        <w:t> </w:t>
      </w:r>
      <w:r>
        <w:rPr/>
        <w:t>observa</w:t>
      </w:r>
      <w:r>
        <w:rPr>
          <w:spacing w:val="-6"/>
        </w:rPr>
        <w:t> </w:t>
      </w:r>
      <w:r>
        <w:rPr/>
        <w:t>que</w:t>
      </w:r>
      <w:r>
        <w:rPr>
          <w:spacing w:val="-5"/>
        </w:rPr>
        <w:t> </w:t>
      </w:r>
      <w:r>
        <w:rPr/>
        <w:t>la</w:t>
      </w:r>
      <w:r>
        <w:rPr>
          <w:spacing w:val="-4"/>
        </w:rPr>
        <w:t> </w:t>
      </w:r>
      <w:r>
        <w:rPr/>
        <w:t>división</w:t>
      </w:r>
      <w:r>
        <w:rPr>
          <w:spacing w:val="-1"/>
        </w:rPr>
        <w:t> </w:t>
      </w:r>
      <w:r>
        <w:rPr/>
        <w:t>que</w:t>
      </w:r>
      <w:r>
        <w:rPr>
          <w:spacing w:val="-2"/>
        </w:rPr>
        <w:t> </w:t>
      </w:r>
      <w:r>
        <w:rPr/>
        <w:t>ocupa</w:t>
      </w:r>
      <w:r>
        <w:rPr>
          <w:spacing w:val="-5"/>
        </w:rPr>
        <w:t> </w:t>
      </w:r>
      <w:r>
        <w:rPr/>
        <w:t>el</w:t>
      </w:r>
      <w:r>
        <w:rPr>
          <w:spacing w:val="-3"/>
        </w:rPr>
        <w:t> </w:t>
      </w:r>
      <w:r>
        <w:rPr/>
        <w:t>segundo</w:t>
      </w:r>
      <w:r>
        <w:rPr>
          <w:spacing w:val="-4"/>
        </w:rPr>
        <w:t> </w:t>
      </w:r>
      <w:r>
        <w:rPr/>
        <w:t>lugar</w:t>
      </w:r>
      <w:r>
        <w:rPr>
          <w:spacing w:val="-3"/>
        </w:rPr>
        <w:t> </w:t>
      </w:r>
      <w:r>
        <w:rPr/>
        <w:t>es</w:t>
      </w:r>
      <w:r>
        <w:rPr>
          <w:spacing w:val="-4"/>
        </w:rPr>
        <w:t> </w:t>
      </w:r>
      <w:r>
        <w:rPr/>
        <w:t>la</w:t>
      </w:r>
      <w:r>
        <w:rPr>
          <w:spacing w:val="-4"/>
        </w:rPr>
        <w:t> </w:t>
      </w:r>
      <w:r>
        <w:rPr/>
        <w:t>división</w:t>
      </w:r>
      <w:r>
        <w:rPr>
          <w:spacing w:val="-3"/>
        </w:rPr>
        <w:t> </w:t>
      </w:r>
      <w:r>
        <w:rPr/>
        <w:t>cinco que corresponde a las sustancias químicas, derivados del petróleo, productos de caucho y plástico, con porcentajes de 1.7, 19.6, 22.7, 32, y 22.9 de personal ocupado,</w:t>
      </w:r>
      <w:r>
        <w:rPr>
          <w:spacing w:val="-17"/>
        </w:rPr>
        <w:t> </w:t>
      </w:r>
      <w:r>
        <w:rPr/>
        <w:t>remuneraciones totales, formación bruta de capital fijo, producción bruta total y valor agregado censal bruto respectivamente (véase cuadro</w:t>
      </w:r>
      <w:r>
        <w:rPr>
          <w:spacing w:val="-9"/>
        </w:rPr>
        <w:t> </w:t>
      </w:r>
      <w:r>
        <w:rPr/>
        <w:t>3.1).</w:t>
      </w:r>
    </w:p>
    <w:p>
      <w:pPr>
        <w:spacing w:after="0" w:line="360" w:lineRule="auto"/>
        <w:jc w:val="both"/>
        <w:sectPr>
          <w:pgSz w:w="12240" w:h="15840"/>
          <w:pgMar w:header="0" w:footer="1035" w:top="1360" w:bottom="1220" w:left="1600" w:right="1580"/>
        </w:sectPr>
      </w:pPr>
    </w:p>
    <w:p>
      <w:pPr>
        <w:pStyle w:val="Heading1"/>
        <w:spacing w:line="360" w:lineRule="auto" w:before="55" w:after="5"/>
        <w:ind w:left="3846" w:right="119" w:hanging="3531"/>
      </w:pPr>
      <w:r>
        <w:rPr/>
        <w:t>Cuadro 3.1. Participación porcentual de las nueve divisiones de la manufactura en México, 2008</w:t>
      </w: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043"/>
        <w:gridCol w:w="834"/>
        <w:gridCol w:w="1456"/>
        <w:gridCol w:w="1151"/>
        <w:gridCol w:w="1137"/>
        <w:gridCol w:w="1218"/>
      </w:tblGrid>
      <w:tr>
        <w:trPr>
          <w:trHeight w:val="631" w:hRule="exact"/>
        </w:trPr>
        <w:tc>
          <w:tcPr>
            <w:tcW w:w="3043" w:type="dxa"/>
            <w:tcBorders>
              <w:top w:val="single" w:sz="4" w:space="0" w:color="7E7E7E"/>
              <w:bottom w:val="single" w:sz="23" w:space="0" w:color="A6A6A6"/>
            </w:tcBorders>
          </w:tcPr>
          <w:p>
            <w:pPr/>
          </w:p>
        </w:tc>
        <w:tc>
          <w:tcPr>
            <w:tcW w:w="834" w:type="dxa"/>
            <w:tcBorders>
              <w:top w:val="single" w:sz="4" w:space="0" w:color="7E7E7E"/>
              <w:bottom w:val="single" w:sz="23" w:space="0" w:color="A6A6A6"/>
            </w:tcBorders>
          </w:tcPr>
          <w:p>
            <w:pPr>
              <w:pStyle w:val="TableParagraph"/>
              <w:spacing w:before="105"/>
              <w:ind w:left="67" w:right="87" w:hanging="10"/>
              <w:jc w:val="left"/>
              <w:rPr>
                <w:b/>
                <w:sz w:val="18"/>
              </w:rPr>
            </w:pPr>
            <w:r>
              <w:rPr>
                <w:b/>
                <w:sz w:val="18"/>
              </w:rPr>
              <w:t>Personal ocupado</w:t>
            </w:r>
          </w:p>
        </w:tc>
        <w:tc>
          <w:tcPr>
            <w:tcW w:w="1456" w:type="dxa"/>
            <w:tcBorders>
              <w:top w:val="single" w:sz="4" w:space="0" w:color="7E7E7E"/>
              <w:bottom w:val="single" w:sz="23" w:space="0" w:color="A6A6A6"/>
            </w:tcBorders>
          </w:tcPr>
          <w:p>
            <w:pPr>
              <w:pStyle w:val="TableParagraph"/>
              <w:spacing w:before="105"/>
              <w:ind w:left="109" w:firstLine="298"/>
              <w:jc w:val="left"/>
              <w:rPr>
                <w:b/>
                <w:sz w:val="18"/>
              </w:rPr>
            </w:pPr>
            <w:r>
              <w:rPr>
                <w:b/>
                <w:sz w:val="18"/>
              </w:rPr>
              <w:t>Total de remuneraciones</w:t>
            </w:r>
          </w:p>
        </w:tc>
        <w:tc>
          <w:tcPr>
            <w:tcW w:w="1151" w:type="dxa"/>
            <w:tcBorders>
              <w:top w:val="single" w:sz="4" w:space="0" w:color="7E7E7E"/>
              <w:bottom w:val="single" w:sz="23" w:space="0" w:color="A6A6A6"/>
            </w:tcBorders>
          </w:tcPr>
          <w:p>
            <w:pPr>
              <w:pStyle w:val="TableParagraph"/>
              <w:spacing w:before="105"/>
              <w:ind w:left="146" w:right="132" w:hanging="27"/>
              <w:jc w:val="left"/>
              <w:rPr>
                <w:b/>
                <w:sz w:val="18"/>
              </w:rPr>
            </w:pPr>
            <w:r>
              <w:rPr>
                <w:b/>
                <w:sz w:val="18"/>
              </w:rPr>
              <w:t>Producción bruta total</w:t>
            </w:r>
          </w:p>
        </w:tc>
        <w:tc>
          <w:tcPr>
            <w:tcW w:w="1137" w:type="dxa"/>
            <w:tcBorders>
              <w:top w:val="single" w:sz="4" w:space="0" w:color="7E7E7E"/>
              <w:bottom w:val="single" w:sz="23" w:space="0" w:color="A6A6A6"/>
            </w:tcBorders>
          </w:tcPr>
          <w:p>
            <w:pPr>
              <w:pStyle w:val="TableParagraph"/>
              <w:spacing w:before="2"/>
              <w:ind w:left="150" w:right="146"/>
              <w:rPr>
                <w:b/>
                <w:sz w:val="18"/>
              </w:rPr>
            </w:pPr>
            <w:r>
              <w:rPr>
                <w:b/>
                <w:sz w:val="18"/>
              </w:rPr>
              <w:t>Formación bruta de capital fijo</w:t>
            </w:r>
          </w:p>
        </w:tc>
        <w:tc>
          <w:tcPr>
            <w:tcW w:w="1218" w:type="dxa"/>
            <w:tcBorders>
              <w:top w:val="single" w:sz="4" w:space="0" w:color="7E7E7E"/>
              <w:bottom w:val="single" w:sz="23" w:space="0" w:color="A6A6A6"/>
            </w:tcBorders>
          </w:tcPr>
          <w:p>
            <w:pPr>
              <w:pStyle w:val="TableParagraph"/>
              <w:spacing w:before="2"/>
              <w:ind w:left="146" w:right="125" w:firstLine="2"/>
              <w:rPr>
                <w:b/>
                <w:sz w:val="18"/>
              </w:rPr>
            </w:pPr>
            <w:r>
              <w:rPr>
                <w:b/>
                <w:sz w:val="18"/>
              </w:rPr>
              <w:t>Valor agregado censal bruto</w:t>
            </w:r>
          </w:p>
        </w:tc>
      </w:tr>
      <w:tr>
        <w:trPr>
          <w:trHeight w:val="312" w:hRule="exact"/>
        </w:trPr>
        <w:tc>
          <w:tcPr>
            <w:tcW w:w="3043" w:type="dxa"/>
            <w:tcBorders>
              <w:top w:val="single" w:sz="4" w:space="0" w:color="7E7E7E"/>
              <w:bottom w:val="single" w:sz="4" w:space="0" w:color="7E7E7E"/>
            </w:tcBorders>
            <w:shd w:val="clear" w:color="auto" w:fill="A6A6A6"/>
          </w:tcPr>
          <w:p>
            <w:pPr>
              <w:pStyle w:val="TableParagraph"/>
              <w:spacing w:before="48"/>
              <w:ind w:left="288"/>
              <w:jc w:val="left"/>
              <w:rPr>
                <w:b/>
                <w:sz w:val="18"/>
              </w:rPr>
            </w:pPr>
            <w:r>
              <w:rPr>
                <w:b/>
                <w:sz w:val="18"/>
              </w:rPr>
              <w:t>Total del sector Manufacturero</w:t>
            </w:r>
          </w:p>
        </w:tc>
        <w:tc>
          <w:tcPr>
            <w:tcW w:w="834" w:type="dxa"/>
            <w:tcBorders>
              <w:top w:val="single" w:sz="4" w:space="0" w:color="7E7E7E"/>
              <w:bottom w:val="single" w:sz="4" w:space="0" w:color="7E7E7E"/>
            </w:tcBorders>
            <w:shd w:val="clear" w:color="auto" w:fill="A6A6A6"/>
          </w:tcPr>
          <w:p>
            <w:pPr>
              <w:pStyle w:val="TableParagraph"/>
              <w:spacing w:before="48"/>
              <w:ind w:left="217" w:right="260"/>
              <w:rPr>
                <w:b/>
                <w:sz w:val="18"/>
              </w:rPr>
            </w:pPr>
            <w:r>
              <w:rPr>
                <w:b/>
                <w:sz w:val="18"/>
              </w:rPr>
              <w:t>100</w:t>
            </w:r>
          </w:p>
        </w:tc>
        <w:tc>
          <w:tcPr>
            <w:tcW w:w="1456" w:type="dxa"/>
            <w:tcBorders>
              <w:top w:val="single" w:sz="4" w:space="0" w:color="7E7E7E"/>
              <w:bottom w:val="single" w:sz="4" w:space="0" w:color="7E7E7E"/>
            </w:tcBorders>
            <w:shd w:val="clear" w:color="auto" w:fill="A6A6A6"/>
          </w:tcPr>
          <w:p>
            <w:pPr>
              <w:pStyle w:val="TableParagraph"/>
              <w:spacing w:before="48"/>
              <w:ind w:left="549" w:right="549"/>
              <w:rPr>
                <w:b/>
                <w:sz w:val="18"/>
              </w:rPr>
            </w:pPr>
            <w:r>
              <w:rPr>
                <w:b/>
                <w:sz w:val="18"/>
              </w:rPr>
              <w:t>100</w:t>
            </w:r>
          </w:p>
        </w:tc>
        <w:tc>
          <w:tcPr>
            <w:tcW w:w="1151" w:type="dxa"/>
            <w:tcBorders>
              <w:top w:val="single" w:sz="4" w:space="0" w:color="7E7E7E"/>
              <w:bottom w:val="single" w:sz="4" w:space="0" w:color="7E7E7E"/>
            </w:tcBorders>
            <w:shd w:val="clear" w:color="auto" w:fill="A6A6A6"/>
          </w:tcPr>
          <w:p>
            <w:pPr>
              <w:pStyle w:val="TableParagraph"/>
              <w:spacing w:before="48"/>
              <w:ind w:right="450"/>
              <w:jc w:val="right"/>
              <w:rPr>
                <w:b/>
                <w:sz w:val="18"/>
              </w:rPr>
            </w:pPr>
            <w:r>
              <w:rPr>
                <w:b/>
                <w:sz w:val="18"/>
              </w:rPr>
              <w:t>100</w:t>
            </w:r>
          </w:p>
        </w:tc>
        <w:tc>
          <w:tcPr>
            <w:tcW w:w="1137" w:type="dxa"/>
            <w:tcBorders>
              <w:top w:val="single" w:sz="4" w:space="0" w:color="7E7E7E"/>
              <w:bottom w:val="single" w:sz="4" w:space="0" w:color="7E7E7E"/>
            </w:tcBorders>
            <w:shd w:val="clear" w:color="auto" w:fill="A6A6A6"/>
          </w:tcPr>
          <w:p>
            <w:pPr>
              <w:pStyle w:val="TableParagraph"/>
              <w:spacing w:before="48"/>
              <w:ind w:right="427"/>
              <w:jc w:val="right"/>
              <w:rPr>
                <w:b/>
                <w:sz w:val="18"/>
              </w:rPr>
            </w:pPr>
            <w:r>
              <w:rPr>
                <w:b/>
                <w:sz w:val="18"/>
              </w:rPr>
              <w:t>100</w:t>
            </w:r>
          </w:p>
        </w:tc>
        <w:tc>
          <w:tcPr>
            <w:tcW w:w="1218" w:type="dxa"/>
            <w:tcBorders>
              <w:top w:val="single" w:sz="4" w:space="0" w:color="7E7E7E"/>
              <w:bottom w:val="single" w:sz="4" w:space="0" w:color="7E7E7E"/>
            </w:tcBorders>
            <w:shd w:val="clear" w:color="auto" w:fill="A6A6A6"/>
          </w:tcPr>
          <w:p>
            <w:pPr>
              <w:pStyle w:val="TableParagraph"/>
              <w:spacing w:before="48"/>
              <w:ind w:left="482"/>
              <w:jc w:val="left"/>
              <w:rPr>
                <w:b/>
                <w:sz w:val="18"/>
              </w:rPr>
            </w:pPr>
            <w:r>
              <w:rPr>
                <w:b/>
                <w:sz w:val="18"/>
              </w:rPr>
              <w:t>100</w:t>
            </w:r>
          </w:p>
        </w:tc>
      </w:tr>
      <w:tr>
        <w:trPr>
          <w:trHeight w:val="434" w:hRule="exact"/>
        </w:trPr>
        <w:tc>
          <w:tcPr>
            <w:tcW w:w="3043" w:type="dxa"/>
            <w:tcBorders>
              <w:top w:val="single" w:sz="19" w:space="0" w:color="A6A6A6"/>
              <w:bottom w:val="single" w:sz="4" w:space="0" w:color="7E7E7E"/>
            </w:tcBorders>
          </w:tcPr>
          <w:p>
            <w:pPr>
              <w:pStyle w:val="TableParagraph"/>
              <w:spacing w:line="188" w:lineRule="exact"/>
              <w:ind w:left="108"/>
              <w:jc w:val="left"/>
              <w:rPr>
                <w:sz w:val="18"/>
              </w:rPr>
            </w:pPr>
            <w:r>
              <w:rPr>
                <w:sz w:val="18"/>
              </w:rPr>
              <w:t>DI. Productos alimenticios, bebidas y</w:t>
            </w:r>
          </w:p>
          <w:p>
            <w:pPr>
              <w:pStyle w:val="TableParagraph"/>
              <w:spacing w:before="2"/>
              <w:ind w:left="108"/>
              <w:jc w:val="left"/>
              <w:rPr>
                <w:sz w:val="18"/>
              </w:rPr>
            </w:pPr>
            <w:r>
              <w:rPr>
                <w:sz w:val="18"/>
              </w:rPr>
              <w:t>tabaco</w:t>
            </w:r>
          </w:p>
        </w:tc>
        <w:tc>
          <w:tcPr>
            <w:tcW w:w="834" w:type="dxa"/>
            <w:tcBorders>
              <w:top w:val="single" w:sz="19" w:space="0" w:color="A6A6A6"/>
              <w:bottom w:val="single" w:sz="4" w:space="0" w:color="7E7E7E"/>
            </w:tcBorders>
          </w:tcPr>
          <w:p>
            <w:pPr>
              <w:pStyle w:val="TableParagraph"/>
              <w:spacing w:before="84"/>
              <w:ind w:left="217" w:right="262"/>
              <w:rPr>
                <w:sz w:val="18"/>
              </w:rPr>
            </w:pPr>
            <w:r>
              <w:rPr>
                <w:sz w:val="18"/>
              </w:rPr>
              <w:t>21.4</w:t>
            </w:r>
          </w:p>
        </w:tc>
        <w:tc>
          <w:tcPr>
            <w:tcW w:w="1456" w:type="dxa"/>
            <w:tcBorders>
              <w:top w:val="single" w:sz="19" w:space="0" w:color="A6A6A6"/>
              <w:bottom w:val="single" w:sz="4" w:space="0" w:color="7E7E7E"/>
            </w:tcBorders>
          </w:tcPr>
          <w:p>
            <w:pPr>
              <w:pStyle w:val="TableParagraph"/>
              <w:spacing w:before="84"/>
              <w:ind w:left="549" w:right="550"/>
              <w:rPr>
                <w:sz w:val="18"/>
              </w:rPr>
            </w:pPr>
            <w:r>
              <w:rPr>
                <w:sz w:val="18"/>
              </w:rPr>
              <w:t>14.7</w:t>
            </w:r>
          </w:p>
        </w:tc>
        <w:tc>
          <w:tcPr>
            <w:tcW w:w="1151" w:type="dxa"/>
            <w:tcBorders>
              <w:top w:val="single" w:sz="19" w:space="0" w:color="A6A6A6"/>
              <w:bottom w:val="single" w:sz="4" w:space="0" w:color="7E7E7E"/>
            </w:tcBorders>
          </w:tcPr>
          <w:p>
            <w:pPr>
              <w:pStyle w:val="TableParagraph"/>
              <w:spacing w:before="84"/>
              <w:ind w:right="429"/>
              <w:jc w:val="right"/>
              <w:rPr>
                <w:sz w:val="18"/>
              </w:rPr>
            </w:pPr>
            <w:r>
              <w:rPr>
                <w:sz w:val="18"/>
              </w:rPr>
              <w:t>21.8</w:t>
            </w:r>
          </w:p>
        </w:tc>
        <w:tc>
          <w:tcPr>
            <w:tcW w:w="1137" w:type="dxa"/>
            <w:tcBorders>
              <w:top w:val="single" w:sz="19" w:space="0" w:color="A6A6A6"/>
              <w:bottom w:val="single" w:sz="4" w:space="0" w:color="7E7E7E"/>
            </w:tcBorders>
          </w:tcPr>
          <w:p>
            <w:pPr>
              <w:pStyle w:val="TableParagraph"/>
              <w:spacing w:before="84"/>
              <w:ind w:right="406"/>
              <w:jc w:val="right"/>
              <w:rPr>
                <w:sz w:val="18"/>
              </w:rPr>
            </w:pPr>
            <w:r>
              <w:rPr>
                <w:sz w:val="18"/>
              </w:rPr>
              <w:t>19.6</w:t>
            </w:r>
          </w:p>
        </w:tc>
        <w:tc>
          <w:tcPr>
            <w:tcW w:w="1218" w:type="dxa"/>
            <w:tcBorders>
              <w:top w:val="single" w:sz="19" w:space="0" w:color="A6A6A6"/>
              <w:bottom w:val="single" w:sz="4" w:space="0" w:color="7E7E7E"/>
            </w:tcBorders>
          </w:tcPr>
          <w:p>
            <w:pPr>
              <w:pStyle w:val="TableParagraph"/>
              <w:spacing w:before="84"/>
              <w:ind w:left="461"/>
              <w:jc w:val="left"/>
              <w:rPr>
                <w:sz w:val="18"/>
              </w:rPr>
            </w:pPr>
            <w:r>
              <w:rPr>
                <w:sz w:val="18"/>
              </w:rPr>
              <w:t>22.7</w:t>
            </w:r>
          </w:p>
        </w:tc>
      </w:tr>
      <w:tr>
        <w:trPr>
          <w:trHeight w:val="566" w:hRule="exact"/>
        </w:trPr>
        <w:tc>
          <w:tcPr>
            <w:tcW w:w="3043" w:type="dxa"/>
            <w:tcBorders>
              <w:top w:val="single" w:sz="4" w:space="0" w:color="7E7E7E"/>
              <w:bottom w:val="single" w:sz="4" w:space="0" w:color="7E7E7E"/>
            </w:tcBorders>
          </w:tcPr>
          <w:p>
            <w:pPr>
              <w:pStyle w:val="TableParagraph"/>
              <w:spacing w:before="67"/>
              <w:ind w:left="108" w:right="561"/>
              <w:jc w:val="left"/>
              <w:rPr>
                <w:sz w:val="18"/>
              </w:rPr>
            </w:pPr>
            <w:r>
              <w:rPr>
                <w:sz w:val="18"/>
              </w:rPr>
              <w:t>DII. Textiles, prendas de vestir e industria del cuero</w:t>
            </w:r>
          </w:p>
        </w:tc>
        <w:tc>
          <w:tcPr>
            <w:tcW w:w="834" w:type="dxa"/>
            <w:tcBorders>
              <w:top w:val="single" w:sz="4" w:space="0" w:color="7E7E7E"/>
              <w:bottom w:val="single" w:sz="4" w:space="0" w:color="7E7E7E"/>
            </w:tcBorders>
          </w:tcPr>
          <w:p>
            <w:pPr>
              <w:pStyle w:val="TableParagraph"/>
              <w:spacing w:before="9"/>
              <w:jc w:val="left"/>
              <w:rPr>
                <w:b/>
                <w:sz w:val="14"/>
              </w:rPr>
            </w:pPr>
          </w:p>
          <w:p>
            <w:pPr>
              <w:pStyle w:val="TableParagraph"/>
              <w:ind w:left="217" w:right="262"/>
              <w:rPr>
                <w:sz w:val="18"/>
              </w:rPr>
            </w:pPr>
            <w:r>
              <w:rPr>
                <w:sz w:val="18"/>
              </w:rPr>
              <w:t>14.2</w:t>
            </w:r>
          </w:p>
        </w:tc>
        <w:tc>
          <w:tcPr>
            <w:tcW w:w="1456" w:type="dxa"/>
            <w:tcBorders>
              <w:top w:val="single" w:sz="4" w:space="0" w:color="7E7E7E"/>
              <w:bottom w:val="single" w:sz="4" w:space="0" w:color="7E7E7E"/>
            </w:tcBorders>
          </w:tcPr>
          <w:p>
            <w:pPr>
              <w:pStyle w:val="TableParagraph"/>
              <w:spacing w:before="9"/>
              <w:jc w:val="left"/>
              <w:rPr>
                <w:b/>
                <w:sz w:val="14"/>
              </w:rPr>
            </w:pPr>
          </w:p>
          <w:p>
            <w:pPr>
              <w:pStyle w:val="TableParagraph"/>
              <w:ind w:left="546" w:right="550"/>
              <w:rPr>
                <w:sz w:val="18"/>
              </w:rPr>
            </w:pPr>
            <w:r>
              <w:rPr>
                <w:sz w:val="18"/>
              </w:rPr>
              <w:t>7.7</w:t>
            </w:r>
          </w:p>
        </w:tc>
        <w:tc>
          <w:tcPr>
            <w:tcW w:w="1151" w:type="dxa"/>
            <w:tcBorders>
              <w:top w:val="single" w:sz="4" w:space="0" w:color="7E7E7E"/>
              <w:bottom w:val="single" w:sz="4" w:space="0" w:color="7E7E7E"/>
            </w:tcBorders>
          </w:tcPr>
          <w:p>
            <w:pPr>
              <w:pStyle w:val="TableParagraph"/>
              <w:spacing w:before="9"/>
              <w:jc w:val="left"/>
              <w:rPr>
                <w:b/>
                <w:sz w:val="14"/>
              </w:rPr>
            </w:pPr>
          </w:p>
          <w:p>
            <w:pPr>
              <w:pStyle w:val="TableParagraph"/>
              <w:ind w:right="475"/>
              <w:jc w:val="right"/>
              <w:rPr>
                <w:sz w:val="18"/>
              </w:rPr>
            </w:pPr>
            <w:r>
              <w:rPr>
                <w:sz w:val="18"/>
              </w:rPr>
              <w:t>3.2</w:t>
            </w:r>
          </w:p>
        </w:tc>
        <w:tc>
          <w:tcPr>
            <w:tcW w:w="1137" w:type="dxa"/>
            <w:tcBorders>
              <w:top w:val="single" w:sz="4" w:space="0" w:color="7E7E7E"/>
              <w:bottom w:val="single" w:sz="4" w:space="0" w:color="7E7E7E"/>
            </w:tcBorders>
          </w:tcPr>
          <w:p>
            <w:pPr>
              <w:pStyle w:val="TableParagraph"/>
              <w:spacing w:before="9"/>
              <w:jc w:val="left"/>
              <w:rPr>
                <w:b/>
                <w:sz w:val="14"/>
              </w:rPr>
            </w:pPr>
          </w:p>
          <w:p>
            <w:pPr>
              <w:pStyle w:val="TableParagraph"/>
              <w:ind w:right="452"/>
              <w:jc w:val="right"/>
              <w:rPr>
                <w:sz w:val="18"/>
              </w:rPr>
            </w:pPr>
            <w:r>
              <w:rPr>
                <w:sz w:val="18"/>
              </w:rPr>
              <w:t>3.7</w:t>
            </w:r>
          </w:p>
        </w:tc>
        <w:tc>
          <w:tcPr>
            <w:tcW w:w="1218" w:type="dxa"/>
            <w:tcBorders>
              <w:top w:val="single" w:sz="4" w:space="0" w:color="7E7E7E"/>
              <w:bottom w:val="single" w:sz="4" w:space="0" w:color="7E7E7E"/>
            </w:tcBorders>
          </w:tcPr>
          <w:p>
            <w:pPr>
              <w:pStyle w:val="TableParagraph"/>
              <w:spacing w:before="9"/>
              <w:jc w:val="left"/>
              <w:rPr>
                <w:b/>
                <w:sz w:val="14"/>
              </w:rPr>
            </w:pPr>
          </w:p>
          <w:p>
            <w:pPr>
              <w:pStyle w:val="TableParagraph"/>
              <w:ind w:left="506"/>
              <w:jc w:val="left"/>
              <w:rPr>
                <w:sz w:val="18"/>
              </w:rPr>
            </w:pPr>
            <w:r>
              <w:rPr>
                <w:sz w:val="18"/>
              </w:rPr>
              <w:t>4.7</w:t>
            </w:r>
          </w:p>
        </w:tc>
      </w:tr>
      <w:tr>
        <w:trPr>
          <w:trHeight w:val="562" w:hRule="exact"/>
        </w:trPr>
        <w:tc>
          <w:tcPr>
            <w:tcW w:w="3043" w:type="dxa"/>
            <w:tcBorders>
              <w:top w:val="single" w:sz="4" w:space="0" w:color="7E7E7E"/>
              <w:bottom w:val="single" w:sz="4" w:space="0" w:color="7E7E7E"/>
            </w:tcBorders>
          </w:tcPr>
          <w:p>
            <w:pPr>
              <w:pStyle w:val="TableParagraph"/>
              <w:spacing w:before="65"/>
              <w:ind w:left="108" w:right="776"/>
              <w:jc w:val="left"/>
              <w:rPr>
                <w:sz w:val="18"/>
              </w:rPr>
            </w:pPr>
            <w:r>
              <w:rPr>
                <w:sz w:val="18"/>
              </w:rPr>
              <w:t>DIII. Industria de la madera y productos de madera</w:t>
            </w:r>
          </w:p>
        </w:tc>
        <w:tc>
          <w:tcPr>
            <w:tcW w:w="834" w:type="dxa"/>
            <w:tcBorders>
              <w:top w:val="single" w:sz="4" w:space="0" w:color="7E7E7E"/>
              <w:bottom w:val="single" w:sz="4" w:space="0" w:color="7E7E7E"/>
            </w:tcBorders>
          </w:tcPr>
          <w:p>
            <w:pPr>
              <w:pStyle w:val="TableParagraph"/>
              <w:spacing w:before="7"/>
              <w:jc w:val="left"/>
              <w:rPr>
                <w:b/>
                <w:sz w:val="14"/>
              </w:rPr>
            </w:pPr>
          </w:p>
          <w:p>
            <w:pPr>
              <w:pStyle w:val="TableParagraph"/>
              <w:ind w:left="215" w:right="262"/>
              <w:rPr>
                <w:sz w:val="18"/>
              </w:rPr>
            </w:pPr>
            <w:r>
              <w:rPr>
                <w:sz w:val="18"/>
              </w:rPr>
              <w:t>1.8</w:t>
            </w:r>
          </w:p>
        </w:tc>
        <w:tc>
          <w:tcPr>
            <w:tcW w:w="1456" w:type="dxa"/>
            <w:tcBorders>
              <w:top w:val="single" w:sz="4" w:space="0" w:color="7E7E7E"/>
              <w:bottom w:val="single" w:sz="4" w:space="0" w:color="7E7E7E"/>
            </w:tcBorders>
          </w:tcPr>
          <w:p>
            <w:pPr>
              <w:pStyle w:val="TableParagraph"/>
              <w:spacing w:before="7"/>
              <w:jc w:val="left"/>
              <w:rPr>
                <w:b/>
                <w:sz w:val="14"/>
              </w:rPr>
            </w:pPr>
          </w:p>
          <w:p>
            <w:pPr>
              <w:pStyle w:val="TableParagraph"/>
              <w:ind w:left="546" w:right="550"/>
              <w:rPr>
                <w:sz w:val="18"/>
              </w:rPr>
            </w:pPr>
            <w:r>
              <w:rPr>
                <w:sz w:val="18"/>
              </w:rPr>
              <w:t>0.7</w:t>
            </w:r>
          </w:p>
        </w:tc>
        <w:tc>
          <w:tcPr>
            <w:tcW w:w="1151" w:type="dxa"/>
            <w:tcBorders>
              <w:top w:val="single" w:sz="4" w:space="0" w:color="7E7E7E"/>
              <w:bottom w:val="single" w:sz="4" w:space="0" w:color="7E7E7E"/>
            </w:tcBorders>
          </w:tcPr>
          <w:p>
            <w:pPr>
              <w:pStyle w:val="TableParagraph"/>
              <w:spacing w:before="7"/>
              <w:jc w:val="left"/>
              <w:rPr>
                <w:b/>
                <w:sz w:val="14"/>
              </w:rPr>
            </w:pPr>
          </w:p>
          <w:p>
            <w:pPr>
              <w:pStyle w:val="TableParagraph"/>
              <w:ind w:right="475"/>
              <w:jc w:val="right"/>
              <w:rPr>
                <w:sz w:val="18"/>
              </w:rPr>
            </w:pPr>
            <w:r>
              <w:rPr>
                <w:sz w:val="18"/>
              </w:rPr>
              <w:t>0.2</w:t>
            </w:r>
          </w:p>
        </w:tc>
        <w:tc>
          <w:tcPr>
            <w:tcW w:w="1137" w:type="dxa"/>
            <w:tcBorders>
              <w:top w:val="single" w:sz="4" w:space="0" w:color="7E7E7E"/>
              <w:bottom w:val="single" w:sz="4" w:space="0" w:color="7E7E7E"/>
            </w:tcBorders>
          </w:tcPr>
          <w:p>
            <w:pPr>
              <w:pStyle w:val="TableParagraph"/>
              <w:spacing w:before="7"/>
              <w:jc w:val="left"/>
              <w:rPr>
                <w:b/>
                <w:sz w:val="14"/>
              </w:rPr>
            </w:pPr>
          </w:p>
          <w:p>
            <w:pPr>
              <w:pStyle w:val="TableParagraph"/>
              <w:ind w:right="452"/>
              <w:jc w:val="right"/>
              <w:rPr>
                <w:sz w:val="18"/>
              </w:rPr>
            </w:pPr>
            <w:r>
              <w:rPr>
                <w:sz w:val="18"/>
              </w:rPr>
              <w:t>0.3</w:t>
            </w:r>
          </w:p>
        </w:tc>
        <w:tc>
          <w:tcPr>
            <w:tcW w:w="1218" w:type="dxa"/>
            <w:tcBorders>
              <w:top w:val="single" w:sz="4" w:space="0" w:color="7E7E7E"/>
              <w:bottom w:val="single" w:sz="4" w:space="0" w:color="7E7E7E"/>
            </w:tcBorders>
          </w:tcPr>
          <w:p>
            <w:pPr>
              <w:pStyle w:val="TableParagraph"/>
              <w:spacing w:before="7"/>
              <w:jc w:val="left"/>
              <w:rPr>
                <w:b/>
                <w:sz w:val="14"/>
              </w:rPr>
            </w:pPr>
          </w:p>
          <w:p>
            <w:pPr>
              <w:pStyle w:val="TableParagraph"/>
              <w:ind w:left="506"/>
              <w:jc w:val="left"/>
              <w:rPr>
                <w:sz w:val="18"/>
              </w:rPr>
            </w:pPr>
            <w:r>
              <w:rPr>
                <w:sz w:val="18"/>
              </w:rPr>
              <w:t>0.4</w:t>
            </w:r>
          </w:p>
        </w:tc>
      </w:tr>
      <w:tr>
        <w:trPr>
          <w:trHeight w:val="583" w:hRule="exact"/>
        </w:trPr>
        <w:tc>
          <w:tcPr>
            <w:tcW w:w="3043" w:type="dxa"/>
            <w:tcBorders>
              <w:top w:val="single" w:sz="4" w:space="0" w:color="7E7E7E"/>
              <w:bottom w:val="single" w:sz="4" w:space="0" w:color="7E7E7E"/>
            </w:tcBorders>
          </w:tcPr>
          <w:p>
            <w:pPr>
              <w:pStyle w:val="TableParagraph"/>
              <w:spacing w:before="76"/>
              <w:ind w:left="108" w:right="560"/>
              <w:jc w:val="left"/>
              <w:rPr>
                <w:sz w:val="18"/>
              </w:rPr>
            </w:pPr>
            <w:r>
              <w:rPr>
                <w:sz w:val="18"/>
              </w:rPr>
              <w:t>DIV. Papel, productos del papel, imprentas y editoriales</w:t>
            </w:r>
          </w:p>
        </w:tc>
        <w:tc>
          <w:tcPr>
            <w:tcW w:w="834" w:type="dxa"/>
            <w:tcBorders>
              <w:top w:val="single" w:sz="4" w:space="0" w:color="7E7E7E"/>
              <w:bottom w:val="single" w:sz="4" w:space="0" w:color="7E7E7E"/>
            </w:tcBorders>
          </w:tcPr>
          <w:p>
            <w:pPr>
              <w:pStyle w:val="TableParagraph"/>
              <w:spacing w:before="7"/>
              <w:jc w:val="left"/>
              <w:rPr>
                <w:b/>
                <w:sz w:val="15"/>
              </w:rPr>
            </w:pPr>
          </w:p>
          <w:p>
            <w:pPr>
              <w:pStyle w:val="TableParagraph"/>
              <w:ind w:right="49"/>
              <w:rPr>
                <w:sz w:val="18"/>
              </w:rPr>
            </w:pPr>
            <w:r>
              <w:rPr>
                <w:sz w:val="18"/>
              </w:rPr>
              <w:t>5</w:t>
            </w:r>
          </w:p>
        </w:tc>
        <w:tc>
          <w:tcPr>
            <w:tcW w:w="1456" w:type="dxa"/>
            <w:tcBorders>
              <w:top w:val="single" w:sz="4" w:space="0" w:color="7E7E7E"/>
              <w:bottom w:val="single" w:sz="4" w:space="0" w:color="7E7E7E"/>
            </w:tcBorders>
          </w:tcPr>
          <w:p>
            <w:pPr>
              <w:pStyle w:val="TableParagraph"/>
              <w:spacing w:before="7"/>
              <w:jc w:val="left"/>
              <w:rPr>
                <w:b/>
                <w:sz w:val="15"/>
              </w:rPr>
            </w:pPr>
          </w:p>
          <w:p>
            <w:pPr>
              <w:pStyle w:val="TableParagraph"/>
              <w:ind w:left="546" w:right="550"/>
              <w:rPr>
                <w:sz w:val="18"/>
              </w:rPr>
            </w:pPr>
            <w:r>
              <w:rPr>
                <w:sz w:val="18"/>
              </w:rPr>
              <w:t>4.4</w:t>
            </w:r>
          </w:p>
        </w:tc>
        <w:tc>
          <w:tcPr>
            <w:tcW w:w="1151" w:type="dxa"/>
            <w:tcBorders>
              <w:top w:val="single" w:sz="4" w:space="0" w:color="7E7E7E"/>
              <w:bottom w:val="single" w:sz="4" w:space="0" w:color="7E7E7E"/>
            </w:tcBorders>
          </w:tcPr>
          <w:p>
            <w:pPr>
              <w:pStyle w:val="TableParagraph"/>
              <w:spacing w:before="7"/>
              <w:jc w:val="left"/>
              <w:rPr>
                <w:b/>
                <w:sz w:val="15"/>
              </w:rPr>
            </w:pPr>
          </w:p>
          <w:p>
            <w:pPr>
              <w:pStyle w:val="TableParagraph"/>
              <w:ind w:right="475"/>
              <w:jc w:val="right"/>
              <w:rPr>
                <w:sz w:val="18"/>
              </w:rPr>
            </w:pPr>
            <w:r>
              <w:rPr>
                <w:sz w:val="18"/>
              </w:rPr>
              <w:t>4.1</w:t>
            </w:r>
          </w:p>
        </w:tc>
        <w:tc>
          <w:tcPr>
            <w:tcW w:w="1137" w:type="dxa"/>
            <w:tcBorders>
              <w:top w:val="single" w:sz="4" w:space="0" w:color="7E7E7E"/>
              <w:bottom w:val="single" w:sz="4" w:space="0" w:color="7E7E7E"/>
            </w:tcBorders>
          </w:tcPr>
          <w:p>
            <w:pPr>
              <w:pStyle w:val="TableParagraph"/>
              <w:spacing w:before="7"/>
              <w:jc w:val="left"/>
              <w:rPr>
                <w:b/>
                <w:sz w:val="15"/>
              </w:rPr>
            </w:pPr>
          </w:p>
          <w:p>
            <w:pPr>
              <w:pStyle w:val="TableParagraph"/>
              <w:ind w:right="452"/>
              <w:jc w:val="right"/>
              <w:rPr>
                <w:sz w:val="18"/>
              </w:rPr>
            </w:pPr>
            <w:r>
              <w:rPr>
                <w:sz w:val="18"/>
              </w:rPr>
              <w:t>3.5</w:t>
            </w:r>
          </w:p>
        </w:tc>
        <w:tc>
          <w:tcPr>
            <w:tcW w:w="1218" w:type="dxa"/>
            <w:tcBorders>
              <w:top w:val="single" w:sz="4" w:space="0" w:color="7E7E7E"/>
              <w:bottom w:val="single" w:sz="4" w:space="0" w:color="7E7E7E"/>
            </w:tcBorders>
          </w:tcPr>
          <w:p>
            <w:pPr>
              <w:pStyle w:val="TableParagraph"/>
              <w:spacing w:before="7"/>
              <w:jc w:val="left"/>
              <w:rPr>
                <w:b/>
                <w:sz w:val="15"/>
              </w:rPr>
            </w:pPr>
          </w:p>
          <w:p>
            <w:pPr>
              <w:pStyle w:val="TableParagraph"/>
              <w:ind w:left="506"/>
              <w:jc w:val="left"/>
              <w:rPr>
                <w:sz w:val="18"/>
              </w:rPr>
            </w:pPr>
            <w:r>
              <w:rPr>
                <w:sz w:val="18"/>
              </w:rPr>
              <w:t>3.6</w:t>
            </w:r>
          </w:p>
        </w:tc>
      </w:tr>
      <w:tr>
        <w:trPr>
          <w:trHeight w:val="706" w:hRule="exact"/>
        </w:trPr>
        <w:tc>
          <w:tcPr>
            <w:tcW w:w="3043" w:type="dxa"/>
            <w:tcBorders>
              <w:top w:val="single" w:sz="4" w:space="0" w:color="7E7E7E"/>
              <w:bottom w:val="single" w:sz="4" w:space="0" w:color="7E7E7E"/>
            </w:tcBorders>
          </w:tcPr>
          <w:p>
            <w:pPr>
              <w:pStyle w:val="TableParagraph"/>
              <w:spacing w:before="33"/>
              <w:ind w:left="108" w:right="325"/>
              <w:jc w:val="both"/>
              <w:rPr>
                <w:sz w:val="18"/>
              </w:rPr>
            </w:pPr>
            <w:r>
              <w:rPr>
                <w:sz w:val="18"/>
              </w:rPr>
              <w:t>DV. Sustancias químicas, derivados del petróleo, productos del caucho y plásticos</w:t>
            </w:r>
          </w:p>
        </w:tc>
        <w:tc>
          <w:tcPr>
            <w:tcW w:w="834" w:type="dxa"/>
            <w:tcBorders>
              <w:top w:val="single" w:sz="4" w:space="0" w:color="7E7E7E"/>
              <w:bottom w:val="single" w:sz="4" w:space="0" w:color="7E7E7E"/>
            </w:tcBorders>
          </w:tcPr>
          <w:p>
            <w:pPr>
              <w:pStyle w:val="TableParagraph"/>
              <w:spacing w:before="9"/>
              <w:jc w:val="left"/>
              <w:rPr>
                <w:b/>
                <w:sz w:val="20"/>
              </w:rPr>
            </w:pPr>
          </w:p>
          <w:p>
            <w:pPr>
              <w:pStyle w:val="TableParagraph"/>
              <w:spacing w:before="1"/>
              <w:ind w:left="217" w:right="262"/>
              <w:rPr>
                <w:sz w:val="18"/>
              </w:rPr>
            </w:pPr>
            <w:r>
              <w:rPr>
                <w:sz w:val="18"/>
              </w:rPr>
              <w:t>10.7</w:t>
            </w:r>
          </w:p>
        </w:tc>
        <w:tc>
          <w:tcPr>
            <w:tcW w:w="1456" w:type="dxa"/>
            <w:tcBorders>
              <w:top w:val="single" w:sz="4" w:space="0" w:color="7E7E7E"/>
              <w:bottom w:val="single" w:sz="4" w:space="0" w:color="7E7E7E"/>
            </w:tcBorders>
          </w:tcPr>
          <w:p>
            <w:pPr>
              <w:pStyle w:val="TableParagraph"/>
              <w:spacing w:before="9"/>
              <w:jc w:val="left"/>
              <w:rPr>
                <w:b/>
                <w:sz w:val="20"/>
              </w:rPr>
            </w:pPr>
          </w:p>
          <w:p>
            <w:pPr>
              <w:pStyle w:val="TableParagraph"/>
              <w:spacing w:before="1"/>
              <w:ind w:left="549" w:right="550"/>
              <w:rPr>
                <w:sz w:val="18"/>
              </w:rPr>
            </w:pPr>
            <w:r>
              <w:rPr>
                <w:sz w:val="18"/>
              </w:rPr>
              <w:t>19.6</w:t>
            </w:r>
          </w:p>
        </w:tc>
        <w:tc>
          <w:tcPr>
            <w:tcW w:w="1151" w:type="dxa"/>
            <w:tcBorders>
              <w:top w:val="single" w:sz="4" w:space="0" w:color="7E7E7E"/>
              <w:bottom w:val="single" w:sz="4" w:space="0" w:color="7E7E7E"/>
            </w:tcBorders>
          </w:tcPr>
          <w:p>
            <w:pPr>
              <w:pStyle w:val="TableParagraph"/>
              <w:spacing w:before="9"/>
              <w:jc w:val="left"/>
              <w:rPr>
                <w:b/>
                <w:sz w:val="20"/>
              </w:rPr>
            </w:pPr>
          </w:p>
          <w:p>
            <w:pPr>
              <w:pStyle w:val="TableParagraph"/>
              <w:spacing w:before="1"/>
              <w:ind w:right="429"/>
              <w:jc w:val="right"/>
              <w:rPr>
                <w:sz w:val="18"/>
              </w:rPr>
            </w:pPr>
            <w:r>
              <w:rPr>
                <w:sz w:val="18"/>
              </w:rPr>
              <w:t>22.7</w:t>
            </w:r>
          </w:p>
        </w:tc>
        <w:tc>
          <w:tcPr>
            <w:tcW w:w="1137" w:type="dxa"/>
            <w:tcBorders>
              <w:top w:val="single" w:sz="4" w:space="0" w:color="7E7E7E"/>
              <w:bottom w:val="single" w:sz="4" w:space="0" w:color="7E7E7E"/>
            </w:tcBorders>
          </w:tcPr>
          <w:p>
            <w:pPr>
              <w:pStyle w:val="TableParagraph"/>
              <w:spacing w:before="9"/>
              <w:jc w:val="left"/>
              <w:rPr>
                <w:b/>
                <w:sz w:val="20"/>
              </w:rPr>
            </w:pPr>
          </w:p>
          <w:p>
            <w:pPr>
              <w:pStyle w:val="TableParagraph"/>
              <w:spacing w:before="1"/>
              <w:ind w:right="472"/>
              <w:jc w:val="right"/>
              <w:rPr>
                <w:sz w:val="18"/>
              </w:rPr>
            </w:pPr>
            <w:r>
              <w:rPr>
                <w:sz w:val="18"/>
              </w:rPr>
              <w:t>32</w:t>
            </w:r>
          </w:p>
        </w:tc>
        <w:tc>
          <w:tcPr>
            <w:tcW w:w="1218" w:type="dxa"/>
            <w:tcBorders>
              <w:top w:val="single" w:sz="4" w:space="0" w:color="7E7E7E"/>
              <w:bottom w:val="single" w:sz="4" w:space="0" w:color="7E7E7E"/>
            </w:tcBorders>
          </w:tcPr>
          <w:p>
            <w:pPr>
              <w:pStyle w:val="TableParagraph"/>
              <w:spacing w:before="9"/>
              <w:jc w:val="left"/>
              <w:rPr>
                <w:b/>
                <w:sz w:val="20"/>
              </w:rPr>
            </w:pPr>
          </w:p>
          <w:p>
            <w:pPr>
              <w:pStyle w:val="TableParagraph"/>
              <w:spacing w:before="1"/>
              <w:ind w:left="461"/>
              <w:jc w:val="left"/>
              <w:rPr>
                <w:sz w:val="18"/>
              </w:rPr>
            </w:pPr>
            <w:r>
              <w:rPr>
                <w:sz w:val="18"/>
              </w:rPr>
              <w:t>22.9</w:t>
            </w:r>
          </w:p>
        </w:tc>
      </w:tr>
      <w:tr>
        <w:trPr>
          <w:trHeight w:val="701" w:hRule="exact"/>
        </w:trPr>
        <w:tc>
          <w:tcPr>
            <w:tcW w:w="3043" w:type="dxa"/>
            <w:tcBorders>
              <w:top w:val="single" w:sz="4" w:space="0" w:color="7E7E7E"/>
              <w:bottom w:val="single" w:sz="4" w:space="0" w:color="7E7E7E"/>
            </w:tcBorders>
          </w:tcPr>
          <w:p>
            <w:pPr>
              <w:pStyle w:val="TableParagraph"/>
              <w:spacing w:before="31"/>
              <w:ind w:left="108" w:right="216"/>
              <w:jc w:val="left"/>
              <w:rPr>
                <w:sz w:val="18"/>
              </w:rPr>
            </w:pPr>
            <w:r>
              <w:rPr>
                <w:sz w:val="18"/>
              </w:rPr>
              <w:t>DVI. Productos de minerales no metálicos, exceptuando derivados del petróleo y carbón</w:t>
            </w:r>
          </w:p>
        </w:tc>
        <w:tc>
          <w:tcPr>
            <w:tcW w:w="834" w:type="dxa"/>
            <w:tcBorders>
              <w:top w:val="single" w:sz="4" w:space="0" w:color="7E7E7E"/>
              <w:bottom w:val="single" w:sz="4" w:space="0" w:color="7E7E7E"/>
            </w:tcBorders>
          </w:tcPr>
          <w:p>
            <w:pPr>
              <w:pStyle w:val="TableParagraph"/>
              <w:spacing w:before="7"/>
              <w:jc w:val="left"/>
              <w:rPr>
                <w:b/>
                <w:sz w:val="20"/>
              </w:rPr>
            </w:pPr>
          </w:p>
          <w:p>
            <w:pPr>
              <w:pStyle w:val="TableParagraph"/>
              <w:ind w:left="215" w:right="262"/>
              <w:rPr>
                <w:sz w:val="18"/>
              </w:rPr>
            </w:pPr>
            <w:r>
              <w:rPr>
                <w:sz w:val="18"/>
              </w:rPr>
              <w:t>4.6</w:t>
            </w:r>
          </w:p>
        </w:tc>
        <w:tc>
          <w:tcPr>
            <w:tcW w:w="1456" w:type="dxa"/>
            <w:tcBorders>
              <w:top w:val="single" w:sz="4" w:space="0" w:color="7E7E7E"/>
              <w:bottom w:val="single" w:sz="4" w:space="0" w:color="7E7E7E"/>
            </w:tcBorders>
          </w:tcPr>
          <w:p>
            <w:pPr>
              <w:pStyle w:val="TableParagraph"/>
              <w:spacing w:before="7"/>
              <w:jc w:val="left"/>
              <w:rPr>
                <w:b/>
                <w:sz w:val="20"/>
              </w:rPr>
            </w:pPr>
          </w:p>
          <w:p>
            <w:pPr>
              <w:pStyle w:val="TableParagraph"/>
              <w:ind w:left="546" w:right="550"/>
              <w:rPr>
                <w:sz w:val="18"/>
              </w:rPr>
            </w:pPr>
            <w:r>
              <w:rPr>
                <w:sz w:val="18"/>
              </w:rPr>
              <w:t>4.1</w:t>
            </w:r>
          </w:p>
        </w:tc>
        <w:tc>
          <w:tcPr>
            <w:tcW w:w="1151" w:type="dxa"/>
            <w:tcBorders>
              <w:top w:val="single" w:sz="4" w:space="0" w:color="7E7E7E"/>
              <w:bottom w:val="single" w:sz="4" w:space="0" w:color="7E7E7E"/>
            </w:tcBorders>
          </w:tcPr>
          <w:p>
            <w:pPr>
              <w:pStyle w:val="TableParagraph"/>
              <w:spacing w:before="7"/>
              <w:jc w:val="left"/>
              <w:rPr>
                <w:b/>
                <w:sz w:val="20"/>
              </w:rPr>
            </w:pPr>
          </w:p>
          <w:p>
            <w:pPr>
              <w:pStyle w:val="TableParagraph"/>
              <w:ind w:right="475"/>
              <w:jc w:val="right"/>
              <w:rPr>
                <w:sz w:val="18"/>
              </w:rPr>
            </w:pPr>
            <w:r>
              <w:rPr>
                <w:sz w:val="18"/>
              </w:rPr>
              <w:t>7.4</w:t>
            </w:r>
          </w:p>
        </w:tc>
        <w:tc>
          <w:tcPr>
            <w:tcW w:w="1137" w:type="dxa"/>
            <w:tcBorders>
              <w:top w:val="single" w:sz="4" w:space="0" w:color="7E7E7E"/>
              <w:bottom w:val="single" w:sz="4" w:space="0" w:color="7E7E7E"/>
            </w:tcBorders>
          </w:tcPr>
          <w:p>
            <w:pPr>
              <w:pStyle w:val="TableParagraph"/>
              <w:spacing w:before="7"/>
              <w:jc w:val="left"/>
              <w:rPr>
                <w:b/>
                <w:sz w:val="20"/>
              </w:rPr>
            </w:pPr>
          </w:p>
          <w:p>
            <w:pPr>
              <w:pStyle w:val="TableParagraph"/>
              <w:ind w:right="452"/>
              <w:jc w:val="right"/>
              <w:rPr>
                <w:sz w:val="18"/>
              </w:rPr>
            </w:pPr>
            <w:r>
              <w:rPr>
                <w:sz w:val="18"/>
              </w:rPr>
              <w:t>3.5</w:t>
            </w:r>
          </w:p>
        </w:tc>
        <w:tc>
          <w:tcPr>
            <w:tcW w:w="1218" w:type="dxa"/>
            <w:tcBorders>
              <w:top w:val="single" w:sz="4" w:space="0" w:color="7E7E7E"/>
              <w:bottom w:val="single" w:sz="4" w:space="0" w:color="7E7E7E"/>
            </w:tcBorders>
          </w:tcPr>
          <w:p>
            <w:pPr>
              <w:pStyle w:val="TableParagraph"/>
              <w:spacing w:before="7"/>
              <w:jc w:val="left"/>
              <w:rPr>
                <w:b/>
                <w:sz w:val="20"/>
              </w:rPr>
            </w:pPr>
          </w:p>
          <w:p>
            <w:pPr>
              <w:pStyle w:val="TableParagraph"/>
              <w:ind w:left="506"/>
              <w:jc w:val="left"/>
              <w:rPr>
                <w:sz w:val="18"/>
              </w:rPr>
            </w:pPr>
            <w:r>
              <w:rPr>
                <w:sz w:val="18"/>
              </w:rPr>
              <w:t>4.8</w:t>
            </w:r>
          </w:p>
        </w:tc>
      </w:tr>
      <w:tr>
        <w:trPr>
          <w:trHeight w:val="286" w:hRule="exact"/>
        </w:trPr>
        <w:tc>
          <w:tcPr>
            <w:tcW w:w="3043" w:type="dxa"/>
            <w:tcBorders>
              <w:top w:val="single" w:sz="4" w:space="0" w:color="7E7E7E"/>
              <w:bottom w:val="single" w:sz="33" w:space="0" w:color="D9D9D9"/>
            </w:tcBorders>
          </w:tcPr>
          <w:p>
            <w:pPr>
              <w:pStyle w:val="TableParagraph"/>
              <w:spacing w:before="31"/>
              <w:ind w:left="108"/>
              <w:jc w:val="left"/>
              <w:rPr>
                <w:sz w:val="18"/>
              </w:rPr>
            </w:pPr>
            <w:r>
              <w:rPr>
                <w:sz w:val="18"/>
              </w:rPr>
              <w:t>DVII. Industrias metálicas básicas</w:t>
            </w:r>
          </w:p>
        </w:tc>
        <w:tc>
          <w:tcPr>
            <w:tcW w:w="834" w:type="dxa"/>
            <w:tcBorders>
              <w:top w:val="single" w:sz="4" w:space="0" w:color="7E7E7E"/>
              <w:bottom w:val="single" w:sz="4" w:space="0" w:color="7E7E7E"/>
            </w:tcBorders>
          </w:tcPr>
          <w:p>
            <w:pPr>
              <w:pStyle w:val="TableParagraph"/>
              <w:spacing w:before="31"/>
              <w:ind w:left="215" w:right="262"/>
              <w:rPr>
                <w:sz w:val="18"/>
              </w:rPr>
            </w:pPr>
            <w:r>
              <w:rPr>
                <w:sz w:val="18"/>
              </w:rPr>
              <w:t>1.7</w:t>
            </w:r>
          </w:p>
        </w:tc>
        <w:tc>
          <w:tcPr>
            <w:tcW w:w="1456" w:type="dxa"/>
            <w:tcBorders>
              <w:top w:val="single" w:sz="4" w:space="0" w:color="7E7E7E"/>
              <w:bottom w:val="single" w:sz="4" w:space="0" w:color="7E7E7E"/>
            </w:tcBorders>
          </w:tcPr>
          <w:p>
            <w:pPr>
              <w:pStyle w:val="TableParagraph"/>
              <w:spacing w:before="31"/>
              <w:ind w:right="6"/>
              <w:rPr>
                <w:sz w:val="18"/>
              </w:rPr>
            </w:pPr>
            <w:r>
              <w:rPr>
                <w:sz w:val="18"/>
              </w:rPr>
              <w:t>3</w:t>
            </w:r>
          </w:p>
        </w:tc>
        <w:tc>
          <w:tcPr>
            <w:tcW w:w="1151" w:type="dxa"/>
            <w:tcBorders>
              <w:top w:val="single" w:sz="4" w:space="0" w:color="7E7E7E"/>
              <w:bottom w:val="single" w:sz="4" w:space="0" w:color="7E7E7E"/>
            </w:tcBorders>
          </w:tcPr>
          <w:p>
            <w:pPr>
              <w:pStyle w:val="TableParagraph"/>
              <w:spacing w:before="31"/>
              <w:ind w:right="475"/>
              <w:jc w:val="right"/>
              <w:rPr>
                <w:sz w:val="18"/>
              </w:rPr>
            </w:pPr>
            <w:r>
              <w:rPr>
                <w:sz w:val="18"/>
              </w:rPr>
              <w:t>5.3</w:t>
            </w:r>
          </w:p>
        </w:tc>
        <w:tc>
          <w:tcPr>
            <w:tcW w:w="1137" w:type="dxa"/>
            <w:tcBorders>
              <w:top w:val="single" w:sz="4" w:space="0" w:color="7E7E7E"/>
              <w:bottom w:val="single" w:sz="4" w:space="0" w:color="7E7E7E"/>
            </w:tcBorders>
          </w:tcPr>
          <w:p>
            <w:pPr>
              <w:pStyle w:val="TableParagraph"/>
              <w:spacing w:before="31"/>
              <w:ind w:right="406"/>
              <w:jc w:val="right"/>
              <w:rPr>
                <w:sz w:val="18"/>
              </w:rPr>
            </w:pPr>
            <w:r>
              <w:rPr>
                <w:sz w:val="18"/>
              </w:rPr>
              <w:t>12.8</w:t>
            </w:r>
          </w:p>
        </w:tc>
        <w:tc>
          <w:tcPr>
            <w:tcW w:w="1218" w:type="dxa"/>
            <w:tcBorders>
              <w:top w:val="single" w:sz="4" w:space="0" w:color="7E7E7E"/>
              <w:bottom w:val="single" w:sz="4" w:space="0" w:color="7E7E7E"/>
            </w:tcBorders>
          </w:tcPr>
          <w:p>
            <w:pPr>
              <w:pStyle w:val="TableParagraph"/>
              <w:spacing w:before="31"/>
              <w:ind w:left="506"/>
              <w:jc w:val="left"/>
              <w:rPr>
                <w:sz w:val="18"/>
              </w:rPr>
            </w:pPr>
            <w:r>
              <w:rPr>
                <w:sz w:val="18"/>
              </w:rPr>
              <w:t>7.5</w:t>
            </w:r>
          </w:p>
        </w:tc>
      </w:tr>
      <w:tr>
        <w:trPr>
          <w:trHeight w:val="569" w:hRule="exact"/>
        </w:trPr>
        <w:tc>
          <w:tcPr>
            <w:tcW w:w="3043" w:type="dxa"/>
            <w:tcBorders>
              <w:top w:val="single" w:sz="4" w:space="0" w:color="7E7E7E"/>
              <w:bottom w:val="single" w:sz="4" w:space="0" w:color="7E7E7E"/>
            </w:tcBorders>
            <w:shd w:val="clear" w:color="auto" w:fill="D9D9D9"/>
          </w:tcPr>
          <w:p>
            <w:pPr>
              <w:pStyle w:val="TableParagraph"/>
              <w:spacing w:line="242" w:lineRule="auto" w:before="67"/>
              <w:ind w:left="108" w:right="885"/>
              <w:jc w:val="left"/>
              <w:rPr>
                <w:sz w:val="18"/>
              </w:rPr>
            </w:pPr>
            <w:r>
              <w:rPr>
                <w:sz w:val="18"/>
              </w:rPr>
              <w:t>DVIII. Productos metálicos, maquinaria y equipo</w:t>
            </w:r>
          </w:p>
        </w:tc>
        <w:tc>
          <w:tcPr>
            <w:tcW w:w="834" w:type="dxa"/>
            <w:tcBorders>
              <w:top w:val="single" w:sz="4" w:space="0" w:color="7E7E7E"/>
              <w:bottom w:val="single" w:sz="4" w:space="0" w:color="7E7E7E"/>
            </w:tcBorders>
            <w:shd w:val="clear" w:color="auto" w:fill="D9D9D9"/>
          </w:tcPr>
          <w:p>
            <w:pPr>
              <w:pStyle w:val="TableParagraph"/>
              <w:jc w:val="left"/>
              <w:rPr>
                <w:b/>
                <w:sz w:val="15"/>
              </w:rPr>
            </w:pPr>
          </w:p>
          <w:p>
            <w:pPr>
              <w:pStyle w:val="TableParagraph"/>
              <w:ind w:left="217" w:right="262"/>
              <w:rPr>
                <w:sz w:val="18"/>
              </w:rPr>
            </w:pPr>
            <w:r>
              <w:rPr>
                <w:sz w:val="18"/>
              </w:rPr>
              <w:t>36.2</w:t>
            </w:r>
          </w:p>
        </w:tc>
        <w:tc>
          <w:tcPr>
            <w:tcW w:w="1456" w:type="dxa"/>
            <w:tcBorders>
              <w:top w:val="single" w:sz="4" w:space="0" w:color="7E7E7E"/>
              <w:bottom w:val="single" w:sz="4" w:space="0" w:color="7E7E7E"/>
            </w:tcBorders>
            <w:shd w:val="clear" w:color="auto" w:fill="D9D9D9"/>
          </w:tcPr>
          <w:p>
            <w:pPr>
              <w:pStyle w:val="TableParagraph"/>
              <w:jc w:val="left"/>
              <w:rPr>
                <w:b/>
                <w:sz w:val="15"/>
              </w:rPr>
            </w:pPr>
          </w:p>
          <w:p>
            <w:pPr>
              <w:pStyle w:val="TableParagraph"/>
              <w:ind w:left="549" w:right="550"/>
              <w:rPr>
                <w:sz w:val="18"/>
              </w:rPr>
            </w:pPr>
            <w:r>
              <w:rPr>
                <w:sz w:val="18"/>
              </w:rPr>
              <w:t>42.1</w:t>
            </w:r>
          </w:p>
        </w:tc>
        <w:tc>
          <w:tcPr>
            <w:tcW w:w="1151" w:type="dxa"/>
            <w:tcBorders>
              <w:top w:val="single" w:sz="4" w:space="0" w:color="7E7E7E"/>
              <w:bottom w:val="single" w:sz="4" w:space="0" w:color="7E7E7E"/>
            </w:tcBorders>
            <w:shd w:val="clear" w:color="auto" w:fill="D9D9D9"/>
          </w:tcPr>
          <w:p>
            <w:pPr>
              <w:pStyle w:val="TableParagraph"/>
              <w:jc w:val="left"/>
              <w:rPr>
                <w:b/>
                <w:sz w:val="15"/>
              </w:rPr>
            </w:pPr>
          </w:p>
          <w:p>
            <w:pPr>
              <w:pStyle w:val="TableParagraph"/>
              <w:ind w:right="429"/>
              <w:jc w:val="right"/>
              <w:rPr>
                <w:sz w:val="18"/>
              </w:rPr>
            </w:pPr>
            <w:r>
              <w:rPr>
                <w:sz w:val="18"/>
              </w:rPr>
              <w:t>33.3</w:t>
            </w:r>
          </w:p>
        </w:tc>
        <w:tc>
          <w:tcPr>
            <w:tcW w:w="1137" w:type="dxa"/>
            <w:tcBorders>
              <w:top w:val="single" w:sz="4" w:space="0" w:color="7E7E7E"/>
              <w:bottom w:val="single" w:sz="4" w:space="0" w:color="7E7E7E"/>
            </w:tcBorders>
            <w:shd w:val="clear" w:color="auto" w:fill="D9D9D9"/>
          </w:tcPr>
          <w:p>
            <w:pPr>
              <w:pStyle w:val="TableParagraph"/>
              <w:jc w:val="left"/>
              <w:rPr>
                <w:b/>
                <w:sz w:val="15"/>
              </w:rPr>
            </w:pPr>
          </w:p>
          <w:p>
            <w:pPr>
              <w:pStyle w:val="TableParagraph"/>
              <w:ind w:right="406"/>
              <w:jc w:val="right"/>
              <w:rPr>
                <w:sz w:val="18"/>
              </w:rPr>
            </w:pPr>
            <w:r>
              <w:rPr>
                <w:sz w:val="18"/>
              </w:rPr>
              <w:t>23.2</w:t>
            </w:r>
          </w:p>
        </w:tc>
        <w:tc>
          <w:tcPr>
            <w:tcW w:w="1218" w:type="dxa"/>
            <w:tcBorders>
              <w:top w:val="single" w:sz="4" w:space="0" w:color="7E7E7E"/>
              <w:bottom w:val="single" w:sz="4" w:space="0" w:color="7E7E7E"/>
            </w:tcBorders>
            <w:shd w:val="clear" w:color="auto" w:fill="D9D9D9"/>
          </w:tcPr>
          <w:p>
            <w:pPr>
              <w:pStyle w:val="TableParagraph"/>
              <w:jc w:val="left"/>
              <w:rPr>
                <w:b/>
                <w:sz w:val="15"/>
              </w:rPr>
            </w:pPr>
          </w:p>
          <w:p>
            <w:pPr>
              <w:pStyle w:val="TableParagraph"/>
              <w:ind w:left="461"/>
              <w:jc w:val="left"/>
              <w:rPr>
                <w:sz w:val="18"/>
              </w:rPr>
            </w:pPr>
            <w:r>
              <w:rPr>
                <w:sz w:val="18"/>
              </w:rPr>
              <w:t>31.3</w:t>
            </w:r>
          </w:p>
        </w:tc>
      </w:tr>
      <w:tr>
        <w:trPr>
          <w:trHeight w:val="427" w:hRule="exact"/>
        </w:trPr>
        <w:tc>
          <w:tcPr>
            <w:tcW w:w="3043" w:type="dxa"/>
            <w:tcBorders>
              <w:top w:val="single" w:sz="33" w:space="0" w:color="D9D9D9"/>
              <w:bottom w:val="single" w:sz="4" w:space="0" w:color="7E7E7E"/>
            </w:tcBorders>
          </w:tcPr>
          <w:p>
            <w:pPr>
              <w:pStyle w:val="TableParagraph"/>
              <w:spacing w:before="64"/>
              <w:ind w:left="108"/>
              <w:jc w:val="left"/>
              <w:rPr>
                <w:sz w:val="18"/>
              </w:rPr>
            </w:pPr>
            <w:r>
              <w:rPr>
                <w:sz w:val="18"/>
              </w:rPr>
              <w:t>DIX. Otras industrias manufactureras</w:t>
            </w:r>
          </w:p>
        </w:tc>
        <w:tc>
          <w:tcPr>
            <w:tcW w:w="834" w:type="dxa"/>
            <w:tcBorders>
              <w:top w:val="single" w:sz="4" w:space="0" w:color="7E7E7E"/>
              <w:bottom w:val="single" w:sz="4" w:space="0" w:color="7E7E7E"/>
            </w:tcBorders>
          </w:tcPr>
          <w:p>
            <w:pPr>
              <w:pStyle w:val="TableParagraph"/>
              <w:spacing w:before="100"/>
              <w:ind w:left="215" w:right="262"/>
              <w:rPr>
                <w:sz w:val="18"/>
              </w:rPr>
            </w:pPr>
            <w:r>
              <w:rPr>
                <w:sz w:val="18"/>
              </w:rPr>
              <w:t>4.3</w:t>
            </w:r>
          </w:p>
        </w:tc>
        <w:tc>
          <w:tcPr>
            <w:tcW w:w="1456" w:type="dxa"/>
            <w:tcBorders>
              <w:top w:val="single" w:sz="4" w:space="0" w:color="7E7E7E"/>
              <w:bottom w:val="single" w:sz="4" w:space="0" w:color="7E7E7E"/>
            </w:tcBorders>
          </w:tcPr>
          <w:p>
            <w:pPr>
              <w:pStyle w:val="TableParagraph"/>
              <w:spacing w:before="100"/>
              <w:ind w:left="546" w:right="550"/>
              <w:rPr>
                <w:sz w:val="18"/>
              </w:rPr>
            </w:pPr>
            <w:r>
              <w:rPr>
                <w:sz w:val="18"/>
              </w:rPr>
              <w:t>3.7</w:t>
            </w:r>
          </w:p>
        </w:tc>
        <w:tc>
          <w:tcPr>
            <w:tcW w:w="1151" w:type="dxa"/>
            <w:tcBorders>
              <w:top w:val="single" w:sz="4" w:space="0" w:color="7E7E7E"/>
              <w:bottom w:val="single" w:sz="4" w:space="0" w:color="7E7E7E"/>
            </w:tcBorders>
          </w:tcPr>
          <w:p>
            <w:pPr>
              <w:pStyle w:val="TableParagraph"/>
              <w:spacing w:before="100"/>
              <w:ind w:right="30"/>
              <w:rPr>
                <w:sz w:val="18"/>
              </w:rPr>
            </w:pPr>
            <w:r>
              <w:rPr>
                <w:sz w:val="18"/>
              </w:rPr>
              <w:t>2</w:t>
            </w:r>
          </w:p>
        </w:tc>
        <w:tc>
          <w:tcPr>
            <w:tcW w:w="1137" w:type="dxa"/>
            <w:tcBorders>
              <w:top w:val="single" w:sz="4" w:space="0" w:color="7E7E7E"/>
              <w:bottom w:val="single" w:sz="4" w:space="0" w:color="7E7E7E"/>
            </w:tcBorders>
          </w:tcPr>
          <w:p>
            <w:pPr>
              <w:pStyle w:val="TableParagraph"/>
              <w:spacing w:before="100"/>
              <w:ind w:right="452"/>
              <w:jc w:val="right"/>
              <w:rPr>
                <w:sz w:val="18"/>
              </w:rPr>
            </w:pPr>
            <w:r>
              <w:rPr>
                <w:sz w:val="18"/>
              </w:rPr>
              <w:t>1.2</w:t>
            </w:r>
          </w:p>
        </w:tc>
        <w:tc>
          <w:tcPr>
            <w:tcW w:w="1218" w:type="dxa"/>
            <w:tcBorders>
              <w:top w:val="single" w:sz="4" w:space="0" w:color="7E7E7E"/>
              <w:bottom w:val="single" w:sz="4" w:space="0" w:color="7E7E7E"/>
            </w:tcBorders>
          </w:tcPr>
          <w:p>
            <w:pPr>
              <w:pStyle w:val="TableParagraph"/>
              <w:spacing w:before="100"/>
              <w:ind w:left="506"/>
              <w:jc w:val="left"/>
              <w:rPr>
                <w:sz w:val="18"/>
              </w:rPr>
            </w:pPr>
            <w:r>
              <w:rPr>
                <w:sz w:val="18"/>
              </w:rPr>
              <w:t>2.2</w:t>
            </w:r>
          </w:p>
        </w:tc>
      </w:tr>
    </w:tbl>
    <w:p>
      <w:pPr>
        <w:spacing w:line="202" w:lineRule="exact" w:before="0"/>
        <w:ind w:left="102" w:right="0" w:firstLine="0"/>
        <w:jc w:val="both"/>
        <w:rPr>
          <w:sz w:val="18"/>
        </w:rPr>
      </w:pPr>
      <w:r>
        <w:rPr>
          <w:sz w:val="18"/>
        </w:rPr>
        <w:t>Fuente: Elaboración propia con base en datos del Censo Económico de INEGI (2009).</w:t>
      </w:r>
    </w:p>
    <w:p>
      <w:pPr>
        <w:pStyle w:val="BodyText"/>
        <w:rPr>
          <w:sz w:val="18"/>
        </w:rPr>
      </w:pPr>
    </w:p>
    <w:p>
      <w:pPr>
        <w:pStyle w:val="BodyText"/>
        <w:spacing w:line="360" w:lineRule="auto" w:before="135"/>
        <w:ind w:left="102" w:right="123"/>
        <w:jc w:val="both"/>
      </w:pPr>
      <w:r>
        <w:rPr/>
        <w:t>En este sentido, dentro de la gran división ocho, se encuentran las ramas que pertenecen al sector automotriz, las cuales son: fabricación de automóviles y camiones, fabricación de carrocerías</w:t>
      </w:r>
      <w:r>
        <w:rPr>
          <w:spacing w:val="-2"/>
        </w:rPr>
        <w:t> </w:t>
      </w:r>
      <w:r>
        <w:rPr/>
        <w:t>y</w:t>
      </w:r>
      <w:r>
        <w:rPr>
          <w:spacing w:val="-12"/>
        </w:rPr>
        <w:t> </w:t>
      </w:r>
      <w:r>
        <w:rPr/>
        <w:t>remolques</w:t>
      </w:r>
      <w:r>
        <w:rPr>
          <w:spacing w:val="-5"/>
        </w:rPr>
        <w:t> </w:t>
      </w:r>
      <w:r>
        <w:rPr/>
        <w:t>y</w:t>
      </w:r>
      <w:r>
        <w:rPr>
          <w:spacing w:val="-10"/>
        </w:rPr>
        <w:t> </w:t>
      </w:r>
      <w:r>
        <w:rPr/>
        <w:t>fabricación</w:t>
      </w:r>
      <w:r>
        <w:rPr>
          <w:spacing w:val="-7"/>
        </w:rPr>
        <w:t> </w:t>
      </w:r>
      <w:r>
        <w:rPr/>
        <w:t>de</w:t>
      </w:r>
      <w:r>
        <w:rPr>
          <w:spacing w:val="-8"/>
        </w:rPr>
        <w:t> </w:t>
      </w:r>
      <w:r>
        <w:rPr/>
        <w:t>partes</w:t>
      </w:r>
      <w:r>
        <w:rPr>
          <w:spacing w:val="-7"/>
        </w:rPr>
        <w:t> </w:t>
      </w:r>
      <w:r>
        <w:rPr/>
        <w:t>para</w:t>
      </w:r>
      <w:r>
        <w:rPr>
          <w:spacing w:val="-9"/>
        </w:rPr>
        <w:t> </w:t>
      </w:r>
      <w:r>
        <w:rPr/>
        <w:t>vehículos</w:t>
      </w:r>
      <w:r>
        <w:rPr>
          <w:spacing w:val="-7"/>
        </w:rPr>
        <w:t> </w:t>
      </w:r>
      <w:r>
        <w:rPr/>
        <w:t>automotores.</w:t>
      </w:r>
      <w:r>
        <w:rPr>
          <w:spacing w:val="-7"/>
        </w:rPr>
        <w:t> </w:t>
      </w:r>
      <w:r>
        <w:rPr/>
        <w:t>Estas</w:t>
      </w:r>
      <w:r>
        <w:rPr>
          <w:spacing w:val="-8"/>
        </w:rPr>
        <w:t> </w:t>
      </w:r>
      <w:r>
        <w:rPr/>
        <w:t>tres</w:t>
      </w:r>
      <w:r>
        <w:rPr>
          <w:spacing w:val="-7"/>
        </w:rPr>
        <w:t> </w:t>
      </w:r>
      <w:r>
        <w:rPr/>
        <w:t>ramas engloban a su vez a las once actividades económicas de la industria automotriz en nuestro país, que de acuerdo al INEGI (2009)</w:t>
      </w:r>
      <w:r>
        <w:rPr>
          <w:spacing w:val="-10"/>
        </w:rPr>
        <w:t> </w:t>
      </w:r>
      <w:r>
        <w:rPr/>
        <w:t>son:</w:t>
      </w:r>
    </w:p>
    <w:p>
      <w:pPr>
        <w:pStyle w:val="BodyText"/>
        <w:spacing w:before="4"/>
        <w:rPr>
          <w:sz w:val="21"/>
        </w:rPr>
      </w:pPr>
    </w:p>
    <w:p>
      <w:pPr>
        <w:pStyle w:val="ListParagraph"/>
        <w:numPr>
          <w:ilvl w:val="2"/>
          <w:numId w:val="15"/>
        </w:numPr>
        <w:tabs>
          <w:tab w:pos="822" w:val="left" w:leader="none"/>
        </w:tabs>
        <w:spacing w:line="240" w:lineRule="auto" w:before="1" w:after="0"/>
        <w:ind w:left="822" w:right="0" w:hanging="360"/>
        <w:jc w:val="left"/>
        <w:rPr>
          <w:sz w:val="24"/>
        </w:rPr>
      </w:pPr>
      <w:r>
        <w:rPr>
          <w:sz w:val="24"/>
        </w:rPr>
        <w:t>Fabricación de automóviles y</w:t>
      </w:r>
      <w:r>
        <w:rPr>
          <w:spacing w:val="-12"/>
          <w:sz w:val="24"/>
        </w:rPr>
        <w:t> </w:t>
      </w:r>
      <w:r>
        <w:rPr>
          <w:sz w:val="24"/>
        </w:rPr>
        <w:t>camionetas</w:t>
      </w:r>
    </w:p>
    <w:p>
      <w:pPr>
        <w:pStyle w:val="ListParagraph"/>
        <w:numPr>
          <w:ilvl w:val="2"/>
          <w:numId w:val="15"/>
        </w:numPr>
        <w:tabs>
          <w:tab w:pos="822" w:val="left" w:leader="none"/>
        </w:tabs>
        <w:spacing w:line="240" w:lineRule="auto" w:before="137" w:after="0"/>
        <w:ind w:left="822" w:right="0" w:hanging="360"/>
        <w:jc w:val="left"/>
        <w:rPr>
          <w:sz w:val="24"/>
        </w:rPr>
      </w:pPr>
      <w:r>
        <w:rPr>
          <w:sz w:val="24"/>
        </w:rPr>
        <w:t>Fabricación de camiones y tracto</w:t>
      </w:r>
      <w:r>
        <w:rPr>
          <w:spacing w:val="-13"/>
          <w:sz w:val="24"/>
        </w:rPr>
        <w:t> </w:t>
      </w:r>
      <w:r>
        <w:rPr>
          <w:sz w:val="24"/>
        </w:rPr>
        <w:t>camiones</w:t>
      </w:r>
    </w:p>
    <w:p>
      <w:pPr>
        <w:pStyle w:val="ListParagraph"/>
        <w:numPr>
          <w:ilvl w:val="2"/>
          <w:numId w:val="15"/>
        </w:numPr>
        <w:tabs>
          <w:tab w:pos="822" w:val="left" w:leader="none"/>
        </w:tabs>
        <w:spacing w:line="240" w:lineRule="auto" w:before="139" w:after="0"/>
        <w:ind w:left="822" w:right="0" w:hanging="360"/>
        <w:jc w:val="left"/>
        <w:rPr>
          <w:sz w:val="24"/>
        </w:rPr>
      </w:pPr>
      <w:r>
        <w:rPr>
          <w:sz w:val="24"/>
        </w:rPr>
        <w:t>Fabricación de carrocerías y</w:t>
      </w:r>
      <w:r>
        <w:rPr>
          <w:spacing w:val="-11"/>
          <w:sz w:val="24"/>
        </w:rPr>
        <w:t> </w:t>
      </w:r>
      <w:r>
        <w:rPr>
          <w:sz w:val="24"/>
        </w:rPr>
        <w:t>remolques</w:t>
      </w:r>
    </w:p>
    <w:p>
      <w:pPr>
        <w:pStyle w:val="ListParagraph"/>
        <w:numPr>
          <w:ilvl w:val="2"/>
          <w:numId w:val="15"/>
        </w:numPr>
        <w:tabs>
          <w:tab w:pos="822" w:val="left" w:leader="none"/>
        </w:tabs>
        <w:spacing w:line="240" w:lineRule="auto" w:before="137" w:after="0"/>
        <w:ind w:left="822" w:right="0" w:hanging="360"/>
        <w:jc w:val="left"/>
        <w:rPr>
          <w:sz w:val="24"/>
        </w:rPr>
      </w:pPr>
      <w:r>
        <w:rPr>
          <w:sz w:val="24"/>
        </w:rPr>
        <w:t>Fabricación de motores de gasolina y sus partes para vehículos</w:t>
      </w:r>
      <w:r>
        <w:rPr>
          <w:spacing w:val="-10"/>
          <w:sz w:val="24"/>
        </w:rPr>
        <w:t> </w:t>
      </w:r>
      <w:r>
        <w:rPr>
          <w:sz w:val="24"/>
        </w:rPr>
        <w:t>automotrices</w:t>
      </w:r>
    </w:p>
    <w:p>
      <w:pPr>
        <w:pStyle w:val="ListParagraph"/>
        <w:numPr>
          <w:ilvl w:val="2"/>
          <w:numId w:val="15"/>
        </w:numPr>
        <w:tabs>
          <w:tab w:pos="822" w:val="left" w:leader="none"/>
        </w:tabs>
        <w:spacing w:line="240" w:lineRule="auto" w:before="139" w:after="0"/>
        <w:ind w:left="822" w:right="0" w:hanging="360"/>
        <w:jc w:val="left"/>
        <w:rPr>
          <w:sz w:val="24"/>
        </w:rPr>
      </w:pPr>
      <w:r>
        <w:rPr>
          <w:sz w:val="24"/>
        </w:rPr>
        <w:t>Fabricación de equipo eléctrico y electrónico para vehículos</w:t>
      </w:r>
      <w:r>
        <w:rPr>
          <w:spacing w:val="-12"/>
          <w:sz w:val="24"/>
        </w:rPr>
        <w:t> </w:t>
      </w:r>
      <w:r>
        <w:rPr>
          <w:sz w:val="24"/>
        </w:rPr>
        <w:t>automotores</w:t>
      </w:r>
    </w:p>
    <w:p>
      <w:pPr>
        <w:pStyle w:val="ListParagraph"/>
        <w:numPr>
          <w:ilvl w:val="2"/>
          <w:numId w:val="15"/>
        </w:numPr>
        <w:tabs>
          <w:tab w:pos="822" w:val="left" w:leader="none"/>
        </w:tabs>
        <w:spacing w:line="360" w:lineRule="auto" w:before="137" w:after="0"/>
        <w:ind w:left="822" w:right="124" w:hanging="360"/>
        <w:jc w:val="left"/>
        <w:rPr>
          <w:sz w:val="24"/>
        </w:rPr>
      </w:pPr>
      <w:r>
        <w:rPr>
          <w:sz w:val="24"/>
        </w:rPr>
        <w:t>Fabricación de partes de sistemas de dirección y de suspensión para vehículos automotrices</w:t>
      </w:r>
    </w:p>
    <w:p>
      <w:pPr>
        <w:pStyle w:val="ListParagraph"/>
        <w:numPr>
          <w:ilvl w:val="2"/>
          <w:numId w:val="15"/>
        </w:numPr>
        <w:tabs>
          <w:tab w:pos="822" w:val="left" w:leader="none"/>
        </w:tabs>
        <w:spacing w:line="240" w:lineRule="auto" w:before="6" w:after="0"/>
        <w:ind w:left="822" w:right="0" w:hanging="360"/>
        <w:jc w:val="left"/>
        <w:rPr>
          <w:sz w:val="24"/>
        </w:rPr>
      </w:pPr>
      <w:r>
        <w:rPr>
          <w:sz w:val="24"/>
        </w:rPr>
        <w:t>Fabricación de partes de sistemas de frenos para vehículos</w:t>
      </w:r>
      <w:r>
        <w:rPr>
          <w:spacing w:val="-14"/>
          <w:sz w:val="24"/>
        </w:rPr>
        <w:t> </w:t>
      </w:r>
      <w:r>
        <w:rPr>
          <w:sz w:val="24"/>
        </w:rPr>
        <w:t>automotrices</w:t>
      </w:r>
    </w:p>
    <w:p>
      <w:pPr>
        <w:spacing w:after="0" w:line="240" w:lineRule="auto"/>
        <w:jc w:val="left"/>
        <w:rPr>
          <w:sz w:val="24"/>
        </w:rPr>
        <w:sectPr>
          <w:pgSz w:w="12240" w:h="15840"/>
          <w:pgMar w:header="0" w:footer="1035" w:top="1360" w:bottom="1220" w:left="1600" w:right="1580"/>
        </w:sectPr>
      </w:pPr>
    </w:p>
    <w:p>
      <w:pPr>
        <w:pStyle w:val="ListParagraph"/>
        <w:numPr>
          <w:ilvl w:val="2"/>
          <w:numId w:val="15"/>
        </w:numPr>
        <w:tabs>
          <w:tab w:pos="822" w:val="left" w:leader="none"/>
        </w:tabs>
        <w:spacing w:line="240" w:lineRule="auto" w:before="50" w:after="0"/>
        <w:ind w:left="822" w:right="0" w:hanging="360"/>
        <w:jc w:val="left"/>
        <w:rPr>
          <w:sz w:val="24"/>
        </w:rPr>
      </w:pPr>
      <w:r>
        <w:rPr>
          <w:sz w:val="24"/>
        </w:rPr>
        <w:t>Fabricación de partes de sistemas de</w:t>
      </w:r>
      <w:r>
        <w:rPr>
          <w:spacing w:val="-9"/>
          <w:sz w:val="24"/>
        </w:rPr>
        <w:t> </w:t>
      </w:r>
      <w:r>
        <w:rPr>
          <w:sz w:val="24"/>
        </w:rPr>
        <w:t>transmisión</w:t>
      </w:r>
    </w:p>
    <w:p>
      <w:pPr>
        <w:pStyle w:val="ListParagraph"/>
        <w:numPr>
          <w:ilvl w:val="2"/>
          <w:numId w:val="15"/>
        </w:numPr>
        <w:tabs>
          <w:tab w:pos="822" w:val="left" w:leader="none"/>
        </w:tabs>
        <w:spacing w:line="240" w:lineRule="auto" w:before="139" w:after="0"/>
        <w:ind w:left="822" w:right="0" w:hanging="360"/>
        <w:jc w:val="left"/>
        <w:rPr>
          <w:sz w:val="24"/>
        </w:rPr>
      </w:pPr>
      <w:r>
        <w:rPr>
          <w:sz w:val="24"/>
        </w:rPr>
        <w:t>Fabricación de asientos para vehículos</w:t>
      </w:r>
      <w:r>
        <w:rPr>
          <w:spacing w:val="-7"/>
          <w:sz w:val="24"/>
        </w:rPr>
        <w:t> </w:t>
      </w:r>
      <w:r>
        <w:rPr>
          <w:sz w:val="24"/>
        </w:rPr>
        <w:t>automotores</w:t>
      </w:r>
    </w:p>
    <w:p>
      <w:pPr>
        <w:pStyle w:val="ListParagraph"/>
        <w:numPr>
          <w:ilvl w:val="2"/>
          <w:numId w:val="15"/>
        </w:numPr>
        <w:tabs>
          <w:tab w:pos="822" w:val="left" w:leader="none"/>
        </w:tabs>
        <w:spacing w:line="240" w:lineRule="auto" w:before="137" w:after="0"/>
        <w:ind w:left="822" w:right="0" w:hanging="360"/>
        <w:jc w:val="left"/>
        <w:rPr>
          <w:sz w:val="24"/>
        </w:rPr>
      </w:pPr>
      <w:r>
        <w:rPr>
          <w:sz w:val="24"/>
        </w:rPr>
        <w:t>Fabricación de piezas metálicas troqueladas para vehículos</w:t>
      </w:r>
      <w:r>
        <w:rPr>
          <w:spacing w:val="-11"/>
          <w:sz w:val="24"/>
        </w:rPr>
        <w:t> </w:t>
      </w:r>
      <w:r>
        <w:rPr>
          <w:sz w:val="24"/>
        </w:rPr>
        <w:t>automotrices</w:t>
      </w:r>
    </w:p>
    <w:p>
      <w:pPr>
        <w:pStyle w:val="ListParagraph"/>
        <w:numPr>
          <w:ilvl w:val="2"/>
          <w:numId w:val="15"/>
        </w:numPr>
        <w:tabs>
          <w:tab w:pos="822" w:val="left" w:leader="none"/>
        </w:tabs>
        <w:spacing w:line="240" w:lineRule="auto" w:before="139" w:after="0"/>
        <w:ind w:left="822" w:right="0" w:hanging="360"/>
        <w:jc w:val="left"/>
        <w:rPr>
          <w:sz w:val="24"/>
        </w:rPr>
      </w:pPr>
      <w:r>
        <w:rPr>
          <w:sz w:val="24"/>
        </w:rPr>
        <w:t>Fabricación de otras partes para vehículos</w:t>
      </w:r>
      <w:r>
        <w:rPr>
          <w:spacing w:val="-11"/>
          <w:sz w:val="24"/>
        </w:rPr>
        <w:t> </w:t>
      </w:r>
      <w:r>
        <w:rPr>
          <w:sz w:val="24"/>
        </w:rPr>
        <w:t>automotrices</w:t>
      </w:r>
    </w:p>
    <w:p>
      <w:pPr>
        <w:pStyle w:val="BodyText"/>
        <w:spacing w:before="8"/>
        <w:rPr>
          <w:sz w:val="32"/>
        </w:rPr>
      </w:pPr>
    </w:p>
    <w:p>
      <w:pPr>
        <w:pStyle w:val="BodyText"/>
        <w:spacing w:line="360" w:lineRule="auto" w:before="1"/>
        <w:ind w:left="102" w:right="114"/>
        <w:jc w:val="both"/>
      </w:pPr>
      <w:r>
        <w:rPr/>
        <w:t>En</w:t>
      </w:r>
      <w:r>
        <w:rPr>
          <w:spacing w:val="-4"/>
        </w:rPr>
        <w:t> </w:t>
      </w:r>
      <w:r>
        <w:rPr/>
        <w:t>total,</w:t>
      </w:r>
      <w:r>
        <w:rPr>
          <w:spacing w:val="-3"/>
        </w:rPr>
        <w:t> </w:t>
      </w:r>
      <w:r>
        <w:rPr/>
        <w:t>las</w:t>
      </w:r>
      <w:r>
        <w:rPr>
          <w:spacing w:val="-4"/>
        </w:rPr>
        <w:t> </w:t>
      </w:r>
      <w:r>
        <w:rPr/>
        <w:t>tres</w:t>
      </w:r>
      <w:r>
        <w:rPr>
          <w:spacing w:val="-4"/>
        </w:rPr>
        <w:t> </w:t>
      </w:r>
      <w:r>
        <w:rPr/>
        <w:t>ramas</w:t>
      </w:r>
      <w:r>
        <w:rPr>
          <w:spacing w:val="-4"/>
        </w:rPr>
        <w:t> </w:t>
      </w:r>
      <w:r>
        <w:rPr/>
        <w:t>del</w:t>
      </w:r>
      <w:r>
        <w:rPr>
          <w:spacing w:val="-3"/>
        </w:rPr>
        <w:t> </w:t>
      </w:r>
      <w:r>
        <w:rPr/>
        <w:t>sector</w:t>
      </w:r>
      <w:r>
        <w:rPr>
          <w:spacing w:val="-4"/>
        </w:rPr>
        <w:t> </w:t>
      </w:r>
      <w:r>
        <w:rPr/>
        <w:t>automotriz</w:t>
      </w:r>
      <w:r>
        <w:rPr>
          <w:spacing w:val="-2"/>
        </w:rPr>
        <w:t> </w:t>
      </w:r>
      <w:r>
        <w:rPr/>
        <w:t>representan</w:t>
      </w:r>
      <w:r>
        <w:rPr>
          <w:spacing w:val="-4"/>
        </w:rPr>
        <w:t> </w:t>
      </w:r>
      <w:r>
        <w:rPr/>
        <w:t>dentro</w:t>
      </w:r>
      <w:r>
        <w:rPr>
          <w:spacing w:val="-4"/>
        </w:rPr>
        <w:t> </w:t>
      </w:r>
      <w:r>
        <w:rPr/>
        <w:t>de</w:t>
      </w:r>
      <w:r>
        <w:rPr>
          <w:spacing w:val="-5"/>
        </w:rPr>
        <w:t> </w:t>
      </w:r>
      <w:r>
        <w:rPr/>
        <w:t>la</w:t>
      </w:r>
      <w:r>
        <w:rPr>
          <w:spacing w:val="-4"/>
        </w:rPr>
        <w:t> </w:t>
      </w:r>
      <w:r>
        <w:rPr/>
        <w:t>división</w:t>
      </w:r>
      <w:r>
        <w:rPr>
          <w:spacing w:val="-4"/>
        </w:rPr>
        <w:t> </w:t>
      </w:r>
      <w:r>
        <w:rPr/>
        <w:t>ocho</w:t>
      </w:r>
      <w:r>
        <w:rPr>
          <w:spacing w:val="-4"/>
        </w:rPr>
        <w:t> </w:t>
      </w:r>
      <w:r>
        <w:rPr/>
        <w:t>el</w:t>
      </w:r>
      <w:r>
        <w:rPr>
          <w:spacing w:val="-3"/>
        </w:rPr>
        <w:t> </w:t>
      </w:r>
      <w:r>
        <w:rPr/>
        <w:t>2%</w:t>
      </w:r>
      <w:r>
        <w:rPr>
          <w:spacing w:val="-5"/>
        </w:rPr>
        <w:t> </w:t>
      </w:r>
      <w:r>
        <w:rPr/>
        <w:t>de las unidades económicas con las que emplea al 30.4% del personal ocupado, el 37.6% de</w:t>
      </w:r>
      <w:r>
        <w:rPr>
          <w:spacing w:val="-41"/>
        </w:rPr>
        <w:t> </w:t>
      </w:r>
      <w:r>
        <w:rPr/>
        <w:t>las remuneraciones totales, más de la mitad de la producción bruta total de la división, el 46% del valor agregado censal bruto y 50.1% de la formación bruta de capital fijo (véase gráfica 3.6).</w:t>
      </w:r>
    </w:p>
    <w:p>
      <w:pPr>
        <w:pStyle w:val="BodyText"/>
        <w:spacing w:before="4"/>
        <w:rPr>
          <w:sz w:val="21"/>
        </w:rPr>
      </w:pPr>
    </w:p>
    <w:p>
      <w:pPr>
        <w:pStyle w:val="BodyText"/>
        <w:spacing w:line="360" w:lineRule="auto" w:before="1"/>
        <w:ind w:left="102" w:right="114"/>
        <w:jc w:val="both"/>
      </w:pPr>
      <w:r>
        <w:rPr/>
        <w:t>Los datos anteriores aportan evidencia en el sentido de la alta productividad de las ramas de la industria automotriz, pues con tan solo aportar el 2% de las unidades económicas en la división ocho, generan una dinámica muy importante al interior de la división ocho, pues aportan</w:t>
      </w:r>
      <w:r>
        <w:rPr>
          <w:spacing w:val="-4"/>
        </w:rPr>
        <w:t> </w:t>
      </w:r>
      <w:r>
        <w:rPr/>
        <w:t>más</w:t>
      </w:r>
      <w:r>
        <w:rPr>
          <w:spacing w:val="-4"/>
        </w:rPr>
        <w:t> </w:t>
      </w:r>
      <w:r>
        <w:rPr/>
        <w:t>de</w:t>
      </w:r>
      <w:r>
        <w:rPr>
          <w:spacing w:val="-5"/>
        </w:rPr>
        <w:t> </w:t>
      </w:r>
      <w:r>
        <w:rPr/>
        <w:t>las</w:t>
      </w:r>
      <w:r>
        <w:rPr>
          <w:spacing w:val="-4"/>
        </w:rPr>
        <w:t> </w:t>
      </w:r>
      <w:r>
        <w:rPr/>
        <w:t>mitad</w:t>
      </w:r>
      <w:r>
        <w:rPr>
          <w:spacing w:val="-1"/>
        </w:rPr>
        <w:t> </w:t>
      </w:r>
      <w:r>
        <w:rPr/>
        <w:t>de</w:t>
      </w:r>
      <w:r>
        <w:rPr>
          <w:spacing w:val="-5"/>
        </w:rPr>
        <w:t> </w:t>
      </w:r>
      <w:r>
        <w:rPr/>
        <w:t>la</w:t>
      </w:r>
      <w:r>
        <w:rPr>
          <w:spacing w:val="-4"/>
        </w:rPr>
        <w:t> </w:t>
      </w:r>
      <w:r>
        <w:rPr/>
        <w:t>producción</w:t>
      </w:r>
      <w:r>
        <w:rPr>
          <w:spacing w:val="-3"/>
        </w:rPr>
        <w:t> </w:t>
      </w:r>
      <w:r>
        <w:rPr/>
        <w:t>bruta</w:t>
      </w:r>
      <w:r>
        <w:rPr>
          <w:spacing w:val="-5"/>
        </w:rPr>
        <w:t> </w:t>
      </w:r>
      <w:r>
        <w:rPr/>
        <w:t>total</w:t>
      </w:r>
      <w:r>
        <w:rPr>
          <w:spacing w:val="-1"/>
        </w:rPr>
        <w:t> </w:t>
      </w:r>
      <w:r>
        <w:rPr/>
        <w:t>y</w:t>
      </w:r>
      <w:r>
        <w:rPr>
          <w:spacing w:val="-8"/>
        </w:rPr>
        <w:t> </w:t>
      </w:r>
      <w:r>
        <w:rPr/>
        <w:t>valor</w:t>
      </w:r>
      <w:r>
        <w:rPr>
          <w:spacing w:val="-2"/>
        </w:rPr>
        <w:t> </w:t>
      </w:r>
      <w:r>
        <w:rPr/>
        <w:t>agregado</w:t>
      </w:r>
      <w:r>
        <w:rPr>
          <w:spacing w:val="-4"/>
        </w:rPr>
        <w:t> </w:t>
      </w:r>
      <w:r>
        <w:rPr/>
        <w:t>censal</w:t>
      </w:r>
      <w:r>
        <w:rPr>
          <w:spacing w:val="-3"/>
        </w:rPr>
        <w:t> </w:t>
      </w:r>
      <w:r>
        <w:rPr/>
        <w:t>bruto</w:t>
      </w:r>
      <w:r>
        <w:rPr>
          <w:spacing w:val="1"/>
        </w:rPr>
        <w:t> </w:t>
      </w:r>
      <w:r>
        <w:rPr/>
        <w:t>y</w:t>
      </w:r>
      <w:r>
        <w:rPr>
          <w:spacing w:val="-9"/>
        </w:rPr>
        <w:t> </w:t>
      </w:r>
      <w:r>
        <w:rPr/>
        <w:t>son</w:t>
      </w:r>
      <w:r>
        <w:rPr>
          <w:spacing w:val="-4"/>
        </w:rPr>
        <w:t> </w:t>
      </w:r>
      <w:r>
        <w:rPr/>
        <w:t>las ramas que más empleo</w:t>
      </w:r>
      <w:r>
        <w:rPr>
          <w:spacing w:val="-8"/>
        </w:rPr>
        <w:t> </w:t>
      </w:r>
      <w:r>
        <w:rPr/>
        <w:t>generan.</w:t>
      </w:r>
    </w:p>
    <w:p>
      <w:pPr>
        <w:pStyle w:val="BodyText"/>
        <w:spacing w:before="7"/>
        <w:rPr>
          <w:sz w:val="21"/>
        </w:rPr>
      </w:pPr>
    </w:p>
    <w:p>
      <w:pPr>
        <w:pStyle w:val="Heading1"/>
        <w:spacing w:line="360" w:lineRule="auto"/>
        <w:ind w:left="117" w:right="131"/>
        <w:jc w:val="center"/>
      </w:pPr>
      <w:r>
        <w:rPr/>
        <w:pict>
          <v:group style="position:absolute;margin-left:106.904999pt;margin-top:40.998138pt;width:397.6pt;height:170.8pt;mso-position-horizontal-relative:page;mso-position-vertical-relative:paragraph;z-index:-500176" coordorigin="2138,820" coordsize="7952,3416">
            <v:shape style="position:absolute;left:2743;top:1048;width:7118;height:2330" type="#_x0000_t75" stroked="false">
              <v:imagedata r:id="rId42" o:title=""/>
            </v:shape>
            <v:shape style="position:absolute;left:5549;top:1267;width:2696;height:2112" coordorigin="5549,1267" coordsize="2696,2112" path="m5870,1919l5549,1919,5549,3379,5870,3379,5870,1919m7058,1267l6734,1267,6734,3379,7058,3379,7058,1267m8244,1591l7920,1591,7920,3379,8244,3379,8244,1591e" filled="true" fillcolor="#89b833" stroked="false">
              <v:path arrowok="t"/>
              <v:fill type="solid"/>
            </v:shape>
            <v:rect style="position:absolute;left:2146;top:827;width:7937;height:3401" filled="false" stroked="true" strokeweight=".72pt" strokecolor="#d9d9d9"/>
            <v:shape style="position:absolute;left:2276;top:961;width:316;height:2512" type="#_x0000_t202" filled="false" stroked="false">
              <v:textbox inset="0,0,0,0">
                <w:txbxContent>
                  <w:p>
                    <w:pPr>
                      <w:spacing w:line="184" w:lineRule="exact" w:before="0"/>
                      <w:ind w:left="0" w:right="-19" w:firstLine="0"/>
                      <w:jc w:val="left"/>
                      <w:rPr>
                        <w:sz w:val="18"/>
                      </w:rPr>
                    </w:pPr>
                    <w:r>
                      <w:rPr>
                        <w:color w:val="585858"/>
                        <w:sz w:val="18"/>
                      </w:rPr>
                      <w:t>60.0</w:t>
                    </w:r>
                  </w:p>
                  <w:p>
                    <w:pPr>
                      <w:spacing w:line="240" w:lineRule="auto" w:before="8"/>
                      <w:rPr>
                        <w:sz w:val="15"/>
                      </w:rPr>
                    </w:pPr>
                  </w:p>
                  <w:p>
                    <w:pPr>
                      <w:spacing w:before="1"/>
                      <w:ind w:left="0" w:right="-19" w:firstLine="0"/>
                      <w:jc w:val="left"/>
                      <w:rPr>
                        <w:sz w:val="18"/>
                      </w:rPr>
                    </w:pPr>
                    <w:r>
                      <w:rPr>
                        <w:color w:val="585858"/>
                        <w:sz w:val="18"/>
                      </w:rPr>
                      <w:t>50.0</w:t>
                    </w:r>
                  </w:p>
                  <w:p>
                    <w:pPr>
                      <w:spacing w:line="240" w:lineRule="auto" w:before="9"/>
                      <w:rPr>
                        <w:sz w:val="15"/>
                      </w:rPr>
                    </w:pPr>
                  </w:p>
                  <w:p>
                    <w:pPr>
                      <w:spacing w:before="0"/>
                      <w:ind w:left="0" w:right="-19" w:firstLine="0"/>
                      <w:jc w:val="left"/>
                      <w:rPr>
                        <w:sz w:val="18"/>
                      </w:rPr>
                    </w:pPr>
                    <w:r>
                      <w:rPr>
                        <w:color w:val="585858"/>
                        <w:sz w:val="18"/>
                      </w:rPr>
                      <w:t>40.0</w:t>
                    </w:r>
                  </w:p>
                  <w:p>
                    <w:pPr>
                      <w:spacing w:line="240" w:lineRule="auto" w:before="8"/>
                      <w:rPr>
                        <w:sz w:val="15"/>
                      </w:rPr>
                    </w:pPr>
                  </w:p>
                  <w:p>
                    <w:pPr>
                      <w:spacing w:before="0"/>
                      <w:ind w:left="0" w:right="-19" w:firstLine="0"/>
                      <w:jc w:val="left"/>
                      <w:rPr>
                        <w:sz w:val="18"/>
                      </w:rPr>
                    </w:pPr>
                    <w:r>
                      <w:rPr>
                        <w:color w:val="585858"/>
                        <w:sz w:val="18"/>
                      </w:rPr>
                      <w:t>30.0</w:t>
                    </w:r>
                  </w:p>
                  <w:p>
                    <w:pPr>
                      <w:spacing w:line="240" w:lineRule="auto" w:before="9"/>
                      <w:rPr>
                        <w:sz w:val="15"/>
                      </w:rPr>
                    </w:pPr>
                  </w:p>
                  <w:p>
                    <w:pPr>
                      <w:spacing w:before="0"/>
                      <w:ind w:left="0" w:right="-19" w:firstLine="0"/>
                      <w:jc w:val="left"/>
                      <w:rPr>
                        <w:sz w:val="18"/>
                      </w:rPr>
                    </w:pPr>
                    <w:r>
                      <w:rPr>
                        <w:color w:val="585858"/>
                        <w:sz w:val="18"/>
                      </w:rPr>
                      <w:t>20.0</w:t>
                    </w:r>
                  </w:p>
                  <w:p>
                    <w:pPr>
                      <w:spacing w:line="240" w:lineRule="auto" w:before="8"/>
                      <w:rPr>
                        <w:sz w:val="15"/>
                      </w:rPr>
                    </w:pPr>
                  </w:p>
                  <w:p>
                    <w:pPr>
                      <w:spacing w:before="1"/>
                      <w:ind w:left="0" w:right="-19" w:firstLine="0"/>
                      <w:jc w:val="left"/>
                      <w:rPr>
                        <w:sz w:val="18"/>
                      </w:rPr>
                    </w:pPr>
                    <w:r>
                      <w:rPr>
                        <w:color w:val="585858"/>
                        <w:sz w:val="18"/>
                      </w:rPr>
                      <w:t>10.0</w:t>
                    </w:r>
                  </w:p>
                  <w:p>
                    <w:pPr>
                      <w:spacing w:line="240" w:lineRule="auto" w:before="9"/>
                      <w:rPr>
                        <w:sz w:val="15"/>
                      </w:rPr>
                    </w:pPr>
                  </w:p>
                  <w:p>
                    <w:pPr>
                      <w:spacing w:line="203" w:lineRule="exact" w:before="0"/>
                      <w:ind w:left="89" w:right="-18" w:firstLine="0"/>
                      <w:jc w:val="left"/>
                      <w:rPr>
                        <w:sz w:val="18"/>
                      </w:rPr>
                    </w:pPr>
                    <w:r>
                      <w:rPr>
                        <w:color w:val="585858"/>
                        <w:sz w:val="18"/>
                      </w:rPr>
                      <w:t>0.0</w:t>
                    </w:r>
                  </w:p>
                </w:txbxContent>
              </v:textbox>
              <w10:wrap type="none"/>
            </v:shape>
            <v:shape style="position:absolute;left:2912;top:3504;width:850;height:387" type="#_x0000_t202" filled="false" stroked="false">
              <v:textbox inset="0,0,0,0">
                <w:txbxContent>
                  <w:p>
                    <w:pPr>
                      <w:spacing w:line="184" w:lineRule="exact" w:before="0"/>
                      <w:ind w:left="0" w:right="-20" w:firstLine="85"/>
                      <w:jc w:val="left"/>
                      <w:rPr>
                        <w:sz w:val="18"/>
                      </w:rPr>
                    </w:pPr>
                    <w:r>
                      <w:rPr>
                        <w:color w:val="585858"/>
                        <w:sz w:val="18"/>
                      </w:rPr>
                      <w:t>Unidades</w:t>
                    </w:r>
                  </w:p>
                  <w:p>
                    <w:pPr>
                      <w:spacing w:line="203" w:lineRule="exact" w:before="0"/>
                      <w:ind w:left="0" w:right="-20" w:firstLine="0"/>
                      <w:jc w:val="left"/>
                      <w:rPr>
                        <w:sz w:val="18"/>
                      </w:rPr>
                    </w:pPr>
                    <w:r>
                      <w:rPr>
                        <w:color w:val="585858"/>
                        <w:sz w:val="18"/>
                      </w:rPr>
                      <w:t>económicas</w:t>
                    </w:r>
                  </w:p>
                </w:txbxContent>
              </v:textbox>
              <w10:wrap type="none"/>
            </v:shape>
            <v:shape style="position:absolute;left:4214;top:3504;width:619;height:387" type="#_x0000_t202" filled="false" stroked="false">
              <v:textbox inset="0,0,0,0">
                <w:txbxContent>
                  <w:p>
                    <w:pPr>
                      <w:spacing w:line="184" w:lineRule="exact" w:before="0"/>
                      <w:ind w:left="4" w:right="-20" w:hanging="5"/>
                      <w:jc w:val="left"/>
                      <w:rPr>
                        <w:sz w:val="18"/>
                      </w:rPr>
                    </w:pPr>
                    <w:r>
                      <w:rPr>
                        <w:color w:val="585858"/>
                        <w:sz w:val="18"/>
                      </w:rPr>
                      <w:t>Personal</w:t>
                    </w:r>
                  </w:p>
                  <w:p>
                    <w:pPr>
                      <w:spacing w:line="203" w:lineRule="exact" w:before="0"/>
                      <w:ind w:left="4" w:right="-15" w:firstLine="0"/>
                      <w:jc w:val="left"/>
                      <w:rPr>
                        <w:sz w:val="18"/>
                      </w:rPr>
                    </w:pPr>
                    <w:r>
                      <w:rPr>
                        <w:color w:val="585858"/>
                        <w:sz w:val="18"/>
                      </w:rPr>
                      <w:t>ocupado</w:t>
                    </w:r>
                  </w:p>
                </w:txbxContent>
              </v:textbox>
              <w10:wrap type="none"/>
            </v:shape>
            <v:shape style="position:absolute;left:5413;top:3504;width:4224;height:180" type="#_x0000_t202" filled="false" stroked="false">
              <v:textbox inset="0,0,0,0">
                <w:txbxContent>
                  <w:p>
                    <w:pPr>
                      <w:tabs>
                        <w:tab w:pos="1051" w:val="left" w:leader="none"/>
                        <w:tab w:pos="2091" w:val="left" w:leader="none"/>
                        <w:tab w:pos="3445" w:val="left" w:leader="none"/>
                      </w:tabs>
                      <w:spacing w:line="180" w:lineRule="exact" w:before="0"/>
                      <w:ind w:left="0" w:right="0" w:firstLine="0"/>
                      <w:jc w:val="left"/>
                      <w:rPr>
                        <w:sz w:val="18"/>
                      </w:rPr>
                    </w:pPr>
                    <w:r>
                      <w:rPr>
                        <w:color w:val="585858"/>
                        <w:sz w:val="18"/>
                      </w:rPr>
                      <w:t>Total de</w:t>
                      <w:tab/>
                      <w:t>Producción</w:t>
                      <w:tab/>
                      <w:t>Valor</w:t>
                    </w:r>
                    <w:r>
                      <w:rPr>
                        <w:color w:val="585858"/>
                        <w:spacing w:val="-2"/>
                        <w:sz w:val="18"/>
                      </w:rPr>
                      <w:t> </w:t>
                    </w:r>
                    <w:r>
                      <w:rPr>
                        <w:color w:val="585858"/>
                        <w:sz w:val="18"/>
                      </w:rPr>
                      <w:t>agregado</w:t>
                      <w:tab/>
                    </w:r>
                    <w:r>
                      <w:rPr>
                        <w:color w:val="585858"/>
                        <w:spacing w:val="-1"/>
                        <w:sz w:val="18"/>
                      </w:rPr>
                      <w:t>Formación</w:t>
                    </w:r>
                  </w:p>
                </w:txbxContent>
              </v:textbox>
              <w10:wrap type="none"/>
            </v:shape>
            <v:shape style="position:absolute;left:5141;top:3710;width:2101;height:180" type="#_x0000_t202" filled="false" stroked="false">
              <v:textbox inset="0,0,0,0">
                <w:txbxContent>
                  <w:p>
                    <w:pPr>
                      <w:tabs>
                        <w:tab w:pos="1366" w:val="left" w:leader="none"/>
                      </w:tabs>
                      <w:spacing w:line="180" w:lineRule="exact" w:before="0"/>
                      <w:ind w:left="0" w:right="0" w:firstLine="0"/>
                      <w:jc w:val="left"/>
                      <w:rPr>
                        <w:sz w:val="18"/>
                      </w:rPr>
                    </w:pPr>
                    <w:r>
                      <w:rPr>
                        <w:color w:val="585858"/>
                        <w:sz w:val="18"/>
                      </w:rPr>
                      <w:t>remuneraciones</w:t>
                      <w:tab/>
                      <w:t>bruta</w:t>
                    </w:r>
                    <w:r>
                      <w:rPr>
                        <w:color w:val="585858"/>
                        <w:spacing w:val="-3"/>
                        <w:sz w:val="18"/>
                      </w:rPr>
                      <w:t> </w:t>
                    </w:r>
                    <w:r>
                      <w:rPr>
                        <w:color w:val="585858"/>
                        <w:sz w:val="18"/>
                      </w:rPr>
                      <w:t>total</w:t>
                    </w:r>
                  </w:p>
                </w:txbxContent>
              </v:textbox>
              <w10:wrap type="none"/>
            </v:shape>
            <v:shape style="position:absolute;left:7624;top:3710;width:2214;height:387" type="#_x0000_t202" filled="false" stroked="false">
              <v:textbox inset="0,0,0,0">
                <w:txbxContent>
                  <w:p>
                    <w:pPr>
                      <w:spacing w:line="184" w:lineRule="exact" w:before="0"/>
                      <w:ind w:left="0" w:right="0" w:firstLine="0"/>
                      <w:jc w:val="left"/>
                      <w:rPr>
                        <w:sz w:val="18"/>
                      </w:rPr>
                    </w:pPr>
                    <w:r>
                      <w:rPr>
                        <w:color w:val="585858"/>
                        <w:sz w:val="18"/>
                      </w:rPr>
                      <w:t>censal bruto   Bruta de Capital</w:t>
                    </w:r>
                  </w:p>
                  <w:p>
                    <w:pPr>
                      <w:spacing w:line="203" w:lineRule="exact" w:before="0"/>
                      <w:ind w:left="0" w:right="443" w:firstLine="0"/>
                      <w:jc w:val="right"/>
                      <w:rPr>
                        <w:sz w:val="18"/>
                      </w:rPr>
                    </w:pPr>
                    <w:r>
                      <w:rPr>
                        <w:color w:val="585858"/>
                        <w:sz w:val="18"/>
                      </w:rPr>
                      <w:t>Fijo</w:t>
                    </w:r>
                  </w:p>
                </w:txbxContent>
              </v:textbox>
              <w10:wrap type="none"/>
            </v:shape>
            <w10:wrap type="none"/>
          </v:group>
        </w:pict>
      </w:r>
      <w:r>
        <w:rPr/>
        <w:t>Gráfica 3.6. Participación porcentual de la industria automotriz en la división ocho de la manufactura de México, 2008 (características principales)</w:t>
      </w:r>
    </w:p>
    <w:p>
      <w:pPr>
        <w:pStyle w:val="BodyText"/>
        <w:spacing w:before="10"/>
        <w:rPr>
          <w:b/>
          <w:sz w:val="18"/>
        </w:rPr>
      </w:pPr>
    </w:p>
    <w:tbl>
      <w:tblPr>
        <w:tblW w:w="0" w:type="auto"/>
        <w:jc w:val="left"/>
        <w:tblInd w:w="1135" w:type="dxa"/>
        <w:tblBorders>
          <w:top w:val="single" w:sz="6" w:space="0" w:color="D9D9D9"/>
          <w:left w:val="single" w:sz="6" w:space="0" w:color="D9D9D9"/>
          <w:bottom w:val="single" w:sz="6" w:space="0" w:color="D9D9D9"/>
          <w:right w:val="single" w:sz="6" w:space="0" w:color="D9D9D9"/>
          <w:insideH w:val="single" w:sz="6" w:space="0" w:color="D9D9D9"/>
          <w:insideV w:val="single" w:sz="6" w:space="0" w:color="D9D9D9"/>
        </w:tblBorders>
        <w:tblLayout w:type="fixed"/>
        <w:tblCellMar>
          <w:top w:w="0" w:type="dxa"/>
          <w:left w:w="0" w:type="dxa"/>
          <w:bottom w:w="0" w:type="dxa"/>
          <w:right w:w="0" w:type="dxa"/>
        </w:tblCellMar>
        <w:tblLook w:val="01E0"/>
      </w:tblPr>
      <w:tblGrid>
        <w:gridCol w:w="1186"/>
        <w:gridCol w:w="432"/>
        <w:gridCol w:w="324"/>
        <w:gridCol w:w="432"/>
        <w:gridCol w:w="432"/>
        <w:gridCol w:w="322"/>
        <w:gridCol w:w="432"/>
        <w:gridCol w:w="432"/>
        <w:gridCol w:w="324"/>
        <w:gridCol w:w="430"/>
        <w:gridCol w:w="432"/>
        <w:gridCol w:w="324"/>
        <w:gridCol w:w="432"/>
        <w:gridCol w:w="432"/>
        <w:gridCol w:w="322"/>
        <w:gridCol w:w="432"/>
      </w:tblGrid>
      <w:tr>
        <w:trPr>
          <w:trHeight w:val="389" w:hRule="exact"/>
        </w:trPr>
        <w:tc>
          <w:tcPr>
            <w:tcW w:w="1186" w:type="dxa"/>
          </w:tcPr>
          <w:p>
            <w:pPr/>
          </w:p>
        </w:tc>
        <w:tc>
          <w:tcPr>
            <w:tcW w:w="1188" w:type="dxa"/>
            <w:gridSpan w:val="3"/>
          </w:tcPr>
          <w:p>
            <w:pPr/>
          </w:p>
        </w:tc>
        <w:tc>
          <w:tcPr>
            <w:tcW w:w="1186" w:type="dxa"/>
            <w:gridSpan w:val="3"/>
          </w:tcPr>
          <w:p>
            <w:pPr/>
          </w:p>
        </w:tc>
        <w:tc>
          <w:tcPr>
            <w:tcW w:w="432" w:type="dxa"/>
            <w:tcBorders>
              <w:right w:val="nil"/>
            </w:tcBorders>
          </w:tcPr>
          <w:p>
            <w:pPr/>
          </w:p>
        </w:tc>
        <w:tc>
          <w:tcPr>
            <w:tcW w:w="324" w:type="dxa"/>
            <w:vMerge w:val="restart"/>
            <w:tcBorders>
              <w:left w:val="nil"/>
              <w:right w:val="nil"/>
            </w:tcBorders>
            <w:shd w:val="clear" w:color="auto" w:fill="89B833"/>
          </w:tcPr>
          <w:p>
            <w:pPr>
              <w:pStyle w:val="TableParagraph"/>
              <w:spacing w:line="122" w:lineRule="exact"/>
              <w:ind w:left="2" w:right="-13"/>
              <w:jc w:val="left"/>
              <w:rPr>
                <w:sz w:val="18"/>
              </w:rPr>
            </w:pPr>
            <w:r>
              <w:rPr>
                <w:color w:val="404040"/>
                <w:sz w:val="18"/>
              </w:rPr>
              <w:t>54.4</w:t>
            </w:r>
          </w:p>
        </w:tc>
        <w:tc>
          <w:tcPr>
            <w:tcW w:w="430" w:type="dxa"/>
            <w:tcBorders>
              <w:left w:val="nil"/>
            </w:tcBorders>
          </w:tcPr>
          <w:p>
            <w:pPr/>
          </w:p>
        </w:tc>
        <w:tc>
          <w:tcPr>
            <w:tcW w:w="1188" w:type="dxa"/>
            <w:gridSpan w:val="3"/>
          </w:tcPr>
          <w:p>
            <w:pPr>
              <w:pStyle w:val="TableParagraph"/>
              <w:spacing w:before="9"/>
              <w:jc w:val="left"/>
              <w:rPr>
                <w:b/>
                <w:sz w:val="20"/>
              </w:rPr>
            </w:pPr>
          </w:p>
          <w:p>
            <w:pPr>
              <w:pStyle w:val="TableParagraph"/>
              <w:spacing w:line="175" w:lineRule="exact"/>
              <w:ind w:left="408" w:right="407"/>
              <w:rPr>
                <w:sz w:val="18"/>
              </w:rPr>
            </w:pPr>
            <w:r>
              <w:rPr>
                <w:color w:val="404040"/>
                <w:sz w:val="18"/>
              </w:rPr>
              <w:t>46.0</w:t>
            </w:r>
          </w:p>
        </w:tc>
        <w:tc>
          <w:tcPr>
            <w:tcW w:w="1186" w:type="dxa"/>
            <w:gridSpan w:val="3"/>
          </w:tcPr>
          <w:p>
            <w:pPr>
              <w:pStyle w:val="TableParagraph"/>
              <w:spacing w:before="83"/>
              <w:ind w:left="407" w:right="407"/>
              <w:rPr>
                <w:sz w:val="18"/>
              </w:rPr>
            </w:pPr>
            <w:r>
              <w:rPr>
                <w:color w:val="404040"/>
                <w:sz w:val="18"/>
              </w:rPr>
              <w:t>50.1</w:t>
            </w:r>
          </w:p>
        </w:tc>
      </w:tr>
      <w:tr>
        <w:trPr>
          <w:trHeight w:val="389" w:hRule="exact"/>
        </w:trPr>
        <w:tc>
          <w:tcPr>
            <w:tcW w:w="1186" w:type="dxa"/>
          </w:tcPr>
          <w:p>
            <w:pPr/>
          </w:p>
        </w:tc>
        <w:tc>
          <w:tcPr>
            <w:tcW w:w="1188" w:type="dxa"/>
            <w:gridSpan w:val="3"/>
          </w:tcPr>
          <w:p>
            <w:pPr/>
          </w:p>
        </w:tc>
        <w:tc>
          <w:tcPr>
            <w:tcW w:w="1186" w:type="dxa"/>
            <w:gridSpan w:val="3"/>
          </w:tcPr>
          <w:p>
            <w:pPr>
              <w:pStyle w:val="TableParagraph"/>
              <w:spacing w:before="6"/>
              <w:jc w:val="left"/>
              <w:rPr>
                <w:b/>
                <w:sz w:val="15"/>
              </w:rPr>
            </w:pPr>
          </w:p>
          <w:p>
            <w:pPr>
              <w:pStyle w:val="TableParagraph"/>
              <w:ind w:left="407" w:right="408"/>
              <w:rPr>
                <w:sz w:val="18"/>
              </w:rPr>
            </w:pPr>
            <w:r>
              <w:rPr>
                <w:color w:val="404040"/>
                <w:sz w:val="18"/>
              </w:rPr>
              <w:t>37.6</w:t>
            </w:r>
          </w:p>
        </w:tc>
        <w:tc>
          <w:tcPr>
            <w:tcW w:w="432" w:type="dxa"/>
            <w:tcBorders>
              <w:right w:val="nil"/>
            </w:tcBorders>
          </w:tcPr>
          <w:p>
            <w:pPr/>
          </w:p>
        </w:tc>
        <w:tc>
          <w:tcPr>
            <w:tcW w:w="324" w:type="dxa"/>
            <w:vMerge/>
            <w:tcBorders>
              <w:left w:val="nil"/>
              <w:right w:val="nil"/>
            </w:tcBorders>
            <w:shd w:val="clear" w:color="auto" w:fill="89B833"/>
          </w:tcPr>
          <w:p>
            <w:pPr/>
          </w:p>
        </w:tc>
        <w:tc>
          <w:tcPr>
            <w:tcW w:w="430" w:type="dxa"/>
            <w:tcBorders>
              <w:left w:val="nil"/>
            </w:tcBorders>
          </w:tcPr>
          <w:p>
            <w:pPr/>
          </w:p>
        </w:tc>
        <w:tc>
          <w:tcPr>
            <w:tcW w:w="432" w:type="dxa"/>
            <w:tcBorders>
              <w:right w:val="nil"/>
            </w:tcBorders>
          </w:tcPr>
          <w:p>
            <w:pPr/>
          </w:p>
        </w:tc>
        <w:tc>
          <w:tcPr>
            <w:tcW w:w="324" w:type="dxa"/>
            <w:vMerge w:val="restart"/>
            <w:tcBorders>
              <w:left w:val="nil"/>
              <w:right w:val="nil"/>
            </w:tcBorders>
            <w:shd w:val="clear" w:color="auto" w:fill="89B833"/>
          </w:tcPr>
          <w:p>
            <w:pPr/>
          </w:p>
        </w:tc>
        <w:tc>
          <w:tcPr>
            <w:tcW w:w="432" w:type="dxa"/>
            <w:tcBorders>
              <w:left w:val="nil"/>
            </w:tcBorders>
          </w:tcPr>
          <w:p>
            <w:pPr/>
          </w:p>
        </w:tc>
        <w:tc>
          <w:tcPr>
            <w:tcW w:w="432" w:type="dxa"/>
            <w:tcBorders>
              <w:right w:val="nil"/>
            </w:tcBorders>
          </w:tcPr>
          <w:p>
            <w:pPr/>
          </w:p>
        </w:tc>
        <w:tc>
          <w:tcPr>
            <w:tcW w:w="322" w:type="dxa"/>
            <w:vMerge w:val="restart"/>
            <w:tcBorders>
              <w:left w:val="nil"/>
              <w:right w:val="nil"/>
            </w:tcBorders>
            <w:shd w:val="clear" w:color="auto" w:fill="89B833"/>
          </w:tcPr>
          <w:p>
            <w:pPr/>
          </w:p>
        </w:tc>
        <w:tc>
          <w:tcPr>
            <w:tcW w:w="432" w:type="dxa"/>
            <w:tcBorders>
              <w:left w:val="nil"/>
            </w:tcBorders>
          </w:tcPr>
          <w:p>
            <w:pPr/>
          </w:p>
        </w:tc>
      </w:tr>
      <w:tr>
        <w:trPr>
          <w:trHeight w:val="386" w:hRule="exact"/>
        </w:trPr>
        <w:tc>
          <w:tcPr>
            <w:tcW w:w="1186" w:type="dxa"/>
          </w:tcPr>
          <w:p>
            <w:pPr/>
          </w:p>
        </w:tc>
        <w:tc>
          <w:tcPr>
            <w:tcW w:w="1188" w:type="dxa"/>
            <w:gridSpan w:val="3"/>
          </w:tcPr>
          <w:p>
            <w:pPr>
              <w:pStyle w:val="TableParagraph"/>
              <w:spacing w:before="68"/>
              <w:ind w:left="407" w:right="408"/>
              <w:rPr>
                <w:sz w:val="18"/>
              </w:rPr>
            </w:pPr>
            <w:r>
              <w:rPr>
                <w:color w:val="404040"/>
                <w:sz w:val="18"/>
              </w:rPr>
              <w:t>30.4</w:t>
            </w:r>
          </w:p>
        </w:tc>
        <w:tc>
          <w:tcPr>
            <w:tcW w:w="432" w:type="dxa"/>
            <w:tcBorders>
              <w:right w:val="nil"/>
            </w:tcBorders>
          </w:tcPr>
          <w:p>
            <w:pPr/>
          </w:p>
        </w:tc>
        <w:tc>
          <w:tcPr>
            <w:tcW w:w="322" w:type="dxa"/>
            <w:vMerge w:val="restart"/>
            <w:tcBorders>
              <w:left w:val="nil"/>
              <w:right w:val="nil"/>
            </w:tcBorders>
            <w:shd w:val="clear" w:color="auto" w:fill="89B833"/>
          </w:tcPr>
          <w:p>
            <w:pPr/>
          </w:p>
        </w:tc>
        <w:tc>
          <w:tcPr>
            <w:tcW w:w="432" w:type="dxa"/>
            <w:tcBorders>
              <w:left w:val="nil"/>
            </w:tcBorders>
          </w:tcPr>
          <w:p>
            <w:pPr/>
          </w:p>
        </w:tc>
        <w:tc>
          <w:tcPr>
            <w:tcW w:w="432" w:type="dxa"/>
            <w:tcBorders>
              <w:right w:val="nil"/>
            </w:tcBorders>
          </w:tcPr>
          <w:p>
            <w:pPr/>
          </w:p>
        </w:tc>
        <w:tc>
          <w:tcPr>
            <w:tcW w:w="324" w:type="dxa"/>
            <w:vMerge/>
            <w:tcBorders>
              <w:left w:val="nil"/>
              <w:right w:val="nil"/>
            </w:tcBorders>
            <w:shd w:val="clear" w:color="auto" w:fill="89B833"/>
          </w:tcPr>
          <w:p>
            <w:pPr/>
          </w:p>
        </w:tc>
        <w:tc>
          <w:tcPr>
            <w:tcW w:w="430" w:type="dxa"/>
            <w:tcBorders>
              <w:left w:val="nil"/>
            </w:tcBorders>
          </w:tcPr>
          <w:p>
            <w:pPr/>
          </w:p>
        </w:tc>
        <w:tc>
          <w:tcPr>
            <w:tcW w:w="432" w:type="dxa"/>
            <w:tcBorders>
              <w:right w:val="nil"/>
            </w:tcBorders>
          </w:tcPr>
          <w:p>
            <w:pPr/>
          </w:p>
        </w:tc>
        <w:tc>
          <w:tcPr>
            <w:tcW w:w="324" w:type="dxa"/>
            <w:vMerge/>
            <w:tcBorders>
              <w:left w:val="nil"/>
              <w:right w:val="nil"/>
            </w:tcBorders>
            <w:shd w:val="clear" w:color="auto" w:fill="89B833"/>
          </w:tcPr>
          <w:p>
            <w:pPr/>
          </w:p>
        </w:tc>
        <w:tc>
          <w:tcPr>
            <w:tcW w:w="432" w:type="dxa"/>
            <w:tcBorders>
              <w:left w:val="nil"/>
            </w:tcBorders>
          </w:tcPr>
          <w:p>
            <w:pPr/>
          </w:p>
        </w:tc>
        <w:tc>
          <w:tcPr>
            <w:tcW w:w="432" w:type="dxa"/>
            <w:tcBorders>
              <w:right w:val="nil"/>
            </w:tcBorders>
          </w:tcPr>
          <w:p>
            <w:pPr/>
          </w:p>
        </w:tc>
        <w:tc>
          <w:tcPr>
            <w:tcW w:w="322" w:type="dxa"/>
            <w:vMerge/>
            <w:tcBorders>
              <w:left w:val="nil"/>
              <w:right w:val="nil"/>
            </w:tcBorders>
            <w:shd w:val="clear" w:color="auto" w:fill="89B833"/>
          </w:tcPr>
          <w:p>
            <w:pPr/>
          </w:p>
        </w:tc>
        <w:tc>
          <w:tcPr>
            <w:tcW w:w="432" w:type="dxa"/>
            <w:tcBorders>
              <w:left w:val="nil"/>
            </w:tcBorders>
          </w:tcPr>
          <w:p>
            <w:pPr/>
          </w:p>
        </w:tc>
      </w:tr>
      <w:tr>
        <w:trPr>
          <w:trHeight w:val="389" w:hRule="exact"/>
        </w:trPr>
        <w:tc>
          <w:tcPr>
            <w:tcW w:w="1186" w:type="dxa"/>
          </w:tcPr>
          <w:p>
            <w:pPr/>
          </w:p>
        </w:tc>
        <w:tc>
          <w:tcPr>
            <w:tcW w:w="432" w:type="dxa"/>
            <w:tcBorders>
              <w:right w:val="nil"/>
            </w:tcBorders>
          </w:tcPr>
          <w:p>
            <w:pPr/>
          </w:p>
        </w:tc>
        <w:tc>
          <w:tcPr>
            <w:tcW w:w="324" w:type="dxa"/>
            <w:vMerge w:val="restart"/>
            <w:tcBorders>
              <w:left w:val="nil"/>
              <w:right w:val="nil"/>
            </w:tcBorders>
            <w:shd w:val="clear" w:color="auto" w:fill="89B833"/>
          </w:tcPr>
          <w:p>
            <w:pPr/>
          </w:p>
        </w:tc>
        <w:tc>
          <w:tcPr>
            <w:tcW w:w="432" w:type="dxa"/>
            <w:tcBorders>
              <w:left w:val="nil"/>
            </w:tcBorders>
          </w:tcPr>
          <w:p>
            <w:pPr/>
          </w:p>
        </w:tc>
        <w:tc>
          <w:tcPr>
            <w:tcW w:w="432" w:type="dxa"/>
            <w:tcBorders>
              <w:right w:val="nil"/>
            </w:tcBorders>
          </w:tcPr>
          <w:p>
            <w:pPr/>
          </w:p>
        </w:tc>
        <w:tc>
          <w:tcPr>
            <w:tcW w:w="322" w:type="dxa"/>
            <w:vMerge/>
            <w:tcBorders>
              <w:left w:val="nil"/>
              <w:right w:val="nil"/>
            </w:tcBorders>
            <w:shd w:val="clear" w:color="auto" w:fill="89B833"/>
          </w:tcPr>
          <w:p>
            <w:pPr/>
          </w:p>
        </w:tc>
        <w:tc>
          <w:tcPr>
            <w:tcW w:w="432" w:type="dxa"/>
            <w:tcBorders>
              <w:left w:val="nil"/>
            </w:tcBorders>
          </w:tcPr>
          <w:p>
            <w:pPr/>
          </w:p>
        </w:tc>
        <w:tc>
          <w:tcPr>
            <w:tcW w:w="432" w:type="dxa"/>
            <w:tcBorders>
              <w:right w:val="nil"/>
            </w:tcBorders>
          </w:tcPr>
          <w:p>
            <w:pPr/>
          </w:p>
        </w:tc>
        <w:tc>
          <w:tcPr>
            <w:tcW w:w="324" w:type="dxa"/>
            <w:vMerge/>
            <w:tcBorders>
              <w:left w:val="nil"/>
              <w:right w:val="nil"/>
            </w:tcBorders>
            <w:shd w:val="clear" w:color="auto" w:fill="89B833"/>
          </w:tcPr>
          <w:p>
            <w:pPr/>
          </w:p>
        </w:tc>
        <w:tc>
          <w:tcPr>
            <w:tcW w:w="430" w:type="dxa"/>
            <w:tcBorders>
              <w:left w:val="nil"/>
            </w:tcBorders>
          </w:tcPr>
          <w:p>
            <w:pPr/>
          </w:p>
        </w:tc>
        <w:tc>
          <w:tcPr>
            <w:tcW w:w="432" w:type="dxa"/>
            <w:tcBorders>
              <w:right w:val="nil"/>
            </w:tcBorders>
          </w:tcPr>
          <w:p>
            <w:pPr/>
          </w:p>
        </w:tc>
        <w:tc>
          <w:tcPr>
            <w:tcW w:w="324" w:type="dxa"/>
            <w:vMerge/>
            <w:tcBorders>
              <w:left w:val="nil"/>
              <w:right w:val="nil"/>
            </w:tcBorders>
            <w:shd w:val="clear" w:color="auto" w:fill="89B833"/>
          </w:tcPr>
          <w:p>
            <w:pPr/>
          </w:p>
        </w:tc>
        <w:tc>
          <w:tcPr>
            <w:tcW w:w="432" w:type="dxa"/>
            <w:tcBorders>
              <w:left w:val="nil"/>
            </w:tcBorders>
          </w:tcPr>
          <w:p>
            <w:pPr/>
          </w:p>
        </w:tc>
        <w:tc>
          <w:tcPr>
            <w:tcW w:w="432" w:type="dxa"/>
            <w:tcBorders>
              <w:right w:val="nil"/>
            </w:tcBorders>
          </w:tcPr>
          <w:p>
            <w:pPr/>
          </w:p>
        </w:tc>
        <w:tc>
          <w:tcPr>
            <w:tcW w:w="322" w:type="dxa"/>
            <w:vMerge/>
            <w:tcBorders>
              <w:left w:val="nil"/>
              <w:right w:val="nil"/>
            </w:tcBorders>
            <w:shd w:val="clear" w:color="auto" w:fill="89B833"/>
          </w:tcPr>
          <w:p>
            <w:pPr/>
          </w:p>
        </w:tc>
        <w:tc>
          <w:tcPr>
            <w:tcW w:w="432" w:type="dxa"/>
            <w:tcBorders>
              <w:left w:val="nil"/>
            </w:tcBorders>
          </w:tcPr>
          <w:p>
            <w:pPr/>
          </w:p>
        </w:tc>
      </w:tr>
      <w:tr>
        <w:trPr>
          <w:trHeight w:val="389" w:hRule="exact"/>
        </w:trPr>
        <w:tc>
          <w:tcPr>
            <w:tcW w:w="1186" w:type="dxa"/>
          </w:tcPr>
          <w:p>
            <w:pPr/>
          </w:p>
        </w:tc>
        <w:tc>
          <w:tcPr>
            <w:tcW w:w="432" w:type="dxa"/>
            <w:tcBorders>
              <w:right w:val="nil"/>
            </w:tcBorders>
          </w:tcPr>
          <w:p>
            <w:pPr/>
          </w:p>
        </w:tc>
        <w:tc>
          <w:tcPr>
            <w:tcW w:w="324" w:type="dxa"/>
            <w:vMerge/>
            <w:tcBorders>
              <w:left w:val="nil"/>
              <w:right w:val="nil"/>
            </w:tcBorders>
            <w:shd w:val="clear" w:color="auto" w:fill="89B833"/>
          </w:tcPr>
          <w:p>
            <w:pPr/>
          </w:p>
        </w:tc>
        <w:tc>
          <w:tcPr>
            <w:tcW w:w="432" w:type="dxa"/>
            <w:tcBorders>
              <w:left w:val="nil"/>
            </w:tcBorders>
          </w:tcPr>
          <w:p>
            <w:pPr/>
          </w:p>
        </w:tc>
        <w:tc>
          <w:tcPr>
            <w:tcW w:w="432" w:type="dxa"/>
            <w:tcBorders>
              <w:right w:val="nil"/>
            </w:tcBorders>
          </w:tcPr>
          <w:p>
            <w:pPr/>
          </w:p>
        </w:tc>
        <w:tc>
          <w:tcPr>
            <w:tcW w:w="322" w:type="dxa"/>
            <w:vMerge/>
            <w:tcBorders>
              <w:left w:val="nil"/>
              <w:right w:val="nil"/>
            </w:tcBorders>
            <w:shd w:val="clear" w:color="auto" w:fill="89B833"/>
          </w:tcPr>
          <w:p>
            <w:pPr/>
          </w:p>
        </w:tc>
        <w:tc>
          <w:tcPr>
            <w:tcW w:w="432" w:type="dxa"/>
            <w:tcBorders>
              <w:left w:val="nil"/>
            </w:tcBorders>
          </w:tcPr>
          <w:p>
            <w:pPr/>
          </w:p>
        </w:tc>
        <w:tc>
          <w:tcPr>
            <w:tcW w:w="432" w:type="dxa"/>
            <w:tcBorders>
              <w:right w:val="nil"/>
            </w:tcBorders>
          </w:tcPr>
          <w:p>
            <w:pPr/>
          </w:p>
        </w:tc>
        <w:tc>
          <w:tcPr>
            <w:tcW w:w="324" w:type="dxa"/>
            <w:vMerge/>
            <w:tcBorders>
              <w:left w:val="nil"/>
              <w:right w:val="nil"/>
            </w:tcBorders>
            <w:shd w:val="clear" w:color="auto" w:fill="89B833"/>
          </w:tcPr>
          <w:p>
            <w:pPr/>
          </w:p>
        </w:tc>
        <w:tc>
          <w:tcPr>
            <w:tcW w:w="430" w:type="dxa"/>
            <w:tcBorders>
              <w:left w:val="nil"/>
            </w:tcBorders>
          </w:tcPr>
          <w:p>
            <w:pPr/>
          </w:p>
        </w:tc>
        <w:tc>
          <w:tcPr>
            <w:tcW w:w="432" w:type="dxa"/>
            <w:tcBorders>
              <w:right w:val="nil"/>
            </w:tcBorders>
          </w:tcPr>
          <w:p>
            <w:pPr/>
          </w:p>
        </w:tc>
        <w:tc>
          <w:tcPr>
            <w:tcW w:w="324" w:type="dxa"/>
            <w:vMerge/>
            <w:tcBorders>
              <w:left w:val="nil"/>
              <w:right w:val="nil"/>
            </w:tcBorders>
            <w:shd w:val="clear" w:color="auto" w:fill="89B833"/>
          </w:tcPr>
          <w:p>
            <w:pPr/>
          </w:p>
        </w:tc>
        <w:tc>
          <w:tcPr>
            <w:tcW w:w="432" w:type="dxa"/>
            <w:tcBorders>
              <w:left w:val="nil"/>
            </w:tcBorders>
          </w:tcPr>
          <w:p>
            <w:pPr/>
          </w:p>
        </w:tc>
        <w:tc>
          <w:tcPr>
            <w:tcW w:w="432" w:type="dxa"/>
            <w:tcBorders>
              <w:right w:val="nil"/>
            </w:tcBorders>
          </w:tcPr>
          <w:p>
            <w:pPr/>
          </w:p>
        </w:tc>
        <w:tc>
          <w:tcPr>
            <w:tcW w:w="322" w:type="dxa"/>
            <w:vMerge/>
            <w:tcBorders>
              <w:left w:val="nil"/>
              <w:right w:val="nil"/>
            </w:tcBorders>
            <w:shd w:val="clear" w:color="auto" w:fill="89B833"/>
          </w:tcPr>
          <w:p>
            <w:pPr/>
          </w:p>
        </w:tc>
        <w:tc>
          <w:tcPr>
            <w:tcW w:w="432" w:type="dxa"/>
            <w:tcBorders>
              <w:left w:val="nil"/>
            </w:tcBorders>
          </w:tcPr>
          <w:p>
            <w:pPr/>
          </w:p>
        </w:tc>
      </w:tr>
      <w:tr>
        <w:trPr>
          <w:trHeight w:val="389" w:hRule="exact"/>
        </w:trPr>
        <w:tc>
          <w:tcPr>
            <w:tcW w:w="1186" w:type="dxa"/>
            <w:tcBorders>
              <w:bottom w:val="single" w:sz="32" w:space="0" w:color="89B833"/>
            </w:tcBorders>
          </w:tcPr>
          <w:p>
            <w:pPr>
              <w:pStyle w:val="TableParagraph"/>
              <w:spacing w:before="8"/>
              <w:ind w:left="407" w:right="407"/>
              <w:rPr>
                <w:sz w:val="18"/>
              </w:rPr>
            </w:pPr>
            <w:r>
              <w:rPr>
                <w:color w:val="404040"/>
                <w:sz w:val="18"/>
              </w:rPr>
              <w:t>2.0</w:t>
            </w:r>
          </w:p>
        </w:tc>
        <w:tc>
          <w:tcPr>
            <w:tcW w:w="432" w:type="dxa"/>
            <w:tcBorders>
              <w:right w:val="nil"/>
            </w:tcBorders>
          </w:tcPr>
          <w:p>
            <w:pPr/>
          </w:p>
        </w:tc>
        <w:tc>
          <w:tcPr>
            <w:tcW w:w="324" w:type="dxa"/>
            <w:vMerge/>
            <w:tcBorders>
              <w:left w:val="nil"/>
              <w:right w:val="nil"/>
            </w:tcBorders>
            <w:shd w:val="clear" w:color="auto" w:fill="89B833"/>
          </w:tcPr>
          <w:p>
            <w:pPr/>
          </w:p>
        </w:tc>
        <w:tc>
          <w:tcPr>
            <w:tcW w:w="432" w:type="dxa"/>
            <w:tcBorders>
              <w:left w:val="nil"/>
            </w:tcBorders>
          </w:tcPr>
          <w:p>
            <w:pPr/>
          </w:p>
        </w:tc>
        <w:tc>
          <w:tcPr>
            <w:tcW w:w="432" w:type="dxa"/>
            <w:tcBorders>
              <w:right w:val="nil"/>
            </w:tcBorders>
          </w:tcPr>
          <w:p>
            <w:pPr/>
          </w:p>
        </w:tc>
        <w:tc>
          <w:tcPr>
            <w:tcW w:w="322" w:type="dxa"/>
            <w:vMerge/>
            <w:tcBorders>
              <w:left w:val="nil"/>
              <w:right w:val="nil"/>
            </w:tcBorders>
            <w:shd w:val="clear" w:color="auto" w:fill="89B833"/>
          </w:tcPr>
          <w:p>
            <w:pPr/>
          </w:p>
        </w:tc>
        <w:tc>
          <w:tcPr>
            <w:tcW w:w="432" w:type="dxa"/>
            <w:tcBorders>
              <w:left w:val="nil"/>
            </w:tcBorders>
          </w:tcPr>
          <w:p>
            <w:pPr/>
          </w:p>
        </w:tc>
        <w:tc>
          <w:tcPr>
            <w:tcW w:w="432" w:type="dxa"/>
            <w:tcBorders>
              <w:right w:val="nil"/>
            </w:tcBorders>
          </w:tcPr>
          <w:p>
            <w:pPr/>
          </w:p>
        </w:tc>
        <w:tc>
          <w:tcPr>
            <w:tcW w:w="324" w:type="dxa"/>
            <w:vMerge/>
            <w:tcBorders>
              <w:left w:val="nil"/>
              <w:right w:val="nil"/>
            </w:tcBorders>
            <w:shd w:val="clear" w:color="auto" w:fill="89B833"/>
          </w:tcPr>
          <w:p>
            <w:pPr/>
          </w:p>
        </w:tc>
        <w:tc>
          <w:tcPr>
            <w:tcW w:w="430" w:type="dxa"/>
            <w:tcBorders>
              <w:left w:val="nil"/>
            </w:tcBorders>
          </w:tcPr>
          <w:p>
            <w:pPr/>
          </w:p>
        </w:tc>
        <w:tc>
          <w:tcPr>
            <w:tcW w:w="432" w:type="dxa"/>
            <w:tcBorders>
              <w:right w:val="nil"/>
            </w:tcBorders>
          </w:tcPr>
          <w:p>
            <w:pPr/>
          </w:p>
        </w:tc>
        <w:tc>
          <w:tcPr>
            <w:tcW w:w="324" w:type="dxa"/>
            <w:vMerge/>
            <w:tcBorders>
              <w:left w:val="nil"/>
              <w:right w:val="nil"/>
            </w:tcBorders>
            <w:shd w:val="clear" w:color="auto" w:fill="89B833"/>
          </w:tcPr>
          <w:p>
            <w:pPr/>
          </w:p>
        </w:tc>
        <w:tc>
          <w:tcPr>
            <w:tcW w:w="432" w:type="dxa"/>
            <w:tcBorders>
              <w:left w:val="nil"/>
            </w:tcBorders>
          </w:tcPr>
          <w:p>
            <w:pPr/>
          </w:p>
        </w:tc>
        <w:tc>
          <w:tcPr>
            <w:tcW w:w="432" w:type="dxa"/>
            <w:tcBorders>
              <w:right w:val="nil"/>
            </w:tcBorders>
          </w:tcPr>
          <w:p>
            <w:pPr/>
          </w:p>
        </w:tc>
        <w:tc>
          <w:tcPr>
            <w:tcW w:w="322" w:type="dxa"/>
            <w:vMerge/>
            <w:tcBorders>
              <w:left w:val="nil"/>
              <w:right w:val="nil"/>
            </w:tcBorders>
            <w:shd w:val="clear" w:color="auto" w:fill="89B833"/>
          </w:tcPr>
          <w:p>
            <w:pPr/>
          </w:p>
        </w:tc>
        <w:tc>
          <w:tcPr>
            <w:tcW w:w="432" w:type="dxa"/>
            <w:tcBorders>
              <w:left w:val="nil"/>
            </w:tcBorders>
          </w:tcPr>
          <w:p>
            <w:pPr/>
          </w:p>
        </w:tc>
      </w:tr>
    </w:tbl>
    <w:p>
      <w:pPr>
        <w:pStyle w:val="BodyText"/>
        <w:rPr>
          <w:b/>
        </w:rPr>
      </w:pPr>
    </w:p>
    <w:p>
      <w:pPr>
        <w:pStyle w:val="BodyText"/>
        <w:rPr>
          <w:b/>
        </w:rPr>
      </w:pPr>
    </w:p>
    <w:p>
      <w:pPr>
        <w:pStyle w:val="BodyText"/>
        <w:spacing w:before="11"/>
        <w:rPr>
          <w:b/>
          <w:sz w:val="35"/>
        </w:rPr>
      </w:pPr>
    </w:p>
    <w:p>
      <w:pPr>
        <w:spacing w:before="0"/>
        <w:ind w:left="383" w:right="400" w:firstLine="0"/>
        <w:jc w:val="center"/>
        <w:rPr>
          <w:sz w:val="18"/>
        </w:rPr>
      </w:pPr>
      <w:r>
        <w:rPr>
          <w:sz w:val="18"/>
        </w:rPr>
        <w:t>Fuente: Elaboración propia con base en datos del INEGI (2009).</w:t>
      </w:r>
    </w:p>
    <w:p>
      <w:pPr>
        <w:pStyle w:val="BodyText"/>
        <w:rPr>
          <w:sz w:val="18"/>
        </w:rPr>
      </w:pPr>
    </w:p>
    <w:p>
      <w:pPr>
        <w:pStyle w:val="BodyText"/>
        <w:spacing w:line="360" w:lineRule="auto" w:before="135"/>
        <w:ind w:left="102" w:right="115"/>
        <w:jc w:val="both"/>
      </w:pPr>
      <w:r>
        <w:rPr/>
        <w:t>Como vemos, la industria automotriz tiene una importante participación dentro del sector manufacturero, lo que lleva a pensar que dicha industria puede fungir como un motor de crecimiento dentro del sector. En este sentido, es necesario realizar un análisis más puntual de</w:t>
      </w:r>
      <w:r>
        <w:rPr>
          <w:spacing w:val="-7"/>
        </w:rPr>
        <w:t> </w:t>
      </w:r>
      <w:r>
        <w:rPr/>
        <w:t>la</w:t>
      </w:r>
      <w:r>
        <w:rPr>
          <w:spacing w:val="-7"/>
        </w:rPr>
        <w:t> </w:t>
      </w:r>
      <w:r>
        <w:rPr/>
        <w:t>industria</w:t>
      </w:r>
      <w:r>
        <w:rPr>
          <w:spacing w:val="-7"/>
        </w:rPr>
        <w:t> </w:t>
      </w:r>
      <w:r>
        <w:rPr/>
        <w:t>automotriz</w:t>
      </w:r>
      <w:r>
        <w:rPr>
          <w:spacing w:val="-7"/>
        </w:rPr>
        <w:t> </w:t>
      </w:r>
      <w:r>
        <w:rPr/>
        <w:t>de</w:t>
      </w:r>
      <w:r>
        <w:rPr>
          <w:spacing w:val="-7"/>
        </w:rPr>
        <w:t> </w:t>
      </w:r>
      <w:r>
        <w:rPr/>
        <w:t>México,</w:t>
      </w:r>
      <w:r>
        <w:rPr>
          <w:spacing w:val="-7"/>
        </w:rPr>
        <w:t> </w:t>
      </w:r>
      <w:r>
        <w:rPr/>
        <w:t>que</w:t>
      </w:r>
      <w:r>
        <w:rPr>
          <w:spacing w:val="-7"/>
        </w:rPr>
        <w:t> </w:t>
      </w:r>
      <w:r>
        <w:rPr/>
        <w:t>nos</w:t>
      </w:r>
      <w:r>
        <w:rPr>
          <w:spacing w:val="-6"/>
        </w:rPr>
        <w:t> </w:t>
      </w:r>
      <w:r>
        <w:rPr/>
        <w:t>permita</w:t>
      </w:r>
      <w:r>
        <w:rPr>
          <w:spacing w:val="-7"/>
        </w:rPr>
        <w:t> </w:t>
      </w:r>
      <w:r>
        <w:rPr/>
        <w:t>conocer</w:t>
      </w:r>
      <w:r>
        <w:rPr>
          <w:spacing w:val="-7"/>
        </w:rPr>
        <w:t> </w:t>
      </w:r>
      <w:r>
        <w:rPr/>
        <w:t>su</w:t>
      </w:r>
      <w:r>
        <w:rPr>
          <w:spacing w:val="-6"/>
        </w:rPr>
        <w:t> </w:t>
      </w:r>
      <w:r>
        <w:rPr/>
        <w:t>desarrollo</w:t>
      </w:r>
      <w:r>
        <w:rPr>
          <w:spacing w:val="-4"/>
        </w:rPr>
        <w:t> </w:t>
      </w:r>
      <w:r>
        <w:rPr/>
        <w:t>y</w:t>
      </w:r>
      <w:r>
        <w:rPr>
          <w:spacing w:val="-11"/>
        </w:rPr>
        <w:t> </w:t>
      </w:r>
      <w:r>
        <w:rPr/>
        <w:t>desempeño</w:t>
      </w:r>
      <w:r>
        <w:rPr>
          <w:spacing w:val="-3"/>
        </w:rPr>
        <w:t> </w:t>
      </w:r>
      <w:r>
        <w:rPr/>
        <w:t>en</w:t>
      </w:r>
    </w:p>
    <w:p>
      <w:pPr>
        <w:spacing w:after="0" w:line="360" w:lineRule="auto"/>
        <w:jc w:val="both"/>
        <w:sectPr>
          <w:pgSz w:w="12240" w:h="15840"/>
          <w:pgMar w:header="0" w:footer="1035" w:top="1360" w:bottom="1220" w:left="1600" w:right="1580"/>
        </w:sectPr>
      </w:pPr>
    </w:p>
    <w:p>
      <w:pPr>
        <w:pStyle w:val="BodyText"/>
        <w:spacing w:line="360" w:lineRule="auto" w:before="50"/>
        <w:ind w:left="102" w:right="124"/>
        <w:jc w:val="both"/>
      </w:pPr>
      <w:r>
        <w:rPr/>
        <w:t>el país y dentro del sector manufacturero, por lo que en el apartado siguiente se presenta dicho análisis.</w:t>
      </w:r>
    </w:p>
    <w:p>
      <w:pPr>
        <w:pStyle w:val="BodyText"/>
        <w:spacing w:before="7"/>
        <w:rPr>
          <w:sz w:val="21"/>
        </w:rPr>
      </w:pPr>
    </w:p>
    <w:p>
      <w:pPr>
        <w:pStyle w:val="Heading1"/>
        <w:numPr>
          <w:ilvl w:val="1"/>
          <w:numId w:val="15"/>
        </w:numPr>
        <w:tabs>
          <w:tab w:pos="522" w:val="left" w:leader="none"/>
        </w:tabs>
        <w:spacing w:line="240" w:lineRule="auto" w:before="0" w:after="0"/>
        <w:ind w:left="522" w:right="0" w:hanging="420"/>
        <w:jc w:val="both"/>
      </w:pPr>
      <w:bookmarkStart w:name="_TOC_250019" w:id="16"/>
      <w:r>
        <w:rPr/>
        <w:t>Desarrollo de la industria automotriz en</w:t>
      </w:r>
      <w:r>
        <w:rPr>
          <w:spacing w:val="-11"/>
        </w:rPr>
        <w:t> </w:t>
      </w:r>
      <w:bookmarkEnd w:id="16"/>
      <w:r>
        <w:rPr/>
        <w:t>México</w:t>
      </w:r>
    </w:p>
    <w:p>
      <w:pPr>
        <w:pStyle w:val="BodyText"/>
        <w:spacing w:before="6"/>
        <w:rPr>
          <w:b/>
          <w:sz w:val="32"/>
        </w:rPr>
      </w:pPr>
    </w:p>
    <w:p>
      <w:pPr>
        <w:pStyle w:val="BodyText"/>
        <w:spacing w:line="360" w:lineRule="auto"/>
        <w:ind w:left="102" w:right="120"/>
        <w:jc w:val="both"/>
      </w:pPr>
      <w:r>
        <w:rPr/>
        <w:t>Como</w:t>
      </w:r>
      <w:r>
        <w:rPr>
          <w:spacing w:val="-13"/>
        </w:rPr>
        <w:t> </w:t>
      </w:r>
      <w:r>
        <w:rPr/>
        <w:t>se</w:t>
      </w:r>
      <w:r>
        <w:rPr>
          <w:spacing w:val="-14"/>
        </w:rPr>
        <w:t> </w:t>
      </w:r>
      <w:r>
        <w:rPr/>
        <w:t>mencionó,</w:t>
      </w:r>
      <w:r>
        <w:rPr>
          <w:spacing w:val="-12"/>
        </w:rPr>
        <w:t> </w:t>
      </w:r>
      <w:r>
        <w:rPr/>
        <w:t>a</w:t>
      </w:r>
      <w:r>
        <w:rPr>
          <w:spacing w:val="-12"/>
        </w:rPr>
        <w:t> </w:t>
      </w:r>
      <w:r>
        <w:rPr/>
        <w:t>nivel</w:t>
      </w:r>
      <w:r>
        <w:rPr>
          <w:spacing w:val="-13"/>
        </w:rPr>
        <w:t> </w:t>
      </w:r>
      <w:r>
        <w:rPr/>
        <w:t>global,</w:t>
      </w:r>
      <w:r>
        <w:rPr>
          <w:spacing w:val="-13"/>
        </w:rPr>
        <w:t> </w:t>
      </w:r>
      <w:r>
        <w:rPr/>
        <w:t>la</w:t>
      </w:r>
      <w:r>
        <w:rPr>
          <w:spacing w:val="-14"/>
        </w:rPr>
        <w:t> </w:t>
      </w:r>
      <w:r>
        <w:rPr/>
        <w:t>importancia</w:t>
      </w:r>
      <w:r>
        <w:rPr>
          <w:spacing w:val="-12"/>
        </w:rPr>
        <w:t> </w:t>
      </w:r>
      <w:r>
        <w:rPr/>
        <w:t>de</w:t>
      </w:r>
      <w:r>
        <w:rPr>
          <w:spacing w:val="-14"/>
        </w:rPr>
        <w:t> </w:t>
      </w:r>
      <w:r>
        <w:rPr/>
        <w:t>la</w:t>
      </w:r>
      <w:r>
        <w:rPr>
          <w:spacing w:val="-14"/>
        </w:rPr>
        <w:t> </w:t>
      </w:r>
      <w:r>
        <w:rPr/>
        <w:t>industria</w:t>
      </w:r>
      <w:r>
        <w:rPr>
          <w:spacing w:val="-12"/>
        </w:rPr>
        <w:t> </w:t>
      </w:r>
      <w:r>
        <w:rPr/>
        <w:t>automotriz</w:t>
      </w:r>
      <w:r>
        <w:rPr>
          <w:spacing w:val="-12"/>
        </w:rPr>
        <w:t> </w:t>
      </w:r>
      <w:r>
        <w:rPr/>
        <w:t>en</w:t>
      </w:r>
      <w:r>
        <w:rPr>
          <w:spacing w:val="-13"/>
        </w:rPr>
        <w:t> </w:t>
      </w:r>
      <w:r>
        <w:rPr/>
        <w:t>las</w:t>
      </w:r>
      <w:r>
        <w:rPr>
          <w:spacing w:val="-11"/>
        </w:rPr>
        <w:t> </w:t>
      </w:r>
      <w:r>
        <w:rPr/>
        <w:t>economías nacionales y su papel como propulsor para el desarrollo de otros sectores de alto valor agregado, han provocado que diversos países tengan como uno de sus principales objetivos el desarrollo y/o fortalecimiento de esta</w:t>
      </w:r>
      <w:r>
        <w:rPr>
          <w:spacing w:val="-12"/>
        </w:rPr>
        <w:t> </w:t>
      </w:r>
      <w:r>
        <w:rPr/>
        <w:t>industria.</w:t>
      </w:r>
    </w:p>
    <w:p>
      <w:pPr>
        <w:pStyle w:val="BodyText"/>
        <w:spacing w:before="4"/>
        <w:rPr>
          <w:sz w:val="21"/>
        </w:rPr>
      </w:pPr>
    </w:p>
    <w:p>
      <w:pPr>
        <w:pStyle w:val="BodyText"/>
        <w:spacing w:line="360" w:lineRule="auto" w:before="1"/>
        <w:ind w:left="102" w:right="116"/>
        <w:jc w:val="both"/>
      </w:pPr>
      <w:r>
        <w:rPr/>
        <w:t>México no es la excepción, pues la industria automotriz ha representado históricamente un sector estratégico para el desarrollo del país. Su participación en las exportaciones la coloca como</w:t>
      </w:r>
      <w:r>
        <w:rPr>
          <w:spacing w:val="-13"/>
        </w:rPr>
        <w:t> </w:t>
      </w:r>
      <w:r>
        <w:rPr/>
        <w:t>la</w:t>
      </w:r>
      <w:r>
        <w:rPr>
          <w:spacing w:val="-14"/>
        </w:rPr>
        <w:t> </w:t>
      </w:r>
      <w:r>
        <w:rPr/>
        <w:t>industria</w:t>
      </w:r>
      <w:r>
        <w:rPr>
          <w:spacing w:val="-14"/>
        </w:rPr>
        <w:t> </w:t>
      </w:r>
      <w:r>
        <w:rPr/>
        <w:t>más</w:t>
      </w:r>
      <w:r>
        <w:rPr>
          <w:spacing w:val="-13"/>
        </w:rPr>
        <w:t> </w:t>
      </w:r>
      <w:r>
        <w:rPr/>
        <w:t>importante,</w:t>
      </w:r>
      <w:r>
        <w:rPr>
          <w:spacing w:val="-14"/>
        </w:rPr>
        <w:t> </w:t>
      </w:r>
      <w:r>
        <w:rPr/>
        <w:t>superando</w:t>
      </w:r>
      <w:r>
        <w:rPr>
          <w:spacing w:val="-13"/>
        </w:rPr>
        <w:t> </w:t>
      </w:r>
      <w:r>
        <w:rPr/>
        <w:t>incluso</w:t>
      </w:r>
      <w:r>
        <w:rPr>
          <w:spacing w:val="-13"/>
        </w:rPr>
        <w:t> </w:t>
      </w:r>
      <w:r>
        <w:rPr/>
        <w:t>a</w:t>
      </w:r>
      <w:r>
        <w:rPr>
          <w:spacing w:val="-14"/>
        </w:rPr>
        <w:t> </w:t>
      </w:r>
      <w:r>
        <w:rPr/>
        <w:t>las</w:t>
      </w:r>
      <w:r>
        <w:rPr>
          <w:spacing w:val="-14"/>
        </w:rPr>
        <w:t> </w:t>
      </w:r>
      <w:r>
        <w:rPr/>
        <w:t>petroleras,</w:t>
      </w:r>
      <w:r>
        <w:rPr>
          <w:spacing w:val="-12"/>
        </w:rPr>
        <w:t> </w:t>
      </w:r>
      <w:r>
        <w:rPr/>
        <w:t>al</w:t>
      </w:r>
      <w:r>
        <w:rPr>
          <w:spacing w:val="-13"/>
        </w:rPr>
        <w:t> </w:t>
      </w:r>
      <w:r>
        <w:rPr/>
        <w:t>contribuir</w:t>
      </w:r>
      <w:r>
        <w:rPr>
          <w:spacing w:val="-14"/>
        </w:rPr>
        <w:t> </w:t>
      </w:r>
      <w:r>
        <w:rPr/>
        <w:t>con</w:t>
      </w:r>
      <w:r>
        <w:rPr>
          <w:spacing w:val="-13"/>
        </w:rPr>
        <w:t> </w:t>
      </w:r>
      <w:r>
        <w:rPr/>
        <w:t>el</w:t>
      </w:r>
      <w:r>
        <w:rPr>
          <w:spacing w:val="-13"/>
        </w:rPr>
        <w:t> </w:t>
      </w:r>
      <w:r>
        <w:rPr/>
        <w:t>20% del valor de las exportaciones totales, además ésta ha incrementado sustancialmente su capacidad</w:t>
      </w:r>
      <w:r>
        <w:rPr>
          <w:spacing w:val="-14"/>
        </w:rPr>
        <w:t> </w:t>
      </w:r>
      <w:r>
        <w:rPr/>
        <w:t>exportadora</w:t>
      </w:r>
      <w:r>
        <w:rPr>
          <w:spacing w:val="-10"/>
        </w:rPr>
        <w:t> </w:t>
      </w:r>
      <w:r>
        <w:rPr/>
        <w:t>y</w:t>
      </w:r>
      <w:r>
        <w:rPr>
          <w:spacing w:val="-16"/>
        </w:rPr>
        <w:t> </w:t>
      </w:r>
      <w:r>
        <w:rPr/>
        <w:t>por</w:t>
      </w:r>
      <w:r>
        <w:rPr>
          <w:spacing w:val="-14"/>
        </w:rPr>
        <w:t> </w:t>
      </w:r>
      <w:r>
        <w:rPr/>
        <w:t>ende,</w:t>
      </w:r>
      <w:r>
        <w:rPr>
          <w:spacing w:val="-13"/>
        </w:rPr>
        <w:t> </w:t>
      </w:r>
      <w:r>
        <w:rPr/>
        <w:t>la</w:t>
      </w:r>
      <w:r>
        <w:rPr>
          <w:spacing w:val="-14"/>
        </w:rPr>
        <w:t> </w:t>
      </w:r>
      <w:r>
        <w:rPr/>
        <w:t>generación</w:t>
      </w:r>
      <w:r>
        <w:rPr>
          <w:spacing w:val="-13"/>
        </w:rPr>
        <w:t> </w:t>
      </w:r>
      <w:r>
        <w:rPr/>
        <w:t>de</w:t>
      </w:r>
      <w:r>
        <w:rPr>
          <w:spacing w:val="-14"/>
        </w:rPr>
        <w:t> </w:t>
      </w:r>
      <w:r>
        <w:rPr/>
        <w:t>divisas</w:t>
      </w:r>
      <w:r>
        <w:rPr>
          <w:spacing w:val="-13"/>
        </w:rPr>
        <w:t> </w:t>
      </w:r>
      <w:r>
        <w:rPr/>
        <w:t>para</w:t>
      </w:r>
      <w:r>
        <w:rPr>
          <w:spacing w:val="-14"/>
        </w:rPr>
        <w:t> </w:t>
      </w:r>
      <w:r>
        <w:rPr/>
        <w:t>México.</w:t>
      </w:r>
      <w:r>
        <w:rPr>
          <w:spacing w:val="-13"/>
        </w:rPr>
        <w:t> </w:t>
      </w:r>
      <w:r>
        <w:rPr/>
        <w:t>En</w:t>
      </w:r>
      <w:r>
        <w:rPr>
          <w:spacing w:val="-12"/>
        </w:rPr>
        <w:t> </w:t>
      </w:r>
      <w:r>
        <w:rPr/>
        <w:t>el</w:t>
      </w:r>
      <w:r>
        <w:rPr>
          <w:spacing w:val="-13"/>
        </w:rPr>
        <w:t> </w:t>
      </w:r>
      <w:r>
        <w:rPr/>
        <w:t>período</w:t>
      </w:r>
      <w:r>
        <w:rPr>
          <w:spacing w:val="-14"/>
        </w:rPr>
        <w:t> </w:t>
      </w:r>
      <w:r>
        <w:rPr/>
        <w:t>enero- agosto de 2014 la balanza automotriz fue superavitaria en 31,795 millones dólares, cuando la balanza comercial nacional fue deficitaria en 2,352 millones de dólares (AMIA,</w:t>
      </w:r>
      <w:r>
        <w:rPr>
          <w:spacing w:val="-17"/>
        </w:rPr>
        <w:t> </w:t>
      </w:r>
      <w:r>
        <w:rPr/>
        <w:t>2014).</w:t>
      </w:r>
    </w:p>
    <w:p>
      <w:pPr>
        <w:pStyle w:val="BodyText"/>
        <w:spacing w:before="2"/>
        <w:rPr>
          <w:sz w:val="21"/>
        </w:rPr>
      </w:pPr>
    </w:p>
    <w:p>
      <w:pPr>
        <w:pStyle w:val="BodyText"/>
        <w:spacing w:line="360" w:lineRule="auto"/>
        <w:ind w:left="102" w:right="119"/>
        <w:jc w:val="both"/>
      </w:pPr>
      <w:r>
        <w:rPr/>
        <w:t>Además, durante el 2014, México se convirtió en el séptimo productor más importante de automóviles</w:t>
      </w:r>
      <w:r>
        <w:rPr>
          <w:spacing w:val="-4"/>
        </w:rPr>
        <w:t> </w:t>
      </w:r>
      <w:r>
        <w:rPr/>
        <w:t>a</w:t>
      </w:r>
      <w:r>
        <w:rPr>
          <w:spacing w:val="-5"/>
        </w:rPr>
        <w:t> </w:t>
      </w:r>
      <w:r>
        <w:rPr/>
        <w:t>nivel</w:t>
      </w:r>
      <w:r>
        <w:rPr>
          <w:spacing w:val="-4"/>
        </w:rPr>
        <w:t> </w:t>
      </w:r>
      <w:r>
        <w:rPr/>
        <w:t>mundial,</w:t>
      </w:r>
      <w:r>
        <w:rPr>
          <w:spacing w:val="-3"/>
        </w:rPr>
        <w:t> </w:t>
      </w:r>
      <w:r>
        <w:rPr/>
        <w:t>se</w:t>
      </w:r>
      <w:r>
        <w:rPr>
          <w:spacing w:val="-5"/>
        </w:rPr>
        <w:t> </w:t>
      </w:r>
      <w:r>
        <w:rPr/>
        <w:t>consolidó</w:t>
      </w:r>
      <w:r>
        <w:rPr>
          <w:spacing w:val="-3"/>
        </w:rPr>
        <w:t> </w:t>
      </w:r>
      <w:r>
        <w:rPr/>
        <w:t>como</w:t>
      </w:r>
      <w:r>
        <w:rPr>
          <w:spacing w:val="-3"/>
        </w:rPr>
        <w:t> </w:t>
      </w:r>
      <w:r>
        <w:rPr/>
        <w:t>el</w:t>
      </w:r>
      <w:r>
        <w:rPr>
          <w:spacing w:val="-3"/>
        </w:rPr>
        <w:t> </w:t>
      </w:r>
      <w:r>
        <w:rPr/>
        <w:t>cuarto</w:t>
      </w:r>
      <w:r>
        <w:rPr>
          <w:spacing w:val="-4"/>
        </w:rPr>
        <w:t> </w:t>
      </w:r>
      <w:r>
        <w:rPr/>
        <w:t>exportador</w:t>
      </w:r>
      <w:r>
        <w:rPr>
          <w:spacing w:val="-5"/>
        </w:rPr>
        <w:t> </w:t>
      </w:r>
      <w:r>
        <w:rPr/>
        <w:t>de</w:t>
      </w:r>
      <w:r>
        <w:rPr>
          <w:spacing w:val="-5"/>
        </w:rPr>
        <w:t> </w:t>
      </w:r>
      <w:r>
        <w:rPr/>
        <w:t>vehículos</w:t>
      </w:r>
      <w:r>
        <w:rPr>
          <w:spacing w:val="-1"/>
        </w:rPr>
        <w:t> </w:t>
      </w:r>
      <w:r>
        <w:rPr/>
        <w:t>y</w:t>
      </w:r>
      <w:r>
        <w:rPr>
          <w:spacing w:val="-8"/>
        </w:rPr>
        <w:t> </w:t>
      </w:r>
      <w:r>
        <w:rPr/>
        <w:t>el</w:t>
      </w:r>
      <w:r>
        <w:rPr>
          <w:spacing w:val="-3"/>
        </w:rPr>
        <w:t> </w:t>
      </w:r>
      <w:r>
        <w:rPr/>
        <w:t>sexto productor de autopartes a nivel mundial (AMIA,</w:t>
      </w:r>
      <w:r>
        <w:rPr>
          <w:spacing w:val="-6"/>
        </w:rPr>
        <w:t> </w:t>
      </w:r>
      <w:r>
        <w:rPr/>
        <w:t>2014).</w:t>
      </w:r>
    </w:p>
    <w:p>
      <w:pPr>
        <w:pStyle w:val="BodyText"/>
        <w:spacing w:before="4"/>
        <w:rPr>
          <w:sz w:val="21"/>
        </w:rPr>
      </w:pPr>
    </w:p>
    <w:p>
      <w:pPr>
        <w:pStyle w:val="BodyText"/>
        <w:spacing w:line="360" w:lineRule="auto" w:before="1"/>
        <w:ind w:left="102" w:right="116"/>
        <w:jc w:val="both"/>
      </w:pPr>
      <w:r>
        <w:rPr/>
        <w:t>Desde una perspectiva dinámica, diversos factores han conducido a que la industria automotriz juegue un papel crucial en la evolución del conjunto de la economía, más allá de su importancia en el comercio exterior, otro de los factores que destacan es la elevada tasa de crecimiento de la demanda de automóviles, los eslabonamientos hacia atrás de la propia industria y su significativa tasa de progreso técnico (la cual se refleja en un alto ritmo de incremento de la productividad del trabajo) (Sosa, 2005).</w:t>
      </w:r>
    </w:p>
    <w:p>
      <w:pPr>
        <w:pStyle w:val="BodyText"/>
        <w:spacing w:before="4"/>
        <w:rPr>
          <w:sz w:val="21"/>
        </w:rPr>
      </w:pPr>
    </w:p>
    <w:p>
      <w:pPr>
        <w:pStyle w:val="BodyText"/>
        <w:spacing w:line="360" w:lineRule="auto" w:before="1"/>
        <w:ind w:left="102" w:right="117"/>
        <w:jc w:val="both"/>
      </w:pPr>
      <w:r>
        <w:rPr/>
        <w:t>La industria automotriz del país es el resultado de una serie de sucesos o transformaciones que</w:t>
      </w:r>
      <w:r>
        <w:rPr>
          <w:spacing w:val="-6"/>
        </w:rPr>
        <w:t> </w:t>
      </w:r>
      <w:r>
        <w:rPr/>
        <w:t>tienen</w:t>
      </w:r>
      <w:r>
        <w:rPr>
          <w:spacing w:val="-5"/>
        </w:rPr>
        <w:t> </w:t>
      </w:r>
      <w:r>
        <w:rPr/>
        <w:t>que</w:t>
      </w:r>
      <w:r>
        <w:rPr>
          <w:spacing w:val="-6"/>
        </w:rPr>
        <w:t> </w:t>
      </w:r>
      <w:r>
        <w:rPr/>
        <w:t>ver</w:t>
      </w:r>
      <w:r>
        <w:rPr>
          <w:spacing w:val="-6"/>
        </w:rPr>
        <w:t> </w:t>
      </w:r>
      <w:r>
        <w:rPr/>
        <w:t>con</w:t>
      </w:r>
      <w:r>
        <w:rPr>
          <w:spacing w:val="-4"/>
        </w:rPr>
        <w:t> </w:t>
      </w:r>
      <w:r>
        <w:rPr/>
        <w:t>la</w:t>
      </w:r>
      <w:r>
        <w:rPr>
          <w:spacing w:val="-2"/>
        </w:rPr>
        <w:t> </w:t>
      </w:r>
      <w:r>
        <w:rPr/>
        <w:t>globalización</w:t>
      </w:r>
      <w:r>
        <w:rPr>
          <w:spacing w:val="-4"/>
        </w:rPr>
        <w:t> </w:t>
      </w:r>
      <w:r>
        <w:rPr/>
        <w:t>del</w:t>
      </w:r>
      <w:r>
        <w:rPr>
          <w:spacing w:val="-4"/>
        </w:rPr>
        <w:t> </w:t>
      </w:r>
      <w:r>
        <w:rPr/>
        <w:t>sector</w:t>
      </w:r>
      <w:r>
        <w:rPr>
          <w:spacing w:val="-5"/>
        </w:rPr>
        <w:t> </w:t>
      </w:r>
      <w:r>
        <w:rPr/>
        <w:t>a</w:t>
      </w:r>
      <w:r>
        <w:rPr>
          <w:spacing w:val="-6"/>
        </w:rPr>
        <w:t> </w:t>
      </w:r>
      <w:r>
        <w:rPr/>
        <w:t>nivel</w:t>
      </w:r>
      <w:r>
        <w:rPr>
          <w:spacing w:val="-5"/>
        </w:rPr>
        <w:t> </w:t>
      </w:r>
      <w:r>
        <w:rPr/>
        <w:t>internacional</w:t>
      </w:r>
      <w:r>
        <w:rPr>
          <w:spacing w:val="-3"/>
        </w:rPr>
        <w:t> </w:t>
      </w:r>
      <w:r>
        <w:rPr/>
        <w:t>y</w:t>
      </w:r>
      <w:r>
        <w:rPr>
          <w:spacing w:val="-8"/>
        </w:rPr>
        <w:t> </w:t>
      </w:r>
      <w:r>
        <w:rPr/>
        <w:t>con</w:t>
      </w:r>
      <w:r>
        <w:rPr>
          <w:spacing w:val="-3"/>
        </w:rPr>
        <w:t> </w:t>
      </w:r>
      <w:r>
        <w:rPr/>
        <w:t>el</w:t>
      </w:r>
      <w:r>
        <w:rPr>
          <w:spacing w:val="-4"/>
        </w:rPr>
        <w:t> </w:t>
      </w:r>
      <w:r>
        <w:rPr/>
        <w:t>alineamiento a</w:t>
      </w:r>
      <w:r>
        <w:rPr>
          <w:spacing w:val="-13"/>
        </w:rPr>
        <w:t> </w:t>
      </w:r>
      <w:r>
        <w:rPr/>
        <w:t>la</w:t>
      </w:r>
      <w:r>
        <w:rPr>
          <w:spacing w:val="-13"/>
        </w:rPr>
        <w:t> </w:t>
      </w:r>
      <w:r>
        <w:rPr/>
        <w:t>política</w:t>
      </w:r>
      <w:r>
        <w:rPr>
          <w:spacing w:val="-13"/>
        </w:rPr>
        <w:t> </w:t>
      </w:r>
      <w:r>
        <w:rPr/>
        <w:t>industrial</w:t>
      </w:r>
      <w:r>
        <w:rPr>
          <w:spacing w:val="-12"/>
        </w:rPr>
        <w:t> </w:t>
      </w:r>
      <w:r>
        <w:rPr/>
        <w:t>a</w:t>
      </w:r>
      <w:r>
        <w:rPr>
          <w:spacing w:val="-11"/>
        </w:rPr>
        <w:t> </w:t>
      </w:r>
      <w:r>
        <w:rPr/>
        <w:t>nivel</w:t>
      </w:r>
      <w:r>
        <w:rPr>
          <w:spacing w:val="-12"/>
        </w:rPr>
        <w:t> </w:t>
      </w:r>
      <w:r>
        <w:rPr/>
        <w:t>nacional,</w:t>
      </w:r>
      <w:r>
        <w:rPr>
          <w:spacing w:val="-13"/>
        </w:rPr>
        <w:t> </w:t>
      </w:r>
      <w:r>
        <w:rPr/>
        <w:t>lo</w:t>
      </w:r>
      <w:r>
        <w:rPr>
          <w:spacing w:val="-12"/>
        </w:rPr>
        <w:t> </w:t>
      </w:r>
      <w:r>
        <w:rPr/>
        <w:t>que</w:t>
      </w:r>
      <w:r>
        <w:rPr>
          <w:spacing w:val="-13"/>
        </w:rPr>
        <w:t> </w:t>
      </w:r>
      <w:r>
        <w:rPr/>
        <w:t>ha</w:t>
      </w:r>
      <w:r>
        <w:rPr>
          <w:spacing w:val="-11"/>
        </w:rPr>
        <w:t> </w:t>
      </w:r>
      <w:r>
        <w:rPr/>
        <w:t>permitido</w:t>
      </w:r>
      <w:r>
        <w:rPr>
          <w:spacing w:val="-12"/>
        </w:rPr>
        <w:t> </w:t>
      </w:r>
      <w:r>
        <w:rPr/>
        <w:t>mantener</w:t>
      </w:r>
      <w:r>
        <w:rPr>
          <w:spacing w:val="-13"/>
        </w:rPr>
        <w:t> </w:t>
      </w:r>
      <w:r>
        <w:rPr/>
        <w:t>un</w:t>
      </w:r>
      <w:r>
        <w:rPr>
          <w:spacing w:val="-12"/>
        </w:rPr>
        <w:t> </w:t>
      </w:r>
      <w:r>
        <w:rPr/>
        <w:t>proceso</w:t>
      </w:r>
      <w:r>
        <w:rPr>
          <w:spacing w:val="-12"/>
        </w:rPr>
        <w:t> </w:t>
      </w:r>
      <w:r>
        <w:rPr/>
        <w:t>de</w:t>
      </w:r>
      <w:r>
        <w:rPr>
          <w:spacing w:val="-11"/>
        </w:rPr>
        <w:t> </w:t>
      </w:r>
      <w:r>
        <w:rPr/>
        <w:t>evolución constante (Vicencio,</w:t>
      </w:r>
      <w:r>
        <w:rPr>
          <w:spacing w:val="-5"/>
        </w:rPr>
        <w:t> </w:t>
      </w:r>
      <w:r>
        <w:rPr/>
        <w:t>2007).</w:t>
      </w:r>
    </w:p>
    <w:p>
      <w:pPr>
        <w:spacing w:after="0" w:line="360" w:lineRule="auto"/>
        <w:jc w:val="both"/>
        <w:sectPr>
          <w:pgSz w:w="12240" w:h="15840"/>
          <w:pgMar w:header="0" w:footer="1035" w:top="1360" w:bottom="1220" w:left="1600" w:right="1580"/>
        </w:sectPr>
      </w:pPr>
    </w:p>
    <w:p>
      <w:pPr>
        <w:pStyle w:val="BodyText"/>
        <w:spacing w:line="360" w:lineRule="auto" w:before="50"/>
        <w:ind w:left="122" w:right="120"/>
        <w:jc w:val="both"/>
      </w:pPr>
      <w:r>
        <w:rPr/>
        <w:t>Así es posible distinguir dos etapas en el desarrollo de la industria automotriz en México, la primera</w:t>
      </w:r>
      <w:r>
        <w:rPr>
          <w:spacing w:val="-7"/>
        </w:rPr>
        <w:t> </w:t>
      </w:r>
      <w:r>
        <w:rPr/>
        <w:t>caracterizada</w:t>
      </w:r>
      <w:r>
        <w:rPr>
          <w:spacing w:val="-6"/>
        </w:rPr>
        <w:t> </w:t>
      </w:r>
      <w:r>
        <w:rPr/>
        <w:t>por</w:t>
      </w:r>
      <w:r>
        <w:rPr>
          <w:spacing w:val="-3"/>
        </w:rPr>
        <w:t> </w:t>
      </w:r>
      <w:r>
        <w:rPr/>
        <w:t>la</w:t>
      </w:r>
      <w:r>
        <w:rPr>
          <w:spacing w:val="-5"/>
        </w:rPr>
        <w:t> </w:t>
      </w:r>
      <w:r>
        <w:rPr/>
        <w:t>implementación</w:t>
      </w:r>
      <w:r>
        <w:rPr>
          <w:spacing w:val="-4"/>
        </w:rPr>
        <w:t> </w:t>
      </w:r>
      <w:r>
        <w:rPr/>
        <w:t>de</w:t>
      </w:r>
      <w:r>
        <w:rPr>
          <w:spacing w:val="-6"/>
        </w:rPr>
        <w:t> </w:t>
      </w:r>
      <w:r>
        <w:rPr/>
        <w:t>decretos</w:t>
      </w:r>
      <w:r>
        <w:rPr>
          <w:spacing w:val="-4"/>
        </w:rPr>
        <w:t> </w:t>
      </w:r>
      <w:r>
        <w:rPr/>
        <w:t>que</w:t>
      </w:r>
      <w:r>
        <w:rPr>
          <w:spacing w:val="-6"/>
        </w:rPr>
        <w:t> </w:t>
      </w:r>
      <w:r>
        <w:rPr/>
        <w:t>permitían</w:t>
      </w:r>
      <w:r>
        <w:rPr>
          <w:spacing w:val="-5"/>
        </w:rPr>
        <w:t> </w:t>
      </w:r>
      <w:r>
        <w:rPr/>
        <w:t>el</w:t>
      </w:r>
      <w:r>
        <w:rPr>
          <w:spacing w:val="-4"/>
        </w:rPr>
        <w:t> </w:t>
      </w:r>
      <w:r>
        <w:rPr/>
        <w:t>fortalecimiento</w:t>
      </w:r>
      <w:r>
        <w:rPr>
          <w:spacing w:val="-5"/>
        </w:rPr>
        <w:t> </w:t>
      </w:r>
      <w:r>
        <w:rPr/>
        <w:t>de la industria y la segunda en la que se dio prioridad a las estrategias de las empresas ensambladoras, a través de la firma de los tratados de libre comercio (CEPAL,</w:t>
      </w:r>
      <w:r>
        <w:rPr>
          <w:spacing w:val="-13"/>
        </w:rPr>
        <w:t> </w:t>
      </w:r>
      <w:r>
        <w:rPr/>
        <w:t>2003).</w:t>
      </w:r>
    </w:p>
    <w:p>
      <w:pPr>
        <w:pStyle w:val="BodyText"/>
        <w:spacing w:before="7"/>
        <w:rPr>
          <w:sz w:val="21"/>
        </w:rPr>
      </w:pPr>
    </w:p>
    <w:p>
      <w:pPr>
        <w:pStyle w:val="Heading1"/>
        <w:ind w:left="122"/>
        <w:jc w:val="both"/>
      </w:pPr>
      <w:bookmarkStart w:name="_TOC_250018" w:id="17"/>
      <w:bookmarkEnd w:id="17"/>
      <w:r>
        <w:rPr/>
        <w:t>3.3.1. Nacimiento de la industria automotriz en México</w:t>
      </w:r>
    </w:p>
    <w:p>
      <w:pPr>
        <w:pStyle w:val="BodyText"/>
        <w:spacing w:before="6"/>
        <w:rPr>
          <w:b/>
          <w:sz w:val="32"/>
        </w:rPr>
      </w:pPr>
    </w:p>
    <w:p>
      <w:pPr>
        <w:pStyle w:val="BodyText"/>
        <w:spacing w:line="360" w:lineRule="auto"/>
        <w:ind w:left="122" w:right="117"/>
        <w:jc w:val="both"/>
      </w:pPr>
      <w:r>
        <w:rPr/>
        <w:t>Los inicios del desarrollo de la industria automotriz terminal en México, se remontan a los años veinte en específico en el año de 1925, ya que con la apertura de la empresa Ford en nuestro país, se inició la industrialización del sector automotriz en México y, al mismo tiempo, despegó el proceso de sustitución de importaciones en el área terminal de esta industria (Sosa, 2005). Posteriormente llega General Motors en 1935 y en 1938 inicia operaciones Automoex, para convertirse después en Chrysler (Vicencio, 2007).</w:t>
      </w:r>
    </w:p>
    <w:p>
      <w:pPr>
        <w:pStyle w:val="BodyText"/>
        <w:spacing w:before="4"/>
        <w:rPr>
          <w:sz w:val="21"/>
        </w:rPr>
      </w:pPr>
    </w:p>
    <w:p>
      <w:pPr>
        <w:pStyle w:val="BodyText"/>
        <w:spacing w:line="357" w:lineRule="auto" w:before="1"/>
        <w:ind w:left="122" w:right="113"/>
        <w:jc w:val="both"/>
      </w:pPr>
      <w:r>
        <w:rPr/>
        <w:t>Durante</w:t>
      </w:r>
      <w:r>
        <w:rPr>
          <w:spacing w:val="-15"/>
        </w:rPr>
        <w:t> </w:t>
      </w:r>
      <w:r>
        <w:rPr/>
        <w:t>este</w:t>
      </w:r>
      <w:r>
        <w:rPr>
          <w:spacing w:val="-15"/>
        </w:rPr>
        <w:t> </w:t>
      </w:r>
      <w:r>
        <w:rPr/>
        <w:t>tiempo,</w:t>
      </w:r>
      <w:r>
        <w:rPr>
          <w:spacing w:val="-13"/>
        </w:rPr>
        <w:t> </w:t>
      </w:r>
      <w:r>
        <w:rPr/>
        <w:t>las</w:t>
      </w:r>
      <w:r>
        <w:rPr>
          <w:spacing w:val="-15"/>
        </w:rPr>
        <w:t> </w:t>
      </w:r>
      <w:r>
        <w:rPr/>
        <w:t>empresas</w:t>
      </w:r>
      <w:r>
        <w:rPr>
          <w:spacing w:val="-14"/>
        </w:rPr>
        <w:t> </w:t>
      </w:r>
      <w:r>
        <w:rPr/>
        <w:t>instaladas</w:t>
      </w:r>
      <w:r>
        <w:rPr>
          <w:spacing w:val="-14"/>
        </w:rPr>
        <w:t> </w:t>
      </w:r>
      <w:r>
        <w:rPr/>
        <w:t>centraron</w:t>
      </w:r>
      <w:r>
        <w:rPr>
          <w:spacing w:val="-15"/>
        </w:rPr>
        <w:t> </w:t>
      </w:r>
      <w:r>
        <w:rPr/>
        <w:t>su</w:t>
      </w:r>
      <w:r>
        <w:rPr>
          <w:spacing w:val="-14"/>
        </w:rPr>
        <w:t> </w:t>
      </w:r>
      <w:r>
        <w:rPr/>
        <w:t>actividad</w:t>
      </w:r>
      <w:r>
        <w:rPr>
          <w:spacing w:val="-15"/>
        </w:rPr>
        <w:t> </w:t>
      </w:r>
      <w:r>
        <w:rPr/>
        <w:t>operacional</w:t>
      </w:r>
      <w:r>
        <w:rPr>
          <w:spacing w:val="-14"/>
        </w:rPr>
        <w:t> </w:t>
      </w:r>
      <w:r>
        <w:rPr/>
        <w:t>en</w:t>
      </w:r>
      <w:r>
        <w:rPr>
          <w:spacing w:val="-14"/>
        </w:rPr>
        <w:t> </w:t>
      </w:r>
      <w:r>
        <w:rPr/>
        <w:t>el</w:t>
      </w:r>
      <w:r>
        <w:rPr>
          <w:spacing w:val="-14"/>
        </w:rPr>
        <w:t> </w:t>
      </w:r>
      <w:r>
        <w:rPr/>
        <w:t>montaje de vehículos destinados al mercado local, y la producción solo comprendía el ensamblaje</w:t>
      </w:r>
      <w:r>
        <w:rPr>
          <w:spacing w:val="-22"/>
        </w:rPr>
        <w:t> </w:t>
      </w:r>
      <w:r>
        <w:rPr/>
        <w:t>de lotes CKD</w:t>
      </w:r>
      <w:r>
        <w:rPr>
          <w:position w:val="9"/>
          <w:sz w:val="16"/>
        </w:rPr>
        <w:t>6 </w:t>
      </w:r>
      <w:r>
        <w:rPr/>
        <w:t>(Completely Knocked Down) fabricados en las plantas norteamericanas y europeas, lo que generaba bajos niveles de productividad y de valor agregado (Vicencio, 2007)..</w:t>
      </w:r>
    </w:p>
    <w:p>
      <w:pPr>
        <w:pStyle w:val="BodyText"/>
        <w:spacing w:before="5"/>
        <w:rPr>
          <w:sz w:val="21"/>
        </w:rPr>
      </w:pPr>
    </w:p>
    <w:p>
      <w:pPr>
        <w:pStyle w:val="BodyText"/>
        <w:spacing w:line="360" w:lineRule="auto"/>
        <w:ind w:left="122" w:right="119"/>
        <w:jc w:val="both"/>
      </w:pPr>
      <w:r>
        <w:rPr/>
        <w:t>Más adelante durante los años sesenta, con el decreto publicado el 23 de agosto de 1962, se da inicio formalmente a la producción nacional de automóviles y camiones con una clara orientación al fomento industrial nacional, y a partir de 1964 la integración nacional debería representar al menos el 60% del costo directo de la producción de los vehículos producidos en nuestro país (Solís, 2009).</w:t>
      </w:r>
    </w:p>
    <w:p>
      <w:pPr>
        <w:pStyle w:val="BodyText"/>
        <w:spacing w:before="4"/>
        <w:rPr>
          <w:sz w:val="21"/>
        </w:rPr>
      </w:pPr>
    </w:p>
    <w:p>
      <w:pPr>
        <w:pStyle w:val="BodyText"/>
        <w:spacing w:line="360" w:lineRule="auto" w:before="1"/>
        <w:ind w:left="122" w:right="121"/>
        <w:jc w:val="both"/>
      </w:pPr>
      <w:r>
        <w:rPr/>
        <w:t>Siguiendo con Solís (2009), es a partir de este decreto que se inicia la instalación de plantas fabricantes de vehículos, motores, partes y componentes. Empresas como Chrysler, Ford, General</w:t>
      </w:r>
      <w:r>
        <w:rPr>
          <w:spacing w:val="-12"/>
        </w:rPr>
        <w:t> </w:t>
      </w:r>
      <w:r>
        <w:rPr/>
        <w:t>Motors</w:t>
      </w:r>
      <w:r>
        <w:rPr>
          <w:spacing w:val="-13"/>
        </w:rPr>
        <w:t> </w:t>
      </w:r>
      <w:r>
        <w:rPr/>
        <w:t>(GM),</w:t>
      </w:r>
      <w:r>
        <w:rPr>
          <w:spacing w:val="-10"/>
        </w:rPr>
        <w:t> </w:t>
      </w:r>
      <w:r>
        <w:rPr/>
        <w:t>International</w:t>
      </w:r>
      <w:r>
        <w:rPr>
          <w:spacing w:val="-12"/>
        </w:rPr>
        <w:t> </w:t>
      </w:r>
      <w:r>
        <w:rPr/>
        <w:t>Harvester,</w:t>
      </w:r>
      <w:r>
        <w:rPr>
          <w:spacing w:val="-13"/>
        </w:rPr>
        <w:t> </w:t>
      </w:r>
      <w:r>
        <w:rPr/>
        <w:t>Vehículos</w:t>
      </w:r>
      <w:r>
        <w:rPr>
          <w:spacing w:val="-12"/>
        </w:rPr>
        <w:t> </w:t>
      </w:r>
      <w:r>
        <w:rPr/>
        <w:t>Automotores</w:t>
      </w:r>
      <w:r>
        <w:rPr>
          <w:spacing w:val="-12"/>
        </w:rPr>
        <w:t> </w:t>
      </w:r>
      <w:r>
        <w:rPr/>
        <w:t>Mexicanos,</w:t>
      </w:r>
      <w:r>
        <w:rPr>
          <w:spacing w:val="-12"/>
        </w:rPr>
        <w:t> </w:t>
      </w:r>
      <w:r>
        <w:rPr/>
        <w:t>Fabricas Autocar Mexicana y Kenworth se instalaron en nuestro país, las tres primeras  </w:t>
      </w:r>
      <w:r>
        <w:rPr>
          <w:spacing w:val="58"/>
        </w:rPr>
        <w:t> </w:t>
      </w:r>
      <w:r>
        <w:rPr/>
        <w:t>y Kenworth</w:t>
      </w:r>
    </w:p>
    <w:p>
      <w:pPr>
        <w:pStyle w:val="BodyText"/>
        <w:rPr>
          <w:sz w:val="20"/>
        </w:rPr>
      </w:pPr>
    </w:p>
    <w:p>
      <w:pPr>
        <w:pStyle w:val="BodyText"/>
        <w:spacing w:before="6"/>
        <w:rPr>
          <w:sz w:val="13"/>
        </w:rPr>
      </w:pPr>
      <w:r>
        <w:rPr/>
        <w:pict>
          <v:line style="position:absolute;mso-position-horizontal-relative:page;mso-position-vertical-relative:paragraph;z-index:2704;mso-wrap-distance-left:0;mso-wrap-distance-right:0" from="85.103996pt,10.060727pt" to="229.123996pt,10.060727pt" stroked="true" strokeweight=".60004pt" strokecolor="#000000">
            <w10:wrap type="topAndBottom"/>
          </v:line>
        </w:pict>
      </w:r>
    </w:p>
    <w:p>
      <w:pPr>
        <w:spacing w:before="70"/>
        <w:ind w:left="122" w:right="97" w:firstLine="0"/>
        <w:jc w:val="left"/>
        <w:rPr>
          <w:sz w:val="20"/>
        </w:rPr>
      </w:pPr>
      <w:r>
        <w:rPr>
          <w:position w:val="7"/>
          <w:sz w:val="13"/>
        </w:rPr>
        <w:t>6 </w:t>
      </w:r>
      <w:r>
        <w:rPr>
          <w:sz w:val="20"/>
        </w:rPr>
        <w:t>Es un sistema logístico mediante el cual se consolidan en un almacén todas las piezas necesarias para armar un aparato funcional. En la industria, este término se usa cuando una máquina completamente desmontada, es entregada a una planta que se dedica a su ensamblaje, en conjuntos que vienen listos para ser ensamblados y las cuales son dedicadas a su exportación.</w:t>
      </w:r>
    </w:p>
    <w:p>
      <w:pPr>
        <w:spacing w:after="0"/>
        <w:jc w:val="left"/>
        <w:rPr>
          <w:sz w:val="20"/>
        </w:rPr>
        <w:sectPr>
          <w:pgSz w:w="12240" w:h="15840"/>
          <w:pgMar w:header="0" w:footer="1035" w:top="1360" w:bottom="1220" w:left="1580" w:right="1580"/>
        </w:sectPr>
      </w:pPr>
    </w:p>
    <w:p>
      <w:pPr>
        <w:pStyle w:val="BodyText"/>
        <w:spacing w:line="360" w:lineRule="auto" w:before="50"/>
        <w:ind w:left="102" w:right="114"/>
        <w:jc w:val="both"/>
      </w:pPr>
      <w:r>
        <w:rPr/>
        <w:t>con 100% de capital de Estados Unidos y las tres restantes con capital combinado entre Estados Unidos, México y Japón, además se establecieron Nissan y Volkswagen con 100% de capital japonés y alemán respectivamente. Asimismo, el gobierno mexicano instaló tres empresas pero con tecnología extranjera que fueron Diesel Nacional, Mexica de Autobuses y</w:t>
      </w:r>
      <w:r>
        <w:rPr>
          <w:spacing w:val="-16"/>
        </w:rPr>
        <w:t> </w:t>
      </w:r>
      <w:r>
        <w:rPr/>
        <w:t>Trailers</w:t>
      </w:r>
      <w:r>
        <w:rPr>
          <w:spacing w:val="-14"/>
        </w:rPr>
        <w:t> </w:t>
      </w:r>
      <w:r>
        <w:rPr/>
        <w:t>de</w:t>
      </w:r>
      <w:r>
        <w:rPr>
          <w:spacing w:val="-14"/>
        </w:rPr>
        <w:t> </w:t>
      </w:r>
      <w:r>
        <w:rPr/>
        <w:t>Monterrey.</w:t>
      </w:r>
      <w:r>
        <w:rPr>
          <w:spacing w:val="-11"/>
        </w:rPr>
        <w:t> </w:t>
      </w:r>
      <w:r>
        <w:rPr/>
        <w:t>Estas</w:t>
      </w:r>
      <w:r>
        <w:rPr>
          <w:spacing w:val="-14"/>
        </w:rPr>
        <w:t> </w:t>
      </w:r>
      <w:r>
        <w:rPr/>
        <w:t>plantas</w:t>
      </w:r>
      <w:r>
        <w:rPr>
          <w:spacing w:val="-13"/>
        </w:rPr>
        <w:t> </w:t>
      </w:r>
      <w:r>
        <w:rPr/>
        <w:t>se</w:t>
      </w:r>
      <w:r>
        <w:rPr>
          <w:spacing w:val="-14"/>
        </w:rPr>
        <w:t> </w:t>
      </w:r>
      <w:r>
        <w:rPr/>
        <w:t>ubicaron</w:t>
      </w:r>
      <w:r>
        <w:rPr>
          <w:spacing w:val="-12"/>
        </w:rPr>
        <w:t> </w:t>
      </w:r>
      <w:r>
        <w:rPr/>
        <w:t>en</w:t>
      </w:r>
      <w:r>
        <w:rPr>
          <w:spacing w:val="-13"/>
        </w:rPr>
        <w:t> </w:t>
      </w:r>
      <w:r>
        <w:rPr/>
        <w:t>el</w:t>
      </w:r>
      <w:r>
        <w:rPr>
          <w:spacing w:val="-13"/>
        </w:rPr>
        <w:t> </w:t>
      </w:r>
      <w:r>
        <w:rPr/>
        <w:t>norte</w:t>
      </w:r>
      <w:r>
        <w:rPr>
          <w:spacing w:val="-10"/>
        </w:rPr>
        <w:t> </w:t>
      </w:r>
      <w:r>
        <w:rPr/>
        <w:t>y</w:t>
      </w:r>
      <w:r>
        <w:rPr>
          <w:spacing w:val="-18"/>
        </w:rPr>
        <w:t> </w:t>
      </w:r>
      <w:r>
        <w:rPr/>
        <w:t>centro</w:t>
      </w:r>
      <w:r>
        <w:rPr>
          <w:spacing w:val="-14"/>
        </w:rPr>
        <w:t> </w:t>
      </w:r>
      <w:r>
        <w:rPr/>
        <w:t>del</w:t>
      </w:r>
      <w:r>
        <w:rPr>
          <w:spacing w:val="-13"/>
        </w:rPr>
        <w:t> </w:t>
      </w:r>
      <w:r>
        <w:rPr/>
        <w:t>país</w:t>
      </w:r>
      <w:r>
        <w:rPr>
          <w:spacing w:val="-13"/>
        </w:rPr>
        <w:t> </w:t>
      </w:r>
      <w:r>
        <w:rPr/>
        <w:t>principalmente obteniendo oportunidades de infraestructura para su desarrollo y el de sus</w:t>
      </w:r>
      <w:r>
        <w:rPr>
          <w:spacing w:val="-14"/>
        </w:rPr>
        <w:t> </w:t>
      </w:r>
      <w:r>
        <w:rPr/>
        <w:t>proveedores.</w:t>
      </w:r>
    </w:p>
    <w:p>
      <w:pPr>
        <w:pStyle w:val="BodyText"/>
        <w:spacing w:before="3"/>
        <w:rPr>
          <w:sz w:val="21"/>
        </w:rPr>
      </w:pPr>
    </w:p>
    <w:p>
      <w:pPr>
        <w:pStyle w:val="BodyText"/>
        <w:spacing w:line="360" w:lineRule="auto"/>
        <w:ind w:left="102" w:right="115"/>
        <w:jc w:val="both"/>
      </w:pPr>
      <w:r>
        <w:rPr/>
        <w:t>Como</w:t>
      </w:r>
      <w:r>
        <w:rPr>
          <w:spacing w:val="-7"/>
        </w:rPr>
        <w:t> </w:t>
      </w:r>
      <w:r>
        <w:rPr/>
        <w:t>consecuencia</w:t>
      </w:r>
      <w:r>
        <w:rPr>
          <w:spacing w:val="-8"/>
        </w:rPr>
        <w:t> </w:t>
      </w:r>
      <w:r>
        <w:rPr/>
        <w:t>del</w:t>
      </w:r>
      <w:r>
        <w:rPr>
          <w:spacing w:val="-7"/>
        </w:rPr>
        <w:t> </w:t>
      </w:r>
      <w:r>
        <w:rPr/>
        <w:t>robustecimiento</w:t>
      </w:r>
      <w:r>
        <w:rPr>
          <w:spacing w:val="-7"/>
        </w:rPr>
        <w:t> </w:t>
      </w:r>
      <w:r>
        <w:rPr/>
        <w:t>de</w:t>
      </w:r>
      <w:r>
        <w:rPr>
          <w:spacing w:val="-8"/>
        </w:rPr>
        <w:t> </w:t>
      </w:r>
      <w:r>
        <w:rPr/>
        <w:t>los</w:t>
      </w:r>
      <w:r>
        <w:rPr>
          <w:spacing w:val="-7"/>
        </w:rPr>
        <w:t> </w:t>
      </w:r>
      <w:r>
        <w:rPr/>
        <w:t>encadenamientos</w:t>
      </w:r>
      <w:r>
        <w:rPr>
          <w:spacing w:val="-7"/>
        </w:rPr>
        <w:t> </w:t>
      </w:r>
      <w:r>
        <w:rPr/>
        <w:t>productivos</w:t>
      </w:r>
      <w:r>
        <w:rPr>
          <w:spacing w:val="-7"/>
        </w:rPr>
        <w:t> </w:t>
      </w:r>
      <w:r>
        <w:rPr/>
        <w:t>de</w:t>
      </w:r>
      <w:r>
        <w:rPr>
          <w:spacing w:val="-8"/>
        </w:rPr>
        <w:t> </w:t>
      </w:r>
      <w:r>
        <w:rPr/>
        <w:t>la</w:t>
      </w:r>
      <w:r>
        <w:rPr>
          <w:spacing w:val="-8"/>
        </w:rPr>
        <w:t> </w:t>
      </w:r>
      <w:r>
        <w:rPr/>
        <w:t>industria, provocado</w:t>
      </w:r>
      <w:r>
        <w:rPr>
          <w:spacing w:val="-4"/>
        </w:rPr>
        <w:t> </w:t>
      </w:r>
      <w:r>
        <w:rPr/>
        <w:t>por</w:t>
      </w:r>
      <w:r>
        <w:rPr>
          <w:spacing w:val="-5"/>
        </w:rPr>
        <w:t> </w:t>
      </w:r>
      <w:r>
        <w:rPr/>
        <w:t>el</w:t>
      </w:r>
      <w:r>
        <w:rPr>
          <w:spacing w:val="-3"/>
        </w:rPr>
        <w:t> </w:t>
      </w:r>
      <w:r>
        <w:rPr/>
        <w:t>avance</w:t>
      </w:r>
      <w:r>
        <w:rPr>
          <w:spacing w:val="-5"/>
        </w:rPr>
        <w:t> </w:t>
      </w:r>
      <w:r>
        <w:rPr/>
        <w:t>del</w:t>
      </w:r>
      <w:r>
        <w:rPr>
          <w:spacing w:val="-3"/>
        </w:rPr>
        <w:t> </w:t>
      </w:r>
      <w:r>
        <w:rPr/>
        <w:t>proceso</w:t>
      </w:r>
      <w:r>
        <w:rPr>
          <w:spacing w:val="-4"/>
        </w:rPr>
        <w:t> </w:t>
      </w:r>
      <w:r>
        <w:rPr/>
        <w:t>de</w:t>
      </w:r>
      <w:r>
        <w:rPr>
          <w:spacing w:val="-5"/>
        </w:rPr>
        <w:t> </w:t>
      </w:r>
      <w:r>
        <w:rPr/>
        <w:t>integración</w:t>
      </w:r>
      <w:r>
        <w:rPr>
          <w:spacing w:val="-4"/>
        </w:rPr>
        <w:t> </w:t>
      </w:r>
      <w:r>
        <w:rPr/>
        <w:t>nacional,</w:t>
      </w:r>
      <w:r>
        <w:rPr>
          <w:spacing w:val="-4"/>
        </w:rPr>
        <w:t> </w:t>
      </w:r>
      <w:r>
        <w:rPr/>
        <w:t>para</w:t>
      </w:r>
      <w:r>
        <w:rPr>
          <w:spacing w:val="-6"/>
        </w:rPr>
        <w:t> </w:t>
      </w:r>
      <w:r>
        <w:rPr/>
        <w:t>la</w:t>
      </w:r>
      <w:r>
        <w:rPr>
          <w:spacing w:val="-2"/>
        </w:rPr>
        <w:t> </w:t>
      </w:r>
      <w:r>
        <w:rPr/>
        <w:t>década</w:t>
      </w:r>
      <w:r>
        <w:rPr>
          <w:spacing w:val="-5"/>
        </w:rPr>
        <w:t> </w:t>
      </w:r>
      <w:r>
        <w:rPr/>
        <w:t>de</w:t>
      </w:r>
      <w:r>
        <w:rPr>
          <w:spacing w:val="-5"/>
        </w:rPr>
        <w:t> </w:t>
      </w:r>
      <w:r>
        <w:rPr/>
        <w:t>los</w:t>
      </w:r>
      <w:r>
        <w:rPr>
          <w:spacing w:val="-3"/>
        </w:rPr>
        <w:t> </w:t>
      </w:r>
      <w:r>
        <w:rPr/>
        <w:t>setenta</w:t>
      </w:r>
      <w:r>
        <w:rPr>
          <w:spacing w:val="-5"/>
        </w:rPr>
        <w:t> </w:t>
      </w:r>
      <w:r>
        <w:rPr/>
        <w:t>la rama terminal desempeñaba </w:t>
      </w:r>
      <w:r>
        <w:rPr>
          <w:spacing w:val="-3"/>
        </w:rPr>
        <w:t>ya </w:t>
      </w:r>
      <w:r>
        <w:rPr/>
        <w:t>un papel estratégico en el proceso de expansión del</w:t>
      </w:r>
      <w:r>
        <w:rPr>
          <w:spacing w:val="-24"/>
        </w:rPr>
        <w:t> </w:t>
      </w:r>
      <w:r>
        <w:rPr/>
        <w:t>conjunto de</w:t>
      </w:r>
      <w:r>
        <w:rPr>
          <w:spacing w:val="-5"/>
        </w:rPr>
        <w:t> </w:t>
      </w:r>
      <w:r>
        <w:rPr/>
        <w:t>la</w:t>
      </w:r>
      <w:r>
        <w:rPr>
          <w:spacing w:val="-4"/>
        </w:rPr>
        <w:t> </w:t>
      </w:r>
      <w:r>
        <w:rPr/>
        <w:t>economía.</w:t>
      </w:r>
      <w:r>
        <w:rPr>
          <w:spacing w:val="-4"/>
        </w:rPr>
        <w:t> </w:t>
      </w:r>
      <w:r>
        <w:rPr/>
        <w:t>De</w:t>
      </w:r>
      <w:r>
        <w:rPr>
          <w:spacing w:val="-5"/>
        </w:rPr>
        <w:t> </w:t>
      </w:r>
      <w:r>
        <w:rPr/>
        <w:t>acuerdo</w:t>
      </w:r>
      <w:r>
        <w:rPr>
          <w:spacing w:val="-4"/>
        </w:rPr>
        <w:t> </w:t>
      </w:r>
      <w:r>
        <w:rPr/>
        <w:t>con</w:t>
      </w:r>
      <w:r>
        <w:rPr>
          <w:spacing w:val="-4"/>
        </w:rPr>
        <w:t> </w:t>
      </w:r>
      <w:r>
        <w:rPr/>
        <w:t>la</w:t>
      </w:r>
      <w:r>
        <w:rPr>
          <w:spacing w:val="-4"/>
        </w:rPr>
        <w:t> </w:t>
      </w:r>
      <w:r>
        <w:rPr/>
        <w:t>Matriz</w:t>
      </w:r>
      <w:r>
        <w:rPr>
          <w:spacing w:val="-2"/>
        </w:rPr>
        <w:t> </w:t>
      </w:r>
      <w:r>
        <w:rPr/>
        <w:t>de</w:t>
      </w:r>
      <w:r>
        <w:rPr>
          <w:spacing w:val="-5"/>
        </w:rPr>
        <w:t> </w:t>
      </w:r>
      <w:r>
        <w:rPr/>
        <w:t>insumo-producto</w:t>
      </w:r>
      <w:r>
        <w:rPr>
          <w:spacing w:val="-3"/>
        </w:rPr>
        <w:t> </w:t>
      </w:r>
      <w:r>
        <w:rPr/>
        <w:t>de</w:t>
      </w:r>
      <w:r>
        <w:rPr>
          <w:spacing w:val="-5"/>
        </w:rPr>
        <w:t> </w:t>
      </w:r>
      <w:r>
        <w:rPr/>
        <w:t>México,</w:t>
      </w:r>
      <w:r>
        <w:rPr>
          <w:spacing w:val="-4"/>
        </w:rPr>
        <w:t> </w:t>
      </w:r>
      <w:r>
        <w:rPr/>
        <w:t>en</w:t>
      </w:r>
      <w:r>
        <w:rPr>
          <w:spacing w:val="-4"/>
        </w:rPr>
        <w:t> </w:t>
      </w:r>
      <w:r>
        <w:rPr/>
        <w:t>el</w:t>
      </w:r>
      <w:r>
        <w:rPr>
          <w:spacing w:val="-3"/>
        </w:rPr>
        <w:t> </w:t>
      </w:r>
      <w:r>
        <w:rPr/>
        <w:t>año</w:t>
      </w:r>
      <w:r>
        <w:rPr>
          <w:spacing w:val="-4"/>
        </w:rPr>
        <w:t> </w:t>
      </w:r>
      <w:r>
        <w:rPr/>
        <w:t>de</w:t>
      </w:r>
      <w:r>
        <w:rPr>
          <w:spacing w:val="-5"/>
        </w:rPr>
        <w:t> </w:t>
      </w:r>
      <w:r>
        <w:rPr/>
        <w:t>1975 las sumas (tanto horizontal como vertical) de los coeficientes de requisitos directos e indirectos de la industria, eran superiores a la unidad. En tales condiciones, resulta evidente que</w:t>
      </w:r>
      <w:r>
        <w:rPr>
          <w:spacing w:val="-5"/>
        </w:rPr>
        <w:t> </w:t>
      </w:r>
      <w:r>
        <w:rPr/>
        <w:t>el</w:t>
      </w:r>
      <w:r>
        <w:rPr>
          <w:spacing w:val="-4"/>
        </w:rPr>
        <w:t> </w:t>
      </w:r>
      <w:r>
        <w:rPr/>
        <w:t>crecimiento</w:t>
      </w:r>
      <w:r>
        <w:rPr>
          <w:spacing w:val="-5"/>
        </w:rPr>
        <w:t> </w:t>
      </w:r>
      <w:r>
        <w:rPr/>
        <w:t>del</w:t>
      </w:r>
      <w:r>
        <w:rPr>
          <w:spacing w:val="-4"/>
        </w:rPr>
        <w:t> </w:t>
      </w:r>
      <w:r>
        <w:rPr/>
        <w:t>PIB</w:t>
      </w:r>
      <w:r>
        <w:rPr>
          <w:spacing w:val="-4"/>
        </w:rPr>
        <w:t> </w:t>
      </w:r>
      <w:r>
        <w:rPr/>
        <w:t>global</w:t>
      </w:r>
      <w:r>
        <w:rPr>
          <w:spacing w:val="-5"/>
        </w:rPr>
        <w:t> </w:t>
      </w:r>
      <w:r>
        <w:rPr/>
        <w:t>se</w:t>
      </w:r>
      <w:r>
        <w:rPr>
          <w:spacing w:val="-5"/>
        </w:rPr>
        <w:t> </w:t>
      </w:r>
      <w:r>
        <w:rPr/>
        <w:t>traducía</w:t>
      </w:r>
      <w:r>
        <w:rPr>
          <w:spacing w:val="-5"/>
        </w:rPr>
        <w:t> </w:t>
      </w:r>
      <w:r>
        <w:rPr/>
        <w:t>en</w:t>
      </w:r>
      <w:r>
        <w:rPr>
          <w:spacing w:val="-5"/>
        </w:rPr>
        <w:t> </w:t>
      </w:r>
      <w:r>
        <w:rPr/>
        <w:t>grandes</w:t>
      </w:r>
      <w:r>
        <w:rPr>
          <w:spacing w:val="-5"/>
        </w:rPr>
        <w:t> </w:t>
      </w:r>
      <w:r>
        <w:rPr/>
        <w:t>incrementos</w:t>
      </w:r>
      <w:r>
        <w:rPr>
          <w:spacing w:val="-4"/>
        </w:rPr>
        <w:t> </w:t>
      </w:r>
      <w:r>
        <w:rPr/>
        <w:t>sobre</w:t>
      </w:r>
      <w:r>
        <w:rPr>
          <w:spacing w:val="-4"/>
        </w:rPr>
        <w:t> </w:t>
      </w:r>
      <w:r>
        <w:rPr/>
        <w:t>la</w:t>
      </w:r>
      <w:r>
        <w:rPr>
          <w:spacing w:val="-5"/>
        </w:rPr>
        <w:t> </w:t>
      </w:r>
      <w:r>
        <w:rPr/>
        <w:t>producción</w:t>
      </w:r>
      <w:r>
        <w:rPr>
          <w:spacing w:val="-4"/>
        </w:rPr>
        <w:t> </w:t>
      </w:r>
      <w:r>
        <w:rPr/>
        <w:t>de la rama automotriz; y a la inversa, </w:t>
      </w:r>
      <w:r>
        <w:rPr>
          <w:spacing w:val="-3"/>
        </w:rPr>
        <w:t>ya </w:t>
      </w:r>
      <w:r>
        <w:rPr/>
        <w:t>que todo aumento de la producción de esta última provocaba una expansión aún mayor en la producción nacional (Sosa,</w:t>
      </w:r>
      <w:r>
        <w:rPr>
          <w:spacing w:val="-11"/>
        </w:rPr>
        <w:t> </w:t>
      </w:r>
      <w:r>
        <w:rPr/>
        <w:t>2005).</w:t>
      </w:r>
    </w:p>
    <w:p>
      <w:pPr>
        <w:pStyle w:val="BodyText"/>
        <w:spacing w:before="4"/>
        <w:rPr>
          <w:sz w:val="21"/>
        </w:rPr>
      </w:pPr>
    </w:p>
    <w:p>
      <w:pPr>
        <w:pStyle w:val="BodyText"/>
        <w:spacing w:line="360" w:lineRule="auto" w:before="1"/>
        <w:ind w:left="102" w:right="121"/>
        <w:jc w:val="both"/>
      </w:pPr>
      <w:r>
        <w:rPr/>
        <w:t>Dicho de otra manera, en virtud de sus conexiones “hacia atrás” la industria automotriz desempeñaba un rol de arrastre sobre la economía en su conjunto, podía ser considerada</w:t>
      </w:r>
      <w:r>
        <w:rPr>
          <w:spacing w:val="-35"/>
        </w:rPr>
        <w:t> </w:t>
      </w:r>
      <w:r>
        <w:rPr/>
        <w:t>una rama “líder”. A su vez, debido a que sus encadenamientos “hacia adelante” le permitían aprovechar más que proporcionalmente el crecimiento económico global, podía calificarse como rama “ventajosa” o “dinámica” (López,</w:t>
      </w:r>
      <w:r>
        <w:rPr>
          <w:spacing w:val="-3"/>
        </w:rPr>
        <w:t> </w:t>
      </w:r>
      <w:r>
        <w:rPr/>
        <w:t>1991).</w:t>
      </w:r>
    </w:p>
    <w:p>
      <w:pPr>
        <w:pStyle w:val="BodyText"/>
        <w:spacing w:before="3"/>
        <w:rPr>
          <w:sz w:val="21"/>
        </w:rPr>
      </w:pPr>
    </w:p>
    <w:p>
      <w:pPr>
        <w:pStyle w:val="BodyText"/>
        <w:spacing w:line="360" w:lineRule="auto"/>
        <w:ind w:left="102" w:right="119"/>
        <w:jc w:val="both"/>
      </w:pPr>
      <w:r>
        <w:rPr/>
        <w:t>En</w:t>
      </w:r>
      <w:r>
        <w:rPr>
          <w:spacing w:val="-11"/>
        </w:rPr>
        <w:t> </w:t>
      </w:r>
      <w:r>
        <w:rPr/>
        <w:t>contraste,</w:t>
      </w:r>
      <w:r>
        <w:rPr>
          <w:spacing w:val="-11"/>
        </w:rPr>
        <w:t> </w:t>
      </w:r>
      <w:r>
        <w:rPr/>
        <w:t>para</w:t>
      </w:r>
      <w:r>
        <w:rPr>
          <w:spacing w:val="-12"/>
        </w:rPr>
        <w:t> </w:t>
      </w:r>
      <w:r>
        <w:rPr/>
        <w:t>principios</w:t>
      </w:r>
      <w:r>
        <w:rPr>
          <w:spacing w:val="-10"/>
        </w:rPr>
        <w:t> </w:t>
      </w:r>
      <w:r>
        <w:rPr/>
        <w:t>de</w:t>
      </w:r>
      <w:r>
        <w:rPr>
          <w:spacing w:val="-12"/>
        </w:rPr>
        <w:t> </w:t>
      </w:r>
      <w:r>
        <w:rPr/>
        <w:t>los</w:t>
      </w:r>
      <w:r>
        <w:rPr>
          <w:spacing w:val="-10"/>
        </w:rPr>
        <w:t> </w:t>
      </w:r>
      <w:r>
        <w:rPr/>
        <w:t>años</w:t>
      </w:r>
      <w:r>
        <w:rPr>
          <w:spacing w:val="-11"/>
        </w:rPr>
        <w:t> </w:t>
      </w:r>
      <w:r>
        <w:rPr/>
        <w:t>setenta</w:t>
      </w:r>
      <w:r>
        <w:rPr>
          <w:spacing w:val="-12"/>
        </w:rPr>
        <w:t> </w:t>
      </w:r>
      <w:r>
        <w:rPr/>
        <w:t>las</w:t>
      </w:r>
      <w:r>
        <w:rPr>
          <w:spacing w:val="-9"/>
        </w:rPr>
        <w:t> </w:t>
      </w:r>
      <w:r>
        <w:rPr/>
        <w:t>empresas</w:t>
      </w:r>
      <w:r>
        <w:rPr>
          <w:spacing w:val="-8"/>
        </w:rPr>
        <w:t> </w:t>
      </w:r>
      <w:r>
        <w:rPr/>
        <w:t>fabricantes</w:t>
      </w:r>
      <w:r>
        <w:rPr>
          <w:spacing w:val="-11"/>
        </w:rPr>
        <w:t> </w:t>
      </w:r>
      <w:r>
        <w:rPr/>
        <w:t>tenían</w:t>
      </w:r>
      <w:r>
        <w:rPr>
          <w:spacing w:val="-12"/>
        </w:rPr>
        <w:t> </w:t>
      </w:r>
      <w:r>
        <w:rPr/>
        <w:t>acuerdos</w:t>
      </w:r>
      <w:r>
        <w:rPr>
          <w:spacing w:val="-12"/>
        </w:rPr>
        <w:t> </w:t>
      </w:r>
      <w:r>
        <w:rPr/>
        <w:t>con el gobierno federal que les permitía ampliar su capacidad de importar autopartes compensándolo con mayores importaciones de vehículos terminados y en su mayoría, las empresas no alcanzaban la integración que mandaba el decreto de 1962 (Solís, 2009). El coeficiente de exportaciones a PIB, para el periodo 1970-1977, fue de 10.3% en la industria manufacturera</w:t>
      </w:r>
      <w:r>
        <w:rPr>
          <w:spacing w:val="-7"/>
        </w:rPr>
        <w:t> </w:t>
      </w:r>
      <w:r>
        <w:rPr/>
        <w:t>y</w:t>
      </w:r>
      <w:r>
        <w:rPr>
          <w:spacing w:val="-16"/>
        </w:rPr>
        <w:t> </w:t>
      </w:r>
      <w:r>
        <w:rPr/>
        <w:t>apenas</w:t>
      </w:r>
      <w:r>
        <w:rPr>
          <w:spacing w:val="-12"/>
        </w:rPr>
        <w:t> </w:t>
      </w:r>
      <w:r>
        <w:rPr/>
        <w:t>de</w:t>
      </w:r>
      <w:r>
        <w:rPr>
          <w:spacing w:val="-13"/>
        </w:rPr>
        <w:t> </w:t>
      </w:r>
      <w:r>
        <w:rPr/>
        <w:t>3.2%</w:t>
      </w:r>
      <w:r>
        <w:rPr>
          <w:spacing w:val="-13"/>
        </w:rPr>
        <w:t> </w:t>
      </w:r>
      <w:r>
        <w:rPr/>
        <w:t>en</w:t>
      </w:r>
      <w:r>
        <w:rPr>
          <w:spacing w:val="-10"/>
        </w:rPr>
        <w:t> </w:t>
      </w:r>
      <w:r>
        <w:rPr/>
        <w:t>la</w:t>
      </w:r>
      <w:r>
        <w:rPr>
          <w:spacing w:val="-13"/>
        </w:rPr>
        <w:t> </w:t>
      </w:r>
      <w:r>
        <w:rPr/>
        <w:t>industria</w:t>
      </w:r>
      <w:r>
        <w:rPr>
          <w:spacing w:val="-10"/>
        </w:rPr>
        <w:t> </w:t>
      </w:r>
      <w:r>
        <w:rPr/>
        <w:t>automotriz</w:t>
      </w:r>
      <w:r>
        <w:rPr>
          <w:spacing w:val="-11"/>
        </w:rPr>
        <w:t> </w:t>
      </w:r>
      <w:r>
        <w:rPr/>
        <w:t>terminal</w:t>
      </w:r>
      <w:r>
        <w:rPr>
          <w:spacing w:val="-12"/>
        </w:rPr>
        <w:t> </w:t>
      </w:r>
      <w:r>
        <w:rPr/>
        <w:t>(INEGI,</w:t>
      </w:r>
      <w:r>
        <w:rPr>
          <w:spacing w:val="-10"/>
        </w:rPr>
        <w:t> </w:t>
      </w:r>
      <w:r>
        <w:rPr/>
        <w:t>1982</w:t>
      </w:r>
      <w:r>
        <w:rPr>
          <w:spacing w:val="-10"/>
        </w:rPr>
        <w:t> </w:t>
      </w:r>
      <w:r>
        <w:rPr/>
        <w:t>y</w:t>
      </w:r>
      <w:r>
        <w:rPr>
          <w:spacing w:val="-14"/>
        </w:rPr>
        <w:t> </w:t>
      </w:r>
      <w:r>
        <w:rPr/>
        <w:t>Tellitud, 1993).</w:t>
      </w:r>
    </w:p>
    <w:p>
      <w:pPr>
        <w:pStyle w:val="BodyText"/>
        <w:spacing w:before="5"/>
        <w:rPr>
          <w:sz w:val="21"/>
        </w:rPr>
      </w:pPr>
    </w:p>
    <w:p>
      <w:pPr>
        <w:pStyle w:val="BodyText"/>
        <w:spacing w:line="360" w:lineRule="auto"/>
        <w:ind w:left="102" w:right="122"/>
        <w:jc w:val="both"/>
      </w:pPr>
      <w:r>
        <w:rPr/>
        <w:t>A partir de 1976, el proceso sustitutivo de la rama terminal entró en una fase de estancamiento,</w:t>
      </w:r>
      <w:r>
        <w:rPr>
          <w:spacing w:val="-7"/>
        </w:rPr>
        <w:t> </w:t>
      </w:r>
      <w:r>
        <w:rPr/>
        <w:t>debido</w:t>
      </w:r>
      <w:r>
        <w:rPr>
          <w:spacing w:val="-7"/>
        </w:rPr>
        <w:t> </w:t>
      </w:r>
      <w:r>
        <w:rPr/>
        <w:t>al</w:t>
      </w:r>
      <w:r>
        <w:rPr>
          <w:spacing w:val="-4"/>
        </w:rPr>
        <w:t> </w:t>
      </w:r>
      <w:r>
        <w:rPr/>
        <w:t>incremento</w:t>
      </w:r>
      <w:r>
        <w:rPr>
          <w:spacing w:val="-7"/>
        </w:rPr>
        <w:t> </w:t>
      </w:r>
      <w:r>
        <w:rPr/>
        <w:t>de</w:t>
      </w:r>
      <w:r>
        <w:rPr>
          <w:spacing w:val="-6"/>
        </w:rPr>
        <w:t> </w:t>
      </w:r>
      <w:r>
        <w:rPr/>
        <w:t>material</w:t>
      </w:r>
      <w:r>
        <w:rPr>
          <w:spacing w:val="-7"/>
        </w:rPr>
        <w:t> </w:t>
      </w:r>
      <w:r>
        <w:rPr/>
        <w:t>de</w:t>
      </w:r>
      <w:r>
        <w:rPr>
          <w:spacing w:val="-8"/>
        </w:rPr>
        <w:t> </w:t>
      </w:r>
      <w:r>
        <w:rPr/>
        <w:t>ensamble,</w:t>
      </w:r>
      <w:r>
        <w:rPr>
          <w:spacing w:val="-7"/>
        </w:rPr>
        <w:t> </w:t>
      </w:r>
      <w:r>
        <w:rPr/>
        <w:t>que</w:t>
      </w:r>
      <w:r>
        <w:rPr>
          <w:spacing w:val="-8"/>
        </w:rPr>
        <w:t> </w:t>
      </w:r>
      <w:r>
        <w:rPr/>
        <w:t>se</w:t>
      </w:r>
      <w:r>
        <w:rPr>
          <w:spacing w:val="-6"/>
        </w:rPr>
        <w:t> </w:t>
      </w:r>
      <w:r>
        <w:rPr/>
        <w:t>debió</w:t>
      </w:r>
      <w:r>
        <w:rPr>
          <w:spacing w:val="-4"/>
        </w:rPr>
        <w:t> </w:t>
      </w:r>
      <w:r>
        <w:rPr/>
        <w:t>principalmente</w:t>
      </w:r>
      <w:r>
        <w:rPr>
          <w:spacing w:val="-8"/>
        </w:rPr>
        <w:t> </w:t>
      </w:r>
      <w:r>
        <w:rPr/>
        <w:t>a</w:t>
      </w:r>
    </w:p>
    <w:p>
      <w:pPr>
        <w:spacing w:after="0" w:line="360" w:lineRule="auto"/>
        <w:jc w:val="both"/>
        <w:sectPr>
          <w:pgSz w:w="12240" w:h="15840"/>
          <w:pgMar w:header="0" w:footer="1035" w:top="1360" w:bottom="1220" w:left="1600" w:right="1580"/>
        </w:sectPr>
      </w:pPr>
    </w:p>
    <w:p>
      <w:pPr>
        <w:pStyle w:val="BodyText"/>
        <w:spacing w:line="360" w:lineRule="auto" w:before="50"/>
        <w:ind w:left="102" w:right="117"/>
        <w:jc w:val="both"/>
      </w:pPr>
      <w:r>
        <w:rPr/>
        <w:t>la</w:t>
      </w:r>
      <w:r>
        <w:rPr>
          <w:spacing w:val="-14"/>
        </w:rPr>
        <w:t> </w:t>
      </w:r>
      <w:r>
        <w:rPr/>
        <w:t>incapacidad</w:t>
      </w:r>
      <w:r>
        <w:rPr>
          <w:spacing w:val="-14"/>
        </w:rPr>
        <w:t> </w:t>
      </w:r>
      <w:r>
        <w:rPr/>
        <w:t>de</w:t>
      </w:r>
      <w:r>
        <w:rPr>
          <w:spacing w:val="-14"/>
        </w:rPr>
        <w:t> </w:t>
      </w:r>
      <w:r>
        <w:rPr/>
        <w:t>la</w:t>
      </w:r>
      <w:r>
        <w:rPr>
          <w:spacing w:val="-14"/>
        </w:rPr>
        <w:t> </w:t>
      </w:r>
      <w:r>
        <w:rPr/>
        <w:t>industria</w:t>
      </w:r>
      <w:r>
        <w:rPr>
          <w:spacing w:val="-14"/>
        </w:rPr>
        <w:t> </w:t>
      </w:r>
      <w:r>
        <w:rPr/>
        <w:t>nacional</w:t>
      </w:r>
      <w:r>
        <w:rPr>
          <w:spacing w:val="-14"/>
        </w:rPr>
        <w:t> </w:t>
      </w:r>
      <w:r>
        <w:rPr/>
        <w:t>de</w:t>
      </w:r>
      <w:r>
        <w:rPr>
          <w:spacing w:val="-14"/>
        </w:rPr>
        <w:t> </w:t>
      </w:r>
      <w:r>
        <w:rPr/>
        <w:t>autopartes</w:t>
      </w:r>
      <w:r>
        <w:rPr>
          <w:spacing w:val="-13"/>
        </w:rPr>
        <w:t> </w:t>
      </w:r>
      <w:r>
        <w:rPr/>
        <w:t>para</w:t>
      </w:r>
      <w:r>
        <w:rPr>
          <w:spacing w:val="-15"/>
        </w:rPr>
        <w:t> </w:t>
      </w:r>
      <w:r>
        <w:rPr/>
        <w:t>responder</w:t>
      </w:r>
      <w:r>
        <w:rPr>
          <w:spacing w:val="-14"/>
        </w:rPr>
        <w:t> </w:t>
      </w:r>
      <w:r>
        <w:rPr/>
        <w:t>a</w:t>
      </w:r>
      <w:r>
        <w:rPr>
          <w:spacing w:val="-14"/>
        </w:rPr>
        <w:t> </w:t>
      </w:r>
      <w:r>
        <w:rPr/>
        <w:t>los</w:t>
      </w:r>
      <w:r>
        <w:rPr>
          <w:spacing w:val="-13"/>
        </w:rPr>
        <w:t> </w:t>
      </w:r>
      <w:r>
        <w:rPr/>
        <w:t>importantes</w:t>
      </w:r>
      <w:r>
        <w:rPr>
          <w:spacing w:val="-14"/>
        </w:rPr>
        <w:t> </w:t>
      </w:r>
      <w:r>
        <w:rPr/>
        <w:t>avances tecnológicos que comenzaron a surgir en la industria y la inflexibilidad del modelo de desarrollo, que requería de autorizaciones gubernamentales para producir partes adicionales a las autorizadas (Solís,</w:t>
      </w:r>
      <w:r>
        <w:rPr>
          <w:spacing w:val="-6"/>
        </w:rPr>
        <w:t> </w:t>
      </w:r>
      <w:r>
        <w:rPr/>
        <w:t>2009).</w:t>
      </w:r>
    </w:p>
    <w:p>
      <w:pPr>
        <w:pStyle w:val="BodyText"/>
        <w:spacing w:before="2"/>
        <w:rPr>
          <w:sz w:val="21"/>
        </w:rPr>
      </w:pPr>
    </w:p>
    <w:p>
      <w:pPr>
        <w:pStyle w:val="BodyText"/>
        <w:spacing w:line="360" w:lineRule="auto"/>
        <w:ind w:left="102" w:right="119"/>
        <w:jc w:val="both"/>
      </w:pPr>
      <w:r>
        <w:rPr/>
        <w:t>Con el propósito de corregir esta situación, el decreto de 1977 obligó a las empresas de montaje</w:t>
      </w:r>
      <w:r>
        <w:rPr>
          <w:spacing w:val="-9"/>
        </w:rPr>
        <w:t> </w:t>
      </w:r>
      <w:r>
        <w:rPr/>
        <w:t>a</w:t>
      </w:r>
      <w:r>
        <w:rPr>
          <w:spacing w:val="-10"/>
        </w:rPr>
        <w:t> </w:t>
      </w:r>
      <w:r>
        <w:rPr/>
        <w:t>compensar</w:t>
      </w:r>
      <w:r>
        <w:rPr>
          <w:spacing w:val="-7"/>
        </w:rPr>
        <w:t> </w:t>
      </w:r>
      <w:r>
        <w:rPr/>
        <w:t>con</w:t>
      </w:r>
      <w:r>
        <w:rPr>
          <w:spacing w:val="-7"/>
        </w:rPr>
        <w:t> </w:t>
      </w:r>
      <w:r>
        <w:rPr/>
        <w:t>exportaciones,</w:t>
      </w:r>
      <w:r>
        <w:rPr>
          <w:spacing w:val="-4"/>
        </w:rPr>
        <w:t> </w:t>
      </w:r>
      <w:r>
        <w:rPr>
          <w:spacing w:val="-3"/>
        </w:rPr>
        <w:t>ya</w:t>
      </w:r>
      <w:r>
        <w:rPr>
          <w:spacing w:val="-7"/>
        </w:rPr>
        <w:t> </w:t>
      </w:r>
      <w:r>
        <w:rPr/>
        <w:t>fuese</w:t>
      </w:r>
      <w:r>
        <w:rPr>
          <w:spacing w:val="-7"/>
        </w:rPr>
        <w:t> </w:t>
      </w:r>
      <w:r>
        <w:rPr/>
        <w:t>de</w:t>
      </w:r>
      <w:r>
        <w:rPr>
          <w:spacing w:val="-10"/>
        </w:rPr>
        <w:t> </w:t>
      </w:r>
      <w:r>
        <w:rPr/>
        <w:t>unidades</w:t>
      </w:r>
      <w:r>
        <w:rPr>
          <w:spacing w:val="-8"/>
        </w:rPr>
        <w:t> </w:t>
      </w:r>
      <w:r>
        <w:rPr/>
        <w:t>terminadas</w:t>
      </w:r>
      <w:r>
        <w:rPr>
          <w:spacing w:val="-8"/>
        </w:rPr>
        <w:t> </w:t>
      </w:r>
      <w:r>
        <w:rPr/>
        <w:t>o</w:t>
      </w:r>
      <w:r>
        <w:rPr>
          <w:spacing w:val="-7"/>
        </w:rPr>
        <w:t> </w:t>
      </w:r>
      <w:r>
        <w:rPr/>
        <w:t>de</w:t>
      </w:r>
      <w:r>
        <w:rPr>
          <w:spacing w:val="-10"/>
        </w:rPr>
        <w:t> </w:t>
      </w:r>
      <w:r>
        <w:rPr/>
        <w:t>componentes, sus importaciones de material de ensamble, a efecto de que ambas medidas las convirtiesen en generadoras netas de divisas en un plazo de cinco años (Sosa, 2005). El propósito fundamental de esta política en materia de industria automotriz fue que la fabricación de vehículos</w:t>
      </w:r>
      <w:r>
        <w:rPr>
          <w:spacing w:val="-14"/>
        </w:rPr>
        <w:t> </w:t>
      </w:r>
      <w:r>
        <w:rPr/>
        <w:t>significara</w:t>
      </w:r>
      <w:r>
        <w:rPr>
          <w:spacing w:val="-16"/>
        </w:rPr>
        <w:t> </w:t>
      </w:r>
      <w:r>
        <w:rPr/>
        <w:t>la</w:t>
      </w:r>
      <w:r>
        <w:rPr>
          <w:spacing w:val="-15"/>
        </w:rPr>
        <w:t> </w:t>
      </w:r>
      <w:r>
        <w:rPr/>
        <w:t>menor</w:t>
      </w:r>
      <w:r>
        <w:rPr>
          <w:spacing w:val="-16"/>
        </w:rPr>
        <w:t> </w:t>
      </w:r>
      <w:r>
        <w:rPr/>
        <w:t>carga</w:t>
      </w:r>
      <w:r>
        <w:rPr>
          <w:spacing w:val="-15"/>
        </w:rPr>
        <w:t> </w:t>
      </w:r>
      <w:r>
        <w:rPr/>
        <w:t>posible</w:t>
      </w:r>
      <w:r>
        <w:rPr>
          <w:spacing w:val="-15"/>
        </w:rPr>
        <w:t> </w:t>
      </w:r>
      <w:r>
        <w:rPr/>
        <w:t>en</w:t>
      </w:r>
      <w:r>
        <w:rPr>
          <w:spacing w:val="-13"/>
        </w:rPr>
        <w:t> </w:t>
      </w:r>
      <w:r>
        <w:rPr/>
        <w:t>la</w:t>
      </w:r>
      <w:r>
        <w:rPr>
          <w:spacing w:val="-15"/>
        </w:rPr>
        <w:t> </w:t>
      </w:r>
      <w:r>
        <w:rPr/>
        <w:t>balanza</w:t>
      </w:r>
      <w:r>
        <w:rPr>
          <w:spacing w:val="-15"/>
        </w:rPr>
        <w:t> </w:t>
      </w:r>
      <w:r>
        <w:rPr/>
        <w:t>comercial</w:t>
      </w:r>
      <w:r>
        <w:rPr>
          <w:spacing w:val="-14"/>
        </w:rPr>
        <w:t> </w:t>
      </w:r>
      <w:r>
        <w:rPr/>
        <w:t>buscando</w:t>
      </w:r>
      <w:r>
        <w:rPr>
          <w:spacing w:val="-14"/>
        </w:rPr>
        <w:t> </w:t>
      </w:r>
      <w:r>
        <w:rPr/>
        <w:t>ahorrar</w:t>
      </w:r>
      <w:r>
        <w:rPr>
          <w:spacing w:val="-15"/>
        </w:rPr>
        <w:t> </w:t>
      </w:r>
      <w:r>
        <w:rPr/>
        <w:t>divisas indispensables para el fomento de actividades prioritarias al</w:t>
      </w:r>
      <w:r>
        <w:rPr>
          <w:spacing w:val="-13"/>
        </w:rPr>
        <w:t> </w:t>
      </w:r>
      <w:r>
        <w:rPr/>
        <w:t>país.</w:t>
      </w:r>
    </w:p>
    <w:p>
      <w:pPr>
        <w:pStyle w:val="BodyText"/>
        <w:spacing w:before="4"/>
        <w:rPr>
          <w:sz w:val="21"/>
        </w:rPr>
      </w:pPr>
    </w:p>
    <w:p>
      <w:pPr>
        <w:pStyle w:val="BodyText"/>
        <w:spacing w:line="360" w:lineRule="auto" w:before="1"/>
        <w:ind w:left="102" w:right="119"/>
        <w:jc w:val="both"/>
      </w:pPr>
      <w:r>
        <w:rPr/>
        <w:t>Por otro lado, el Decreto para la industria automotriz de 1977 se orientaba a reemplazar el esquema</w:t>
      </w:r>
      <w:r>
        <w:rPr>
          <w:spacing w:val="-9"/>
        </w:rPr>
        <w:t> </w:t>
      </w:r>
      <w:r>
        <w:rPr/>
        <w:t>de</w:t>
      </w:r>
      <w:r>
        <w:rPr>
          <w:spacing w:val="-10"/>
        </w:rPr>
        <w:t> </w:t>
      </w:r>
      <w:r>
        <w:rPr/>
        <w:t>desarrollo</w:t>
      </w:r>
      <w:r>
        <w:rPr>
          <w:spacing w:val="-7"/>
        </w:rPr>
        <w:t> </w:t>
      </w:r>
      <w:r>
        <w:rPr/>
        <w:t>de</w:t>
      </w:r>
      <w:r>
        <w:rPr>
          <w:spacing w:val="-7"/>
        </w:rPr>
        <w:t> </w:t>
      </w:r>
      <w:r>
        <w:rPr/>
        <w:t>la</w:t>
      </w:r>
      <w:r>
        <w:rPr>
          <w:spacing w:val="-9"/>
        </w:rPr>
        <w:t> </w:t>
      </w:r>
      <w:r>
        <w:rPr/>
        <w:t>industria</w:t>
      </w:r>
      <w:r>
        <w:rPr>
          <w:spacing w:val="-7"/>
        </w:rPr>
        <w:t> </w:t>
      </w:r>
      <w:r>
        <w:rPr/>
        <w:t>terminal</w:t>
      </w:r>
      <w:r>
        <w:rPr>
          <w:spacing w:val="-8"/>
        </w:rPr>
        <w:t> </w:t>
      </w:r>
      <w:r>
        <w:rPr/>
        <w:t>basado</w:t>
      </w:r>
      <w:r>
        <w:rPr>
          <w:spacing w:val="-9"/>
        </w:rPr>
        <w:t> </w:t>
      </w:r>
      <w:r>
        <w:rPr/>
        <w:t>en</w:t>
      </w:r>
      <w:r>
        <w:rPr>
          <w:spacing w:val="-9"/>
        </w:rPr>
        <w:t> </w:t>
      </w:r>
      <w:r>
        <w:rPr/>
        <w:t>la</w:t>
      </w:r>
      <w:r>
        <w:rPr>
          <w:spacing w:val="-7"/>
        </w:rPr>
        <w:t> </w:t>
      </w:r>
      <w:r>
        <w:rPr/>
        <w:t>sustitución</w:t>
      </w:r>
      <w:r>
        <w:rPr>
          <w:spacing w:val="-8"/>
        </w:rPr>
        <w:t> </w:t>
      </w:r>
      <w:r>
        <w:rPr/>
        <w:t>de</w:t>
      </w:r>
      <w:r>
        <w:rPr>
          <w:spacing w:val="-7"/>
        </w:rPr>
        <w:t> </w:t>
      </w:r>
      <w:r>
        <w:rPr/>
        <w:t>importaciones,</w:t>
      </w:r>
      <w:r>
        <w:rPr>
          <w:spacing w:val="-9"/>
        </w:rPr>
        <w:t> </w:t>
      </w:r>
      <w:r>
        <w:rPr/>
        <w:t>por otro de promoción de exportaciones (Sosa,</w:t>
      </w:r>
      <w:r>
        <w:rPr>
          <w:spacing w:val="-8"/>
        </w:rPr>
        <w:t> </w:t>
      </w:r>
      <w:r>
        <w:rPr/>
        <w:t>2005).</w:t>
      </w:r>
    </w:p>
    <w:p>
      <w:pPr>
        <w:pStyle w:val="BodyText"/>
        <w:spacing w:before="2"/>
        <w:rPr>
          <w:sz w:val="21"/>
        </w:rPr>
      </w:pPr>
    </w:p>
    <w:p>
      <w:pPr>
        <w:pStyle w:val="BodyText"/>
        <w:spacing w:line="360" w:lineRule="auto"/>
        <w:ind w:left="102" w:right="115"/>
        <w:jc w:val="both"/>
      </w:pPr>
      <w:r>
        <w:rPr/>
        <w:t>Debido</w:t>
      </w:r>
      <w:r>
        <w:rPr>
          <w:spacing w:val="-8"/>
        </w:rPr>
        <w:t> </w:t>
      </w:r>
      <w:r>
        <w:rPr/>
        <w:t>a</w:t>
      </w:r>
      <w:r>
        <w:rPr>
          <w:spacing w:val="-10"/>
        </w:rPr>
        <w:t> </w:t>
      </w:r>
      <w:r>
        <w:rPr/>
        <w:t>lo</w:t>
      </w:r>
      <w:r>
        <w:rPr>
          <w:spacing w:val="-8"/>
        </w:rPr>
        <w:t> </w:t>
      </w:r>
      <w:r>
        <w:rPr/>
        <w:t>anterior</w:t>
      </w:r>
      <w:r>
        <w:rPr>
          <w:spacing w:val="-7"/>
        </w:rPr>
        <w:t> </w:t>
      </w:r>
      <w:r>
        <w:rPr/>
        <w:t>en</w:t>
      </w:r>
      <w:r>
        <w:rPr>
          <w:spacing w:val="-9"/>
        </w:rPr>
        <w:t> </w:t>
      </w:r>
      <w:r>
        <w:rPr/>
        <w:t>estos</w:t>
      </w:r>
      <w:r>
        <w:rPr>
          <w:spacing w:val="-8"/>
        </w:rPr>
        <w:t> </w:t>
      </w:r>
      <w:r>
        <w:rPr/>
        <w:t>años</w:t>
      </w:r>
      <w:r>
        <w:rPr>
          <w:spacing w:val="-8"/>
        </w:rPr>
        <w:t> </w:t>
      </w:r>
      <w:r>
        <w:rPr/>
        <w:t>se</w:t>
      </w:r>
      <w:r>
        <w:rPr>
          <w:spacing w:val="-9"/>
        </w:rPr>
        <w:t> </w:t>
      </w:r>
      <w:r>
        <w:rPr/>
        <w:t>registró</w:t>
      </w:r>
      <w:r>
        <w:rPr>
          <w:spacing w:val="-9"/>
        </w:rPr>
        <w:t> </w:t>
      </w:r>
      <w:r>
        <w:rPr/>
        <w:t>un</w:t>
      </w:r>
      <w:r>
        <w:rPr>
          <w:spacing w:val="-9"/>
        </w:rPr>
        <w:t> </w:t>
      </w:r>
      <w:r>
        <w:rPr/>
        <w:t>cambio</w:t>
      </w:r>
      <w:r>
        <w:rPr>
          <w:spacing w:val="-9"/>
        </w:rPr>
        <w:t> </w:t>
      </w:r>
      <w:r>
        <w:rPr/>
        <w:t>en</w:t>
      </w:r>
      <w:r>
        <w:rPr>
          <w:spacing w:val="-9"/>
        </w:rPr>
        <w:t> </w:t>
      </w:r>
      <w:r>
        <w:rPr/>
        <w:t>la</w:t>
      </w:r>
      <w:r>
        <w:rPr>
          <w:spacing w:val="-9"/>
        </w:rPr>
        <w:t> </w:t>
      </w:r>
      <w:r>
        <w:rPr/>
        <w:t>estrategia</w:t>
      </w:r>
      <w:r>
        <w:rPr>
          <w:spacing w:val="-10"/>
        </w:rPr>
        <w:t> </w:t>
      </w:r>
      <w:r>
        <w:rPr/>
        <w:t>global</w:t>
      </w:r>
      <w:r>
        <w:rPr>
          <w:spacing w:val="-8"/>
        </w:rPr>
        <w:t> </w:t>
      </w:r>
      <w:r>
        <w:rPr/>
        <w:t>de</w:t>
      </w:r>
      <w:r>
        <w:rPr>
          <w:spacing w:val="-10"/>
        </w:rPr>
        <w:t> </w:t>
      </w:r>
      <w:r>
        <w:rPr/>
        <w:t>producción de</w:t>
      </w:r>
      <w:r>
        <w:rPr>
          <w:spacing w:val="-10"/>
        </w:rPr>
        <w:t> </w:t>
      </w:r>
      <w:r>
        <w:rPr/>
        <w:t>las</w:t>
      </w:r>
      <w:r>
        <w:rPr>
          <w:spacing w:val="-9"/>
        </w:rPr>
        <w:t> </w:t>
      </w:r>
      <w:r>
        <w:rPr/>
        <w:t>grandes</w:t>
      </w:r>
      <w:r>
        <w:rPr>
          <w:spacing w:val="-8"/>
        </w:rPr>
        <w:t> </w:t>
      </w:r>
      <w:r>
        <w:rPr/>
        <w:t>empresas</w:t>
      </w:r>
      <w:r>
        <w:rPr>
          <w:spacing w:val="-8"/>
        </w:rPr>
        <w:t> </w:t>
      </w:r>
      <w:r>
        <w:rPr/>
        <w:t>automotrices,</w:t>
      </w:r>
      <w:r>
        <w:rPr>
          <w:spacing w:val="-8"/>
        </w:rPr>
        <w:t> </w:t>
      </w:r>
      <w:r>
        <w:rPr/>
        <w:t>lo</w:t>
      </w:r>
      <w:r>
        <w:rPr>
          <w:spacing w:val="-8"/>
        </w:rPr>
        <w:t> </w:t>
      </w:r>
      <w:r>
        <w:rPr/>
        <w:t>que</w:t>
      </w:r>
      <w:r>
        <w:rPr>
          <w:spacing w:val="-10"/>
        </w:rPr>
        <w:t> </w:t>
      </w:r>
      <w:r>
        <w:rPr/>
        <w:t>desató</w:t>
      </w:r>
      <w:r>
        <w:rPr>
          <w:spacing w:val="-8"/>
        </w:rPr>
        <w:t> </w:t>
      </w:r>
      <w:r>
        <w:rPr/>
        <w:t>una</w:t>
      </w:r>
      <w:r>
        <w:rPr>
          <w:spacing w:val="-10"/>
        </w:rPr>
        <w:t> </w:t>
      </w:r>
      <w:r>
        <w:rPr/>
        <w:t>ola</w:t>
      </w:r>
      <w:r>
        <w:rPr>
          <w:spacing w:val="-9"/>
        </w:rPr>
        <w:t> </w:t>
      </w:r>
      <w:r>
        <w:rPr/>
        <w:t>de</w:t>
      </w:r>
      <w:r>
        <w:rPr>
          <w:spacing w:val="-10"/>
        </w:rPr>
        <w:t> </w:t>
      </w:r>
      <w:r>
        <w:rPr/>
        <w:t>inversiones</w:t>
      </w:r>
      <w:r>
        <w:rPr>
          <w:spacing w:val="-8"/>
        </w:rPr>
        <w:t> </w:t>
      </w:r>
      <w:r>
        <w:rPr/>
        <w:t>en</w:t>
      </w:r>
      <w:r>
        <w:rPr>
          <w:spacing w:val="-9"/>
        </w:rPr>
        <w:t> </w:t>
      </w:r>
      <w:r>
        <w:rPr/>
        <w:t>plantas</w:t>
      </w:r>
      <w:r>
        <w:rPr>
          <w:spacing w:val="-8"/>
        </w:rPr>
        <w:t> </w:t>
      </w:r>
      <w:r>
        <w:rPr/>
        <w:t>nuevas y</w:t>
      </w:r>
      <w:r>
        <w:rPr>
          <w:spacing w:val="-6"/>
        </w:rPr>
        <w:t> </w:t>
      </w:r>
      <w:r>
        <w:rPr/>
        <w:t>de</w:t>
      </w:r>
      <w:r>
        <w:rPr>
          <w:spacing w:val="-5"/>
        </w:rPr>
        <w:t> </w:t>
      </w:r>
      <w:r>
        <w:rPr/>
        <w:t>alta</w:t>
      </w:r>
      <w:r>
        <w:rPr>
          <w:spacing w:val="-5"/>
        </w:rPr>
        <w:t> </w:t>
      </w:r>
      <w:r>
        <w:rPr/>
        <w:t>tecnología</w:t>
      </w:r>
      <w:r>
        <w:rPr>
          <w:spacing w:val="-5"/>
        </w:rPr>
        <w:t> </w:t>
      </w:r>
      <w:r>
        <w:rPr/>
        <w:t>en</w:t>
      </w:r>
      <w:r>
        <w:rPr>
          <w:spacing w:val="-2"/>
        </w:rPr>
        <w:t> </w:t>
      </w:r>
      <w:r>
        <w:rPr/>
        <w:t>el</w:t>
      </w:r>
      <w:r>
        <w:rPr>
          <w:spacing w:val="-1"/>
        </w:rPr>
        <w:t> </w:t>
      </w:r>
      <w:r>
        <w:rPr/>
        <w:t>norte</w:t>
      </w:r>
      <w:r>
        <w:rPr>
          <w:spacing w:val="-5"/>
        </w:rPr>
        <w:t> </w:t>
      </w:r>
      <w:r>
        <w:rPr/>
        <w:t>de</w:t>
      </w:r>
      <w:r>
        <w:rPr>
          <w:spacing w:val="-5"/>
        </w:rPr>
        <w:t> </w:t>
      </w:r>
      <w:r>
        <w:rPr/>
        <w:t>México.</w:t>
      </w:r>
      <w:r>
        <w:rPr>
          <w:spacing w:val="-4"/>
        </w:rPr>
        <w:t> </w:t>
      </w:r>
      <w:r>
        <w:rPr/>
        <w:t>Dado</w:t>
      </w:r>
      <w:r>
        <w:rPr>
          <w:spacing w:val="-4"/>
        </w:rPr>
        <w:t> </w:t>
      </w:r>
      <w:r>
        <w:rPr/>
        <w:t>el</w:t>
      </w:r>
      <w:r>
        <w:rPr>
          <w:spacing w:val="-1"/>
        </w:rPr>
        <w:t> </w:t>
      </w:r>
      <w:r>
        <w:rPr/>
        <w:t>rezago</w:t>
      </w:r>
      <w:r>
        <w:rPr>
          <w:spacing w:val="-4"/>
        </w:rPr>
        <w:t> </w:t>
      </w:r>
      <w:r>
        <w:rPr/>
        <w:t>de</w:t>
      </w:r>
      <w:r>
        <w:rPr>
          <w:spacing w:val="-5"/>
        </w:rPr>
        <w:t> </w:t>
      </w:r>
      <w:r>
        <w:rPr/>
        <w:t>las</w:t>
      </w:r>
      <w:r>
        <w:rPr>
          <w:spacing w:val="-4"/>
        </w:rPr>
        <w:t> </w:t>
      </w:r>
      <w:r>
        <w:rPr/>
        <w:t>viejas</w:t>
      </w:r>
      <w:r>
        <w:rPr>
          <w:spacing w:val="-4"/>
        </w:rPr>
        <w:t> </w:t>
      </w:r>
      <w:r>
        <w:rPr/>
        <w:t>plantas</w:t>
      </w:r>
      <w:r>
        <w:rPr>
          <w:spacing w:val="-4"/>
        </w:rPr>
        <w:t> </w:t>
      </w:r>
      <w:r>
        <w:rPr/>
        <w:t>automotrices ubicadas en el centro del país destinadas a abastecer el mercado interno, esta ola de nuevas inversiones prometía erigirse en la plataforma exportadora de la industria (Moreno,</w:t>
      </w:r>
      <w:r>
        <w:rPr>
          <w:spacing w:val="-13"/>
        </w:rPr>
        <w:t> </w:t>
      </w:r>
      <w:r>
        <w:rPr/>
        <w:t>1988).</w:t>
      </w:r>
    </w:p>
    <w:p>
      <w:pPr>
        <w:pStyle w:val="BodyText"/>
        <w:spacing w:before="5"/>
        <w:rPr>
          <w:sz w:val="21"/>
        </w:rPr>
      </w:pPr>
    </w:p>
    <w:p>
      <w:pPr>
        <w:pStyle w:val="BodyText"/>
        <w:spacing w:line="360" w:lineRule="auto"/>
        <w:ind w:left="102" w:right="120"/>
        <w:jc w:val="both"/>
      </w:pPr>
      <w:r>
        <w:rPr/>
        <w:t>Como consecuencia de lo anterior se produjo una elevación significativa de las ventas al exterior.</w:t>
      </w:r>
      <w:r>
        <w:rPr>
          <w:spacing w:val="-7"/>
        </w:rPr>
        <w:t> </w:t>
      </w:r>
      <w:r>
        <w:rPr/>
        <w:t>Así,</w:t>
      </w:r>
      <w:r>
        <w:rPr>
          <w:spacing w:val="-6"/>
        </w:rPr>
        <w:t> </w:t>
      </w:r>
      <w:r>
        <w:rPr/>
        <w:t>de</w:t>
      </w:r>
      <w:r>
        <w:rPr>
          <w:spacing w:val="-7"/>
        </w:rPr>
        <w:t> </w:t>
      </w:r>
      <w:r>
        <w:rPr/>
        <w:t>1970</w:t>
      </w:r>
      <w:r>
        <w:rPr>
          <w:spacing w:val="-4"/>
        </w:rPr>
        <w:t> </w:t>
      </w:r>
      <w:r>
        <w:rPr/>
        <w:t>a</w:t>
      </w:r>
      <w:r>
        <w:rPr>
          <w:spacing w:val="-7"/>
        </w:rPr>
        <w:t> </w:t>
      </w:r>
      <w:r>
        <w:rPr/>
        <w:t>1980,</w:t>
      </w:r>
      <w:r>
        <w:rPr>
          <w:spacing w:val="-6"/>
        </w:rPr>
        <w:t> </w:t>
      </w:r>
      <w:r>
        <w:rPr/>
        <w:t>el</w:t>
      </w:r>
      <w:r>
        <w:rPr>
          <w:spacing w:val="-6"/>
        </w:rPr>
        <w:t> </w:t>
      </w:r>
      <w:r>
        <w:rPr/>
        <w:t>promedio</w:t>
      </w:r>
      <w:r>
        <w:rPr>
          <w:spacing w:val="-3"/>
        </w:rPr>
        <w:t> </w:t>
      </w:r>
      <w:r>
        <w:rPr/>
        <w:t>anual</w:t>
      </w:r>
      <w:r>
        <w:rPr>
          <w:spacing w:val="-6"/>
        </w:rPr>
        <w:t> </w:t>
      </w:r>
      <w:r>
        <w:rPr/>
        <w:t>de</w:t>
      </w:r>
      <w:r>
        <w:rPr>
          <w:spacing w:val="-7"/>
        </w:rPr>
        <w:t> </w:t>
      </w:r>
      <w:r>
        <w:rPr/>
        <w:t>exportaciones</w:t>
      </w:r>
      <w:r>
        <w:rPr>
          <w:spacing w:val="-7"/>
        </w:rPr>
        <w:t> </w:t>
      </w:r>
      <w:r>
        <w:rPr/>
        <w:t>de</w:t>
      </w:r>
      <w:r>
        <w:rPr>
          <w:spacing w:val="-7"/>
        </w:rPr>
        <w:t> </w:t>
      </w:r>
      <w:r>
        <w:rPr/>
        <w:t>unidades</w:t>
      </w:r>
      <w:r>
        <w:rPr>
          <w:spacing w:val="-6"/>
        </w:rPr>
        <w:t> </w:t>
      </w:r>
      <w:r>
        <w:rPr/>
        <w:t>terminadas</w:t>
      </w:r>
      <w:r>
        <w:rPr>
          <w:spacing w:val="-4"/>
        </w:rPr>
        <w:t> </w:t>
      </w:r>
      <w:r>
        <w:rPr/>
        <w:t>se incrementó 350.5% en términos reales, al pasar de 132.9 millones de pesos de 1970 en el primer periodo a 598.7 millones en el último (INEGI, 1982 y Tellitud,</w:t>
      </w:r>
      <w:r>
        <w:rPr>
          <w:spacing w:val="-19"/>
        </w:rPr>
        <w:t> </w:t>
      </w:r>
      <w:r>
        <w:rPr/>
        <w:t>1993).</w:t>
      </w:r>
    </w:p>
    <w:p>
      <w:pPr>
        <w:pStyle w:val="BodyText"/>
        <w:spacing w:before="4"/>
        <w:rPr>
          <w:sz w:val="21"/>
        </w:rPr>
      </w:pPr>
    </w:p>
    <w:p>
      <w:pPr>
        <w:pStyle w:val="BodyText"/>
        <w:spacing w:line="360" w:lineRule="auto" w:before="1"/>
        <w:ind w:left="102" w:right="122"/>
        <w:jc w:val="both"/>
      </w:pPr>
      <w:r>
        <w:rPr/>
        <w:t>En resumen, para los años setenta el conjunto de la industria automotriz había conquistado </w:t>
      </w:r>
      <w:r>
        <w:rPr>
          <w:spacing w:val="-3"/>
        </w:rPr>
        <w:t>ya</w:t>
      </w:r>
      <w:r>
        <w:rPr>
          <w:spacing w:val="-15"/>
        </w:rPr>
        <w:t> </w:t>
      </w:r>
      <w:r>
        <w:rPr/>
        <w:t>una</w:t>
      </w:r>
      <w:r>
        <w:rPr>
          <w:spacing w:val="-17"/>
        </w:rPr>
        <w:t> </w:t>
      </w:r>
      <w:r>
        <w:rPr/>
        <w:t>importancia</w:t>
      </w:r>
      <w:r>
        <w:rPr>
          <w:spacing w:val="-17"/>
        </w:rPr>
        <w:t> </w:t>
      </w:r>
      <w:r>
        <w:rPr/>
        <w:t>estratégica</w:t>
      </w:r>
      <w:r>
        <w:rPr>
          <w:spacing w:val="-17"/>
        </w:rPr>
        <w:t> </w:t>
      </w:r>
      <w:r>
        <w:rPr/>
        <w:t>en</w:t>
      </w:r>
      <w:r>
        <w:rPr>
          <w:spacing w:val="-14"/>
        </w:rPr>
        <w:t> </w:t>
      </w:r>
      <w:r>
        <w:rPr/>
        <w:t>el</w:t>
      </w:r>
      <w:r>
        <w:rPr>
          <w:spacing w:val="-15"/>
        </w:rPr>
        <w:t> </w:t>
      </w:r>
      <w:r>
        <w:rPr/>
        <w:t>proceso</w:t>
      </w:r>
      <w:r>
        <w:rPr>
          <w:spacing w:val="-16"/>
        </w:rPr>
        <w:t> </w:t>
      </w:r>
      <w:r>
        <w:rPr/>
        <w:t>de</w:t>
      </w:r>
      <w:r>
        <w:rPr>
          <w:spacing w:val="-14"/>
        </w:rPr>
        <w:t> </w:t>
      </w:r>
      <w:r>
        <w:rPr/>
        <w:t>crecimiento</w:t>
      </w:r>
      <w:r>
        <w:rPr>
          <w:spacing w:val="-16"/>
        </w:rPr>
        <w:t> </w:t>
      </w:r>
      <w:r>
        <w:rPr/>
        <w:t>de</w:t>
      </w:r>
      <w:r>
        <w:rPr>
          <w:spacing w:val="-17"/>
        </w:rPr>
        <w:t> </w:t>
      </w:r>
      <w:r>
        <w:rPr/>
        <w:t>la</w:t>
      </w:r>
      <w:r>
        <w:rPr>
          <w:spacing w:val="-16"/>
        </w:rPr>
        <w:t> </w:t>
      </w:r>
      <w:r>
        <w:rPr/>
        <w:t>economía</w:t>
      </w:r>
      <w:r>
        <w:rPr>
          <w:spacing w:val="-14"/>
        </w:rPr>
        <w:t> </w:t>
      </w:r>
      <w:r>
        <w:rPr/>
        <w:t>mexicana,</w:t>
      </w:r>
      <w:r>
        <w:rPr>
          <w:spacing w:val="-16"/>
        </w:rPr>
        <w:t> </w:t>
      </w:r>
      <w:r>
        <w:rPr/>
        <w:t>gracias a la exitosa sustitución de importaciones registrada en el periodo precedente. No obstante, para la segunda mitad de esa misma década el proceso sustitutivo de la rama terminal daba señales de debilidad (Sosa,</w:t>
      </w:r>
      <w:r>
        <w:rPr>
          <w:spacing w:val="-9"/>
        </w:rPr>
        <w:t> </w:t>
      </w:r>
      <w:r>
        <w:rPr/>
        <w:t>2005).</w:t>
      </w:r>
    </w:p>
    <w:p>
      <w:pPr>
        <w:spacing w:after="0" w:line="360" w:lineRule="auto"/>
        <w:jc w:val="both"/>
        <w:sectPr>
          <w:pgSz w:w="12240" w:h="15840"/>
          <w:pgMar w:header="0" w:footer="1035" w:top="1360" w:bottom="1220" w:left="1600" w:right="1580"/>
        </w:sectPr>
      </w:pPr>
    </w:p>
    <w:p>
      <w:pPr>
        <w:pStyle w:val="BodyText"/>
        <w:spacing w:line="360" w:lineRule="auto" w:before="50"/>
        <w:ind w:left="122" w:right="120"/>
        <w:jc w:val="both"/>
      </w:pPr>
      <w:r>
        <w:rPr/>
        <w:t>La crisis de 1982 trajo consigo cierres de algunas plantas y motivo un decreto que en 1983 obligó</w:t>
      </w:r>
      <w:r>
        <w:rPr>
          <w:spacing w:val="-4"/>
        </w:rPr>
        <w:t> </w:t>
      </w:r>
      <w:r>
        <w:rPr/>
        <w:t>a</w:t>
      </w:r>
      <w:r>
        <w:rPr>
          <w:spacing w:val="-5"/>
        </w:rPr>
        <w:t> </w:t>
      </w:r>
      <w:r>
        <w:rPr/>
        <w:t>integrar</w:t>
      </w:r>
      <w:r>
        <w:rPr>
          <w:spacing w:val="-5"/>
        </w:rPr>
        <w:t> </w:t>
      </w:r>
      <w:r>
        <w:rPr/>
        <w:t>más</w:t>
      </w:r>
      <w:r>
        <w:rPr>
          <w:spacing w:val="-4"/>
        </w:rPr>
        <w:t> </w:t>
      </w:r>
      <w:r>
        <w:rPr/>
        <w:t>componentes</w:t>
      </w:r>
      <w:r>
        <w:rPr>
          <w:spacing w:val="-4"/>
        </w:rPr>
        <w:t> </w:t>
      </w:r>
      <w:r>
        <w:rPr/>
        <w:t>nacionales</w:t>
      </w:r>
      <w:r>
        <w:rPr>
          <w:spacing w:val="1"/>
        </w:rPr>
        <w:t> </w:t>
      </w:r>
      <w:r>
        <w:rPr/>
        <w:t>y</w:t>
      </w:r>
      <w:r>
        <w:rPr>
          <w:spacing w:val="-9"/>
        </w:rPr>
        <w:t> </w:t>
      </w:r>
      <w:r>
        <w:rPr/>
        <w:t>racionó</w:t>
      </w:r>
      <w:r>
        <w:rPr>
          <w:spacing w:val="-3"/>
        </w:rPr>
        <w:t> </w:t>
      </w:r>
      <w:r>
        <w:rPr/>
        <w:t>el</w:t>
      </w:r>
      <w:r>
        <w:rPr>
          <w:spacing w:val="-3"/>
        </w:rPr>
        <w:t> </w:t>
      </w:r>
      <w:r>
        <w:rPr/>
        <w:t>número</w:t>
      </w:r>
      <w:r>
        <w:rPr>
          <w:spacing w:val="-4"/>
        </w:rPr>
        <w:t> </w:t>
      </w:r>
      <w:r>
        <w:rPr/>
        <w:t>de</w:t>
      </w:r>
      <w:r>
        <w:rPr>
          <w:spacing w:val="-5"/>
        </w:rPr>
        <w:t> </w:t>
      </w:r>
      <w:r>
        <w:rPr/>
        <w:t>marcas</w:t>
      </w:r>
      <w:r>
        <w:rPr>
          <w:spacing w:val="1"/>
        </w:rPr>
        <w:t> </w:t>
      </w:r>
      <w:r>
        <w:rPr/>
        <w:t>y</w:t>
      </w:r>
      <w:r>
        <w:rPr>
          <w:spacing w:val="-11"/>
        </w:rPr>
        <w:t> </w:t>
      </w:r>
      <w:r>
        <w:rPr/>
        <w:t>modelos</w:t>
      </w:r>
      <w:r>
        <w:rPr>
          <w:spacing w:val="-3"/>
        </w:rPr>
        <w:t> </w:t>
      </w:r>
      <w:r>
        <w:rPr/>
        <w:t>por productor (Solís,</w:t>
      </w:r>
      <w:r>
        <w:rPr>
          <w:spacing w:val="-5"/>
        </w:rPr>
        <w:t> </w:t>
      </w:r>
      <w:r>
        <w:rPr/>
        <w:t>2009).</w:t>
      </w:r>
    </w:p>
    <w:p>
      <w:pPr>
        <w:pStyle w:val="BodyText"/>
        <w:spacing w:before="4"/>
        <w:rPr>
          <w:sz w:val="21"/>
        </w:rPr>
      </w:pPr>
    </w:p>
    <w:p>
      <w:pPr>
        <w:pStyle w:val="BodyText"/>
        <w:spacing w:line="360" w:lineRule="auto" w:before="1"/>
        <w:ind w:left="122" w:right="113"/>
        <w:jc w:val="both"/>
      </w:pPr>
      <w:r>
        <w:rPr/>
        <w:t>La política económica aplicada a partir del gobierno de Miguel de la Madrid (1982- 1988) y que se prolongó hasta 1994, significó una ruptura total con la estrategia de desarrollo establecida por el decreto de 1977, pues reemplazó el esquema histórico de crecimiento de la industria, basado en el mercado interno por aquel orientado hacia afuera. En este sentido la producción de automóviles terminados observó un notable cambio en su estructura. Por una parte, el peso de la producción de las unidades destinadas al mercado externo en el total se incrementó de 7.4% en 1982, a 44.0% para 1994. Por otra, la proporción de automotores dirigidos</w:t>
      </w:r>
      <w:r>
        <w:rPr>
          <w:spacing w:val="-8"/>
        </w:rPr>
        <w:t> </w:t>
      </w:r>
      <w:r>
        <w:rPr/>
        <w:t>hacia</w:t>
      </w:r>
      <w:r>
        <w:rPr>
          <w:spacing w:val="-9"/>
        </w:rPr>
        <w:t> </w:t>
      </w:r>
      <w:r>
        <w:rPr/>
        <w:t>el</w:t>
      </w:r>
      <w:r>
        <w:rPr>
          <w:spacing w:val="-8"/>
        </w:rPr>
        <w:t> </w:t>
      </w:r>
      <w:r>
        <w:rPr/>
        <w:t>mercado</w:t>
      </w:r>
      <w:r>
        <w:rPr>
          <w:spacing w:val="-9"/>
        </w:rPr>
        <w:t> </w:t>
      </w:r>
      <w:r>
        <w:rPr/>
        <w:t>interno</w:t>
      </w:r>
      <w:r>
        <w:rPr>
          <w:spacing w:val="-9"/>
        </w:rPr>
        <w:t> </w:t>
      </w:r>
      <w:r>
        <w:rPr/>
        <w:t>se</w:t>
      </w:r>
      <w:r>
        <w:rPr>
          <w:spacing w:val="-9"/>
        </w:rPr>
        <w:t> </w:t>
      </w:r>
      <w:r>
        <w:rPr/>
        <w:t>redujo</w:t>
      </w:r>
      <w:r>
        <w:rPr>
          <w:spacing w:val="-8"/>
        </w:rPr>
        <w:t> </w:t>
      </w:r>
      <w:r>
        <w:rPr/>
        <w:t>de</w:t>
      </w:r>
      <w:r>
        <w:rPr>
          <w:spacing w:val="-10"/>
        </w:rPr>
        <w:t> </w:t>
      </w:r>
      <w:r>
        <w:rPr/>
        <w:t>92.6%</w:t>
      </w:r>
      <w:r>
        <w:rPr>
          <w:spacing w:val="-9"/>
        </w:rPr>
        <w:t> </w:t>
      </w:r>
      <w:r>
        <w:rPr/>
        <w:t>en</w:t>
      </w:r>
      <w:r>
        <w:rPr>
          <w:spacing w:val="-9"/>
        </w:rPr>
        <w:t> </w:t>
      </w:r>
      <w:r>
        <w:rPr/>
        <w:t>1983</w:t>
      </w:r>
      <w:r>
        <w:rPr>
          <w:spacing w:val="-9"/>
        </w:rPr>
        <w:t> </w:t>
      </w:r>
      <w:r>
        <w:rPr/>
        <w:t>a</w:t>
      </w:r>
      <w:r>
        <w:rPr>
          <w:spacing w:val="-10"/>
        </w:rPr>
        <w:t> </w:t>
      </w:r>
      <w:r>
        <w:rPr/>
        <w:t>56.0%</w:t>
      </w:r>
      <w:r>
        <w:rPr>
          <w:spacing w:val="-9"/>
        </w:rPr>
        <w:t> </w:t>
      </w:r>
      <w:r>
        <w:rPr/>
        <w:t>en</w:t>
      </w:r>
      <w:r>
        <w:rPr>
          <w:spacing w:val="-9"/>
        </w:rPr>
        <w:t> </w:t>
      </w:r>
      <w:r>
        <w:rPr/>
        <w:t>el</w:t>
      </w:r>
      <w:r>
        <w:rPr>
          <w:spacing w:val="-8"/>
        </w:rPr>
        <w:t> </w:t>
      </w:r>
      <w:r>
        <w:rPr/>
        <w:t>año</w:t>
      </w:r>
      <w:r>
        <w:rPr>
          <w:spacing w:val="-9"/>
        </w:rPr>
        <w:t> </w:t>
      </w:r>
      <w:r>
        <w:rPr/>
        <w:t>1994</w:t>
      </w:r>
      <w:r>
        <w:rPr>
          <w:spacing w:val="-9"/>
        </w:rPr>
        <w:t> </w:t>
      </w:r>
      <w:r>
        <w:rPr/>
        <w:t>(Sosa, 2005).</w:t>
      </w:r>
    </w:p>
    <w:p>
      <w:pPr>
        <w:pStyle w:val="BodyText"/>
        <w:spacing w:before="2"/>
        <w:rPr>
          <w:sz w:val="21"/>
        </w:rPr>
      </w:pPr>
    </w:p>
    <w:p>
      <w:pPr>
        <w:pStyle w:val="BodyText"/>
        <w:spacing w:line="357" w:lineRule="auto"/>
        <w:ind w:left="122" w:right="116"/>
        <w:jc w:val="both"/>
      </w:pPr>
      <w:r>
        <w:rPr/>
        <w:t>El decreto de 1983 denominado </w:t>
      </w:r>
      <w:r>
        <w:rPr>
          <w:i/>
        </w:rPr>
        <w:t>Decreto para el fomento y modernización de la industria </w:t>
      </w:r>
      <w:r>
        <w:rPr>
          <w:i/>
        </w:rPr>
        <w:t>automotriz, </w:t>
      </w:r>
      <w:r>
        <w:rPr/>
        <w:t>liberalizó las importaciones de automóviles terminados, determinando que</w:t>
      </w:r>
      <w:r>
        <w:rPr>
          <w:spacing w:val="-24"/>
        </w:rPr>
        <w:t> </w:t>
      </w:r>
      <w:r>
        <w:rPr/>
        <w:t>éstos ingresaran</w:t>
      </w:r>
      <w:r>
        <w:rPr>
          <w:spacing w:val="-2"/>
        </w:rPr>
        <w:t> </w:t>
      </w:r>
      <w:r>
        <w:rPr/>
        <w:t>a</w:t>
      </w:r>
      <w:r>
        <w:rPr>
          <w:spacing w:val="-5"/>
        </w:rPr>
        <w:t> </w:t>
      </w:r>
      <w:r>
        <w:rPr/>
        <w:t>nuestro</w:t>
      </w:r>
      <w:r>
        <w:rPr>
          <w:spacing w:val="-4"/>
        </w:rPr>
        <w:t> </w:t>
      </w:r>
      <w:r>
        <w:rPr/>
        <w:t>país</w:t>
      </w:r>
      <w:r>
        <w:rPr>
          <w:spacing w:val="-2"/>
        </w:rPr>
        <w:t> </w:t>
      </w:r>
      <w:r>
        <w:rPr/>
        <w:t>a</w:t>
      </w:r>
      <w:r>
        <w:rPr>
          <w:spacing w:val="-4"/>
        </w:rPr>
        <w:t> </w:t>
      </w:r>
      <w:r>
        <w:rPr/>
        <w:t>través</w:t>
      </w:r>
      <w:r>
        <w:rPr>
          <w:spacing w:val="-4"/>
        </w:rPr>
        <w:t> </w:t>
      </w:r>
      <w:r>
        <w:rPr/>
        <w:t>de</w:t>
      </w:r>
      <w:r>
        <w:rPr>
          <w:spacing w:val="-5"/>
        </w:rPr>
        <w:t> </w:t>
      </w:r>
      <w:r>
        <w:rPr/>
        <w:t>las</w:t>
      </w:r>
      <w:r>
        <w:rPr>
          <w:spacing w:val="-4"/>
        </w:rPr>
        <w:t> </w:t>
      </w:r>
      <w:r>
        <w:rPr/>
        <w:t>empresas</w:t>
      </w:r>
      <w:r>
        <w:rPr>
          <w:spacing w:val="-2"/>
        </w:rPr>
        <w:t> </w:t>
      </w:r>
      <w:r>
        <w:rPr/>
        <w:t>de</w:t>
      </w:r>
      <w:r>
        <w:rPr>
          <w:spacing w:val="-5"/>
        </w:rPr>
        <w:t> </w:t>
      </w:r>
      <w:r>
        <w:rPr/>
        <w:t>montaje.</w:t>
      </w:r>
      <w:r>
        <w:rPr>
          <w:spacing w:val="-4"/>
        </w:rPr>
        <w:t> </w:t>
      </w:r>
      <w:r>
        <w:rPr/>
        <w:t>Con</w:t>
      </w:r>
      <w:r>
        <w:rPr>
          <w:spacing w:val="-4"/>
        </w:rPr>
        <w:t> </w:t>
      </w:r>
      <w:r>
        <w:rPr/>
        <w:t>el</w:t>
      </w:r>
      <w:r>
        <w:rPr>
          <w:spacing w:val="-3"/>
        </w:rPr>
        <w:t> </w:t>
      </w:r>
      <w:r>
        <w:rPr/>
        <w:t>propósito</w:t>
      </w:r>
      <w:r>
        <w:rPr>
          <w:spacing w:val="-4"/>
        </w:rPr>
        <w:t> </w:t>
      </w:r>
      <w:r>
        <w:rPr/>
        <w:t>de</w:t>
      </w:r>
      <w:r>
        <w:rPr>
          <w:spacing w:val="-5"/>
        </w:rPr>
        <w:t> </w:t>
      </w:r>
      <w:r>
        <w:rPr/>
        <w:t>evitar</w:t>
      </w:r>
      <w:r>
        <w:rPr>
          <w:spacing w:val="-5"/>
        </w:rPr>
        <w:t> </w:t>
      </w:r>
      <w:r>
        <w:rPr/>
        <w:t>que las importaciones de autos atentaran contra el saldo exterior, las ensambladoras fueron obligadas a cubrirlas con un monto de exportaciones de automóviles equivalente a 2.5</w:t>
      </w:r>
      <w:r>
        <w:rPr>
          <w:spacing w:val="-24"/>
        </w:rPr>
        <w:t> </w:t>
      </w:r>
      <w:r>
        <w:rPr/>
        <w:t>veces sus compras externas para el año modelo 1991, dos ocasiones para los correspondientes a 1992-1993</w:t>
      </w:r>
      <w:r>
        <w:rPr>
          <w:spacing w:val="-1"/>
        </w:rPr>
        <w:t> </w:t>
      </w:r>
      <w:r>
        <w:rPr/>
        <w:t>y</w:t>
      </w:r>
      <w:r>
        <w:rPr>
          <w:spacing w:val="-11"/>
        </w:rPr>
        <w:t> </w:t>
      </w:r>
      <w:r>
        <w:rPr/>
        <w:t>1.75</w:t>
      </w:r>
      <w:r>
        <w:rPr>
          <w:spacing w:val="-6"/>
        </w:rPr>
        <w:t> </w:t>
      </w:r>
      <w:r>
        <w:rPr/>
        <w:t>veces</w:t>
      </w:r>
      <w:r>
        <w:rPr>
          <w:spacing w:val="-1"/>
        </w:rPr>
        <w:t> </w:t>
      </w:r>
      <w:r>
        <w:rPr/>
        <w:t>para</w:t>
      </w:r>
      <w:r>
        <w:rPr>
          <w:spacing w:val="-8"/>
        </w:rPr>
        <w:t> </w:t>
      </w:r>
      <w:r>
        <w:rPr/>
        <w:t>1994</w:t>
      </w:r>
      <w:r>
        <w:rPr>
          <w:spacing w:val="-3"/>
        </w:rPr>
        <w:t> </w:t>
      </w:r>
      <w:r>
        <w:rPr/>
        <w:t>(Sosa,</w:t>
      </w:r>
      <w:r>
        <w:rPr>
          <w:spacing w:val="-7"/>
        </w:rPr>
        <w:t> </w:t>
      </w:r>
      <w:r>
        <w:rPr/>
        <w:t>2005).</w:t>
      </w:r>
      <w:r>
        <w:rPr>
          <w:spacing w:val="-2"/>
        </w:rPr>
        <w:t> </w:t>
      </w:r>
      <w:r>
        <w:rPr/>
        <w:t>En</w:t>
      </w:r>
      <w:r>
        <w:rPr>
          <w:spacing w:val="-7"/>
        </w:rPr>
        <w:t> </w:t>
      </w:r>
      <w:r>
        <w:rPr/>
        <w:t>adición</w:t>
      </w:r>
      <w:r>
        <w:rPr>
          <w:spacing w:val="-6"/>
        </w:rPr>
        <w:t> </w:t>
      </w:r>
      <w:r>
        <w:rPr/>
        <w:t>a</w:t>
      </w:r>
      <w:r>
        <w:rPr>
          <w:spacing w:val="-5"/>
        </w:rPr>
        <w:t> </w:t>
      </w:r>
      <w:r>
        <w:rPr/>
        <w:t>lo</w:t>
      </w:r>
      <w:r>
        <w:rPr>
          <w:spacing w:val="-6"/>
        </w:rPr>
        <w:t> </w:t>
      </w:r>
      <w:r>
        <w:rPr/>
        <w:t>anterior,</w:t>
      </w:r>
      <w:r>
        <w:rPr>
          <w:spacing w:val="-4"/>
        </w:rPr>
        <w:t> </w:t>
      </w:r>
      <w:r>
        <w:rPr/>
        <w:t>con</w:t>
      </w:r>
      <w:r>
        <w:rPr>
          <w:spacing w:val="-6"/>
        </w:rPr>
        <w:t> </w:t>
      </w:r>
      <w:r>
        <w:rPr/>
        <w:t>el</w:t>
      </w:r>
      <w:r>
        <w:rPr>
          <w:spacing w:val="-6"/>
        </w:rPr>
        <w:t> </w:t>
      </w:r>
      <w:r>
        <w:rPr/>
        <w:t>propósito</w:t>
      </w:r>
      <w:r>
        <w:rPr>
          <w:spacing w:val="-6"/>
        </w:rPr>
        <w:t> </w:t>
      </w:r>
      <w:r>
        <w:rPr/>
        <w:t>de minimizar</w:t>
      </w:r>
      <w:r>
        <w:rPr>
          <w:spacing w:val="-10"/>
        </w:rPr>
        <w:t> </w:t>
      </w:r>
      <w:r>
        <w:rPr/>
        <w:t>los</w:t>
      </w:r>
      <w:r>
        <w:rPr>
          <w:spacing w:val="-9"/>
        </w:rPr>
        <w:t> </w:t>
      </w:r>
      <w:r>
        <w:rPr/>
        <w:t>costos</w:t>
      </w:r>
      <w:r>
        <w:rPr>
          <w:spacing w:val="-9"/>
        </w:rPr>
        <w:t> </w:t>
      </w:r>
      <w:r>
        <w:rPr/>
        <w:t>de</w:t>
      </w:r>
      <w:r>
        <w:rPr>
          <w:spacing w:val="-11"/>
        </w:rPr>
        <w:t> </w:t>
      </w:r>
      <w:r>
        <w:rPr/>
        <w:t>producción</w:t>
      </w:r>
      <w:r>
        <w:rPr>
          <w:spacing w:val="-9"/>
        </w:rPr>
        <w:t> </w:t>
      </w:r>
      <w:r>
        <w:rPr/>
        <w:t>de</w:t>
      </w:r>
      <w:r>
        <w:rPr>
          <w:spacing w:val="-11"/>
        </w:rPr>
        <w:t> </w:t>
      </w:r>
      <w:r>
        <w:rPr/>
        <w:t>las</w:t>
      </w:r>
      <w:r>
        <w:rPr>
          <w:spacing w:val="-10"/>
        </w:rPr>
        <w:t> </w:t>
      </w:r>
      <w:r>
        <w:rPr/>
        <w:t>unidades</w:t>
      </w:r>
      <w:r>
        <w:rPr>
          <w:spacing w:val="-9"/>
        </w:rPr>
        <w:t> </w:t>
      </w:r>
      <w:r>
        <w:rPr/>
        <w:t>destinadas</w:t>
      </w:r>
      <w:r>
        <w:rPr>
          <w:spacing w:val="-9"/>
        </w:rPr>
        <w:t> </w:t>
      </w:r>
      <w:r>
        <w:rPr/>
        <w:t>al</w:t>
      </w:r>
      <w:r>
        <w:rPr>
          <w:spacing w:val="-9"/>
        </w:rPr>
        <w:t> </w:t>
      </w:r>
      <w:r>
        <w:rPr/>
        <w:t>mercado</w:t>
      </w:r>
      <w:r>
        <w:rPr>
          <w:spacing w:val="-10"/>
        </w:rPr>
        <w:t> </w:t>
      </w:r>
      <w:r>
        <w:rPr/>
        <w:t>interno,</w:t>
      </w:r>
      <w:r>
        <w:rPr>
          <w:spacing w:val="-8"/>
        </w:rPr>
        <w:t> </w:t>
      </w:r>
      <w:r>
        <w:rPr/>
        <w:t>y</w:t>
      </w:r>
      <w:r>
        <w:rPr>
          <w:spacing w:val="-14"/>
        </w:rPr>
        <w:t> </w:t>
      </w:r>
      <w:r>
        <w:rPr/>
        <w:t>hacerlas más competitivas respecto de las importadas, se decretó la disminución de su GIN</w:t>
      </w:r>
      <w:r>
        <w:rPr>
          <w:position w:val="9"/>
          <w:sz w:val="16"/>
        </w:rPr>
        <w:t>7 </w:t>
      </w:r>
      <w:r>
        <w:rPr/>
        <w:t>obligatorio de 60 a 36% (Flores,</w:t>
      </w:r>
      <w:r>
        <w:rPr>
          <w:spacing w:val="-7"/>
        </w:rPr>
        <w:t> </w:t>
      </w:r>
      <w:r>
        <w:rPr/>
        <w:t>1990).</w:t>
      </w:r>
    </w:p>
    <w:p>
      <w:pPr>
        <w:pStyle w:val="BodyText"/>
        <w:spacing w:before="5"/>
        <w:rPr>
          <w:sz w:val="21"/>
        </w:rPr>
      </w:pPr>
    </w:p>
    <w:p>
      <w:pPr>
        <w:pStyle w:val="BodyText"/>
        <w:spacing w:line="360" w:lineRule="auto"/>
        <w:ind w:left="122" w:right="118"/>
        <w:jc w:val="both"/>
      </w:pPr>
      <w:r>
        <w:rPr/>
        <w:t>Además de lo anterior, el decreto mencionado canceló la disposición de incorporación obligatoria de diversas piezas de origen nacional y autorizó el aumento del grado de integración vertical de las plantas de montaje; en lo que se refiere a la producción de exportación.</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9"/>
        </w:rPr>
      </w:pPr>
      <w:r>
        <w:rPr/>
        <w:pict>
          <v:line style="position:absolute;mso-position-horizontal-relative:page;mso-position-vertical-relative:paragraph;z-index:2728;mso-wrap-distance-left:0;mso-wrap-distance-right:0" from="85.103996pt,13.363647pt" to="229.123996pt,13.363647pt" stroked="true" strokeweight=".60004pt" strokecolor="#000000">
            <w10:wrap type="topAndBottom"/>
          </v:line>
        </w:pict>
      </w:r>
    </w:p>
    <w:p>
      <w:pPr>
        <w:spacing w:before="70"/>
        <w:ind w:left="122" w:right="97" w:firstLine="0"/>
        <w:jc w:val="left"/>
        <w:rPr>
          <w:sz w:val="20"/>
        </w:rPr>
      </w:pPr>
      <w:r>
        <w:rPr>
          <w:position w:val="7"/>
          <w:sz w:val="13"/>
        </w:rPr>
        <w:t>7 </w:t>
      </w:r>
      <w:r>
        <w:rPr>
          <w:sz w:val="20"/>
        </w:rPr>
        <w:t>Grado de Integración Nacional, Flores (1990).</w:t>
      </w:r>
    </w:p>
    <w:p>
      <w:pPr>
        <w:spacing w:after="0"/>
        <w:jc w:val="left"/>
        <w:rPr>
          <w:sz w:val="20"/>
        </w:rPr>
        <w:sectPr>
          <w:pgSz w:w="12240" w:h="15840"/>
          <w:pgMar w:header="0" w:footer="1035" w:top="1360" w:bottom="1220" w:left="1580" w:right="1580"/>
        </w:sectPr>
      </w:pPr>
    </w:p>
    <w:p>
      <w:pPr>
        <w:spacing w:line="360" w:lineRule="auto" w:before="50"/>
        <w:ind w:left="102" w:right="117" w:firstLine="0"/>
        <w:jc w:val="both"/>
        <w:rPr>
          <w:sz w:val="24"/>
        </w:rPr>
      </w:pPr>
      <w:r>
        <w:rPr>
          <w:sz w:val="24"/>
        </w:rPr>
        <w:t>Para 1989 se expidió el </w:t>
      </w:r>
      <w:r>
        <w:rPr>
          <w:i/>
          <w:sz w:val="24"/>
        </w:rPr>
        <w:t>Decreto para el fomento y modernización de la industria </w:t>
      </w:r>
      <w:r>
        <w:rPr>
          <w:i/>
          <w:sz w:val="24"/>
        </w:rPr>
        <w:t>manufacturera de vehículos de autotransporte. </w:t>
      </w:r>
      <w:r>
        <w:rPr>
          <w:sz w:val="24"/>
        </w:rPr>
        <w:t>Si bien el anterior decreto se aplicaba a los automóviles y camiones ligeros y medianos, este segundo se refería a camiones pesados, autobuses integrales y tractocamiones concedió la libertad absoluta de satisfacer la totalidad de la demanda nacional con importaciones y no estableció ninguna obligación para las ensambladoras sobre GIN ni sobre presupuesto de divisas.</w:t>
      </w:r>
    </w:p>
    <w:p>
      <w:pPr>
        <w:pStyle w:val="BodyText"/>
        <w:spacing w:before="3"/>
        <w:rPr>
          <w:sz w:val="21"/>
        </w:rPr>
      </w:pPr>
    </w:p>
    <w:p>
      <w:pPr>
        <w:pStyle w:val="BodyText"/>
        <w:spacing w:line="360" w:lineRule="auto"/>
        <w:ind w:left="102" w:right="121"/>
        <w:jc w:val="both"/>
      </w:pPr>
      <w:r>
        <w:rPr/>
        <w:t>En realidad, estos decretos se consideraron la antesala para la consolidación de un modelo exportador y abierto que vendría con la entrada en vigor de los acuerdos comerciales que se firmaron durante la década de los noventa, en específico el Tratado de Libre Comercio de América Norte (TLCAN). El tratado estipuló la liberalización gradual de la industria automotriz,</w:t>
      </w:r>
      <w:r>
        <w:rPr>
          <w:spacing w:val="-16"/>
        </w:rPr>
        <w:t> </w:t>
      </w:r>
      <w:r>
        <w:rPr/>
        <w:t>hasta</w:t>
      </w:r>
      <w:r>
        <w:rPr>
          <w:spacing w:val="-16"/>
        </w:rPr>
        <w:t> </w:t>
      </w:r>
      <w:r>
        <w:rPr/>
        <w:t>que</w:t>
      </w:r>
      <w:r>
        <w:rPr>
          <w:spacing w:val="-17"/>
        </w:rPr>
        <w:t> </w:t>
      </w:r>
      <w:r>
        <w:rPr/>
        <w:t>ella</w:t>
      </w:r>
      <w:r>
        <w:rPr>
          <w:spacing w:val="-17"/>
        </w:rPr>
        <w:t> </w:t>
      </w:r>
      <w:r>
        <w:rPr/>
        <w:t>se</w:t>
      </w:r>
      <w:r>
        <w:rPr>
          <w:spacing w:val="-17"/>
        </w:rPr>
        <w:t> </w:t>
      </w:r>
      <w:r>
        <w:rPr/>
        <w:t>completara</w:t>
      </w:r>
      <w:r>
        <w:rPr>
          <w:spacing w:val="-15"/>
        </w:rPr>
        <w:t> </w:t>
      </w:r>
      <w:r>
        <w:rPr/>
        <w:t>cabalmente</w:t>
      </w:r>
      <w:r>
        <w:rPr>
          <w:spacing w:val="-17"/>
        </w:rPr>
        <w:t> </w:t>
      </w:r>
      <w:r>
        <w:rPr/>
        <w:t>en</w:t>
      </w:r>
      <w:r>
        <w:rPr>
          <w:spacing w:val="-16"/>
        </w:rPr>
        <w:t> </w:t>
      </w:r>
      <w:r>
        <w:rPr/>
        <w:t>un</w:t>
      </w:r>
      <w:r>
        <w:rPr>
          <w:spacing w:val="-16"/>
        </w:rPr>
        <w:t> </w:t>
      </w:r>
      <w:r>
        <w:rPr/>
        <w:t>lapso</w:t>
      </w:r>
      <w:r>
        <w:rPr>
          <w:spacing w:val="-16"/>
        </w:rPr>
        <w:t> </w:t>
      </w:r>
      <w:r>
        <w:rPr/>
        <w:t>de</w:t>
      </w:r>
      <w:r>
        <w:rPr>
          <w:spacing w:val="-17"/>
        </w:rPr>
        <w:t> </w:t>
      </w:r>
      <w:r>
        <w:rPr/>
        <w:t>diez</w:t>
      </w:r>
      <w:r>
        <w:rPr>
          <w:spacing w:val="-15"/>
        </w:rPr>
        <w:t> </w:t>
      </w:r>
      <w:r>
        <w:rPr/>
        <w:t>años</w:t>
      </w:r>
      <w:r>
        <w:rPr>
          <w:spacing w:val="-16"/>
        </w:rPr>
        <w:t> </w:t>
      </w:r>
      <w:r>
        <w:rPr/>
        <w:t>(Moreno,</w:t>
      </w:r>
      <w:r>
        <w:rPr>
          <w:spacing w:val="-16"/>
        </w:rPr>
        <w:t> </w:t>
      </w:r>
      <w:r>
        <w:rPr/>
        <w:t>1994).</w:t>
      </w:r>
    </w:p>
    <w:p>
      <w:pPr>
        <w:pStyle w:val="BodyText"/>
        <w:spacing w:before="4"/>
        <w:rPr>
          <w:sz w:val="21"/>
        </w:rPr>
      </w:pPr>
    </w:p>
    <w:p>
      <w:pPr>
        <w:pStyle w:val="BodyText"/>
        <w:spacing w:line="360" w:lineRule="auto" w:before="1"/>
        <w:ind w:left="102" w:right="115"/>
        <w:jc w:val="both"/>
      </w:pPr>
      <w:r>
        <w:rPr/>
        <w:t>Álvarez,</w:t>
      </w:r>
      <w:r>
        <w:rPr>
          <w:spacing w:val="-13"/>
        </w:rPr>
        <w:t> </w:t>
      </w:r>
      <w:r>
        <w:rPr/>
        <w:t>(2007),</w:t>
      </w:r>
      <w:r>
        <w:rPr>
          <w:spacing w:val="-13"/>
        </w:rPr>
        <w:t> </w:t>
      </w:r>
      <w:r>
        <w:rPr/>
        <w:t>menciona</w:t>
      </w:r>
      <w:r>
        <w:rPr>
          <w:spacing w:val="-14"/>
        </w:rPr>
        <w:t> </w:t>
      </w:r>
      <w:r>
        <w:rPr/>
        <w:t>que</w:t>
      </w:r>
      <w:r>
        <w:rPr>
          <w:spacing w:val="-12"/>
        </w:rPr>
        <w:t> </w:t>
      </w:r>
      <w:r>
        <w:rPr/>
        <w:t>a</w:t>
      </w:r>
      <w:r>
        <w:rPr>
          <w:spacing w:val="-14"/>
        </w:rPr>
        <w:t> </w:t>
      </w:r>
      <w:r>
        <w:rPr/>
        <w:t>partir</w:t>
      </w:r>
      <w:r>
        <w:rPr>
          <w:spacing w:val="-14"/>
        </w:rPr>
        <w:t> </w:t>
      </w:r>
      <w:r>
        <w:rPr/>
        <w:t>de</w:t>
      </w:r>
      <w:r>
        <w:rPr>
          <w:spacing w:val="-13"/>
        </w:rPr>
        <w:t> </w:t>
      </w:r>
      <w:r>
        <w:rPr/>
        <w:t>la</w:t>
      </w:r>
      <w:r>
        <w:rPr>
          <w:spacing w:val="-12"/>
        </w:rPr>
        <w:t> </w:t>
      </w:r>
      <w:r>
        <w:rPr/>
        <w:t>entrada</w:t>
      </w:r>
      <w:r>
        <w:rPr>
          <w:spacing w:val="-14"/>
        </w:rPr>
        <w:t> </w:t>
      </w:r>
      <w:r>
        <w:rPr/>
        <w:t>en</w:t>
      </w:r>
      <w:r>
        <w:rPr>
          <w:spacing w:val="-13"/>
        </w:rPr>
        <w:t> </w:t>
      </w:r>
      <w:r>
        <w:rPr/>
        <w:t>vigor</w:t>
      </w:r>
      <w:r>
        <w:rPr>
          <w:spacing w:val="-14"/>
        </w:rPr>
        <w:t> </w:t>
      </w:r>
      <w:r>
        <w:rPr/>
        <w:t>del</w:t>
      </w:r>
      <w:r>
        <w:rPr>
          <w:spacing w:val="-13"/>
        </w:rPr>
        <w:t> </w:t>
      </w:r>
      <w:r>
        <w:rPr/>
        <w:t>TLCAN</w:t>
      </w:r>
      <w:r>
        <w:rPr>
          <w:spacing w:val="-12"/>
        </w:rPr>
        <w:t> </w:t>
      </w:r>
      <w:r>
        <w:rPr/>
        <w:t>en</w:t>
      </w:r>
      <w:r>
        <w:rPr>
          <w:spacing w:val="-11"/>
        </w:rPr>
        <w:t> </w:t>
      </w:r>
      <w:r>
        <w:rPr/>
        <w:t>1994</w:t>
      </w:r>
      <w:r>
        <w:rPr>
          <w:spacing w:val="-13"/>
        </w:rPr>
        <w:t> </w:t>
      </w:r>
      <w:r>
        <w:rPr/>
        <w:t>se</w:t>
      </w:r>
      <w:r>
        <w:rPr>
          <w:spacing w:val="-14"/>
        </w:rPr>
        <w:t> </w:t>
      </w:r>
      <w:r>
        <w:rPr/>
        <w:t>propició el crecimiento acelerado de la producción con una estrategia dirigida a la exportación de vehículos sobre todo para abastecer el mercado de los Estados Unidos. Esto provocó en un cambio en la estructura de las exportaciones mexicanas pues en 1985 el 65.5% de las exportaciones estaban soportadas en recursos naturales y manufacturas basadas en recursos naturales y para el 2001 el 78.3% de las exportaciones se constituyeron en manufacturas basadas en tecnologías en especial productos del sector automotriz, sin embargo también aumentaron</w:t>
      </w:r>
      <w:r>
        <w:rPr>
          <w:spacing w:val="-12"/>
        </w:rPr>
        <w:t> </w:t>
      </w:r>
      <w:r>
        <w:rPr/>
        <w:t>las</w:t>
      </w:r>
      <w:r>
        <w:rPr>
          <w:spacing w:val="-11"/>
        </w:rPr>
        <w:t> </w:t>
      </w:r>
      <w:r>
        <w:rPr/>
        <w:t>importaciones</w:t>
      </w:r>
      <w:r>
        <w:rPr>
          <w:spacing w:val="-11"/>
        </w:rPr>
        <w:t> </w:t>
      </w:r>
      <w:r>
        <w:rPr/>
        <w:t>de</w:t>
      </w:r>
      <w:r>
        <w:rPr>
          <w:spacing w:val="-12"/>
        </w:rPr>
        <w:t> </w:t>
      </w:r>
      <w:r>
        <w:rPr/>
        <w:t>autopartes</w:t>
      </w:r>
      <w:r>
        <w:rPr>
          <w:spacing w:val="-6"/>
        </w:rPr>
        <w:t> </w:t>
      </w:r>
      <w:r>
        <w:rPr/>
        <w:t>y</w:t>
      </w:r>
      <w:r>
        <w:rPr>
          <w:spacing w:val="-16"/>
        </w:rPr>
        <w:t> </w:t>
      </w:r>
      <w:r>
        <w:rPr/>
        <w:t>vehículos</w:t>
      </w:r>
      <w:r>
        <w:rPr>
          <w:spacing w:val="-10"/>
        </w:rPr>
        <w:t> </w:t>
      </w:r>
      <w:r>
        <w:rPr/>
        <w:t>para</w:t>
      </w:r>
      <w:r>
        <w:rPr>
          <w:spacing w:val="-13"/>
        </w:rPr>
        <w:t> </w:t>
      </w:r>
      <w:r>
        <w:rPr/>
        <w:t>pasajeros</w:t>
      </w:r>
      <w:r>
        <w:rPr>
          <w:spacing w:val="-8"/>
        </w:rPr>
        <w:t> </w:t>
      </w:r>
      <w:r>
        <w:rPr/>
        <w:t>(Mortimore</w:t>
      </w:r>
      <w:r>
        <w:rPr>
          <w:spacing w:val="-10"/>
        </w:rPr>
        <w:t> </w:t>
      </w:r>
      <w:r>
        <w:rPr/>
        <w:t>y</w:t>
      </w:r>
      <w:r>
        <w:rPr>
          <w:spacing w:val="-16"/>
        </w:rPr>
        <w:t> </w:t>
      </w:r>
      <w:r>
        <w:rPr/>
        <w:t>Barron, 2005). Actualmente el valor de las exportaciones del sector automotriz de 54,511 mdd, 1.8 veces superior a la generada por la exportación de productos petroleros (AMIA,</w:t>
      </w:r>
      <w:r>
        <w:rPr>
          <w:spacing w:val="-13"/>
        </w:rPr>
        <w:t> </w:t>
      </w:r>
      <w:r>
        <w:rPr/>
        <w:t>2014).</w:t>
      </w:r>
    </w:p>
    <w:p>
      <w:pPr>
        <w:pStyle w:val="BodyText"/>
        <w:spacing w:before="4"/>
        <w:rPr>
          <w:sz w:val="21"/>
        </w:rPr>
      </w:pPr>
    </w:p>
    <w:p>
      <w:pPr>
        <w:pStyle w:val="BodyText"/>
        <w:spacing w:line="360" w:lineRule="auto" w:before="1"/>
        <w:ind w:left="102" w:right="117"/>
        <w:jc w:val="both"/>
      </w:pPr>
      <w:r>
        <w:rPr/>
        <w:t>Además se inició un proceso de reestructuración regional de la dinámica de producción manufacturera, incluso se localizaron nuevos complejos automotrices en distintas regiones del país, así, nuevas plantas se instalaron sobretodo en la región norte del país y no en el centro como comúnmente había sucedido, esta decisión obedece a que en los estados fronterizos se reducen los costos de producción, porque se dispone de mano de obra abundante y barata y con poca experiencia sindical, además por su localización geográfica pues se reduce la distancia con los Estados Unidos y por lo tanto el tiempo y el costo de traslado</w:t>
      </w:r>
      <w:r>
        <w:rPr>
          <w:spacing w:val="-5"/>
        </w:rPr>
        <w:t> </w:t>
      </w:r>
      <w:r>
        <w:rPr/>
        <w:t>de</w:t>
      </w:r>
      <w:r>
        <w:rPr>
          <w:spacing w:val="-6"/>
        </w:rPr>
        <w:t> </w:t>
      </w:r>
      <w:r>
        <w:rPr/>
        <w:t>los</w:t>
      </w:r>
      <w:r>
        <w:rPr>
          <w:spacing w:val="-4"/>
        </w:rPr>
        <w:t> </w:t>
      </w:r>
      <w:r>
        <w:rPr/>
        <w:t>productos</w:t>
      </w:r>
      <w:r>
        <w:rPr>
          <w:spacing w:val="-4"/>
        </w:rPr>
        <w:t> </w:t>
      </w:r>
      <w:r>
        <w:rPr/>
        <w:t>terminados,</w:t>
      </w:r>
      <w:r>
        <w:rPr>
          <w:spacing w:val="-5"/>
        </w:rPr>
        <w:t> </w:t>
      </w:r>
      <w:r>
        <w:rPr/>
        <w:t>esto</w:t>
      </w:r>
      <w:r>
        <w:rPr>
          <w:spacing w:val="-4"/>
        </w:rPr>
        <w:t> </w:t>
      </w:r>
      <w:r>
        <w:rPr/>
        <w:t>provocó</w:t>
      </w:r>
      <w:r>
        <w:rPr>
          <w:spacing w:val="-3"/>
        </w:rPr>
        <w:t> </w:t>
      </w:r>
      <w:r>
        <w:rPr/>
        <w:t>una</w:t>
      </w:r>
      <w:r>
        <w:rPr>
          <w:spacing w:val="-6"/>
        </w:rPr>
        <w:t> </w:t>
      </w:r>
      <w:r>
        <w:rPr/>
        <w:t>disminución</w:t>
      </w:r>
      <w:r>
        <w:rPr>
          <w:spacing w:val="-5"/>
        </w:rPr>
        <w:t> </w:t>
      </w:r>
      <w:r>
        <w:rPr/>
        <w:t>de</w:t>
      </w:r>
      <w:r>
        <w:rPr>
          <w:spacing w:val="-6"/>
        </w:rPr>
        <w:t> </w:t>
      </w:r>
      <w:r>
        <w:rPr/>
        <w:t>la</w:t>
      </w:r>
      <w:r>
        <w:rPr>
          <w:spacing w:val="-5"/>
        </w:rPr>
        <w:t> </w:t>
      </w:r>
      <w:r>
        <w:rPr/>
        <w:t>participación</w:t>
      </w:r>
      <w:r>
        <w:rPr>
          <w:spacing w:val="-4"/>
        </w:rPr>
        <w:t> </w:t>
      </w:r>
      <w:r>
        <w:rPr/>
        <w:t>de</w:t>
      </w:r>
      <w:r>
        <w:rPr>
          <w:spacing w:val="-6"/>
        </w:rPr>
        <w:t> </w:t>
      </w:r>
      <w:r>
        <w:rPr/>
        <w:t>la</w:t>
      </w:r>
    </w:p>
    <w:p>
      <w:pPr>
        <w:spacing w:after="0" w:line="360" w:lineRule="auto"/>
        <w:jc w:val="both"/>
        <w:sectPr>
          <w:pgSz w:w="12240" w:h="15840"/>
          <w:pgMar w:header="0" w:footer="1035" w:top="1360" w:bottom="1220" w:left="1600" w:right="1580"/>
        </w:sectPr>
      </w:pPr>
    </w:p>
    <w:p>
      <w:pPr>
        <w:pStyle w:val="BodyText"/>
        <w:spacing w:line="360" w:lineRule="auto" w:before="50"/>
        <w:ind w:left="102" w:right="119"/>
        <w:jc w:val="both"/>
      </w:pPr>
      <w:r>
        <w:rPr/>
        <w:t>región centro dentro de este sector, donde en algún momento se concentró la mayor parte</w:t>
      </w:r>
      <w:r>
        <w:rPr>
          <w:spacing w:val="-23"/>
        </w:rPr>
        <w:t> </w:t>
      </w:r>
      <w:r>
        <w:rPr/>
        <w:t>de la industria automotriz de este país (Villarreal y Villegas,</w:t>
      </w:r>
      <w:r>
        <w:rPr>
          <w:spacing w:val="-14"/>
        </w:rPr>
        <w:t> </w:t>
      </w:r>
      <w:r>
        <w:rPr/>
        <w:t>2007).</w:t>
      </w:r>
    </w:p>
    <w:p>
      <w:pPr>
        <w:pStyle w:val="BodyText"/>
        <w:spacing w:before="7"/>
        <w:rPr>
          <w:sz w:val="21"/>
        </w:rPr>
      </w:pPr>
    </w:p>
    <w:p>
      <w:pPr>
        <w:pStyle w:val="Heading1"/>
        <w:ind w:left="102"/>
        <w:jc w:val="both"/>
      </w:pPr>
      <w:bookmarkStart w:name="_TOC_250017" w:id="18"/>
      <w:bookmarkEnd w:id="18"/>
      <w:r>
        <w:rPr/>
        <w:t>3.4. Estructura actual de la industria automotriz en México</w:t>
      </w:r>
    </w:p>
    <w:p>
      <w:pPr>
        <w:pStyle w:val="BodyText"/>
        <w:spacing w:before="6"/>
        <w:rPr>
          <w:b/>
          <w:sz w:val="32"/>
        </w:rPr>
      </w:pPr>
    </w:p>
    <w:p>
      <w:pPr>
        <w:pStyle w:val="BodyText"/>
        <w:spacing w:line="360" w:lineRule="auto"/>
        <w:ind w:left="102" w:right="120"/>
        <w:jc w:val="both"/>
      </w:pPr>
      <w:r>
        <w:rPr/>
        <w:t>El sector automotriz en México se conforma de la industria terminal y la de autopartes. De acuerdo</w:t>
      </w:r>
      <w:r>
        <w:rPr>
          <w:spacing w:val="-6"/>
        </w:rPr>
        <w:t> </w:t>
      </w:r>
      <w:r>
        <w:rPr/>
        <w:t>con</w:t>
      </w:r>
      <w:r>
        <w:rPr>
          <w:spacing w:val="-7"/>
        </w:rPr>
        <w:t> </w:t>
      </w:r>
      <w:r>
        <w:rPr/>
        <w:t>Román</w:t>
      </w:r>
      <w:r>
        <w:rPr>
          <w:spacing w:val="-8"/>
        </w:rPr>
        <w:t> </w:t>
      </w:r>
      <w:r>
        <w:rPr/>
        <w:t>(2004),</w:t>
      </w:r>
      <w:r>
        <w:rPr>
          <w:spacing w:val="-8"/>
        </w:rPr>
        <w:t> </w:t>
      </w:r>
      <w:r>
        <w:rPr/>
        <w:t>ambas</w:t>
      </w:r>
      <w:r>
        <w:rPr>
          <w:spacing w:val="-8"/>
        </w:rPr>
        <w:t> </w:t>
      </w:r>
      <w:r>
        <w:rPr/>
        <w:t>industrias</w:t>
      </w:r>
      <w:r>
        <w:rPr>
          <w:spacing w:val="-7"/>
        </w:rPr>
        <w:t> </w:t>
      </w:r>
      <w:r>
        <w:rPr/>
        <w:t>están</w:t>
      </w:r>
      <w:r>
        <w:rPr>
          <w:spacing w:val="-7"/>
        </w:rPr>
        <w:t> </w:t>
      </w:r>
      <w:r>
        <w:rPr/>
        <w:t>íntimamente</w:t>
      </w:r>
      <w:r>
        <w:rPr>
          <w:spacing w:val="-8"/>
        </w:rPr>
        <w:t> </w:t>
      </w:r>
      <w:r>
        <w:rPr/>
        <w:t>relacionadas.</w:t>
      </w:r>
      <w:r>
        <w:rPr>
          <w:spacing w:val="-7"/>
        </w:rPr>
        <w:t> </w:t>
      </w:r>
      <w:r>
        <w:rPr/>
        <w:t>No</w:t>
      </w:r>
      <w:r>
        <w:rPr>
          <w:spacing w:val="-8"/>
        </w:rPr>
        <w:t> </w:t>
      </w:r>
      <w:r>
        <w:rPr/>
        <w:t>existiría</w:t>
      </w:r>
      <w:r>
        <w:rPr>
          <w:spacing w:val="-8"/>
        </w:rPr>
        <w:t> </w:t>
      </w:r>
      <w:r>
        <w:rPr/>
        <w:t>la segunda sin la primera. De hecho, señala que la fabricación de automóviles comprende las estrategias de diseño, producción y reemplazo de autopartes, refacciones y</w:t>
      </w:r>
      <w:r>
        <w:rPr>
          <w:spacing w:val="-14"/>
        </w:rPr>
        <w:t> </w:t>
      </w:r>
      <w:r>
        <w:rPr/>
        <w:t>accesorios.</w:t>
      </w:r>
    </w:p>
    <w:p>
      <w:pPr>
        <w:pStyle w:val="BodyText"/>
        <w:spacing w:before="4"/>
        <w:rPr>
          <w:sz w:val="21"/>
        </w:rPr>
      </w:pPr>
    </w:p>
    <w:p>
      <w:pPr>
        <w:pStyle w:val="BodyText"/>
        <w:spacing w:line="360" w:lineRule="auto" w:before="1"/>
        <w:ind w:left="102" w:right="117"/>
        <w:jc w:val="both"/>
      </w:pPr>
      <w:r>
        <w:rPr/>
        <w:t>Es tan importante dicho nexo, que las empresas fabricantes de autopartes consideran al menos,</w:t>
      </w:r>
      <w:r>
        <w:rPr>
          <w:spacing w:val="-16"/>
        </w:rPr>
        <w:t> </w:t>
      </w:r>
      <w:r>
        <w:rPr/>
        <w:t>dos</w:t>
      </w:r>
      <w:r>
        <w:rPr>
          <w:spacing w:val="-16"/>
        </w:rPr>
        <w:t> </w:t>
      </w:r>
      <w:r>
        <w:rPr/>
        <w:t>formas</w:t>
      </w:r>
      <w:r>
        <w:rPr>
          <w:spacing w:val="-16"/>
        </w:rPr>
        <w:t> </w:t>
      </w:r>
      <w:r>
        <w:rPr/>
        <w:t>de</w:t>
      </w:r>
      <w:r>
        <w:rPr>
          <w:spacing w:val="-17"/>
        </w:rPr>
        <w:t> </w:t>
      </w:r>
      <w:r>
        <w:rPr/>
        <w:t>producción:</w:t>
      </w:r>
      <w:r>
        <w:rPr>
          <w:spacing w:val="-15"/>
        </w:rPr>
        <w:t> </w:t>
      </w:r>
      <w:r>
        <w:rPr/>
        <w:t>las</w:t>
      </w:r>
      <w:r>
        <w:rPr>
          <w:spacing w:val="-16"/>
        </w:rPr>
        <w:t> </w:t>
      </w:r>
      <w:r>
        <w:rPr/>
        <w:t>relativas</w:t>
      </w:r>
      <w:r>
        <w:rPr>
          <w:spacing w:val="-14"/>
        </w:rPr>
        <w:t> </w:t>
      </w:r>
      <w:r>
        <w:rPr/>
        <w:t>a</w:t>
      </w:r>
      <w:r>
        <w:rPr>
          <w:spacing w:val="-17"/>
        </w:rPr>
        <w:t> </w:t>
      </w:r>
      <w:r>
        <w:rPr/>
        <w:t>la</w:t>
      </w:r>
      <w:r>
        <w:rPr>
          <w:spacing w:val="-14"/>
        </w:rPr>
        <w:t> </w:t>
      </w:r>
      <w:r>
        <w:rPr/>
        <w:t>entrega</w:t>
      </w:r>
      <w:r>
        <w:rPr>
          <w:spacing w:val="-17"/>
        </w:rPr>
        <w:t> </w:t>
      </w:r>
      <w:r>
        <w:rPr/>
        <w:t>o</w:t>
      </w:r>
      <w:r>
        <w:rPr>
          <w:spacing w:val="-13"/>
        </w:rPr>
        <w:t> </w:t>
      </w:r>
      <w:r>
        <w:rPr/>
        <w:t>aprovisionamiento</w:t>
      </w:r>
      <w:r>
        <w:rPr>
          <w:spacing w:val="-15"/>
        </w:rPr>
        <w:t> </w:t>
      </w:r>
      <w:r>
        <w:rPr/>
        <w:t>de</w:t>
      </w:r>
      <w:r>
        <w:rPr>
          <w:spacing w:val="-14"/>
        </w:rPr>
        <w:t> </w:t>
      </w:r>
      <w:r>
        <w:rPr/>
        <w:t>autopartes a los ensambladores para la fabricación de unidades nuevas; y la generación de inventarios a las mismas ensambladoras, o a otra agencia económica en los circuitos de distribución Román</w:t>
      </w:r>
      <w:r>
        <w:rPr>
          <w:spacing w:val="-3"/>
        </w:rPr>
        <w:t> </w:t>
      </w:r>
      <w:r>
        <w:rPr/>
        <w:t>(2004).</w:t>
      </w:r>
    </w:p>
    <w:p>
      <w:pPr>
        <w:pStyle w:val="BodyText"/>
        <w:spacing w:before="2"/>
        <w:rPr>
          <w:sz w:val="21"/>
        </w:rPr>
      </w:pPr>
    </w:p>
    <w:p>
      <w:pPr>
        <w:pStyle w:val="BodyText"/>
        <w:spacing w:line="360" w:lineRule="auto" w:before="1"/>
        <w:ind w:left="102" w:right="118"/>
        <w:jc w:val="both"/>
      </w:pPr>
      <w:r>
        <w:rPr/>
        <w:t>De</w:t>
      </w:r>
      <w:r>
        <w:rPr>
          <w:spacing w:val="-11"/>
        </w:rPr>
        <w:t> </w:t>
      </w:r>
      <w:r>
        <w:rPr/>
        <w:t>acuerdo</w:t>
      </w:r>
      <w:r>
        <w:rPr>
          <w:spacing w:val="-10"/>
        </w:rPr>
        <w:t> </w:t>
      </w:r>
      <w:r>
        <w:rPr/>
        <w:t>con</w:t>
      </w:r>
      <w:r>
        <w:rPr>
          <w:spacing w:val="-10"/>
        </w:rPr>
        <w:t> </w:t>
      </w:r>
      <w:r>
        <w:rPr/>
        <w:t>el</w:t>
      </w:r>
      <w:r>
        <w:rPr>
          <w:spacing w:val="-9"/>
        </w:rPr>
        <w:t> </w:t>
      </w:r>
      <w:r>
        <w:rPr/>
        <w:t>sistema</w:t>
      </w:r>
      <w:r>
        <w:rPr>
          <w:spacing w:val="-11"/>
        </w:rPr>
        <w:t> </w:t>
      </w:r>
      <w:r>
        <w:rPr/>
        <w:t>de</w:t>
      </w:r>
      <w:r>
        <w:rPr>
          <w:spacing w:val="-11"/>
        </w:rPr>
        <w:t> </w:t>
      </w:r>
      <w:r>
        <w:rPr/>
        <w:t>cuentas</w:t>
      </w:r>
      <w:r>
        <w:rPr>
          <w:spacing w:val="-10"/>
        </w:rPr>
        <w:t> </w:t>
      </w:r>
      <w:r>
        <w:rPr/>
        <w:t>nacionales,</w:t>
      </w:r>
      <w:r>
        <w:rPr>
          <w:spacing w:val="-8"/>
        </w:rPr>
        <w:t> </w:t>
      </w:r>
      <w:r>
        <w:rPr/>
        <w:t>las</w:t>
      </w:r>
      <w:r>
        <w:rPr>
          <w:spacing w:val="-10"/>
        </w:rPr>
        <w:t> </w:t>
      </w:r>
      <w:r>
        <w:rPr/>
        <w:t>actividades</w:t>
      </w:r>
      <w:r>
        <w:rPr>
          <w:spacing w:val="-9"/>
        </w:rPr>
        <w:t> </w:t>
      </w:r>
      <w:r>
        <w:rPr/>
        <w:t>del</w:t>
      </w:r>
      <w:r>
        <w:rPr>
          <w:spacing w:val="-9"/>
        </w:rPr>
        <w:t> </w:t>
      </w:r>
      <w:r>
        <w:rPr/>
        <w:t>primer</w:t>
      </w:r>
      <w:r>
        <w:rPr>
          <w:spacing w:val="-8"/>
        </w:rPr>
        <w:t> </w:t>
      </w:r>
      <w:r>
        <w:rPr/>
        <w:t>sector</w:t>
      </w:r>
      <w:r>
        <w:rPr>
          <w:spacing w:val="-10"/>
        </w:rPr>
        <w:t> </w:t>
      </w:r>
      <w:r>
        <w:rPr/>
        <w:t>se</w:t>
      </w:r>
      <w:r>
        <w:rPr>
          <w:spacing w:val="-10"/>
        </w:rPr>
        <w:t> </w:t>
      </w:r>
      <w:r>
        <w:rPr/>
        <w:t>enfocan principalmente al ensamble de vehículos (rama 56); en tanto, la segunda fábrica partes y componentes automotrices (rama 57), así como productos de hule (rama 41) (Guerrero, 2004). Específicamente, durante el año 2013, el sector automotriz terminal y de autopartes representaron aproximadamente 2.6% del PIB nacional y 15.0% del PIB manufacturero mexicano (ProMéxico,</w:t>
      </w:r>
      <w:r>
        <w:rPr>
          <w:spacing w:val="-4"/>
        </w:rPr>
        <w:t> </w:t>
      </w:r>
      <w:r>
        <w:rPr/>
        <w:t>2014).</w:t>
      </w:r>
    </w:p>
    <w:p>
      <w:pPr>
        <w:pStyle w:val="BodyText"/>
        <w:spacing w:before="3"/>
        <w:rPr>
          <w:sz w:val="21"/>
        </w:rPr>
      </w:pPr>
    </w:p>
    <w:p>
      <w:pPr>
        <w:pStyle w:val="BodyText"/>
        <w:spacing w:line="360" w:lineRule="auto"/>
        <w:ind w:left="102" w:right="117"/>
        <w:jc w:val="both"/>
      </w:pPr>
      <w:r>
        <w:rPr/>
        <w:t>Ejemplo de la relevancia de esta industria en el país es el hecho de que actualmente operan 18 de los productores de equipo original (OEMs, por sus siglas en inglés); ocho son corporaciones líderes en la producción de vehículos ligeros, siendo Nissan, General Motors (GM), Ford, Volkswagen y Fiat- Chrysler las que reúnen más del 95% del total de la producción, (AMIA, 2014).</w:t>
      </w:r>
    </w:p>
    <w:p>
      <w:pPr>
        <w:pStyle w:val="BodyText"/>
        <w:spacing w:before="4"/>
        <w:rPr>
          <w:sz w:val="21"/>
        </w:rPr>
      </w:pPr>
    </w:p>
    <w:p>
      <w:pPr>
        <w:pStyle w:val="BodyText"/>
        <w:spacing w:line="360" w:lineRule="auto" w:before="1"/>
        <w:ind w:left="102" w:right="121"/>
        <w:jc w:val="both"/>
      </w:pPr>
      <w:r>
        <w:rPr/>
        <w:t>Asimismo, existen en el país otras nueve que son productoras de vehículos pesados o comerciales, operan también dos fabricantes de motores diésel y en cuanto al sector de autopartes</w:t>
      </w:r>
      <w:r>
        <w:rPr>
          <w:spacing w:val="-7"/>
        </w:rPr>
        <w:t> </w:t>
      </w:r>
      <w:r>
        <w:rPr/>
        <w:t>se</w:t>
      </w:r>
      <w:r>
        <w:rPr>
          <w:spacing w:val="-5"/>
        </w:rPr>
        <w:t> </w:t>
      </w:r>
      <w:r>
        <w:rPr/>
        <w:t>computan</w:t>
      </w:r>
      <w:r>
        <w:rPr>
          <w:spacing w:val="-6"/>
        </w:rPr>
        <w:t> </w:t>
      </w:r>
      <w:r>
        <w:rPr/>
        <w:t>1,234</w:t>
      </w:r>
      <w:r>
        <w:rPr>
          <w:spacing w:val="-6"/>
        </w:rPr>
        <w:t> </w:t>
      </w:r>
      <w:r>
        <w:rPr/>
        <w:t>empresas,</w:t>
      </w:r>
      <w:r>
        <w:rPr>
          <w:spacing w:val="-6"/>
        </w:rPr>
        <w:t> </w:t>
      </w:r>
      <w:r>
        <w:rPr/>
        <w:t>345</w:t>
      </w:r>
      <w:r>
        <w:rPr>
          <w:spacing w:val="-6"/>
        </w:rPr>
        <w:t> </w:t>
      </w:r>
      <w:r>
        <w:rPr/>
        <w:t>de</w:t>
      </w:r>
      <w:r>
        <w:rPr>
          <w:spacing w:val="-7"/>
        </w:rPr>
        <w:t> </w:t>
      </w:r>
      <w:r>
        <w:rPr/>
        <w:t>las</w:t>
      </w:r>
      <w:r>
        <w:rPr>
          <w:spacing w:val="-4"/>
        </w:rPr>
        <w:t> </w:t>
      </w:r>
      <w:r>
        <w:rPr/>
        <w:t>cuales</w:t>
      </w:r>
      <w:r>
        <w:rPr>
          <w:spacing w:val="-4"/>
        </w:rPr>
        <w:t> </w:t>
      </w:r>
      <w:r>
        <w:rPr/>
        <w:t>son</w:t>
      </w:r>
      <w:r>
        <w:rPr>
          <w:spacing w:val="-6"/>
        </w:rPr>
        <w:t> </w:t>
      </w:r>
      <w:r>
        <w:rPr/>
        <w:t>proveedores</w:t>
      </w:r>
      <w:r>
        <w:rPr>
          <w:spacing w:val="-6"/>
        </w:rPr>
        <w:t> </w:t>
      </w:r>
      <w:r>
        <w:rPr/>
        <w:t>de</w:t>
      </w:r>
      <w:r>
        <w:rPr>
          <w:spacing w:val="-7"/>
        </w:rPr>
        <w:t> </w:t>
      </w:r>
      <w:r>
        <w:rPr/>
        <w:t>primer</w:t>
      </w:r>
      <w:r>
        <w:rPr>
          <w:spacing w:val="-5"/>
        </w:rPr>
        <w:t> </w:t>
      </w:r>
      <w:r>
        <w:rPr/>
        <w:t>nivel</w:t>
      </w:r>
      <w:r>
        <w:rPr>
          <w:spacing w:val="-6"/>
        </w:rPr>
        <w:t> </w:t>
      </w:r>
      <w:r>
        <w:rPr/>
        <w:t>o “tiers 1”. De las 100 corporaciones líderes de autopartes en el mundo, 89 operan en</w:t>
      </w:r>
      <w:r>
        <w:rPr>
          <w:spacing w:val="-25"/>
        </w:rPr>
        <w:t> </w:t>
      </w:r>
      <w:r>
        <w:rPr/>
        <w:t>México, todas las firmas de origen estadounidense y europeo que forman parte de esas 100 </w:t>
      </w:r>
      <w:r>
        <w:rPr>
          <w:spacing w:val="58"/>
        </w:rPr>
        <w:t> </w:t>
      </w:r>
      <w:r>
        <w:rPr/>
        <w:t>trabajan</w:t>
      </w:r>
    </w:p>
    <w:p>
      <w:pPr>
        <w:spacing w:after="0" w:line="360" w:lineRule="auto"/>
        <w:jc w:val="both"/>
        <w:sectPr>
          <w:pgSz w:w="12240" w:h="15840"/>
          <w:pgMar w:header="0" w:footer="1035" w:top="1360" w:bottom="1220" w:left="1600" w:right="1580"/>
        </w:sectPr>
      </w:pPr>
    </w:p>
    <w:p>
      <w:pPr>
        <w:pStyle w:val="BodyText"/>
        <w:spacing w:line="360" w:lineRule="auto" w:before="50"/>
        <w:ind w:left="102" w:right="121"/>
        <w:jc w:val="both"/>
      </w:pPr>
      <w:r>
        <w:rPr/>
        <w:t>en el país. Tratándose de las firmas líderes japonesas y coreanas, el 60% de ellas tienen fábricas en México. Alrededor del 80% de la producción va al mercado externo y 90% tiene como destino el mercado de Estados Unidos (Covarrubias, 2014).</w:t>
      </w:r>
    </w:p>
    <w:p>
      <w:pPr>
        <w:pStyle w:val="BodyText"/>
        <w:spacing w:before="4"/>
        <w:rPr>
          <w:sz w:val="21"/>
        </w:rPr>
      </w:pPr>
    </w:p>
    <w:p>
      <w:pPr>
        <w:pStyle w:val="BodyText"/>
        <w:spacing w:line="360" w:lineRule="auto" w:before="1"/>
        <w:ind w:left="102" w:right="118"/>
        <w:jc w:val="both"/>
      </w:pPr>
      <w:r>
        <w:rPr/>
        <w:t>El</w:t>
      </w:r>
      <w:r>
        <w:rPr>
          <w:spacing w:val="-7"/>
        </w:rPr>
        <w:t> </w:t>
      </w:r>
      <w:r>
        <w:rPr/>
        <w:t>esquema</w:t>
      </w:r>
      <w:r>
        <w:rPr>
          <w:spacing w:val="-8"/>
        </w:rPr>
        <w:t> </w:t>
      </w:r>
      <w:r>
        <w:rPr/>
        <w:t>3.1</w:t>
      </w:r>
      <w:r>
        <w:rPr>
          <w:spacing w:val="-7"/>
        </w:rPr>
        <w:t> </w:t>
      </w:r>
      <w:r>
        <w:rPr/>
        <w:t>muestra</w:t>
      </w:r>
      <w:r>
        <w:rPr>
          <w:spacing w:val="-9"/>
        </w:rPr>
        <w:t> </w:t>
      </w:r>
      <w:r>
        <w:rPr/>
        <w:t>las</w:t>
      </w:r>
      <w:r>
        <w:rPr>
          <w:spacing w:val="-7"/>
        </w:rPr>
        <w:t> </w:t>
      </w:r>
      <w:r>
        <w:rPr/>
        <w:t>empresas</w:t>
      </w:r>
      <w:r>
        <w:rPr>
          <w:spacing w:val="-7"/>
        </w:rPr>
        <w:t> </w:t>
      </w:r>
      <w:r>
        <w:rPr/>
        <w:t>productoras</w:t>
      </w:r>
      <w:r>
        <w:rPr>
          <w:spacing w:val="-7"/>
        </w:rPr>
        <w:t> </w:t>
      </w:r>
      <w:r>
        <w:rPr/>
        <w:t>de</w:t>
      </w:r>
      <w:r>
        <w:rPr>
          <w:spacing w:val="-8"/>
        </w:rPr>
        <w:t> </w:t>
      </w:r>
      <w:r>
        <w:rPr/>
        <w:t>vehículos</w:t>
      </w:r>
      <w:r>
        <w:rPr>
          <w:spacing w:val="-7"/>
        </w:rPr>
        <w:t> </w:t>
      </w:r>
      <w:r>
        <w:rPr/>
        <w:t>ligeros,</w:t>
      </w:r>
      <w:r>
        <w:rPr>
          <w:spacing w:val="-8"/>
        </w:rPr>
        <w:t> </w:t>
      </w:r>
      <w:r>
        <w:rPr/>
        <w:t>comerciales,</w:t>
      </w:r>
      <w:r>
        <w:rPr>
          <w:spacing w:val="-7"/>
        </w:rPr>
        <w:t> </w:t>
      </w:r>
      <w:r>
        <w:rPr/>
        <w:t>motores y autopartes que para el año 2014 se encuentran ubicadas en nuestro</w:t>
      </w:r>
      <w:r>
        <w:rPr>
          <w:spacing w:val="-11"/>
        </w:rPr>
        <w:t> </w:t>
      </w:r>
      <w:r>
        <w:rPr/>
        <w:t>país.</w:t>
      </w:r>
    </w:p>
    <w:p>
      <w:pPr>
        <w:pStyle w:val="BodyText"/>
        <w:spacing w:before="9"/>
        <w:rPr>
          <w:sz w:val="21"/>
        </w:rPr>
      </w:pPr>
    </w:p>
    <w:p>
      <w:pPr>
        <w:pStyle w:val="Heading1"/>
        <w:ind w:left="853" w:right="119"/>
      </w:pPr>
      <w:r>
        <w:rPr/>
        <w:t>Esquema 3.1. Fabricantes de vehículos, motores y autopartes en México</w:t>
      </w:r>
    </w:p>
    <w:p>
      <w:pPr>
        <w:pStyle w:val="BodyText"/>
        <w:spacing w:before="10"/>
        <w:rPr>
          <w:b/>
          <w:sz w:val="8"/>
        </w:rPr>
      </w:pPr>
      <w:r>
        <w:rPr/>
        <w:pict>
          <v:group style="position:absolute;margin-left:85.080002pt;margin-top:7.084319pt;width:316.95pt;height:234.05pt;mso-position-horizontal-relative:page;mso-position-vertical-relative:paragraph;z-index:2944;mso-wrap-distance-left:0;mso-wrap-distance-right:0" coordorigin="1702,142" coordsize="6339,4681">
            <v:rect style="position:absolute;left:1735;top:164;width:1918;height:408" filled="true" fillcolor="#89b833" stroked="false">
              <v:fill type="solid"/>
            </v:rect>
            <v:rect style="position:absolute;left:1735;top:164;width:1918;height:408" filled="false" stroked="true" strokeweight=".96pt" strokecolor="#89b833"/>
            <v:rect style="position:absolute;left:1735;top:572;width:1918;height:3835" filled="true" fillcolor="#dae6cd" stroked="false">
              <v:fill opacity="59110f" type="solid"/>
            </v:rect>
            <v:rect style="position:absolute;left:1735;top:572;width:1918;height:3922" filled="false" stroked="true" strokeweight=".96pt" strokecolor="#dae6cd"/>
            <v:rect style="position:absolute;left:3926;top:152;width:1920;height:408" filled="true" fillcolor="#c0cf39" stroked="false">
              <v:fill type="solid"/>
            </v:rect>
            <v:rect style="position:absolute;left:3926;top:152;width:1920;height:408" filled="false" stroked="true" strokeweight=".96pt" strokecolor="#c0cf39"/>
            <v:rect style="position:absolute;left:3922;top:572;width:1920;height:3835" filled="true" fillcolor="#e8ecce" stroked="false">
              <v:fill opacity="59110f" type="solid"/>
            </v:rect>
            <v:rect style="position:absolute;left:3922;top:572;width:1920;height:3922" filled="false" stroked="true" strokeweight=".96pt" strokecolor="#e8ecce"/>
            <v:rect style="position:absolute;left:6110;top:164;width:1920;height:408" filled="true" fillcolor="#019576" stroked="false">
              <v:fill type="solid"/>
            </v:rect>
            <v:rect style="position:absolute;left:6110;top:164;width:1920;height:408" filled="false" stroked="true" strokeweight=".96pt" strokecolor="#019576"/>
            <v:rect style="position:absolute;left:6110;top:572;width:1920;height:3922" filled="true" fillcolor="#caddd5" stroked="false">
              <v:fill opacity="59110f" type="solid"/>
            </v:rect>
            <v:rect style="position:absolute;left:6110;top:572;width:1920;height:3922" filled="false" stroked="true" strokeweight=".96pt" strokecolor="#caddd5"/>
            <v:rect style="position:absolute;left:1702;top:4407;width:4426;height:415" filled="true" fillcolor="#ffffff" stroked="false">
              <v:fill type="solid"/>
            </v:rect>
            <v:shape style="position:absolute;left:1735;top:154;width:1918;height:418" type="#_x0000_t202" filled="false" stroked="false">
              <v:textbox inset="0,0,0,0">
                <w:txbxContent>
                  <w:p>
                    <w:pPr>
                      <w:spacing w:before="98"/>
                      <w:ind w:left="273" w:right="0" w:firstLine="0"/>
                      <w:jc w:val="left"/>
                      <w:rPr>
                        <w:b/>
                        <w:sz w:val="18"/>
                      </w:rPr>
                    </w:pPr>
                    <w:r>
                      <w:rPr>
                        <w:b/>
                        <w:sz w:val="18"/>
                      </w:rPr>
                      <w:t>Vehículos Ligeros</w:t>
                    </w:r>
                  </w:p>
                </w:txbxContent>
              </v:textbox>
              <w10:wrap type="none"/>
            </v:shape>
            <v:shape style="position:absolute;left:1735;top:572;width:1918;height:3836" type="#_x0000_t202" filled="false" stroked="false">
              <v:textbox inset="0,0,0,0">
                <w:txbxContent>
                  <w:p>
                    <w:pPr>
                      <w:numPr>
                        <w:ilvl w:val="0"/>
                        <w:numId w:val="16"/>
                      </w:numPr>
                      <w:tabs>
                        <w:tab w:pos="167" w:val="left" w:leader="none"/>
                      </w:tabs>
                      <w:spacing w:before="54"/>
                      <w:ind w:left="166" w:right="0" w:hanging="92"/>
                      <w:jc w:val="left"/>
                      <w:rPr>
                        <w:sz w:val="18"/>
                      </w:rPr>
                    </w:pPr>
                    <w:r>
                      <w:rPr>
                        <w:sz w:val="18"/>
                      </w:rPr>
                      <w:t>Nissan</w:t>
                    </w:r>
                  </w:p>
                  <w:p>
                    <w:pPr>
                      <w:numPr>
                        <w:ilvl w:val="0"/>
                        <w:numId w:val="16"/>
                      </w:numPr>
                      <w:tabs>
                        <w:tab w:pos="167" w:val="left" w:leader="none"/>
                      </w:tabs>
                      <w:spacing w:before="11"/>
                      <w:ind w:left="166" w:right="0" w:hanging="92"/>
                      <w:jc w:val="left"/>
                      <w:rPr>
                        <w:sz w:val="18"/>
                      </w:rPr>
                    </w:pPr>
                    <w:r>
                      <w:rPr>
                        <w:sz w:val="18"/>
                      </w:rPr>
                      <w:t>General</w:t>
                    </w:r>
                    <w:r>
                      <w:rPr>
                        <w:spacing w:val="-2"/>
                        <w:sz w:val="18"/>
                      </w:rPr>
                      <w:t> </w:t>
                    </w:r>
                    <w:r>
                      <w:rPr>
                        <w:sz w:val="18"/>
                      </w:rPr>
                      <w:t>Motors</w:t>
                    </w:r>
                  </w:p>
                  <w:p>
                    <w:pPr>
                      <w:numPr>
                        <w:ilvl w:val="0"/>
                        <w:numId w:val="16"/>
                      </w:numPr>
                      <w:tabs>
                        <w:tab w:pos="167" w:val="left" w:leader="none"/>
                      </w:tabs>
                      <w:spacing w:before="9"/>
                      <w:ind w:left="166" w:right="0" w:hanging="92"/>
                      <w:jc w:val="left"/>
                      <w:rPr>
                        <w:sz w:val="18"/>
                      </w:rPr>
                    </w:pPr>
                    <w:r>
                      <w:rPr>
                        <w:sz w:val="18"/>
                      </w:rPr>
                      <w:t>Ford</w:t>
                    </w:r>
                  </w:p>
                  <w:p>
                    <w:pPr>
                      <w:numPr>
                        <w:ilvl w:val="0"/>
                        <w:numId w:val="16"/>
                      </w:numPr>
                      <w:tabs>
                        <w:tab w:pos="167" w:val="left" w:leader="none"/>
                      </w:tabs>
                      <w:spacing w:before="11"/>
                      <w:ind w:left="166" w:right="0" w:hanging="92"/>
                      <w:jc w:val="left"/>
                      <w:rPr>
                        <w:sz w:val="18"/>
                      </w:rPr>
                    </w:pPr>
                    <w:r>
                      <w:rPr>
                        <w:sz w:val="18"/>
                      </w:rPr>
                      <w:t>Volkswagen</w:t>
                    </w:r>
                  </w:p>
                  <w:p>
                    <w:pPr>
                      <w:numPr>
                        <w:ilvl w:val="0"/>
                        <w:numId w:val="16"/>
                      </w:numPr>
                      <w:tabs>
                        <w:tab w:pos="167" w:val="left" w:leader="none"/>
                      </w:tabs>
                      <w:spacing w:before="9"/>
                      <w:ind w:left="166" w:right="0" w:hanging="92"/>
                      <w:jc w:val="left"/>
                      <w:rPr>
                        <w:sz w:val="18"/>
                      </w:rPr>
                    </w:pPr>
                    <w:r>
                      <w:rPr>
                        <w:sz w:val="18"/>
                      </w:rPr>
                      <w:t>Chrysler/Fiat</w:t>
                    </w:r>
                  </w:p>
                  <w:p>
                    <w:pPr>
                      <w:numPr>
                        <w:ilvl w:val="0"/>
                        <w:numId w:val="16"/>
                      </w:numPr>
                      <w:tabs>
                        <w:tab w:pos="167" w:val="left" w:leader="none"/>
                      </w:tabs>
                      <w:spacing w:before="11"/>
                      <w:ind w:left="166" w:right="0" w:hanging="92"/>
                      <w:jc w:val="left"/>
                      <w:rPr>
                        <w:sz w:val="18"/>
                      </w:rPr>
                    </w:pPr>
                    <w:r>
                      <w:rPr>
                        <w:sz w:val="18"/>
                      </w:rPr>
                      <w:t>Honda</w:t>
                    </w:r>
                  </w:p>
                  <w:p>
                    <w:pPr>
                      <w:numPr>
                        <w:ilvl w:val="0"/>
                        <w:numId w:val="16"/>
                      </w:numPr>
                      <w:tabs>
                        <w:tab w:pos="167" w:val="left" w:leader="none"/>
                      </w:tabs>
                      <w:spacing w:before="9"/>
                      <w:ind w:left="166" w:right="0" w:hanging="92"/>
                      <w:jc w:val="left"/>
                      <w:rPr>
                        <w:sz w:val="18"/>
                      </w:rPr>
                    </w:pPr>
                    <w:r>
                      <w:rPr>
                        <w:sz w:val="18"/>
                      </w:rPr>
                      <w:t>Toyota</w:t>
                    </w:r>
                  </w:p>
                  <w:p>
                    <w:pPr>
                      <w:numPr>
                        <w:ilvl w:val="0"/>
                        <w:numId w:val="16"/>
                      </w:numPr>
                      <w:tabs>
                        <w:tab w:pos="167" w:val="left" w:leader="none"/>
                      </w:tabs>
                      <w:spacing w:before="11"/>
                      <w:ind w:left="166" w:right="0" w:hanging="92"/>
                      <w:jc w:val="left"/>
                      <w:rPr>
                        <w:sz w:val="18"/>
                      </w:rPr>
                    </w:pPr>
                    <w:r>
                      <w:rPr>
                        <w:sz w:val="18"/>
                      </w:rPr>
                      <w:t>Mazda</w:t>
                    </w:r>
                  </w:p>
                </w:txbxContent>
              </v:textbox>
              <w10:wrap type="none"/>
            </v:shape>
            <v:shape style="position:absolute;left:3922;top:142;width:1920;height:424" type="#_x0000_t202" filled="false" stroked="false">
              <v:textbox inset="0,0,0,0">
                <w:txbxContent>
                  <w:p>
                    <w:pPr>
                      <w:spacing w:before="98"/>
                      <w:ind w:left="123" w:right="0" w:firstLine="0"/>
                      <w:jc w:val="left"/>
                      <w:rPr>
                        <w:b/>
                        <w:sz w:val="18"/>
                      </w:rPr>
                    </w:pPr>
                    <w:r>
                      <w:rPr>
                        <w:b/>
                        <w:sz w:val="18"/>
                      </w:rPr>
                      <w:t>Vehículos comerciales</w:t>
                    </w:r>
                  </w:p>
                </w:txbxContent>
              </v:textbox>
              <w10:wrap type="none"/>
            </v:shape>
            <v:shape style="position:absolute;left:3922;top:566;width:1920;height:3842" type="#_x0000_t202" filled="false" stroked="false">
              <v:textbox inset="0,0,0,0">
                <w:txbxContent>
                  <w:p>
                    <w:pPr>
                      <w:numPr>
                        <w:ilvl w:val="0"/>
                        <w:numId w:val="17"/>
                      </w:numPr>
                      <w:tabs>
                        <w:tab w:pos="169" w:val="left" w:leader="none"/>
                      </w:tabs>
                      <w:spacing w:line="188" w:lineRule="exact" w:before="78"/>
                      <w:ind w:left="168" w:right="126" w:hanging="91"/>
                      <w:jc w:val="left"/>
                      <w:rPr>
                        <w:sz w:val="18"/>
                      </w:rPr>
                    </w:pPr>
                    <w:r>
                      <w:rPr>
                        <w:sz w:val="18"/>
                      </w:rPr>
                      <w:t>Daimler/Freightliner</w:t>
                    </w:r>
                    <w:r>
                      <w:rPr>
                        <w:spacing w:val="-6"/>
                        <w:sz w:val="18"/>
                      </w:rPr>
                      <w:t> </w:t>
                    </w:r>
                    <w:r>
                      <w:rPr>
                        <w:sz w:val="18"/>
                      </w:rPr>
                      <w:t>y Mercedes</w:t>
                    </w:r>
                    <w:r>
                      <w:rPr>
                        <w:spacing w:val="-4"/>
                        <w:sz w:val="18"/>
                      </w:rPr>
                      <w:t> </w:t>
                    </w:r>
                    <w:r>
                      <w:rPr>
                        <w:sz w:val="18"/>
                      </w:rPr>
                      <w:t>Benz</w:t>
                    </w:r>
                  </w:p>
                  <w:p>
                    <w:pPr>
                      <w:numPr>
                        <w:ilvl w:val="0"/>
                        <w:numId w:val="17"/>
                      </w:numPr>
                      <w:tabs>
                        <w:tab w:pos="169" w:val="left" w:leader="none"/>
                      </w:tabs>
                      <w:spacing w:before="10"/>
                      <w:ind w:left="168" w:right="0" w:hanging="91"/>
                      <w:jc w:val="left"/>
                      <w:rPr>
                        <w:sz w:val="18"/>
                      </w:rPr>
                    </w:pPr>
                    <w:r>
                      <w:rPr>
                        <w:sz w:val="18"/>
                      </w:rPr>
                      <w:t>Sacania</w:t>
                    </w:r>
                  </w:p>
                  <w:p>
                    <w:pPr>
                      <w:numPr>
                        <w:ilvl w:val="0"/>
                        <w:numId w:val="17"/>
                      </w:numPr>
                      <w:tabs>
                        <w:tab w:pos="169" w:val="left" w:leader="none"/>
                      </w:tabs>
                      <w:spacing w:before="11"/>
                      <w:ind w:left="168" w:right="0" w:hanging="91"/>
                      <w:jc w:val="left"/>
                      <w:rPr>
                        <w:sz w:val="18"/>
                      </w:rPr>
                    </w:pPr>
                    <w:r>
                      <w:rPr>
                        <w:sz w:val="18"/>
                      </w:rPr>
                      <w:t>Volvo</w:t>
                    </w:r>
                  </w:p>
                  <w:p>
                    <w:pPr>
                      <w:numPr>
                        <w:ilvl w:val="0"/>
                        <w:numId w:val="17"/>
                      </w:numPr>
                      <w:tabs>
                        <w:tab w:pos="169" w:val="left" w:leader="none"/>
                      </w:tabs>
                      <w:spacing w:before="9"/>
                      <w:ind w:left="168" w:right="0" w:hanging="91"/>
                      <w:jc w:val="left"/>
                      <w:rPr>
                        <w:sz w:val="18"/>
                      </w:rPr>
                    </w:pPr>
                    <w:r>
                      <w:rPr>
                        <w:sz w:val="18"/>
                      </w:rPr>
                      <w:t>Dina</w:t>
                    </w:r>
                  </w:p>
                  <w:p>
                    <w:pPr>
                      <w:numPr>
                        <w:ilvl w:val="0"/>
                        <w:numId w:val="17"/>
                      </w:numPr>
                      <w:tabs>
                        <w:tab w:pos="169" w:val="left" w:leader="none"/>
                      </w:tabs>
                      <w:spacing w:before="11"/>
                      <w:ind w:left="168" w:right="0" w:hanging="91"/>
                      <w:jc w:val="left"/>
                      <w:rPr>
                        <w:sz w:val="18"/>
                      </w:rPr>
                    </w:pPr>
                    <w:r>
                      <w:rPr>
                        <w:sz w:val="18"/>
                      </w:rPr>
                      <w:t>Kenworth</w:t>
                    </w:r>
                  </w:p>
                  <w:p>
                    <w:pPr>
                      <w:numPr>
                        <w:ilvl w:val="0"/>
                        <w:numId w:val="17"/>
                      </w:numPr>
                      <w:tabs>
                        <w:tab w:pos="169" w:val="left" w:leader="none"/>
                      </w:tabs>
                      <w:spacing w:before="9"/>
                      <w:ind w:left="168" w:right="0" w:hanging="91"/>
                      <w:jc w:val="left"/>
                      <w:rPr>
                        <w:sz w:val="18"/>
                      </w:rPr>
                    </w:pPr>
                    <w:r>
                      <w:rPr>
                        <w:sz w:val="18"/>
                      </w:rPr>
                      <w:t>International</w:t>
                    </w:r>
                  </w:p>
                  <w:p>
                    <w:pPr>
                      <w:numPr>
                        <w:ilvl w:val="0"/>
                        <w:numId w:val="17"/>
                      </w:numPr>
                      <w:tabs>
                        <w:tab w:pos="169" w:val="left" w:leader="none"/>
                      </w:tabs>
                      <w:spacing w:before="11"/>
                      <w:ind w:left="168" w:right="0" w:hanging="91"/>
                      <w:jc w:val="left"/>
                      <w:rPr>
                        <w:sz w:val="18"/>
                      </w:rPr>
                    </w:pPr>
                    <w:r>
                      <w:rPr>
                        <w:sz w:val="18"/>
                      </w:rPr>
                      <w:t>Volkswagen</w:t>
                    </w:r>
                  </w:p>
                  <w:p>
                    <w:pPr>
                      <w:numPr>
                        <w:ilvl w:val="0"/>
                        <w:numId w:val="17"/>
                      </w:numPr>
                      <w:tabs>
                        <w:tab w:pos="169" w:val="left" w:leader="none"/>
                      </w:tabs>
                      <w:spacing w:before="9"/>
                      <w:ind w:left="168" w:right="0" w:hanging="91"/>
                      <w:jc w:val="left"/>
                      <w:rPr>
                        <w:sz w:val="18"/>
                      </w:rPr>
                    </w:pPr>
                    <w:r>
                      <w:rPr>
                        <w:sz w:val="18"/>
                      </w:rPr>
                      <w:t>Man</w:t>
                    </w:r>
                  </w:p>
                  <w:p>
                    <w:pPr>
                      <w:numPr>
                        <w:ilvl w:val="0"/>
                        <w:numId w:val="17"/>
                      </w:numPr>
                      <w:tabs>
                        <w:tab w:pos="169" w:val="left" w:leader="none"/>
                      </w:tabs>
                      <w:spacing w:before="11"/>
                      <w:ind w:left="168" w:right="0" w:hanging="91"/>
                      <w:jc w:val="left"/>
                      <w:rPr>
                        <w:sz w:val="18"/>
                      </w:rPr>
                    </w:pPr>
                    <w:r>
                      <w:rPr>
                        <w:sz w:val="18"/>
                      </w:rPr>
                      <w:t>Hino</w:t>
                    </w:r>
                    <w:r>
                      <w:rPr>
                        <w:spacing w:val="1"/>
                        <w:sz w:val="18"/>
                      </w:rPr>
                      <w:t> </w:t>
                    </w:r>
                    <w:r>
                      <w:rPr>
                        <w:sz w:val="18"/>
                      </w:rPr>
                      <w:t>Motors</w:t>
                    </w:r>
                  </w:p>
                  <w:p>
                    <w:pPr>
                      <w:numPr>
                        <w:ilvl w:val="0"/>
                        <w:numId w:val="17"/>
                      </w:numPr>
                      <w:tabs>
                        <w:tab w:pos="169" w:val="left" w:leader="none"/>
                      </w:tabs>
                      <w:spacing w:before="9"/>
                      <w:ind w:left="168" w:right="0" w:hanging="91"/>
                      <w:jc w:val="left"/>
                      <w:rPr>
                        <w:sz w:val="18"/>
                      </w:rPr>
                    </w:pPr>
                    <w:r>
                      <w:rPr>
                        <w:sz w:val="18"/>
                      </w:rPr>
                      <w:t>Isuzu</w:t>
                    </w:r>
                  </w:p>
                </w:txbxContent>
              </v:textbox>
              <w10:wrap type="none"/>
            </v:shape>
            <v:shape style="position:absolute;left:6101;top:154;width:1940;height:418" type="#_x0000_t202" filled="false" stroked="false">
              <v:textbox inset="0,0,0,0">
                <w:txbxContent>
                  <w:p>
                    <w:pPr>
                      <w:spacing w:before="95"/>
                      <w:ind w:left="570" w:right="0" w:firstLine="0"/>
                      <w:jc w:val="left"/>
                      <w:rPr>
                        <w:b/>
                        <w:sz w:val="18"/>
                      </w:rPr>
                    </w:pPr>
                    <w:r>
                      <w:rPr>
                        <w:b/>
                        <w:sz w:val="18"/>
                      </w:rPr>
                      <w:t>Motores</w:t>
                    </w:r>
                  </w:p>
                </w:txbxContent>
              </v:textbox>
              <w10:wrap type="none"/>
            </v:shape>
            <v:shape style="position:absolute;left:6187;top:649;width:788;height:180" type="#_x0000_t202" filled="false" stroked="false">
              <v:textbox inset="0,0,0,0">
                <w:txbxContent>
                  <w:p>
                    <w:pPr>
                      <w:numPr>
                        <w:ilvl w:val="0"/>
                        <w:numId w:val="18"/>
                      </w:numPr>
                      <w:tabs>
                        <w:tab w:pos="92" w:val="left" w:leader="none"/>
                      </w:tabs>
                      <w:spacing w:line="180" w:lineRule="exact" w:before="0"/>
                      <w:ind w:left="91" w:right="0" w:hanging="91"/>
                      <w:jc w:val="left"/>
                      <w:rPr>
                        <w:sz w:val="18"/>
                      </w:rPr>
                    </w:pPr>
                    <w:r>
                      <w:rPr>
                        <w:spacing w:val="-1"/>
                        <w:sz w:val="18"/>
                      </w:rPr>
                      <w:t>Cummins</w:t>
                    </w:r>
                  </w:p>
                </w:txbxContent>
              </v:textbox>
              <w10:wrap type="none"/>
            </v:shape>
            <v:shape style="position:absolute;left:6187;top:1736;width:1174;height:180" type="#_x0000_t202" filled="false" stroked="false">
              <v:textbox inset="0,0,0,0">
                <w:txbxContent>
                  <w:p>
                    <w:pPr>
                      <w:numPr>
                        <w:ilvl w:val="0"/>
                        <w:numId w:val="19"/>
                      </w:numPr>
                      <w:tabs>
                        <w:tab w:pos="92" w:val="left" w:leader="none"/>
                      </w:tabs>
                      <w:spacing w:line="180" w:lineRule="exact" w:before="0"/>
                      <w:ind w:left="91" w:right="0" w:hanging="91"/>
                      <w:jc w:val="left"/>
                      <w:rPr>
                        <w:sz w:val="18"/>
                      </w:rPr>
                    </w:pPr>
                    <w:r>
                      <w:rPr>
                        <w:sz w:val="18"/>
                      </w:rPr>
                      <w:t>Detroit</w:t>
                    </w:r>
                    <w:r>
                      <w:rPr>
                        <w:spacing w:val="-7"/>
                        <w:sz w:val="18"/>
                      </w:rPr>
                      <w:t> </w:t>
                    </w:r>
                    <w:r>
                      <w:rPr>
                        <w:sz w:val="18"/>
                      </w:rPr>
                      <w:t>Diesesl</w:t>
                    </w:r>
                  </w:p>
                </w:txbxContent>
              </v:textbox>
              <w10:wrap type="none"/>
            </v:shape>
            <v:shape style="position:absolute;left:1853;top:4508;width:3543;height:180" type="#_x0000_t202" filled="false" stroked="false">
              <v:textbox inset="0,0,0,0">
                <w:txbxContent>
                  <w:p>
                    <w:pPr>
                      <w:spacing w:line="180" w:lineRule="exact" w:before="0"/>
                      <w:ind w:left="0" w:right="-17" w:firstLine="0"/>
                      <w:jc w:val="left"/>
                      <w:rPr>
                        <w:sz w:val="18"/>
                      </w:rPr>
                    </w:pPr>
                    <w:r>
                      <w:rPr>
                        <w:sz w:val="18"/>
                      </w:rPr>
                      <w:t>Fuente: ProMéxico (2013) y Covarrubias (2014).</w:t>
                    </w:r>
                  </w:p>
                </w:txbxContent>
              </v:textbox>
              <w10:wrap type="none"/>
            </v:shape>
            <w10:wrap type="topAndBottom"/>
          </v:group>
        </w:pict>
      </w:r>
      <w:r>
        <w:rPr/>
        <w:pict>
          <v:group style="position:absolute;margin-left:414.459991pt;margin-top:7.684319pt;width:96.9pt;height:217.5pt;mso-position-horizontal-relative:page;mso-position-vertical-relative:paragraph;z-index:3016;mso-wrap-distance-left:0;mso-wrap-distance-right:0" coordorigin="8289,154" coordsize="1938,4350">
            <v:rect style="position:absolute;left:8299;top:164;width:1918;height:408" filled="true" fillcolor="#49b5c4" stroked="false">
              <v:fill type="solid"/>
            </v:rect>
            <v:rect style="position:absolute;left:8299;top:164;width:1918;height:408" filled="false" stroked="true" strokeweight=".96pt" strokecolor="#49b5c4"/>
            <v:rect style="position:absolute;left:8299;top:572;width:1918;height:3922" filled="true" fillcolor="#d0e4ea" stroked="false">
              <v:fill opacity="59110f" type="solid"/>
            </v:rect>
            <v:rect style="position:absolute;left:8299;top:572;width:1918;height:3922" filled="false" stroked="true" strokeweight=".96pt" strokecolor="#d0e4ea"/>
            <v:shape style="position:absolute;left:8290;top:154;width:1937;height:418" type="#_x0000_t202" filled="false" stroked="false">
              <v:textbox inset="0,0,0,0">
                <w:txbxContent>
                  <w:p>
                    <w:pPr>
                      <w:spacing w:before="98"/>
                      <w:ind w:left="543" w:right="0" w:firstLine="0"/>
                      <w:jc w:val="left"/>
                      <w:rPr>
                        <w:b/>
                        <w:sz w:val="18"/>
                      </w:rPr>
                    </w:pPr>
                    <w:r>
                      <w:rPr>
                        <w:b/>
                        <w:sz w:val="18"/>
                      </w:rPr>
                      <w:t>Autopartes</w:t>
                    </w:r>
                  </w:p>
                </w:txbxContent>
              </v:textbox>
              <w10:wrap type="none"/>
            </v:shape>
            <v:shape style="position:absolute;left:8290;top:572;width:1937;height:3932" type="#_x0000_t202" filled="false" stroked="false">
              <v:textbox inset="0,0,0,0">
                <w:txbxContent>
                  <w:p>
                    <w:pPr>
                      <w:numPr>
                        <w:ilvl w:val="0"/>
                        <w:numId w:val="20"/>
                      </w:numPr>
                      <w:tabs>
                        <w:tab w:pos="178" w:val="left" w:leader="none"/>
                      </w:tabs>
                      <w:spacing w:line="188" w:lineRule="exact" w:before="72"/>
                      <w:ind w:left="177" w:right="566" w:hanging="91"/>
                      <w:jc w:val="left"/>
                      <w:rPr>
                        <w:sz w:val="18"/>
                      </w:rPr>
                    </w:pPr>
                    <w:r>
                      <w:rPr>
                        <w:sz w:val="18"/>
                      </w:rPr>
                      <w:t>Poco más de</w:t>
                    </w:r>
                    <w:r>
                      <w:rPr>
                        <w:spacing w:val="-9"/>
                        <w:sz w:val="18"/>
                      </w:rPr>
                      <w:t> </w:t>
                    </w:r>
                    <w:r>
                      <w:rPr>
                        <w:sz w:val="18"/>
                      </w:rPr>
                      <w:t>mil empresas</w:t>
                    </w:r>
                  </w:p>
                  <w:p>
                    <w:pPr>
                      <w:spacing w:line="240" w:lineRule="auto" w:before="4"/>
                      <w:rPr>
                        <w:b/>
                        <w:sz w:val="21"/>
                      </w:rPr>
                    </w:pPr>
                  </w:p>
                  <w:p>
                    <w:pPr>
                      <w:numPr>
                        <w:ilvl w:val="0"/>
                        <w:numId w:val="20"/>
                      </w:numPr>
                      <w:tabs>
                        <w:tab w:pos="178" w:val="left" w:leader="none"/>
                      </w:tabs>
                      <w:spacing w:line="216" w:lineRule="auto" w:before="0"/>
                      <w:ind w:left="177" w:right="140" w:hanging="91"/>
                      <w:jc w:val="left"/>
                      <w:rPr>
                        <w:sz w:val="18"/>
                      </w:rPr>
                    </w:pPr>
                    <w:r>
                      <w:rPr>
                        <w:sz w:val="18"/>
                      </w:rPr>
                      <w:t>345 empresas son proveedores de</w:t>
                    </w:r>
                    <w:r>
                      <w:rPr>
                        <w:spacing w:val="-7"/>
                        <w:sz w:val="18"/>
                      </w:rPr>
                      <w:t> </w:t>
                    </w:r>
                    <w:r>
                      <w:rPr>
                        <w:sz w:val="18"/>
                      </w:rPr>
                      <w:t>primer nivel</w:t>
                    </w:r>
                  </w:p>
                  <w:p>
                    <w:pPr>
                      <w:spacing w:line="240" w:lineRule="auto" w:before="6"/>
                      <w:rPr>
                        <w:b/>
                        <w:sz w:val="21"/>
                      </w:rPr>
                    </w:pPr>
                  </w:p>
                  <w:p>
                    <w:pPr>
                      <w:numPr>
                        <w:ilvl w:val="0"/>
                        <w:numId w:val="20"/>
                      </w:numPr>
                      <w:tabs>
                        <w:tab w:pos="178" w:val="left" w:leader="none"/>
                      </w:tabs>
                      <w:spacing w:line="216" w:lineRule="auto" w:before="0"/>
                      <w:ind w:left="177" w:right="132" w:hanging="91"/>
                      <w:jc w:val="left"/>
                      <w:rPr>
                        <w:sz w:val="18"/>
                      </w:rPr>
                    </w:pPr>
                    <w:r>
                      <w:rPr>
                        <w:sz w:val="18"/>
                      </w:rPr>
                      <w:t>Algunas de las firmas principales son: Bosch, Morse, Delphi, Magna, Jatco, Honeywell, Lear, Dana, TRW, MPA, Valeo,Johnson Control, Continental, Pirelli, Takata, Contitech, Dymos, Nemek, Remy y Trico.</w:t>
                    </w:r>
                  </w:p>
                </w:txbxContent>
              </v:textbox>
              <w10:wrap type="none"/>
            </v:shape>
            <w10:wrap type="topAndBottom"/>
          </v:group>
        </w:pict>
      </w:r>
    </w:p>
    <w:p>
      <w:pPr>
        <w:pStyle w:val="BodyText"/>
        <w:spacing w:line="360" w:lineRule="auto" w:before="41"/>
        <w:ind w:left="102" w:right="118"/>
        <w:jc w:val="both"/>
      </w:pPr>
      <w:r>
        <w:rPr/>
        <w:t>En vehículos ligeros las empresas han creado 14 complejos industriales distribuidos en</w:t>
      </w:r>
      <w:r>
        <w:rPr>
          <w:spacing w:val="-23"/>
        </w:rPr>
        <w:t> </w:t>
      </w:r>
      <w:r>
        <w:rPr/>
        <w:t>once estados, en los que se realizan actividades de estampado, fundición y ensamble de autos y motores.</w:t>
      </w:r>
      <w:r>
        <w:rPr>
          <w:spacing w:val="-8"/>
        </w:rPr>
        <w:t> </w:t>
      </w:r>
      <w:r>
        <w:rPr/>
        <w:t>Al</w:t>
      </w:r>
      <w:r>
        <w:rPr>
          <w:spacing w:val="-9"/>
        </w:rPr>
        <w:t> </w:t>
      </w:r>
      <w:r>
        <w:rPr/>
        <w:t>año</w:t>
      </w:r>
      <w:r>
        <w:rPr>
          <w:spacing w:val="-9"/>
        </w:rPr>
        <w:t> </w:t>
      </w:r>
      <w:r>
        <w:rPr/>
        <w:t>2013</w:t>
      </w:r>
      <w:r>
        <w:rPr>
          <w:spacing w:val="-9"/>
        </w:rPr>
        <w:t> </w:t>
      </w:r>
      <w:r>
        <w:rPr/>
        <w:t>los</w:t>
      </w:r>
      <w:r>
        <w:rPr>
          <w:spacing w:val="-6"/>
        </w:rPr>
        <w:t> </w:t>
      </w:r>
      <w:r>
        <w:rPr/>
        <w:t>cinco</w:t>
      </w:r>
      <w:r>
        <w:rPr>
          <w:spacing w:val="-9"/>
        </w:rPr>
        <w:t> </w:t>
      </w:r>
      <w:r>
        <w:rPr/>
        <w:t>autos</w:t>
      </w:r>
      <w:r>
        <w:rPr>
          <w:spacing w:val="-8"/>
        </w:rPr>
        <w:t> </w:t>
      </w:r>
      <w:r>
        <w:rPr/>
        <w:t>más</w:t>
      </w:r>
      <w:r>
        <w:rPr>
          <w:spacing w:val="-9"/>
        </w:rPr>
        <w:t> </w:t>
      </w:r>
      <w:r>
        <w:rPr/>
        <w:t>producidos</w:t>
      </w:r>
      <w:r>
        <w:rPr>
          <w:spacing w:val="-8"/>
        </w:rPr>
        <w:t> </w:t>
      </w:r>
      <w:r>
        <w:rPr/>
        <w:t>en</w:t>
      </w:r>
      <w:r>
        <w:rPr>
          <w:spacing w:val="-9"/>
        </w:rPr>
        <w:t> </w:t>
      </w:r>
      <w:r>
        <w:rPr/>
        <w:t>nuestro</w:t>
      </w:r>
      <w:r>
        <w:rPr>
          <w:spacing w:val="-9"/>
        </w:rPr>
        <w:t> </w:t>
      </w:r>
      <w:r>
        <w:rPr/>
        <w:t>país</w:t>
      </w:r>
      <w:r>
        <w:rPr>
          <w:spacing w:val="-8"/>
        </w:rPr>
        <w:t> </w:t>
      </w:r>
      <w:r>
        <w:rPr/>
        <w:t>fueron:</w:t>
      </w:r>
      <w:r>
        <w:rPr>
          <w:spacing w:val="-9"/>
        </w:rPr>
        <w:t> </w:t>
      </w:r>
      <w:r>
        <w:rPr/>
        <w:t>1)</w:t>
      </w:r>
      <w:r>
        <w:rPr>
          <w:spacing w:val="-9"/>
        </w:rPr>
        <w:t> </w:t>
      </w:r>
      <w:r>
        <w:rPr/>
        <w:t>Ford</w:t>
      </w:r>
      <w:r>
        <w:rPr>
          <w:spacing w:val="-9"/>
        </w:rPr>
        <w:t> </w:t>
      </w:r>
      <w:r>
        <w:rPr/>
        <w:t>Fusion,</w:t>
      </w:r>
    </w:p>
    <w:p>
      <w:pPr>
        <w:pStyle w:val="BodyText"/>
        <w:spacing w:line="360" w:lineRule="auto" w:before="4"/>
        <w:ind w:left="102" w:right="126"/>
        <w:jc w:val="both"/>
      </w:pPr>
      <w:r>
        <w:rPr/>
        <w:t>2) Nuevo Jetta, 3) Nissan Versa, 4) Nissan Sentra y 5) Journey, (AMIA y Manufactura.mx, 2014).</w:t>
      </w:r>
    </w:p>
    <w:p>
      <w:pPr>
        <w:spacing w:after="0" w:line="360" w:lineRule="auto"/>
        <w:jc w:val="both"/>
        <w:sectPr>
          <w:pgSz w:w="12240" w:h="15840"/>
          <w:pgMar w:header="0" w:footer="1035" w:top="1360" w:bottom="1220" w:left="1600" w:right="1580"/>
        </w:sectPr>
      </w:pPr>
    </w:p>
    <w:p>
      <w:pPr>
        <w:pStyle w:val="Heading1"/>
        <w:spacing w:before="55"/>
        <w:ind w:left="0" w:right="1298"/>
        <w:jc w:val="right"/>
      </w:pPr>
      <w:r>
        <w:rPr/>
        <w:t>Esquema 3.2. Industria terminal de vehículos ligeros en México</w:t>
      </w:r>
    </w:p>
    <w:p>
      <w:pPr>
        <w:pStyle w:val="BodyText"/>
        <w:spacing w:before="5"/>
        <w:rPr>
          <w:b/>
          <w:sz w:val="19"/>
        </w:rPr>
      </w:pPr>
    </w:p>
    <w:p>
      <w:pPr>
        <w:tabs>
          <w:tab w:pos="252" w:val="left" w:leader="none"/>
          <w:tab w:pos="1007" w:val="left" w:leader="none"/>
        </w:tabs>
        <w:spacing w:before="0"/>
        <w:ind w:left="0" w:right="1290" w:firstLine="0"/>
        <w:jc w:val="right"/>
        <w:rPr>
          <w:sz w:val="18"/>
        </w:rPr>
      </w:pPr>
      <w:r>
        <w:rPr/>
        <w:pict>
          <v:group style="position:absolute;margin-left:418.420013pt;margin-top:12.802351pt;width:49.5pt;height:141.550pt;mso-position-horizontal-relative:page;mso-position-vertical-relative:paragraph;z-index:3064;mso-wrap-distance-left:0;mso-wrap-distance-right:0" coordorigin="8368,256" coordsize="990,2831">
            <v:rect style="position:absolute;left:8378;top:266;width:970;height:2810" filled="true" fillcolor="#e8ecce" stroked="false">
              <v:fill opacity="59110f" type="solid"/>
            </v:rect>
            <v:rect style="position:absolute;left:8378;top:266;width:970;height:2810" filled="false" stroked="true" strokeweight=".96pt" strokecolor="#e8ecce"/>
            <v:shape style="position:absolute;left:8448;top:336;width:607;height:161" type="#_x0000_t202" filled="false" stroked="false">
              <v:textbox inset="0,0,0,0">
                <w:txbxContent>
                  <w:p>
                    <w:pPr>
                      <w:numPr>
                        <w:ilvl w:val="0"/>
                        <w:numId w:val="21"/>
                      </w:numPr>
                      <w:tabs>
                        <w:tab w:pos="92" w:val="left" w:leader="none"/>
                      </w:tabs>
                      <w:spacing w:line="161" w:lineRule="exact" w:before="0"/>
                      <w:ind w:left="91" w:right="0" w:hanging="91"/>
                      <w:jc w:val="left"/>
                      <w:rPr>
                        <w:sz w:val="16"/>
                      </w:rPr>
                    </w:pPr>
                    <w:r>
                      <w:rPr>
                        <w:spacing w:val="-1"/>
                        <w:sz w:val="16"/>
                      </w:rPr>
                      <w:t>Tacoma</w:t>
                    </w:r>
                  </w:p>
                </w:txbxContent>
              </v:textbox>
              <w10:wrap type="none"/>
            </v:shape>
            <w10:wrap type="topAndBottom"/>
          </v:group>
        </w:pict>
      </w:r>
      <w:r>
        <w:rPr/>
        <w:pict>
          <v:group style="position:absolute;margin-left:86.980003pt;margin-top:-2.317649pt;width:49.4pt;height:156.65pt;mso-position-horizontal-relative:page;mso-position-vertical-relative:paragraph;z-index:3112" coordorigin="1740,-46" coordsize="988,3133">
            <v:rect style="position:absolute;left:1750;top:-36;width:967;height:302" filled="true" fillcolor="#89b833" stroked="false">
              <v:fill type="solid"/>
            </v:rect>
            <v:rect style="position:absolute;left:1750;top:-36;width:967;height:302" filled="false" stroked="true" strokeweight=".96pt" strokecolor="#89b833"/>
            <v:rect style="position:absolute;left:1750;top:266;width:967;height:2810" filled="true" fillcolor="#dae6cd" stroked="false">
              <v:fill opacity="59110f" type="solid"/>
            </v:rect>
            <v:rect style="position:absolute;left:1750;top:266;width:967;height:2810" filled="false" stroked="true" strokeweight=".96pt" strokecolor="#dae6cd"/>
            <v:shape style="position:absolute;left:1740;top:-46;width:987;height:3132" type="#_x0000_t202" filled="false" stroked="false">
              <v:textbox inset="0,0,0,0">
                <w:txbxContent>
                  <w:p>
                    <w:pPr>
                      <w:spacing w:before="46"/>
                      <w:ind w:left="185" w:right="0" w:firstLine="0"/>
                      <w:jc w:val="left"/>
                      <w:rPr>
                        <w:sz w:val="18"/>
                      </w:rPr>
                    </w:pPr>
                    <w:r>
                      <w:rPr>
                        <w:sz w:val="18"/>
                      </w:rPr>
                      <w:t>Chrysler</w:t>
                    </w:r>
                  </w:p>
                  <w:p>
                    <w:pPr>
                      <w:numPr>
                        <w:ilvl w:val="0"/>
                        <w:numId w:val="22"/>
                      </w:numPr>
                      <w:tabs>
                        <w:tab w:pos="169" w:val="left" w:leader="none"/>
                      </w:tabs>
                      <w:spacing w:line="166" w:lineRule="exact" w:before="125"/>
                      <w:ind w:left="168" w:right="173" w:hanging="91"/>
                      <w:jc w:val="left"/>
                      <w:rPr>
                        <w:sz w:val="16"/>
                      </w:rPr>
                    </w:pPr>
                    <w:r>
                      <w:rPr>
                        <w:sz w:val="16"/>
                      </w:rPr>
                      <w:t>Camiones Ram</w:t>
                    </w:r>
                  </w:p>
                  <w:p>
                    <w:pPr>
                      <w:numPr>
                        <w:ilvl w:val="0"/>
                        <w:numId w:val="22"/>
                      </w:numPr>
                      <w:tabs>
                        <w:tab w:pos="169" w:val="left" w:leader="none"/>
                      </w:tabs>
                      <w:spacing w:before="9"/>
                      <w:ind w:left="168" w:right="0" w:hanging="91"/>
                      <w:jc w:val="left"/>
                      <w:rPr>
                        <w:sz w:val="16"/>
                      </w:rPr>
                    </w:pPr>
                    <w:r>
                      <w:rPr>
                        <w:sz w:val="16"/>
                      </w:rPr>
                      <w:t>Promaster</w:t>
                    </w:r>
                  </w:p>
                  <w:p>
                    <w:pPr>
                      <w:numPr>
                        <w:ilvl w:val="0"/>
                        <w:numId w:val="22"/>
                      </w:numPr>
                      <w:tabs>
                        <w:tab w:pos="169" w:val="left" w:leader="none"/>
                      </w:tabs>
                      <w:spacing w:before="11"/>
                      <w:ind w:left="168" w:right="0" w:hanging="91"/>
                      <w:jc w:val="left"/>
                      <w:rPr>
                        <w:sz w:val="16"/>
                      </w:rPr>
                    </w:pPr>
                    <w:r>
                      <w:rPr>
                        <w:sz w:val="16"/>
                      </w:rPr>
                      <w:t>Journey</w:t>
                    </w:r>
                  </w:p>
                  <w:p>
                    <w:pPr>
                      <w:numPr>
                        <w:ilvl w:val="0"/>
                        <w:numId w:val="22"/>
                      </w:numPr>
                      <w:tabs>
                        <w:tab w:pos="169" w:val="left" w:leader="none"/>
                      </w:tabs>
                      <w:spacing w:before="8"/>
                      <w:ind w:left="168" w:right="0" w:hanging="91"/>
                      <w:jc w:val="left"/>
                      <w:rPr>
                        <w:sz w:val="16"/>
                      </w:rPr>
                    </w:pPr>
                    <w:r>
                      <w:rPr>
                        <w:sz w:val="16"/>
                      </w:rPr>
                      <w:t>Fiat</w:t>
                    </w:r>
                    <w:r>
                      <w:rPr>
                        <w:spacing w:val="-3"/>
                        <w:sz w:val="16"/>
                      </w:rPr>
                      <w:t> </w:t>
                    </w:r>
                    <w:r>
                      <w:rPr>
                        <w:sz w:val="16"/>
                      </w:rPr>
                      <w:t>500</w:t>
                    </w:r>
                  </w:p>
                </w:txbxContent>
              </v:textbox>
              <w10:wrap type="none"/>
            </v:shape>
            <w10:wrap type="none"/>
          </v:group>
        </w:pict>
      </w:r>
      <w:r>
        <w:rPr/>
        <w:pict>
          <v:group style="position:absolute;margin-left:142.179993pt;margin-top:-2.317649pt;width:49.4pt;height:156.65pt;mso-position-horizontal-relative:page;mso-position-vertical-relative:paragraph;z-index:3160" coordorigin="2844,-46" coordsize="988,3133">
            <v:rect style="position:absolute;left:2854;top:-36;width:967;height:302" filled="true" fillcolor="#c0cf39" stroked="false">
              <v:fill type="solid"/>
            </v:rect>
            <v:rect style="position:absolute;left:2854;top:-36;width:967;height:302" filled="false" stroked="true" strokeweight=".96pt" strokecolor="#c0cf39"/>
            <v:rect style="position:absolute;left:2854;top:266;width:967;height:2810" filled="true" fillcolor="#e8ecce" stroked="false">
              <v:fill opacity="59110f" type="solid"/>
            </v:rect>
            <v:rect style="position:absolute;left:2854;top:266;width:967;height:2810" filled="false" stroked="true" strokeweight=".96pt" strokecolor="#e8ecce"/>
            <v:shape style="position:absolute;left:2844;top:-46;width:987;height:3132" type="#_x0000_t202" filled="false" stroked="false">
              <v:textbox inset="0,0,0,0">
                <w:txbxContent>
                  <w:p>
                    <w:pPr>
                      <w:spacing w:before="46"/>
                      <w:ind w:left="321" w:right="0" w:firstLine="0"/>
                      <w:jc w:val="left"/>
                      <w:rPr>
                        <w:sz w:val="18"/>
                      </w:rPr>
                    </w:pPr>
                    <w:r>
                      <w:rPr>
                        <w:sz w:val="18"/>
                      </w:rPr>
                      <w:t>Ford</w:t>
                    </w:r>
                  </w:p>
                  <w:p>
                    <w:pPr>
                      <w:numPr>
                        <w:ilvl w:val="0"/>
                        <w:numId w:val="23"/>
                      </w:numPr>
                      <w:tabs>
                        <w:tab w:pos="168" w:val="left" w:leader="none"/>
                      </w:tabs>
                      <w:spacing w:before="109"/>
                      <w:ind w:left="168" w:right="0" w:hanging="92"/>
                      <w:jc w:val="left"/>
                      <w:rPr>
                        <w:sz w:val="16"/>
                      </w:rPr>
                    </w:pPr>
                    <w:r>
                      <w:rPr>
                        <w:sz w:val="16"/>
                      </w:rPr>
                      <w:t>Fiesta</w:t>
                    </w:r>
                  </w:p>
                  <w:p>
                    <w:pPr>
                      <w:numPr>
                        <w:ilvl w:val="0"/>
                        <w:numId w:val="23"/>
                      </w:numPr>
                      <w:tabs>
                        <w:tab w:pos="168" w:val="left" w:leader="none"/>
                      </w:tabs>
                      <w:spacing w:line="175" w:lineRule="exact" w:before="8"/>
                      <w:ind w:left="168" w:right="0" w:hanging="92"/>
                      <w:jc w:val="left"/>
                      <w:rPr>
                        <w:sz w:val="16"/>
                      </w:rPr>
                    </w:pPr>
                    <w:r>
                      <w:rPr>
                        <w:sz w:val="16"/>
                      </w:rPr>
                      <w:t>Ford</w:t>
                    </w:r>
                  </w:p>
                  <w:p>
                    <w:pPr>
                      <w:spacing w:line="175" w:lineRule="exact" w:before="0"/>
                      <w:ind w:left="167" w:right="0" w:firstLine="0"/>
                      <w:jc w:val="left"/>
                      <w:rPr>
                        <w:sz w:val="16"/>
                      </w:rPr>
                    </w:pPr>
                    <w:r>
                      <w:rPr>
                        <w:sz w:val="16"/>
                      </w:rPr>
                      <w:t>Fusion</w:t>
                    </w:r>
                  </w:p>
                  <w:p>
                    <w:pPr>
                      <w:numPr>
                        <w:ilvl w:val="0"/>
                        <w:numId w:val="23"/>
                      </w:numPr>
                      <w:tabs>
                        <w:tab w:pos="168" w:val="left" w:leader="none"/>
                      </w:tabs>
                      <w:spacing w:line="166" w:lineRule="exact" w:before="27"/>
                      <w:ind w:left="168" w:right="321" w:hanging="92"/>
                      <w:jc w:val="left"/>
                      <w:rPr>
                        <w:sz w:val="16"/>
                      </w:rPr>
                    </w:pPr>
                    <w:r>
                      <w:rPr>
                        <w:spacing w:val="-1"/>
                        <w:sz w:val="16"/>
                      </w:rPr>
                      <w:t>Lincoln </w:t>
                    </w:r>
                    <w:r>
                      <w:rPr>
                        <w:sz w:val="16"/>
                      </w:rPr>
                      <w:t>MKZ</w:t>
                    </w:r>
                  </w:p>
                </w:txbxContent>
              </v:textbox>
              <w10:wrap type="none"/>
            </v:shape>
            <w10:wrap type="none"/>
          </v:group>
        </w:pict>
      </w:r>
      <w:r>
        <w:rPr/>
        <w:pict>
          <v:group style="position:absolute;margin-left:197.259995pt;margin-top:-2.407226pt;width:49.5pt;height:156.75pt;mso-position-horizontal-relative:page;mso-position-vertical-relative:paragraph;z-index:3208" coordorigin="3945,-48" coordsize="990,3135">
            <v:rect style="position:absolute;left:3955;top:-36;width:970;height:302" filled="true" fillcolor="#019576" stroked="false">
              <v:fill type="solid"/>
            </v:rect>
            <v:rect style="position:absolute;left:3955;top:-36;width:970;height:302" filled="false" stroked="true" strokeweight=".96pt" strokecolor="#019576"/>
            <v:rect style="position:absolute;left:3955;top:266;width:970;height:2810" filled="true" fillcolor="#caddd5" stroked="false">
              <v:fill opacity="59110f" type="solid"/>
            </v:rect>
            <v:rect style="position:absolute;left:3955;top:266;width:970;height:2810" filled="false" stroked="true" strokeweight=".96pt" strokecolor="#caddd5"/>
            <v:shape style="position:absolute;left:3946;top:-48;width:989;height:3135" type="#_x0000_t202" filled="false" stroked="false">
              <v:textbox inset="0,0,0,0">
                <w:txbxContent>
                  <w:p>
                    <w:pPr>
                      <w:spacing w:line="216" w:lineRule="auto" w:before="0"/>
                      <w:ind w:left="264" w:right="218" w:hanging="20"/>
                      <w:jc w:val="left"/>
                      <w:rPr>
                        <w:sz w:val="16"/>
                      </w:rPr>
                    </w:pPr>
                    <w:r>
                      <w:rPr>
                        <w:sz w:val="16"/>
                      </w:rPr>
                      <w:t>General Motors</w:t>
                    </w:r>
                  </w:p>
                  <w:p>
                    <w:pPr>
                      <w:numPr>
                        <w:ilvl w:val="0"/>
                        <w:numId w:val="24"/>
                      </w:numPr>
                      <w:tabs>
                        <w:tab w:pos="170" w:val="left" w:leader="none"/>
                      </w:tabs>
                      <w:spacing w:before="38"/>
                      <w:ind w:left="170" w:right="0" w:hanging="92"/>
                      <w:jc w:val="left"/>
                      <w:rPr>
                        <w:sz w:val="16"/>
                      </w:rPr>
                    </w:pPr>
                    <w:r>
                      <w:rPr>
                        <w:sz w:val="16"/>
                      </w:rPr>
                      <w:t>Sonic</w:t>
                    </w:r>
                  </w:p>
                  <w:p>
                    <w:pPr>
                      <w:numPr>
                        <w:ilvl w:val="0"/>
                        <w:numId w:val="24"/>
                      </w:numPr>
                      <w:tabs>
                        <w:tab w:pos="170" w:val="left" w:leader="none"/>
                      </w:tabs>
                      <w:spacing w:line="175" w:lineRule="exact" w:before="8"/>
                      <w:ind w:left="170" w:right="0" w:hanging="92"/>
                      <w:jc w:val="left"/>
                      <w:rPr>
                        <w:sz w:val="16"/>
                      </w:rPr>
                    </w:pPr>
                    <w:r>
                      <w:rPr>
                        <w:sz w:val="16"/>
                      </w:rPr>
                      <w:t>captiva</w:t>
                    </w:r>
                  </w:p>
                  <w:p>
                    <w:pPr>
                      <w:spacing w:line="175" w:lineRule="exact" w:before="0"/>
                      <w:ind w:left="170" w:right="218" w:firstLine="0"/>
                      <w:jc w:val="left"/>
                      <w:rPr>
                        <w:sz w:val="16"/>
                      </w:rPr>
                    </w:pPr>
                    <w:r>
                      <w:rPr>
                        <w:sz w:val="16"/>
                      </w:rPr>
                      <w:t>Sport</w:t>
                    </w:r>
                  </w:p>
                  <w:p>
                    <w:pPr>
                      <w:numPr>
                        <w:ilvl w:val="0"/>
                        <w:numId w:val="24"/>
                      </w:numPr>
                      <w:tabs>
                        <w:tab w:pos="170" w:val="left" w:leader="none"/>
                      </w:tabs>
                      <w:spacing w:line="166" w:lineRule="exact" w:before="27"/>
                      <w:ind w:left="170" w:right="280" w:hanging="92"/>
                      <w:jc w:val="left"/>
                      <w:rPr>
                        <w:sz w:val="16"/>
                      </w:rPr>
                    </w:pPr>
                    <w:r>
                      <w:rPr>
                        <w:sz w:val="16"/>
                      </w:rPr>
                      <w:t>Cadillac SRX</w:t>
                    </w:r>
                  </w:p>
                  <w:p>
                    <w:pPr>
                      <w:numPr>
                        <w:ilvl w:val="0"/>
                        <w:numId w:val="24"/>
                      </w:numPr>
                      <w:tabs>
                        <w:tab w:pos="170" w:val="left" w:leader="none"/>
                      </w:tabs>
                      <w:spacing w:before="9"/>
                      <w:ind w:left="170" w:right="0" w:hanging="92"/>
                      <w:jc w:val="left"/>
                      <w:rPr>
                        <w:sz w:val="16"/>
                      </w:rPr>
                    </w:pPr>
                    <w:r>
                      <w:rPr>
                        <w:sz w:val="16"/>
                      </w:rPr>
                      <w:t>Cheyenne</w:t>
                    </w:r>
                  </w:p>
                  <w:p>
                    <w:pPr>
                      <w:numPr>
                        <w:ilvl w:val="0"/>
                        <w:numId w:val="24"/>
                      </w:numPr>
                      <w:tabs>
                        <w:tab w:pos="170" w:val="left" w:leader="none"/>
                      </w:tabs>
                      <w:spacing w:before="10"/>
                      <w:ind w:left="170" w:right="0" w:hanging="92"/>
                      <w:jc w:val="left"/>
                      <w:rPr>
                        <w:sz w:val="16"/>
                      </w:rPr>
                    </w:pPr>
                    <w:r>
                      <w:rPr>
                        <w:sz w:val="16"/>
                      </w:rPr>
                      <w:t>Silverado</w:t>
                    </w:r>
                  </w:p>
                  <w:p>
                    <w:pPr>
                      <w:numPr>
                        <w:ilvl w:val="0"/>
                        <w:numId w:val="24"/>
                      </w:numPr>
                      <w:tabs>
                        <w:tab w:pos="170" w:val="left" w:leader="none"/>
                      </w:tabs>
                      <w:spacing w:line="166" w:lineRule="exact" w:before="24"/>
                      <w:ind w:left="170" w:right="436" w:hanging="92"/>
                      <w:jc w:val="left"/>
                      <w:rPr>
                        <w:sz w:val="16"/>
                      </w:rPr>
                    </w:pPr>
                    <w:r>
                      <w:rPr>
                        <w:sz w:val="16"/>
                      </w:rPr>
                      <w:t>GMC </w:t>
                    </w:r>
                    <w:r>
                      <w:rPr>
                        <w:spacing w:val="-1"/>
                        <w:sz w:val="16"/>
                      </w:rPr>
                      <w:t>Sierra</w:t>
                    </w:r>
                  </w:p>
                  <w:p>
                    <w:pPr>
                      <w:numPr>
                        <w:ilvl w:val="0"/>
                        <w:numId w:val="24"/>
                      </w:numPr>
                      <w:tabs>
                        <w:tab w:pos="170" w:val="left" w:leader="none"/>
                      </w:tabs>
                      <w:spacing w:before="12"/>
                      <w:ind w:left="170" w:right="0" w:hanging="92"/>
                      <w:jc w:val="left"/>
                      <w:rPr>
                        <w:sz w:val="16"/>
                      </w:rPr>
                    </w:pPr>
                    <w:r>
                      <w:rPr>
                        <w:sz w:val="16"/>
                      </w:rPr>
                      <w:t>Aveo</w:t>
                    </w:r>
                  </w:p>
                  <w:p>
                    <w:pPr>
                      <w:numPr>
                        <w:ilvl w:val="0"/>
                        <w:numId w:val="24"/>
                      </w:numPr>
                      <w:tabs>
                        <w:tab w:pos="170" w:val="left" w:leader="none"/>
                      </w:tabs>
                      <w:spacing w:before="8"/>
                      <w:ind w:left="170" w:right="0" w:hanging="92"/>
                      <w:jc w:val="left"/>
                      <w:rPr>
                        <w:sz w:val="16"/>
                      </w:rPr>
                    </w:pPr>
                    <w:r>
                      <w:rPr>
                        <w:sz w:val="16"/>
                      </w:rPr>
                      <w:t>Trax</w:t>
                    </w:r>
                  </w:p>
                </w:txbxContent>
              </v:textbox>
              <w10:wrap type="none"/>
            </v:shape>
            <w10:wrap type="none"/>
          </v:group>
        </w:pict>
      </w:r>
      <w:r>
        <w:rPr/>
        <w:pict>
          <v:group style="position:absolute;margin-left:252.460007pt;margin-top:-2.317649pt;width:49.4pt;height:156.65pt;mso-position-horizontal-relative:page;mso-position-vertical-relative:paragraph;z-index:3256" coordorigin="5049,-46" coordsize="988,3133">
            <v:rect style="position:absolute;left:5059;top:-36;width:967;height:302" filled="true" fillcolor="#49b5c4" stroked="false">
              <v:fill type="solid"/>
            </v:rect>
            <v:rect style="position:absolute;left:5059;top:-36;width:967;height:302" filled="false" stroked="true" strokeweight=".96pt" strokecolor="#49b5c4"/>
            <v:rect style="position:absolute;left:5059;top:266;width:967;height:2810" filled="true" fillcolor="#d0e4ea" stroked="false">
              <v:fill opacity="59110f" type="solid"/>
            </v:rect>
            <v:rect style="position:absolute;left:5059;top:266;width:967;height:2810" filled="false" stroked="true" strokeweight=".96pt" strokecolor="#d0e4ea"/>
            <v:shape style="position:absolute;left:5050;top:-46;width:987;height:3132" type="#_x0000_t202" filled="false" stroked="false">
              <v:textbox inset="0,0,0,0">
                <w:txbxContent>
                  <w:p>
                    <w:pPr>
                      <w:spacing w:before="46"/>
                      <w:ind w:left="248" w:right="0" w:firstLine="0"/>
                      <w:jc w:val="left"/>
                      <w:rPr>
                        <w:sz w:val="18"/>
                      </w:rPr>
                    </w:pPr>
                    <w:r>
                      <w:rPr>
                        <w:sz w:val="18"/>
                      </w:rPr>
                      <w:t>Nissan</w:t>
                    </w:r>
                  </w:p>
                  <w:p>
                    <w:pPr>
                      <w:numPr>
                        <w:ilvl w:val="0"/>
                        <w:numId w:val="25"/>
                      </w:numPr>
                      <w:tabs>
                        <w:tab w:pos="170" w:val="left" w:leader="none"/>
                      </w:tabs>
                      <w:spacing w:line="156" w:lineRule="exact" w:before="124"/>
                      <w:ind w:left="169" w:right="285" w:hanging="91"/>
                      <w:jc w:val="left"/>
                      <w:rPr>
                        <w:sz w:val="15"/>
                      </w:rPr>
                    </w:pPr>
                    <w:r>
                      <w:rPr>
                        <w:sz w:val="15"/>
                      </w:rPr>
                      <w:t>Camioes pick</w:t>
                    </w:r>
                    <w:r>
                      <w:rPr>
                        <w:spacing w:val="1"/>
                        <w:sz w:val="15"/>
                      </w:rPr>
                      <w:t> </w:t>
                    </w:r>
                    <w:r>
                      <w:rPr>
                        <w:sz w:val="15"/>
                      </w:rPr>
                      <w:t>up</w:t>
                    </w:r>
                  </w:p>
                  <w:p>
                    <w:pPr>
                      <w:numPr>
                        <w:ilvl w:val="0"/>
                        <w:numId w:val="25"/>
                      </w:numPr>
                      <w:tabs>
                        <w:tab w:pos="170" w:val="left" w:leader="none"/>
                      </w:tabs>
                      <w:spacing w:before="8"/>
                      <w:ind w:left="169" w:right="0" w:hanging="91"/>
                      <w:jc w:val="left"/>
                      <w:rPr>
                        <w:sz w:val="15"/>
                      </w:rPr>
                    </w:pPr>
                    <w:r>
                      <w:rPr>
                        <w:sz w:val="15"/>
                      </w:rPr>
                      <w:t>Frontier</w:t>
                    </w:r>
                    <w:r>
                      <w:rPr>
                        <w:spacing w:val="-5"/>
                        <w:sz w:val="15"/>
                      </w:rPr>
                      <w:t> </w:t>
                    </w:r>
                    <w:r>
                      <w:rPr>
                        <w:sz w:val="15"/>
                      </w:rPr>
                      <w:t>L4</w:t>
                    </w:r>
                  </w:p>
                  <w:p>
                    <w:pPr>
                      <w:numPr>
                        <w:ilvl w:val="0"/>
                        <w:numId w:val="25"/>
                      </w:numPr>
                      <w:tabs>
                        <w:tab w:pos="170" w:val="left" w:leader="none"/>
                      </w:tabs>
                      <w:spacing w:before="10"/>
                      <w:ind w:left="169" w:right="0" w:hanging="91"/>
                      <w:jc w:val="left"/>
                      <w:rPr>
                        <w:sz w:val="15"/>
                      </w:rPr>
                    </w:pPr>
                    <w:r>
                      <w:rPr>
                        <w:sz w:val="15"/>
                      </w:rPr>
                      <w:t>Tsuru</w:t>
                    </w:r>
                  </w:p>
                  <w:p>
                    <w:pPr>
                      <w:numPr>
                        <w:ilvl w:val="0"/>
                        <w:numId w:val="25"/>
                      </w:numPr>
                      <w:tabs>
                        <w:tab w:pos="170" w:val="left" w:leader="none"/>
                      </w:tabs>
                      <w:spacing w:before="8"/>
                      <w:ind w:left="169" w:right="0" w:hanging="91"/>
                      <w:jc w:val="left"/>
                      <w:rPr>
                        <w:sz w:val="15"/>
                      </w:rPr>
                    </w:pPr>
                    <w:r>
                      <w:rPr>
                        <w:sz w:val="15"/>
                      </w:rPr>
                      <w:t>Tiida</w:t>
                    </w:r>
                  </w:p>
                  <w:p>
                    <w:pPr>
                      <w:numPr>
                        <w:ilvl w:val="0"/>
                        <w:numId w:val="25"/>
                      </w:numPr>
                      <w:tabs>
                        <w:tab w:pos="170" w:val="left" w:leader="none"/>
                      </w:tabs>
                      <w:spacing w:before="10"/>
                      <w:ind w:left="169" w:right="0" w:hanging="91"/>
                      <w:jc w:val="left"/>
                      <w:rPr>
                        <w:sz w:val="15"/>
                      </w:rPr>
                    </w:pPr>
                    <w:r>
                      <w:rPr>
                        <w:sz w:val="15"/>
                      </w:rPr>
                      <w:t>Tiida</w:t>
                    </w:r>
                    <w:r>
                      <w:rPr>
                        <w:spacing w:val="-1"/>
                        <w:sz w:val="15"/>
                      </w:rPr>
                      <w:t> </w:t>
                    </w:r>
                    <w:r>
                      <w:rPr>
                        <w:sz w:val="15"/>
                      </w:rPr>
                      <w:t>HB</w:t>
                    </w:r>
                  </w:p>
                  <w:p>
                    <w:pPr>
                      <w:spacing w:before="7"/>
                      <w:ind w:left="78" w:right="0" w:firstLine="0"/>
                      <w:jc w:val="left"/>
                      <w:rPr>
                        <w:sz w:val="15"/>
                      </w:rPr>
                    </w:pPr>
                    <w:r>
                      <w:rPr>
                        <w:sz w:val="15"/>
                      </w:rPr>
                      <w:t>• NV200</w:t>
                    </w:r>
                  </w:p>
                  <w:p>
                    <w:pPr>
                      <w:numPr>
                        <w:ilvl w:val="0"/>
                        <w:numId w:val="25"/>
                      </w:numPr>
                      <w:tabs>
                        <w:tab w:pos="170" w:val="left" w:leader="none"/>
                      </w:tabs>
                      <w:spacing w:line="156" w:lineRule="exact" w:before="25"/>
                      <w:ind w:left="169" w:right="150" w:hanging="91"/>
                      <w:jc w:val="left"/>
                      <w:rPr>
                        <w:sz w:val="15"/>
                      </w:rPr>
                    </w:pPr>
                    <w:r>
                      <w:rPr>
                        <w:sz w:val="15"/>
                      </w:rPr>
                      <w:t>New </w:t>
                    </w:r>
                    <w:r>
                      <w:rPr>
                        <w:spacing w:val="-1"/>
                        <w:sz w:val="15"/>
                      </w:rPr>
                      <w:t>YorkTAXI</w:t>
                    </w:r>
                  </w:p>
                  <w:p>
                    <w:pPr>
                      <w:numPr>
                        <w:ilvl w:val="0"/>
                        <w:numId w:val="25"/>
                      </w:numPr>
                      <w:tabs>
                        <w:tab w:pos="170" w:val="left" w:leader="none"/>
                      </w:tabs>
                      <w:spacing w:before="8"/>
                      <w:ind w:left="169" w:right="0" w:hanging="91"/>
                      <w:jc w:val="left"/>
                      <w:rPr>
                        <w:sz w:val="15"/>
                      </w:rPr>
                    </w:pPr>
                    <w:r>
                      <w:rPr>
                        <w:sz w:val="15"/>
                      </w:rPr>
                      <w:t>Versa</w:t>
                    </w:r>
                  </w:p>
                  <w:p>
                    <w:pPr>
                      <w:numPr>
                        <w:ilvl w:val="0"/>
                        <w:numId w:val="25"/>
                      </w:numPr>
                      <w:tabs>
                        <w:tab w:pos="170" w:val="left" w:leader="none"/>
                      </w:tabs>
                      <w:spacing w:before="10"/>
                      <w:ind w:left="169" w:right="0" w:hanging="91"/>
                      <w:jc w:val="left"/>
                      <w:rPr>
                        <w:sz w:val="15"/>
                      </w:rPr>
                    </w:pPr>
                    <w:r>
                      <w:rPr>
                        <w:sz w:val="15"/>
                      </w:rPr>
                      <w:t>March</w:t>
                    </w:r>
                  </w:p>
                  <w:p>
                    <w:pPr>
                      <w:numPr>
                        <w:ilvl w:val="0"/>
                        <w:numId w:val="25"/>
                      </w:numPr>
                      <w:tabs>
                        <w:tab w:pos="170" w:val="left" w:leader="none"/>
                      </w:tabs>
                      <w:spacing w:before="7"/>
                      <w:ind w:left="169" w:right="0" w:hanging="91"/>
                      <w:jc w:val="left"/>
                      <w:rPr>
                        <w:sz w:val="15"/>
                      </w:rPr>
                    </w:pPr>
                    <w:r>
                      <w:rPr>
                        <w:sz w:val="15"/>
                      </w:rPr>
                      <w:t>Sentra</w:t>
                    </w:r>
                  </w:p>
                  <w:p>
                    <w:pPr>
                      <w:numPr>
                        <w:ilvl w:val="0"/>
                        <w:numId w:val="25"/>
                      </w:numPr>
                      <w:tabs>
                        <w:tab w:pos="170" w:val="left" w:leader="none"/>
                      </w:tabs>
                      <w:spacing w:before="10"/>
                      <w:ind w:left="169" w:right="0" w:hanging="91"/>
                      <w:jc w:val="left"/>
                      <w:rPr>
                        <w:sz w:val="15"/>
                      </w:rPr>
                    </w:pPr>
                    <w:r>
                      <w:rPr>
                        <w:sz w:val="15"/>
                      </w:rPr>
                      <w:t>Note</w:t>
                    </w:r>
                  </w:p>
                </w:txbxContent>
              </v:textbox>
              <w10:wrap type="none"/>
            </v:shape>
            <w10:wrap type="none"/>
          </v:group>
        </w:pict>
      </w:r>
      <w:r>
        <w:rPr/>
        <w:pict>
          <v:group style="position:absolute;margin-left:307.660004pt;margin-top:-2.317649pt;width:49.4pt;height:156.65pt;mso-position-horizontal-relative:page;mso-position-vertical-relative:paragraph;z-index:3304" coordorigin="6153,-46" coordsize="988,3133">
            <v:rect style="position:absolute;left:6163;top:-36;width:967;height:302" filled="true" fillcolor="#0988b0" stroked="false">
              <v:fill type="solid"/>
            </v:rect>
            <v:rect style="position:absolute;left:6163;top:-36;width:967;height:302" filled="false" stroked="true" strokeweight=".96pt" strokecolor="#0988b0"/>
            <v:rect style="position:absolute;left:6163;top:266;width:967;height:2810" filled="true" fillcolor="#ccdae3" stroked="false">
              <v:fill opacity="59110f" type="solid"/>
            </v:rect>
            <v:rect style="position:absolute;left:6163;top:266;width:967;height:2810" filled="false" stroked="true" strokeweight=".96pt" strokecolor="#ccdae3"/>
            <v:shape style="position:absolute;left:6154;top:-46;width:987;height:3132" type="#_x0000_t202" filled="false" stroked="false">
              <v:textbox inset="0,0,0,0">
                <w:txbxContent>
                  <w:p>
                    <w:pPr>
                      <w:spacing w:before="66"/>
                      <w:ind w:left="119" w:right="0" w:firstLine="0"/>
                      <w:jc w:val="left"/>
                      <w:rPr>
                        <w:sz w:val="15"/>
                      </w:rPr>
                    </w:pPr>
                    <w:r>
                      <w:rPr>
                        <w:sz w:val="15"/>
                      </w:rPr>
                      <w:t>Volkswagen</w:t>
                    </w:r>
                  </w:p>
                  <w:p>
                    <w:pPr>
                      <w:numPr>
                        <w:ilvl w:val="0"/>
                        <w:numId w:val="26"/>
                      </w:numPr>
                      <w:tabs>
                        <w:tab w:pos="169" w:val="left" w:leader="none"/>
                      </w:tabs>
                      <w:spacing w:before="123"/>
                      <w:ind w:left="169" w:right="0" w:hanging="92"/>
                      <w:jc w:val="left"/>
                      <w:rPr>
                        <w:sz w:val="16"/>
                      </w:rPr>
                    </w:pPr>
                    <w:r>
                      <w:rPr>
                        <w:sz w:val="16"/>
                      </w:rPr>
                      <w:t>Beetle</w:t>
                    </w:r>
                  </w:p>
                  <w:p>
                    <w:pPr>
                      <w:numPr>
                        <w:ilvl w:val="0"/>
                        <w:numId w:val="26"/>
                      </w:numPr>
                      <w:tabs>
                        <w:tab w:pos="169" w:val="left" w:leader="none"/>
                      </w:tabs>
                      <w:spacing w:before="8"/>
                      <w:ind w:left="169" w:right="0" w:hanging="92"/>
                      <w:jc w:val="left"/>
                      <w:rPr>
                        <w:sz w:val="16"/>
                      </w:rPr>
                    </w:pPr>
                    <w:r>
                      <w:rPr>
                        <w:sz w:val="16"/>
                      </w:rPr>
                      <w:t>Clasico</w:t>
                    </w:r>
                  </w:p>
                  <w:p>
                    <w:pPr>
                      <w:numPr>
                        <w:ilvl w:val="0"/>
                        <w:numId w:val="26"/>
                      </w:numPr>
                      <w:tabs>
                        <w:tab w:pos="169" w:val="left" w:leader="none"/>
                      </w:tabs>
                      <w:spacing w:line="175" w:lineRule="exact" w:before="10"/>
                      <w:ind w:left="169" w:right="0" w:hanging="92"/>
                      <w:jc w:val="left"/>
                      <w:rPr>
                        <w:sz w:val="16"/>
                      </w:rPr>
                    </w:pPr>
                    <w:r>
                      <w:rPr>
                        <w:sz w:val="16"/>
                      </w:rPr>
                      <w:t>Clasico</w:t>
                    </w:r>
                  </w:p>
                  <w:p>
                    <w:pPr>
                      <w:spacing w:line="175" w:lineRule="exact" w:before="0"/>
                      <w:ind w:left="168" w:right="0" w:firstLine="0"/>
                      <w:jc w:val="left"/>
                      <w:rPr>
                        <w:sz w:val="16"/>
                      </w:rPr>
                    </w:pPr>
                    <w:r>
                      <w:rPr>
                        <w:sz w:val="16"/>
                      </w:rPr>
                      <w:t>TDI</w:t>
                    </w:r>
                  </w:p>
                  <w:p>
                    <w:pPr>
                      <w:numPr>
                        <w:ilvl w:val="0"/>
                        <w:numId w:val="26"/>
                      </w:numPr>
                      <w:tabs>
                        <w:tab w:pos="169" w:val="left" w:leader="none"/>
                      </w:tabs>
                      <w:spacing w:line="166" w:lineRule="exact" w:before="24"/>
                      <w:ind w:left="169" w:right="131" w:hanging="92"/>
                      <w:jc w:val="left"/>
                      <w:rPr>
                        <w:sz w:val="16"/>
                      </w:rPr>
                    </w:pPr>
                    <w:r>
                      <w:rPr>
                        <w:spacing w:val="-1"/>
                        <w:sz w:val="16"/>
                      </w:rPr>
                      <w:t>NuevoJET </w:t>
                    </w:r>
                    <w:r>
                      <w:rPr>
                        <w:spacing w:val="-3"/>
                        <w:sz w:val="16"/>
                      </w:rPr>
                      <w:t>TA</w:t>
                    </w:r>
                  </w:p>
                  <w:p>
                    <w:pPr>
                      <w:numPr>
                        <w:ilvl w:val="0"/>
                        <w:numId w:val="26"/>
                      </w:numPr>
                      <w:tabs>
                        <w:tab w:pos="169" w:val="left" w:leader="none"/>
                      </w:tabs>
                      <w:spacing w:before="12"/>
                      <w:ind w:left="169" w:right="0" w:hanging="92"/>
                      <w:jc w:val="left"/>
                      <w:rPr>
                        <w:sz w:val="16"/>
                      </w:rPr>
                    </w:pPr>
                    <w:r>
                      <w:rPr>
                        <w:sz w:val="16"/>
                      </w:rPr>
                      <w:t>Golf</w:t>
                    </w:r>
                  </w:p>
                </w:txbxContent>
              </v:textbox>
              <w10:wrap type="none"/>
            </v:shape>
            <w10:wrap type="none"/>
          </v:group>
        </w:pict>
      </w:r>
      <w:r>
        <w:rPr/>
        <w:pict>
          <v:group style="position:absolute;margin-left:362.859985pt;margin-top:-2.317649pt;width:49.4pt;height:156.65pt;mso-position-horizontal-relative:page;mso-position-vertical-relative:paragraph;z-index:3352" coordorigin="7257,-46" coordsize="988,3133">
            <v:rect style="position:absolute;left:7267;top:-36;width:967;height:302" filled="true" fillcolor="#89b833" stroked="false">
              <v:fill type="solid"/>
            </v:rect>
            <v:rect style="position:absolute;left:7267;top:-36;width:967;height:302" filled="false" stroked="true" strokeweight=".96pt" strokecolor="#89b833"/>
            <v:rect style="position:absolute;left:7267;top:266;width:967;height:2810" filled="true" fillcolor="#dae6cd" stroked="false">
              <v:fill opacity="59110f" type="solid"/>
            </v:rect>
            <v:rect style="position:absolute;left:7267;top:266;width:967;height:2810" filled="false" stroked="true" strokeweight=".96pt" strokecolor="#dae6cd"/>
            <v:shape style="position:absolute;left:7258;top:-46;width:987;height:3132" type="#_x0000_t202" filled="false" stroked="false">
              <v:textbox inset="0,0,0,0">
                <w:txbxContent>
                  <w:p>
                    <w:pPr>
                      <w:spacing w:before="46"/>
                      <w:ind w:left="252" w:right="0" w:firstLine="0"/>
                      <w:jc w:val="left"/>
                      <w:rPr>
                        <w:sz w:val="18"/>
                      </w:rPr>
                    </w:pPr>
                    <w:r>
                      <w:rPr>
                        <w:sz w:val="18"/>
                      </w:rPr>
                      <w:t>Honda</w:t>
                    </w:r>
                  </w:p>
                  <w:p>
                    <w:pPr>
                      <w:numPr>
                        <w:ilvl w:val="0"/>
                        <w:numId w:val="27"/>
                      </w:numPr>
                      <w:tabs>
                        <w:tab w:pos="169" w:val="left" w:leader="none"/>
                      </w:tabs>
                      <w:spacing w:before="109"/>
                      <w:ind w:left="169" w:right="0" w:hanging="92"/>
                      <w:jc w:val="left"/>
                      <w:rPr>
                        <w:sz w:val="16"/>
                      </w:rPr>
                    </w:pPr>
                    <w:r>
                      <w:rPr>
                        <w:sz w:val="16"/>
                      </w:rPr>
                      <w:t>CR-V</w:t>
                    </w:r>
                  </w:p>
                  <w:p>
                    <w:pPr>
                      <w:numPr>
                        <w:ilvl w:val="0"/>
                        <w:numId w:val="27"/>
                      </w:numPr>
                      <w:tabs>
                        <w:tab w:pos="169" w:val="left" w:leader="none"/>
                      </w:tabs>
                      <w:spacing w:before="8"/>
                      <w:ind w:left="169" w:right="0" w:hanging="92"/>
                      <w:jc w:val="left"/>
                      <w:rPr>
                        <w:sz w:val="16"/>
                      </w:rPr>
                    </w:pPr>
                    <w:r>
                      <w:rPr>
                        <w:sz w:val="16"/>
                      </w:rPr>
                      <w:t>Fit</w:t>
                    </w:r>
                  </w:p>
                </w:txbxContent>
              </v:textbox>
              <w10:wrap type="none"/>
            </v:shape>
            <w10:wrap type="none"/>
          </v:group>
        </w:pict>
      </w:r>
      <w:r>
        <w:rPr/>
        <w:pict>
          <v:group style="position:absolute;margin-left:474.100006pt;margin-top:-2.317649pt;width:49.5pt;height:156.65pt;mso-position-horizontal-relative:page;mso-position-vertical-relative:paragraph;z-index:3400" coordorigin="9482,-46" coordsize="990,3133">
            <v:rect style="position:absolute;left:9492;top:-36;width:970;height:302" filled="true" fillcolor="#019576" stroked="false">
              <v:fill type="solid"/>
            </v:rect>
            <v:rect style="position:absolute;left:9492;top:-36;width:970;height:302" filled="false" stroked="true" strokeweight=".96pt" strokecolor="#019576"/>
            <v:rect style="position:absolute;left:9492;top:266;width:970;height:2810" filled="true" fillcolor="#caddd5" stroked="false">
              <v:fill opacity="59110f" type="solid"/>
            </v:rect>
            <v:rect style="position:absolute;left:9492;top:266;width:970;height:2810" filled="false" stroked="true" strokeweight=".96pt" strokecolor="#caddd5"/>
            <v:shape style="position:absolute;left:9482;top:-46;width:989;height:3132" type="#_x0000_t202" filled="false" stroked="false">
              <v:textbox inset="0,0,0,0">
                <w:txbxContent>
                  <w:p>
                    <w:pPr>
                      <w:spacing w:before="46"/>
                      <w:ind w:left="249" w:right="0" w:firstLine="0"/>
                      <w:jc w:val="left"/>
                      <w:rPr>
                        <w:sz w:val="18"/>
                      </w:rPr>
                    </w:pPr>
                    <w:r>
                      <w:rPr>
                        <w:sz w:val="18"/>
                      </w:rPr>
                      <w:t>Mazda</w:t>
                    </w:r>
                  </w:p>
                  <w:p>
                    <w:pPr>
                      <w:spacing w:before="106"/>
                      <w:ind w:left="79" w:right="218" w:firstLine="0"/>
                      <w:jc w:val="left"/>
                      <w:rPr>
                        <w:rFonts w:ascii="Calibri" w:hAnsi="Calibri"/>
                        <w:sz w:val="16"/>
                      </w:rPr>
                    </w:pPr>
                    <w:r>
                      <w:rPr>
                        <w:rFonts w:ascii="Calibri" w:hAnsi="Calibri"/>
                        <w:sz w:val="16"/>
                      </w:rPr>
                      <w:t>•Mazda 3</w:t>
                    </w:r>
                  </w:p>
                </w:txbxContent>
              </v:textbox>
              <w10:wrap type="none"/>
            </v:shape>
            <w10:wrap type="none"/>
          </v:group>
        </w:pict>
      </w:r>
      <w:r>
        <w:rPr>
          <w:sz w:val="18"/>
          <w:shd w:fill="C0CF39" w:color="auto" w:val="clear"/>
        </w:rPr>
        <w:t> </w:t>
        <w:tab/>
      </w:r>
      <w:r>
        <w:rPr>
          <w:spacing w:val="-1"/>
          <w:sz w:val="18"/>
          <w:shd w:fill="C0CF39" w:color="auto" w:val="clear"/>
        </w:rPr>
        <w:t>Toyota</w:t>
        <w:tab/>
      </w:r>
    </w:p>
    <w:p>
      <w:pPr>
        <w:spacing w:before="144"/>
        <w:ind w:left="102" w:right="0" w:firstLine="0"/>
        <w:jc w:val="both"/>
        <w:rPr>
          <w:sz w:val="18"/>
        </w:rPr>
      </w:pPr>
      <w:r>
        <w:rPr>
          <w:sz w:val="18"/>
        </w:rPr>
        <w:t>Fuente: AMIA (2014).</w:t>
      </w:r>
    </w:p>
    <w:p>
      <w:pPr>
        <w:pStyle w:val="BodyText"/>
        <w:rPr>
          <w:sz w:val="18"/>
        </w:rPr>
      </w:pPr>
    </w:p>
    <w:p>
      <w:pPr>
        <w:pStyle w:val="BodyText"/>
        <w:spacing w:line="360" w:lineRule="auto" w:before="135"/>
        <w:ind w:left="102" w:right="117"/>
        <w:jc w:val="both"/>
      </w:pPr>
      <w:r>
        <w:rPr/>
        <w:t>Igualmente</w:t>
      </w:r>
      <w:r>
        <w:rPr>
          <w:spacing w:val="-11"/>
        </w:rPr>
        <w:t> </w:t>
      </w:r>
      <w:r>
        <w:rPr/>
        <w:t>es</w:t>
      </w:r>
      <w:r>
        <w:rPr>
          <w:spacing w:val="-11"/>
        </w:rPr>
        <w:t> </w:t>
      </w:r>
      <w:r>
        <w:rPr/>
        <w:t>importante</w:t>
      </w:r>
      <w:r>
        <w:rPr>
          <w:spacing w:val="-10"/>
        </w:rPr>
        <w:t> </w:t>
      </w:r>
      <w:r>
        <w:rPr/>
        <w:t>destacar</w:t>
      </w:r>
      <w:r>
        <w:rPr>
          <w:spacing w:val="-12"/>
        </w:rPr>
        <w:t> </w:t>
      </w:r>
      <w:r>
        <w:rPr/>
        <w:t>el</w:t>
      </w:r>
      <w:r>
        <w:rPr>
          <w:spacing w:val="-11"/>
        </w:rPr>
        <w:t> </w:t>
      </w:r>
      <w:r>
        <w:rPr/>
        <w:t>papel</w:t>
      </w:r>
      <w:r>
        <w:rPr>
          <w:spacing w:val="-11"/>
        </w:rPr>
        <w:t> </w:t>
      </w:r>
      <w:r>
        <w:rPr/>
        <w:t>de</w:t>
      </w:r>
      <w:r>
        <w:rPr>
          <w:spacing w:val="-12"/>
        </w:rPr>
        <w:t> </w:t>
      </w:r>
      <w:r>
        <w:rPr/>
        <w:t>la</w:t>
      </w:r>
      <w:r>
        <w:rPr>
          <w:spacing w:val="-12"/>
        </w:rPr>
        <w:t> </w:t>
      </w:r>
      <w:r>
        <w:rPr/>
        <w:t>industria</w:t>
      </w:r>
      <w:r>
        <w:rPr>
          <w:spacing w:val="-12"/>
        </w:rPr>
        <w:t> </w:t>
      </w:r>
      <w:r>
        <w:rPr/>
        <w:t>de</w:t>
      </w:r>
      <w:r>
        <w:rPr>
          <w:spacing w:val="-12"/>
        </w:rPr>
        <w:t> </w:t>
      </w:r>
      <w:r>
        <w:rPr/>
        <w:t>autopartes</w:t>
      </w:r>
      <w:r>
        <w:rPr>
          <w:spacing w:val="-11"/>
        </w:rPr>
        <w:t> </w:t>
      </w:r>
      <w:r>
        <w:rPr/>
        <w:t>pues</w:t>
      </w:r>
      <w:r>
        <w:rPr>
          <w:spacing w:val="-11"/>
        </w:rPr>
        <w:t> </w:t>
      </w:r>
      <w:r>
        <w:rPr/>
        <w:t>en</w:t>
      </w:r>
      <w:r>
        <w:rPr>
          <w:spacing w:val="-11"/>
        </w:rPr>
        <w:t> </w:t>
      </w:r>
      <w:r>
        <w:rPr/>
        <w:t>2013</w:t>
      </w:r>
      <w:r>
        <w:rPr>
          <w:spacing w:val="-11"/>
        </w:rPr>
        <w:t> </w:t>
      </w:r>
      <w:r>
        <w:rPr/>
        <w:t>alcanzó una producción de 75 mil mdd y se prevé que producirá más de 3.7 millones de vehículos ligeros al final de 2016, lo que significará un incremento de 28.5% respecto a los niveles de producción reportados en 2012 (INA, 2014 y ProMéxico,</w:t>
      </w:r>
      <w:r>
        <w:rPr>
          <w:spacing w:val="-9"/>
        </w:rPr>
        <w:t> </w:t>
      </w:r>
      <w:r>
        <w:rPr/>
        <w:t>2013).</w:t>
      </w:r>
    </w:p>
    <w:p>
      <w:pPr>
        <w:pStyle w:val="BodyText"/>
        <w:spacing w:before="2"/>
        <w:rPr>
          <w:sz w:val="21"/>
        </w:rPr>
      </w:pPr>
    </w:p>
    <w:p>
      <w:pPr>
        <w:pStyle w:val="BodyText"/>
        <w:spacing w:line="360" w:lineRule="auto" w:before="1"/>
        <w:ind w:left="102" w:right="117"/>
        <w:jc w:val="both"/>
      </w:pPr>
      <w:r>
        <w:rPr/>
        <w:t>Durante 2012, las exportaciones mexicanas de autopartes sumaron 51,872 mdd, registrando un crecimiento promedio anual de 11% en la última década, mientras que las importaciones registraron</w:t>
      </w:r>
      <w:r>
        <w:rPr>
          <w:spacing w:val="-12"/>
        </w:rPr>
        <w:t> </w:t>
      </w:r>
      <w:r>
        <w:rPr/>
        <w:t>un</w:t>
      </w:r>
      <w:r>
        <w:rPr>
          <w:spacing w:val="-9"/>
        </w:rPr>
        <w:t> </w:t>
      </w:r>
      <w:r>
        <w:rPr/>
        <w:t>monto</w:t>
      </w:r>
      <w:r>
        <w:rPr>
          <w:spacing w:val="-11"/>
        </w:rPr>
        <w:t> </w:t>
      </w:r>
      <w:r>
        <w:rPr/>
        <w:t>de</w:t>
      </w:r>
      <w:r>
        <w:rPr>
          <w:spacing w:val="-12"/>
        </w:rPr>
        <w:t> </w:t>
      </w:r>
      <w:r>
        <w:rPr/>
        <w:t>36,233</w:t>
      </w:r>
      <w:r>
        <w:rPr>
          <w:spacing w:val="-11"/>
        </w:rPr>
        <w:t> </w:t>
      </w:r>
      <w:r>
        <w:rPr/>
        <w:t>mdd,</w:t>
      </w:r>
      <w:r>
        <w:rPr>
          <w:spacing w:val="-9"/>
        </w:rPr>
        <w:t> </w:t>
      </w:r>
      <w:r>
        <w:rPr/>
        <w:t>con</w:t>
      </w:r>
      <w:r>
        <w:rPr>
          <w:spacing w:val="-11"/>
        </w:rPr>
        <w:t> </w:t>
      </w:r>
      <w:r>
        <w:rPr/>
        <w:t>un</w:t>
      </w:r>
      <w:r>
        <w:rPr>
          <w:spacing w:val="-11"/>
        </w:rPr>
        <w:t> </w:t>
      </w:r>
      <w:r>
        <w:rPr/>
        <w:t>crecimiento</w:t>
      </w:r>
      <w:r>
        <w:rPr>
          <w:spacing w:val="-11"/>
        </w:rPr>
        <w:t> </w:t>
      </w:r>
      <w:r>
        <w:rPr/>
        <w:t>promedio</w:t>
      </w:r>
      <w:r>
        <w:rPr>
          <w:spacing w:val="-11"/>
        </w:rPr>
        <w:t> </w:t>
      </w:r>
      <w:r>
        <w:rPr/>
        <w:t>anual</w:t>
      </w:r>
      <w:r>
        <w:rPr>
          <w:spacing w:val="-11"/>
        </w:rPr>
        <w:t> </w:t>
      </w:r>
      <w:r>
        <w:rPr/>
        <w:t>de</w:t>
      </w:r>
      <w:r>
        <w:rPr>
          <w:spacing w:val="-12"/>
        </w:rPr>
        <w:t> </w:t>
      </w:r>
      <w:r>
        <w:rPr/>
        <w:t>9%</w:t>
      </w:r>
      <w:r>
        <w:rPr>
          <w:spacing w:val="-12"/>
        </w:rPr>
        <w:t> </w:t>
      </w:r>
      <w:r>
        <w:rPr/>
        <w:t>(ProMéxico, 2013).</w:t>
      </w:r>
    </w:p>
    <w:p>
      <w:pPr>
        <w:pStyle w:val="BodyText"/>
        <w:spacing w:before="2"/>
        <w:rPr>
          <w:sz w:val="21"/>
        </w:rPr>
      </w:pPr>
    </w:p>
    <w:p>
      <w:pPr>
        <w:pStyle w:val="BodyText"/>
        <w:spacing w:line="360" w:lineRule="auto"/>
        <w:ind w:left="102" w:right="116"/>
        <w:jc w:val="both"/>
      </w:pPr>
      <w:r>
        <w:rPr/>
        <w:t>De</w:t>
      </w:r>
      <w:r>
        <w:rPr>
          <w:spacing w:val="-5"/>
        </w:rPr>
        <w:t> </w:t>
      </w:r>
      <w:r>
        <w:rPr/>
        <w:t>las</w:t>
      </w:r>
      <w:r>
        <w:rPr>
          <w:spacing w:val="-4"/>
        </w:rPr>
        <w:t> </w:t>
      </w:r>
      <w:r>
        <w:rPr/>
        <w:t>empresas</w:t>
      </w:r>
      <w:r>
        <w:rPr>
          <w:spacing w:val="-4"/>
        </w:rPr>
        <w:t> </w:t>
      </w:r>
      <w:r>
        <w:rPr/>
        <w:t>de</w:t>
      </w:r>
      <w:r>
        <w:rPr>
          <w:spacing w:val="-5"/>
        </w:rPr>
        <w:t> </w:t>
      </w:r>
      <w:r>
        <w:rPr/>
        <w:t>autopartes</w:t>
      </w:r>
      <w:r>
        <w:rPr>
          <w:spacing w:val="-4"/>
        </w:rPr>
        <w:t> </w:t>
      </w:r>
      <w:r>
        <w:rPr/>
        <w:t>establecidas</w:t>
      </w:r>
      <w:r>
        <w:rPr>
          <w:spacing w:val="-4"/>
        </w:rPr>
        <w:t> </w:t>
      </w:r>
      <w:r>
        <w:rPr/>
        <w:t>en</w:t>
      </w:r>
      <w:r>
        <w:rPr>
          <w:spacing w:val="-4"/>
        </w:rPr>
        <w:t> </w:t>
      </w:r>
      <w:r>
        <w:rPr/>
        <w:t>México</w:t>
      </w:r>
      <w:r>
        <w:rPr>
          <w:spacing w:val="-4"/>
        </w:rPr>
        <w:t> </w:t>
      </w:r>
      <w:r>
        <w:rPr/>
        <w:t>(más</w:t>
      </w:r>
      <w:r>
        <w:rPr>
          <w:spacing w:val="-4"/>
        </w:rPr>
        <w:t> </w:t>
      </w:r>
      <w:r>
        <w:rPr/>
        <w:t>de</w:t>
      </w:r>
      <w:r>
        <w:rPr>
          <w:spacing w:val="-5"/>
        </w:rPr>
        <w:t> </w:t>
      </w:r>
      <w:r>
        <w:rPr/>
        <w:t>1,200</w:t>
      </w:r>
      <w:r>
        <w:rPr>
          <w:spacing w:val="-4"/>
        </w:rPr>
        <w:t> </w:t>
      </w:r>
      <w:r>
        <w:rPr/>
        <w:t>empresas),</w:t>
      </w:r>
      <w:r>
        <w:rPr>
          <w:spacing w:val="-4"/>
        </w:rPr>
        <w:t> </w:t>
      </w:r>
      <w:r>
        <w:rPr/>
        <w:t>30%</w:t>
      </w:r>
      <w:r>
        <w:rPr>
          <w:spacing w:val="-5"/>
        </w:rPr>
        <w:t> </w:t>
      </w:r>
      <w:r>
        <w:rPr/>
        <w:t>son</w:t>
      </w:r>
      <w:r>
        <w:rPr>
          <w:spacing w:val="-4"/>
        </w:rPr>
        <w:t> </w:t>
      </w:r>
      <w:r>
        <w:rPr/>
        <w:t>de capital nacional y el 70% son de capital extranjero. Del universo total de empresas, 345 de ellas son fabricantes de primer nivel y las restantes corresponden a fabricantes de insumos de materias primas de segundo y tercer nivel, (Secretaría de Economía,</w:t>
      </w:r>
      <w:r>
        <w:rPr>
          <w:spacing w:val="-11"/>
        </w:rPr>
        <w:t> </w:t>
      </w:r>
      <w:r>
        <w:rPr/>
        <w:t>2012).</w:t>
      </w:r>
    </w:p>
    <w:p>
      <w:pPr>
        <w:pStyle w:val="BodyText"/>
        <w:spacing w:before="2"/>
        <w:rPr>
          <w:sz w:val="21"/>
        </w:rPr>
      </w:pPr>
    </w:p>
    <w:p>
      <w:pPr>
        <w:pStyle w:val="BodyText"/>
        <w:spacing w:line="360" w:lineRule="auto"/>
        <w:ind w:left="102" w:right="117"/>
        <w:jc w:val="both"/>
      </w:pPr>
      <w:r>
        <w:rPr/>
        <w:t>La industria terminal al igual que la industria de autopartes se encuentra en una fase de expansión, en la última década entre las inversiones más importantes en la construcción de plantas de autopartes, están las de Jacto (545 mdd), Honda Motor (470 mdd), Nippon Steel &amp; Sumimoto Metal (350 mdd) y Bridgestone (336 mdd) (Dinámica económica, 2014).</w:t>
      </w:r>
    </w:p>
    <w:p>
      <w:pPr>
        <w:spacing w:after="0" w:line="360" w:lineRule="auto"/>
        <w:jc w:val="both"/>
        <w:sectPr>
          <w:pgSz w:w="12240" w:h="15840"/>
          <w:pgMar w:header="0" w:footer="1035" w:top="1360" w:bottom="1220" w:left="1600" w:right="1580"/>
        </w:sectPr>
      </w:pPr>
    </w:p>
    <w:p>
      <w:pPr>
        <w:pStyle w:val="Heading1"/>
        <w:spacing w:before="55"/>
        <w:ind w:left="102"/>
        <w:jc w:val="both"/>
      </w:pPr>
      <w:bookmarkStart w:name="_TOC_250016" w:id="19"/>
      <w:bookmarkEnd w:id="19"/>
      <w:r>
        <w:rPr/>
        <w:t>3.4.1. Relocalización espacial de la industria automotriz en México</w:t>
      </w:r>
    </w:p>
    <w:p>
      <w:pPr>
        <w:pStyle w:val="BodyText"/>
        <w:spacing w:before="6"/>
        <w:rPr>
          <w:b/>
          <w:sz w:val="32"/>
        </w:rPr>
      </w:pPr>
    </w:p>
    <w:p>
      <w:pPr>
        <w:pStyle w:val="BodyText"/>
        <w:spacing w:line="360" w:lineRule="auto"/>
        <w:ind w:left="102" w:right="119"/>
        <w:jc w:val="both"/>
      </w:pPr>
      <w:r>
        <w:rPr/>
        <w:t>Las diferencias tan marcadas que podemos encontrar en la industria automotriz mexicana, entre</w:t>
      </w:r>
      <w:r>
        <w:rPr>
          <w:spacing w:val="-12"/>
        </w:rPr>
        <w:t> </w:t>
      </w:r>
      <w:r>
        <w:rPr/>
        <w:t>las</w:t>
      </w:r>
      <w:r>
        <w:rPr>
          <w:spacing w:val="-11"/>
        </w:rPr>
        <w:t> </w:t>
      </w:r>
      <w:r>
        <w:rPr/>
        <w:t>plantas</w:t>
      </w:r>
      <w:r>
        <w:rPr>
          <w:spacing w:val="-9"/>
        </w:rPr>
        <w:t> </w:t>
      </w:r>
      <w:r>
        <w:rPr/>
        <w:t>“viejas”,</w:t>
      </w:r>
      <w:r>
        <w:rPr>
          <w:spacing w:val="-9"/>
        </w:rPr>
        <w:t> </w:t>
      </w:r>
      <w:r>
        <w:rPr/>
        <w:t>emplazadas</w:t>
      </w:r>
      <w:r>
        <w:rPr>
          <w:spacing w:val="-11"/>
        </w:rPr>
        <w:t> </w:t>
      </w:r>
      <w:r>
        <w:rPr/>
        <w:t>en</w:t>
      </w:r>
      <w:r>
        <w:rPr>
          <w:spacing w:val="-11"/>
        </w:rPr>
        <w:t> </w:t>
      </w:r>
      <w:r>
        <w:rPr/>
        <w:t>el</w:t>
      </w:r>
      <w:r>
        <w:rPr>
          <w:spacing w:val="-8"/>
        </w:rPr>
        <w:t> </w:t>
      </w:r>
      <w:r>
        <w:rPr/>
        <w:t>centro</w:t>
      </w:r>
      <w:r>
        <w:rPr>
          <w:spacing w:val="-9"/>
        </w:rPr>
        <w:t> </w:t>
      </w:r>
      <w:r>
        <w:rPr/>
        <w:t>del</w:t>
      </w:r>
      <w:r>
        <w:rPr>
          <w:spacing w:val="-11"/>
        </w:rPr>
        <w:t> </w:t>
      </w:r>
      <w:r>
        <w:rPr/>
        <w:t>país,</w:t>
      </w:r>
      <w:r>
        <w:rPr>
          <w:spacing w:val="-8"/>
        </w:rPr>
        <w:t> </w:t>
      </w:r>
      <w:r>
        <w:rPr/>
        <w:t>y</w:t>
      </w:r>
      <w:r>
        <w:rPr>
          <w:spacing w:val="-16"/>
        </w:rPr>
        <w:t> </w:t>
      </w:r>
      <w:r>
        <w:rPr/>
        <w:t>las</w:t>
      </w:r>
      <w:r>
        <w:rPr>
          <w:spacing w:val="-8"/>
        </w:rPr>
        <w:t> </w:t>
      </w:r>
      <w:r>
        <w:rPr/>
        <w:t>plantas</w:t>
      </w:r>
      <w:r>
        <w:rPr>
          <w:spacing w:val="-11"/>
        </w:rPr>
        <w:t> </w:t>
      </w:r>
      <w:r>
        <w:rPr/>
        <w:t>“nuevas”</w:t>
      </w:r>
      <w:r>
        <w:rPr>
          <w:spacing w:val="-12"/>
        </w:rPr>
        <w:t> </w:t>
      </w:r>
      <w:r>
        <w:rPr/>
        <w:t>localizadas en la frontera norte de México, son un claro ejemplo de la concreción de los lineamientos centrales</w:t>
      </w:r>
      <w:r>
        <w:rPr>
          <w:spacing w:val="-2"/>
        </w:rPr>
        <w:t> </w:t>
      </w:r>
      <w:r>
        <w:rPr/>
        <w:t>de</w:t>
      </w:r>
      <w:r>
        <w:rPr>
          <w:spacing w:val="-5"/>
        </w:rPr>
        <w:t> </w:t>
      </w:r>
      <w:r>
        <w:rPr/>
        <w:t>las</w:t>
      </w:r>
      <w:r>
        <w:rPr>
          <w:spacing w:val="-1"/>
        </w:rPr>
        <w:t> </w:t>
      </w:r>
      <w:r>
        <w:rPr/>
        <w:t>estrategias</w:t>
      </w:r>
      <w:r>
        <w:rPr>
          <w:spacing w:val="-4"/>
        </w:rPr>
        <w:t> </w:t>
      </w:r>
      <w:r>
        <w:rPr/>
        <w:t>de</w:t>
      </w:r>
      <w:r>
        <w:rPr>
          <w:spacing w:val="-5"/>
        </w:rPr>
        <w:t> </w:t>
      </w:r>
      <w:r>
        <w:rPr/>
        <w:t>reestructuración</w:t>
      </w:r>
      <w:r>
        <w:rPr>
          <w:spacing w:val="-3"/>
        </w:rPr>
        <w:t> </w:t>
      </w:r>
      <w:r>
        <w:rPr/>
        <w:t>industrial</w:t>
      </w:r>
      <w:r>
        <w:rPr>
          <w:spacing w:val="-4"/>
        </w:rPr>
        <w:t> </w:t>
      </w:r>
      <w:r>
        <w:rPr/>
        <w:t>que</w:t>
      </w:r>
      <w:r>
        <w:rPr>
          <w:spacing w:val="-5"/>
        </w:rPr>
        <w:t> </w:t>
      </w:r>
      <w:r>
        <w:rPr/>
        <w:t>afectan</w:t>
      </w:r>
      <w:r>
        <w:rPr>
          <w:spacing w:val="-2"/>
        </w:rPr>
        <w:t> </w:t>
      </w:r>
      <w:r>
        <w:rPr/>
        <w:t>de</w:t>
      </w:r>
      <w:r>
        <w:rPr>
          <w:spacing w:val="-5"/>
        </w:rPr>
        <w:t> </w:t>
      </w:r>
      <w:r>
        <w:rPr/>
        <w:t>manera</w:t>
      </w:r>
      <w:r>
        <w:rPr>
          <w:spacing w:val="-6"/>
        </w:rPr>
        <w:t> </w:t>
      </w:r>
      <w:r>
        <w:rPr/>
        <w:t>diferencial</w:t>
      </w:r>
      <w:r>
        <w:rPr>
          <w:spacing w:val="-4"/>
        </w:rPr>
        <w:t> </w:t>
      </w:r>
      <w:r>
        <w:rPr/>
        <w:t>a los territorios participantes (Vieyra,</w:t>
      </w:r>
      <w:r>
        <w:rPr>
          <w:spacing w:val="-6"/>
        </w:rPr>
        <w:t> </w:t>
      </w:r>
      <w:r>
        <w:rPr/>
        <w:t>2003).</w:t>
      </w:r>
    </w:p>
    <w:p>
      <w:pPr>
        <w:pStyle w:val="BodyText"/>
        <w:spacing w:before="3"/>
        <w:rPr>
          <w:sz w:val="21"/>
        </w:rPr>
      </w:pPr>
    </w:p>
    <w:p>
      <w:pPr>
        <w:pStyle w:val="BodyText"/>
        <w:spacing w:line="360" w:lineRule="auto"/>
        <w:ind w:left="102" w:right="119"/>
        <w:jc w:val="both"/>
      </w:pPr>
      <w:r>
        <w:rPr/>
        <w:t>Las políticas de industrialización seguidas en México en la etapa de desarrollo conocida como de Sustitución de Importaciones y los decretos de protección a la industria nacional, llevaron al desarrollo de un mayor número de plantas armadoras y de empresas de diversos tamaños dedicadas a la producción de autopartes, las que se instalaron principalmente en la ciudad de México y en algunas ciudades capitales de los estados vecinos (Villarreal y Villegas, 2007).</w:t>
      </w:r>
    </w:p>
    <w:p>
      <w:pPr>
        <w:pStyle w:val="BodyText"/>
        <w:spacing w:before="2"/>
        <w:rPr>
          <w:sz w:val="21"/>
        </w:rPr>
      </w:pPr>
    </w:p>
    <w:p>
      <w:pPr>
        <w:pStyle w:val="BodyText"/>
        <w:spacing w:line="360" w:lineRule="auto" w:before="1"/>
        <w:ind w:left="102" w:right="119"/>
        <w:jc w:val="both"/>
      </w:pPr>
      <w:r>
        <w:rPr/>
        <w:t>En</w:t>
      </w:r>
      <w:r>
        <w:rPr>
          <w:spacing w:val="-11"/>
        </w:rPr>
        <w:t> </w:t>
      </w:r>
      <w:r>
        <w:rPr/>
        <w:t>este</w:t>
      </w:r>
      <w:r>
        <w:rPr>
          <w:spacing w:val="-11"/>
        </w:rPr>
        <w:t> </w:t>
      </w:r>
      <w:r>
        <w:rPr/>
        <w:t>sentido</w:t>
      </w:r>
      <w:r>
        <w:rPr>
          <w:spacing w:val="-11"/>
        </w:rPr>
        <w:t> </w:t>
      </w:r>
      <w:r>
        <w:rPr/>
        <w:t>la</w:t>
      </w:r>
      <w:r>
        <w:rPr>
          <w:spacing w:val="-12"/>
        </w:rPr>
        <w:t> </w:t>
      </w:r>
      <w:r>
        <w:rPr/>
        <w:t>primera</w:t>
      </w:r>
      <w:r>
        <w:rPr>
          <w:spacing w:val="-11"/>
        </w:rPr>
        <w:t> </w:t>
      </w:r>
      <w:r>
        <w:rPr/>
        <w:t>planta</w:t>
      </w:r>
      <w:r>
        <w:rPr>
          <w:spacing w:val="-12"/>
        </w:rPr>
        <w:t> </w:t>
      </w:r>
      <w:r>
        <w:rPr/>
        <w:t>de</w:t>
      </w:r>
      <w:r>
        <w:rPr>
          <w:spacing w:val="-12"/>
        </w:rPr>
        <w:t> </w:t>
      </w:r>
      <w:r>
        <w:rPr/>
        <w:t>Ford</w:t>
      </w:r>
      <w:r>
        <w:rPr>
          <w:spacing w:val="-11"/>
        </w:rPr>
        <w:t> </w:t>
      </w:r>
      <w:r>
        <w:rPr/>
        <w:t>(1925)</w:t>
      </w:r>
      <w:r>
        <w:rPr>
          <w:spacing w:val="-12"/>
        </w:rPr>
        <w:t> </w:t>
      </w:r>
      <w:r>
        <w:rPr/>
        <w:t>se</w:t>
      </w:r>
      <w:r>
        <w:rPr>
          <w:spacing w:val="-12"/>
        </w:rPr>
        <w:t> </w:t>
      </w:r>
      <w:r>
        <w:rPr/>
        <w:t>estableció</w:t>
      </w:r>
      <w:r>
        <w:rPr>
          <w:spacing w:val="-11"/>
        </w:rPr>
        <w:t> </w:t>
      </w:r>
      <w:r>
        <w:rPr/>
        <w:t>en</w:t>
      </w:r>
      <w:r>
        <w:rPr>
          <w:spacing w:val="-9"/>
        </w:rPr>
        <w:t> </w:t>
      </w:r>
      <w:r>
        <w:rPr/>
        <w:t>La</w:t>
      </w:r>
      <w:r>
        <w:rPr>
          <w:spacing w:val="-12"/>
        </w:rPr>
        <w:t> </w:t>
      </w:r>
      <w:r>
        <w:rPr/>
        <w:t>Villa,</w:t>
      </w:r>
      <w:r>
        <w:rPr>
          <w:spacing w:val="-11"/>
        </w:rPr>
        <w:t> </w:t>
      </w:r>
      <w:r>
        <w:rPr/>
        <w:t>D.F.;</w:t>
      </w:r>
      <w:r>
        <w:rPr>
          <w:spacing w:val="-11"/>
        </w:rPr>
        <w:t> </w:t>
      </w:r>
      <w:r>
        <w:rPr/>
        <w:t>la</w:t>
      </w:r>
      <w:r>
        <w:rPr>
          <w:spacing w:val="-12"/>
        </w:rPr>
        <w:t> </w:t>
      </w:r>
      <w:r>
        <w:rPr/>
        <w:t>de</w:t>
      </w:r>
      <w:r>
        <w:rPr>
          <w:spacing w:val="-12"/>
        </w:rPr>
        <w:t> </w:t>
      </w:r>
      <w:r>
        <w:rPr/>
        <w:t>General Motors (1937) en Ejército Nacional, D.F.; la de Chrysler (1938) en Lago Alberto, también en la capital y la de Volkswagen (1962) en Xalostoc, Estado de México. En la década de</w:t>
      </w:r>
      <w:r>
        <w:rPr>
          <w:spacing w:val="-17"/>
        </w:rPr>
        <w:t> </w:t>
      </w:r>
      <w:r>
        <w:rPr/>
        <w:t>los sesenta</w:t>
      </w:r>
      <w:r>
        <w:rPr>
          <w:spacing w:val="-11"/>
        </w:rPr>
        <w:t> </w:t>
      </w:r>
      <w:r>
        <w:rPr/>
        <w:t>entra</w:t>
      </w:r>
      <w:r>
        <w:rPr>
          <w:spacing w:val="-12"/>
        </w:rPr>
        <w:t> </w:t>
      </w:r>
      <w:r>
        <w:rPr/>
        <w:t>una</w:t>
      </w:r>
      <w:r>
        <w:rPr>
          <w:spacing w:val="-12"/>
        </w:rPr>
        <w:t> </w:t>
      </w:r>
      <w:r>
        <w:rPr/>
        <w:t>nueva</w:t>
      </w:r>
      <w:r>
        <w:rPr>
          <w:spacing w:val="-12"/>
        </w:rPr>
        <w:t> </w:t>
      </w:r>
      <w:r>
        <w:rPr/>
        <w:t>empresa:</w:t>
      </w:r>
      <w:r>
        <w:rPr>
          <w:spacing w:val="-11"/>
        </w:rPr>
        <w:t> </w:t>
      </w:r>
      <w:r>
        <w:rPr/>
        <w:t>Nissan</w:t>
      </w:r>
      <w:r>
        <w:rPr>
          <w:spacing w:val="-11"/>
        </w:rPr>
        <w:t> </w:t>
      </w:r>
      <w:r>
        <w:rPr/>
        <w:t>(1966)</w:t>
      </w:r>
      <w:r>
        <w:rPr>
          <w:spacing w:val="-7"/>
        </w:rPr>
        <w:t> </w:t>
      </w:r>
      <w:r>
        <w:rPr/>
        <w:t>y</w:t>
      </w:r>
      <w:r>
        <w:rPr>
          <w:spacing w:val="-13"/>
        </w:rPr>
        <w:t> </w:t>
      </w:r>
      <w:r>
        <w:rPr/>
        <w:t>se</w:t>
      </w:r>
      <w:r>
        <w:rPr>
          <w:spacing w:val="-12"/>
        </w:rPr>
        <w:t> </w:t>
      </w:r>
      <w:r>
        <w:rPr/>
        <w:t>ubica</w:t>
      </w:r>
      <w:r>
        <w:rPr>
          <w:spacing w:val="-12"/>
        </w:rPr>
        <w:t> </w:t>
      </w:r>
      <w:r>
        <w:rPr/>
        <w:t>en</w:t>
      </w:r>
      <w:r>
        <w:rPr>
          <w:spacing w:val="-9"/>
        </w:rPr>
        <w:t> </w:t>
      </w:r>
      <w:r>
        <w:rPr/>
        <w:t>el</w:t>
      </w:r>
      <w:r>
        <w:rPr>
          <w:spacing w:val="-11"/>
        </w:rPr>
        <w:t> </w:t>
      </w:r>
      <w:r>
        <w:rPr/>
        <w:t>Estado</w:t>
      </w:r>
      <w:r>
        <w:rPr>
          <w:spacing w:val="-12"/>
        </w:rPr>
        <w:t> </w:t>
      </w:r>
      <w:r>
        <w:rPr/>
        <w:t>de</w:t>
      </w:r>
      <w:r>
        <w:rPr>
          <w:spacing w:val="-10"/>
        </w:rPr>
        <w:t> </w:t>
      </w:r>
      <w:r>
        <w:rPr/>
        <w:t>Morelos.</w:t>
      </w:r>
      <w:r>
        <w:rPr>
          <w:spacing w:val="-10"/>
        </w:rPr>
        <w:t> </w:t>
      </w:r>
      <w:r>
        <w:rPr/>
        <w:t>También las empresas existentes establecen nuevas plantas en sitios cercanos a los más importantes centros de consumo; en 1964 se establece una planta de Ford en Cuautitlán, Estado de México, en 1968 una de Chrysler en Toluca y en 1967 Volkswagen cambia su planta para Puebla. Así, durante todo el tiempo que la producción se dirigía al mercado interno la actividad de la industria automotriz se realizó principalmente en el centro del país (Velázquez,</w:t>
      </w:r>
      <w:r>
        <w:rPr>
          <w:spacing w:val="-5"/>
        </w:rPr>
        <w:t> </w:t>
      </w:r>
      <w:r>
        <w:rPr/>
        <w:t>2004).</w:t>
      </w:r>
    </w:p>
    <w:p>
      <w:pPr>
        <w:pStyle w:val="BodyText"/>
        <w:spacing w:before="2"/>
        <w:rPr>
          <w:sz w:val="21"/>
        </w:rPr>
      </w:pPr>
    </w:p>
    <w:p>
      <w:pPr>
        <w:pStyle w:val="BodyText"/>
        <w:spacing w:line="360" w:lineRule="auto"/>
        <w:ind w:left="102" w:right="114"/>
        <w:jc w:val="both"/>
      </w:pPr>
      <w:r>
        <w:rPr/>
        <w:t>Sin embargo, para enfrentar la crisis de los años ochenta México cambió el modelo de desarrollo económico iniciando el proceso de apertura comercial con la firma del Acuerdo General de Aranceles y Tarifas (Gatt) en 1986 impulsándose las exportaciones e importaciones donde se eliminaron numerosas barreras impositivas a la introducción de nuevos productos del extranjero así como de bienes intermedios y de capital. El cambio de modelo de las empresas automotrices hacia lo que se conoce como el “Modelo Multinacional” llevó a la implantación de empresas terminales y de autopartes sobretodo en</w:t>
      </w:r>
    </w:p>
    <w:p>
      <w:pPr>
        <w:spacing w:after="0" w:line="360" w:lineRule="auto"/>
        <w:jc w:val="both"/>
        <w:sectPr>
          <w:pgSz w:w="12240" w:h="15840"/>
          <w:pgMar w:header="0" w:footer="1035" w:top="1360" w:bottom="1220" w:left="1600" w:right="1580"/>
        </w:sectPr>
      </w:pPr>
    </w:p>
    <w:p>
      <w:pPr>
        <w:pStyle w:val="BodyText"/>
        <w:spacing w:line="360" w:lineRule="auto" w:before="50"/>
        <w:ind w:left="102" w:right="121"/>
        <w:jc w:val="both"/>
      </w:pPr>
      <w:r>
        <w:rPr/>
        <w:t>la</w:t>
      </w:r>
      <w:r>
        <w:rPr>
          <w:spacing w:val="-9"/>
        </w:rPr>
        <w:t> </w:t>
      </w:r>
      <w:r>
        <w:rPr/>
        <w:t>frontera</w:t>
      </w:r>
      <w:r>
        <w:rPr>
          <w:spacing w:val="-8"/>
        </w:rPr>
        <w:t> </w:t>
      </w:r>
      <w:r>
        <w:rPr/>
        <w:t>norte</w:t>
      </w:r>
      <w:r>
        <w:rPr>
          <w:spacing w:val="-10"/>
        </w:rPr>
        <w:t> </w:t>
      </w:r>
      <w:r>
        <w:rPr/>
        <w:t>del</w:t>
      </w:r>
      <w:r>
        <w:rPr>
          <w:spacing w:val="-8"/>
        </w:rPr>
        <w:t> </w:t>
      </w:r>
      <w:r>
        <w:rPr/>
        <w:t>país,</w:t>
      </w:r>
      <w:r>
        <w:rPr>
          <w:spacing w:val="-3"/>
        </w:rPr>
        <w:t> </w:t>
      </w:r>
      <w:r>
        <w:rPr/>
        <w:t>en</w:t>
      </w:r>
      <w:r>
        <w:rPr>
          <w:spacing w:val="-9"/>
        </w:rPr>
        <w:t> </w:t>
      </w:r>
      <w:r>
        <w:rPr/>
        <w:t>especial</w:t>
      </w:r>
      <w:r>
        <w:rPr>
          <w:spacing w:val="-6"/>
        </w:rPr>
        <w:t> </w:t>
      </w:r>
      <w:r>
        <w:rPr/>
        <w:t>a</w:t>
      </w:r>
      <w:r>
        <w:rPr>
          <w:spacing w:val="-10"/>
        </w:rPr>
        <w:t> </w:t>
      </w:r>
      <w:r>
        <w:rPr/>
        <w:t>partir</w:t>
      </w:r>
      <w:r>
        <w:rPr>
          <w:spacing w:val="-9"/>
        </w:rPr>
        <w:t> </w:t>
      </w:r>
      <w:r>
        <w:rPr/>
        <w:t>de</w:t>
      </w:r>
      <w:r>
        <w:rPr>
          <w:spacing w:val="-10"/>
        </w:rPr>
        <w:t> </w:t>
      </w:r>
      <w:r>
        <w:rPr/>
        <w:t>la</w:t>
      </w:r>
      <w:r>
        <w:rPr>
          <w:spacing w:val="-7"/>
        </w:rPr>
        <w:t> </w:t>
      </w:r>
      <w:r>
        <w:rPr/>
        <w:t>firma</w:t>
      </w:r>
      <w:r>
        <w:rPr>
          <w:spacing w:val="-9"/>
        </w:rPr>
        <w:t> </w:t>
      </w:r>
      <w:r>
        <w:rPr/>
        <w:t>del</w:t>
      </w:r>
      <w:r>
        <w:rPr>
          <w:spacing w:val="-8"/>
        </w:rPr>
        <w:t> </w:t>
      </w:r>
      <w:r>
        <w:rPr/>
        <w:t>Tratado</w:t>
      </w:r>
      <w:r>
        <w:rPr>
          <w:spacing w:val="-7"/>
        </w:rPr>
        <w:t> </w:t>
      </w:r>
      <w:r>
        <w:rPr/>
        <w:t>de</w:t>
      </w:r>
      <w:r>
        <w:rPr>
          <w:spacing w:val="-5"/>
        </w:rPr>
        <w:t> </w:t>
      </w:r>
      <w:r>
        <w:rPr/>
        <w:t>Libre</w:t>
      </w:r>
      <w:r>
        <w:rPr>
          <w:spacing w:val="-8"/>
        </w:rPr>
        <w:t> </w:t>
      </w:r>
      <w:r>
        <w:rPr/>
        <w:t>Comercio</w:t>
      </w:r>
      <w:r>
        <w:rPr>
          <w:spacing w:val="-6"/>
        </w:rPr>
        <w:t> </w:t>
      </w:r>
      <w:r>
        <w:rPr/>
        <w:t>entre Estados Unidos, Canadá y México en 1994  (Villarreal y Villegas,</w:t>
      </w:r>
      <w:r>
        <w:rPr>
          <w:spacing w:val="-8"/>
        </w:rPr>
        <w:t> </w:t>
      </w:r>
      <w:r>
        <w:rPr/>
        <w:t>2007).</w:t>
      </w:r>
    </w:p>
    <w:p>
      <w:pPr>
        <w:pStyle w:val="BodyText"/>
        <w:spacing w:before="2"/>
        <w:rPr>
          <w:sz w:val="21"/>
        </w:rPr>
      </w:pPr>
    </w:p>
    <w:p>
      <w:pPr>
        <w:pStyle w:val="BodyText"/>
        <w:spacing w:line="360" w:lineRule="auto"/>
        <w:ind w:left="102" w:right="116"/>
        <w:jc w:val="both"/>
      </w:pPr>
      <w:r>
        <w:rPr/>
        <w:t>La nueva orientación exportadora de la industria automotriz es producto de una profunda transformación que cubre menos de dos décadas y que para fines de exposición puede dividirse</w:t>
      </w:r>
      <w:r>
        <w:rPr>
          <w:spacing w:val="-10"/>
        </w:rPr>
        <w:t> </w:t>
      </w:r>
      <w:r>
        <w:rPr/>
        <w:t>en</w:t>
      </w:r>
      <w:r>
        <w:rPr>
          <w:spacing w:val="-9"/>
        </w:rPr>
        <w:t> </w:t>
      </w:r>
      <w:r>
        <w:rPr/>
        <w:t>dos</w:t>
      </w:r>
      <w:r>
        <w:rPr>
          <w:spacing w:val="-8"/>
        </w:rPr>
        <w:t> </w:t>
      </w:r>
      <w:r>
        <w:rPr/>
        <w:t>etapas:</w:t>
      </w:r>
      <w:r>
        <w:rPr>
          <w:spacing w:val="-8"/>
        </w:rPr>
        <w:t> </w:t>
      </w:r>
      <w:r>
        <w:rPr/>
        <w:t>la</w:t>
      </w:r>
      <w:r>
        <w:rPr>
          <w:spacing w:val="-7"/>
        </w:rPr>
        <w:t> </w:t>
      </w:r>
      <w:r>
        <w:rPr/>
        <w:t>primera,</w:t>
      </w:r>
      <w:r>
        <w:rPr>
          <w:spacing w:val="-9"/>
        </w:rPr>
        <w:t> </w:t>
      </w:r>
      <w:r>
        <w:rPr/>
        <w:t>de</w:t>
      </w:r>
      <w:r>
        <w:rPr>
          <w:spacing w:val="-10"/>
        </w:rPr>
        <w:t> </w:t>
      </w:r>
      <w:r>
        <w:rPr/>
        <w:t>1983</w:t>
      </w:r>
      <w:r>
        <w:rPr>
          <w:spacing w:val="-9"/>
        </w:rPr>
        <w:t> </w:t>
      </w:r>
      <w:r>
        <w:rPr/>
        <w:t>a</w:t>
      </w:r>
      <w:r>
        <w:rPr>
          <w:spacing w:val="-10"/>
        </w:rPr>
        <w:t> </w:t>
      </w:r>
      <w:r>
        <w:rPr/>
        <w:t>1987,</w:t>
      </w:r>
      <w:r>
        <w:rPr>
          <w:spacing w:val="-7"/>
        </w:rPr>
        <w:t> </w:t>
      </w:r>
      <w:r>
        <w:rPr/>
        <w:t>caracterizada</w:t>
      </w:r>
      <w:r>
        <w:rPr>
          <w:spacing w:val="-10"/>
        </w:rPr>
        <w:t> </w:t>
      </w:r>
      <w:r>
        <w:rPr/>
        <w:t>por</w:t>
      </w:r>
      <w:r>
        <w:rPr>
          <w:spacing w:val="-9"/>
        </w:rPr>
        <w:t> </w:t>
      </w:r>
      <w:r>
        <w:rPr/>
        <w:t>la</w:t>
      </w:r>
      <w:r>
        <w:rPr>
          <w:spacing w:val="-7"/>
        </w:rPr>
        <w:t> </w:t>
      </w:r>
      <w:r>
        <w:rPr/>
        <w:t>crisis</w:t>
      </w:r>
      <w:r>
        <w:rPr>
          <w:spacing w:val="-6"/>
        </w:rPr>
        <w:t> </w:t>
      </w:r>
      <w:r>
        <w:rPr/>
        <w:t>y</w:t>
      </w:r>
      <w:r>
        <w:rPr>
          <w:spacing w:val="-13"/>
        </w:rPr>
        <w:t> </w:t>
      </w:r>
      <w:r>
        <w:rPr/>
        <w:t>reorientación de la industria, en la cual las ventas se desplomaron de 300 mil unidades al año (que en promedio se vendían en los años anteriores) a 250 mil, pero se construyeron nuevas y modernas plantas; y la etapa basada en la expansión de las exportaciones, desde 1988 hasta la</w:t>
      </w:r>
      <w:r>
        <w:rPr>
          <w:spacing w:val="-4"/>
        </w:rPr>
        <w:t> </w:t>
      </w:r>
      <w:r>
        <w:rPr/>
        <w:t>actualidad,</w:t>
      </w:r>
      <w:r>
        <w:rPr>
          <w:spacing w:val="-4"/>
        </w:rPr>
        <w:t> </w:t>
      </w:r>
      <w:r>
        <w:rPr/>
        <w:t>en</w:t>
      </w:r>
      <w:r>
        <w:rPr>
          <w:spacing w:val="-4"/>
        </w:rPr>
        <w:t> </w:t>
      </w:r>
      <w:r>
        <w:rPr/>
        <w:t>la</w:t>
      </w:r>
      <w:r>
        <w:rPr>
          <w:spacing w:val="-1"/>
        </w:rPr>
        <w:t> </w:t>
      </w:r>
      <w:r>
        <w:rPr/>
        <w:t>cual</w:t>
      </w:r>
      <w:r>
        <w:rPr>
          <w:spacing w:val="-3"/>
        </w:rPr>
        <w:t> </w:t>
      </w:r>
      <w:r>
        <w:rPr/>
        <w:t>las</w:t>
      </w:r>
      <w:r>
        <w:rPr>
          <w:spacing w:val="-4"/>
        </w:rPr>
        <w:t> </w:t>
      </w:r>
      <w:r>
        <w:rPr/>
        <w:t>ventas</w:t>
      </w:r>
      <w:r>
        <w:rPr>
          <w:spacing w:val="-4"/>
        </w:rPr>
        <w:t> </w:t>
      </w:r>
      <w:r>
        <w:rPr/>
        <w:t>saltaron</w:t>
      </w:r>
      <w:r>
        <w:rPr>
          <w:spacing w:val="-5"/>
        </w:rPr>
        <w:t> </w:t>
      </w:r>
      <w:r>
        <w:rPr/>
        <w:t>al</w:t>
      </w:r>
      <w:r>
        <w:rPr>
          <w:spacing w:val="-3"/>
        </w:rPr>
        <w:t> </w:t>
      </w:r>
      <w:r>
        <w:rPr/>
        <w:t>nivel</w:t>
      </w:r>
      <w:r>
        <w:rPr>
          <w:spacing w:val="-2"/>
        </w:rPr>
        <w:t> </w:t>
      </w:r>
      <w:r>
        <w:rPr/>
        <w:t>de</w:t>
      </w:r>
      <w:r>
        <w:rPr>
          <w:spacing w:val="-5"/>
        </w:rPr>
        <w:t> </w:t>
      </w:r>
      <w:r>
        <w:rPr/>
        <w:t>570</w:t>
      </w:r>
      <w:r>
        <w:rPr>
          <w:spacing w:val="-4"/>
        </w:rPr>
        <w:t> </w:t>
      </w:r>
      <w:r>
        <w:rPr/>
        <w:t>mil</w:t>
      </w:r>
      <w:r>
        <w:rPr>
          <w:spacing w:val="-3"/>
        </w:rPr>
        <w:t> </w:t>
      </w:r>
      <w:r>
        <w:rPr/>
        <w:t>unidades,</w:t>
      </w:r>
      <w:r>
        <w:rPr>
          <w:spacing w:val="-4"/>
        </w:rPr>
        <w:t> </w:t>
      </w:r>
      <w:r>
        <w:rPr/>
        <w:t>con</w:t>
      </w:r>
      <w:r>
        <w:rPr>
          <w:spacing w:val="-4"/>
        </w:rPr>
        <w:t> </w:t>
      </w:r>
      <w:r>
        <w:rPr/>
        <w:t>un</w:t>
      </w:r>
      <w:r>
        <w:rPr>
          <w:spacing w:val="-4"/>
        </w:rPr>
        <w:t> </w:t>
      </w:r>
      <w:r>
        <w:rPr/>
        <w:t>promedio</w:t>
      </w:r>
      <w:r>
        <w:rPr>
          <w:spacing w:val="-3"/>
        </w:rPr>
        <w:t> </w:t>
      </w:r>
      <w:r>
        <w:rPr/>
        <w:t>de más de 240 mil unidades exportadas anualmente en 1988-1996. De representar las exportaciones automotrices el 4% del total de las unidades producidas en 1980, pasaron al 82% en junio de 1996 (Carrillo y Ramirez,</w:t>
      </w:r>
      <w:r>
        <w:rPr>
          <w:spacing w:val="-10"/>
        </w:rPr>
        <w:t> </w:t>
      </w:r>
      <w:r>
        <w:rPr/>
        <w:t>1997).</w:t>
      </w:r>
    </w:p>
    <w:p>
      <w:pPr>
        <w:pStyle w:val="BodyText"/>
        <w:spacing w:before="2"/>
        <w:rPr>
          <w:sz w:val="21"/>
        </w:rPr>
      </w:pPr>
    </w:p>
    <w:p>
      <w:pPr>
        <w:pStyle w:val="BodyText"/>
        <w:spacing w:line="360" w:lineRule="auto"/>
        <w:ind w:left="102" w:right="115"/>
        <w:jc w:val="both"/>
      </w:pPr>
      <w:r>
        <w:rPr/>
        <w:t>Ya bajo la lógica de producción para la exportación, de acuerdo con Velázquez (2004) los lugares donde se reubicó la actividad automotriz fue en los estados fronterizos y el bajío mexicano, ya que son lugares cuya infraestructura y localización facilitaba la exportación.</w:t>
      </w:r>
    </w:p>
    <w:p>
      <w:pPr>
        <w:pStyle w:val="BodyText"/>
        <w:spacing w:before="4"/>
        <w:rPr>
          <w:sz w:val="21"/>
        </w:rPr>
      </w:pPr>
    </w:p>
    <w:p>
      <w:pPr>
        <w:pStyle w:val="BodyText"/>
        <w:spacing w:line="360" w:lineRule="auto" w:before="1"/>
        <w:ind w:left="102" w:right="116"/>
        <w:jc w:val="both"/>
      </w:pPr>
      <w:r>
        <w:rPr/>
        <w:t>Esta decisión obedece a que en los estados fronterizos se reducen los costos de producción, porque se dispone de mano de obra abundante y barata y con poca experiencia sindical, además por su localización geográfica pues se reduce la distancia con los Estados Unidos y por lo tanto el tiempo y el costo de traslado de los productos terminados. Asimismo las empresas transnacionales han aprovechado otro tipo de ventajas que los gobiernos estatales y municipales han proporcionado como son: la exención de impuestos, la capacitación de la mano de obra, la reducción del tiempo para realizar trámites burocráticos, etcétera, como es el</w:t>
      </w:r>
      <w:r>
        <w:rPr>
          <w:spacing w:val="-9"/>
        </w:rPr>
        <w:t> </w:t>
      </w:r>
      <w:r>
        <w:rPr/>
        <w:t>caso</w:t>
      </w:r>
      <w:r>
        <w:rPr>
          <w:spacing w:val="-9"/>
        </w:rPr>
        <w:t> </w:t>
      </w:r>
      <w:r>
        <w:rPr/>
        <w:t>las</w:t>
      </w:r>
      <w:r>
        <w:rPr>
          <w:spacing w:val="-10"/>
        </w:rPr>
        <w:t> </w:t>
      </w:r>
      <w:r>
        <w:rPr/>
        <w:t>plantas</w:t>
      </w:r>
      <w:r>
        <w:rPr>
          <w:spacing w:val="-9"/>
        </w:rPr>
        <w:t> </w:t>
      </w:r>
      <w:r>
        <w:rPr/>
        <w:t>armadoras</w:t>
      </w:r>
      <w:r>
        <w:rPr>
          <w:spacing w:val="-9"/>
        </w:rPr>
        <w:t> </w:t>
      </w:r>
      <w:r>
        <w:rPr/>
        <w:t>de</w:t>
      </w:r>
      <w:r>
        <w:rPr>
          <w:spacing w:val="-11"/>
        </w:rPr>
        <w:t> </w:t>
      </w:r>
      <w:r>
        <w:rPr/>
        <w:t>Nissan</w:t>
      </w:r>
      <w:r>
        <w:rPr>
          <w:spacing w:val="-10"/>
        </w:rPr>
        <w:t> </w:t>
      </w:r>
      <w:r>
        <w:rPr/>
        <w:t>en</w:t>
      </w:r>
      <w:r>
        <w:rPr>
          <w:spacing w:val="-10"/>
        </w:rPr>
        <w:t> </w:t>
      </w:r>
      <w:r>
        <w:rPr/>
        <w:t>Aguascalientes</w:t>
      </w:r>
      <w:r>
        <w:rPr>
          <w:spacing w:val="-7"/>
        </w:rPr>
        <w:t> </w:t>
      </w:r>
      <w:r>
        <w:rPr/>
        <w:t>y</w:t>
      </w:r>
      <w:r>
        <w:rPr>
          <w:spacing w:val="-16"/>
        </w:rPr>
        <w:t> </w:t>
      </w:r>
      <w:r>
        <w:rPr/>
        <w:t>de</w:t>
      </w:r>
      <w:r>
        <w:rPr>
          <w:spacing w:val="-11"/>
        </w:rPr>
        <w:t> </w:t>
      </w:r>
      <w:r>
        <w:rPr/>
        <w:t>Volkswagen</w:t>
      </w:r>
      <w:r>
        <w:rPr>
          <w:spacing w:val="-8"/>
        </w:rPr>
        <w:t> </w:t>
      </w:r>
      <w:r>
        <w:rPr/>
        <w:t>en</w:t>
      </w:r>
      <w:r>
        <w:rPr>
          <w:spacing w:val="-10"/>
        </w:rPr>
        <w:t> </w:t>
      </w:r>
      <w:r>
        <w:rPr/>
        <w:t>Puebla</w:t>
      </w:r>
      <w:r>
        <w:rPr>
          <w:spacing w:val="-10"/>
        </w:rPr>
        <w:t> </w:t>
      </w:r>
      <w:r>
        <w:rPr/>
        <w:t>lo</w:t>
      </w:r>
      <w:r>
        <w:rPr>
          <w:spacing w:val="-12"/>
        </w:rPr>
        <w:t> </w:t>
      </w:r>
      <w:r>
        <w:rPr/>
        <w:t>que a</w:t>
      </w:r>
      <w:r>
        <w:rPr>
          <w:spacing w:val="-10"/>
        </w:rPr>
        <w:t> </w:t>
      </w:r>
      <w:r>
        <w:rPr/>
        <w:t>su</w:t>
      </w:r>
      <w:r>
        <w:rPr>
          <w:spacing w:val="-8"/>
        </w:rPr>
        <w:t> </w:t>
      </w:r>
      <w:r>
        <w:rPr/>
        <w:t>vez</w:t>
      </w:r>
      <w:r>
        <w:rPr>
          <w:spacing w:val="-7"/>
        </w:rPr>
        <w:t> </w:t>
      </w:r>
      <w:r>
        <w:rPr/>
        <w:t>les</w:t>
      </w:r>
      <w:r>
        <w:rPr>
          <w:spacing w:val="-9"/>
        </w:rPr>
        <w:t> </w:t>
      </w:r>
      <w:r>
        <w:rPr/>
        <w:t>ha</w:t>
      </w:r>
      <w:r>
        <w:rPr>
          <w:spacing w:val="-10"/>
        </w:rPr>
        <w:t> </w:t>
      </w:r>
      <w:r>
        <w:rPr/>
        <w:t>permitido</w:t>
      </w:r>
      <w:r>
        <w:rPr>
          <w:spacing w:val="-9"/>
        </w:rPr>
        <w:t> </w:t>
      </w:r>
      <w:r>
        <w:rPr/>
        <w:t>instalarse</w:t>
      </w:r>
      <w:r>
        <w:rPr>
          <w:spacing w:val="-9"/>
        </w:rPr>
        <w:t> </w:t>
      </w:r>
      <w:r>
        <w:rPr/>
        <w:t>cerca</w:t>
      </w:r>
      <w:r>
        <w:rPr>
          <w:spacing w:val="-10"/>
        </w:rPr>
        <w:t> </w:t>
      </w:r>
      <w:r>
        <w:rPr/>
        <w:t>de</w:t>
      </w:r>
      <w:r>
        <w:rPr>
          <w:spacing w:val="-10"/>
        </w:rPr>
        <w:t> </w:t>
      </w:r>
      <w:r>
        <w:rPr/>
        <w:t>las</w:t>
      </w:r>
      <w:r>
        <w:rPr>
          <w:spacing w:val="-9"/>
        </w:rPr>
        <w:t> </w:t>
      </w:r>
      <w:r>
        <w:rPr/>
        <w:t>plantas</w:t>
      </w:r>
      <w:r>
        <w:rPr>
          <w:spacing w:val="-9"/>
        </w:rPr>
        <w:t> </w:t>
      </w:r>
      <w:r>
        <w:rPr/>
        <w:t>armadoras</w:t>
      </w:r>
      <w:r>
        <w:rPr>
          <w:spacing w:val="-8"/>
        </w:rPr>
        <w:t> </w:t>
      </w:r>
      <w:r>
        <w:rPr/>
        <w:t>ubicadas</w:t>
      </w:r>
      <w:r>
        <w:rPr>
          <w:spacing w:val="-6"/>
        </w:rPr>
        <w:t> </w:t>
      </w:r>
      <w:r>
        <w:rPr/>
        <w:t>en</w:t>
      </w:r>
      <w:r>
        <w:rPr>
          <w:spacing w:val="-9"/>
        </w:rPr>
        <w:t> </w:t>
      </w:r>
      <w:r>
        <w:rPr/>
        <w:t>Ramos</w:t>
      </w:r>
      <w:r>
        <w:rPr>
          <w:spacing w:val="-8"/>
        </w:rPr>
        <w:t> </w:t>
      </w:r>
      <w:r>
        <w:rPr/>
        <w:t>Arizpe y Nuevo León (Villarreal y Villegas,</w:t>
      </w:r>
      <w:r>
        <w:rPr>
          <w:spacing w:val="-9"/>
        </w:rPr>
        <w:t> </w:t>
      </w:r>
      <w:r>
        <w:rPr/>
        <w:t>2007).</w:t>
      </w:r>
    </w:p>
    <w:p>
      <w:pPr>
        <w:pStyle w:val="BodyText"/>
        <w:spacing w:before="4"/>
        <w:rPr>
          <w:sz w:val="21"/>
        </w:rPr>
      </w:pPr>
    </w:p>
    <w:p>
      <w:pPr>
        <w:pStyle w:val="BodyText"/>
        <w:spacing w:line="360" w:lineRule="auto" w:before="1"/>
        <w:ind w:left="102" w:right="118"/>
        <w:jc w:val="both"/>
      </w:pPr>
      <w:r>
        <w:rPr/>
        <w:t>En 1983, Ford estableció una planta para la fabricación de motores básicamente para exportación en el Estado de Chihuahua, y en 1986 una para ensamblado y estampado en Hermosillo, Sonora. Por su parte, General Motors establece un importante complejo en Ramos</w:t>
      </w:r>
      <w:r>
        <w:rPr>
          <w:spacing w:val="-6"/>
        </w:rPr>
        <w:t> </w:t>
      </w:r>
      <w:r>
        <w:rPr/>
        <w:t>Arizpe,</w:t>
      </w:r>
      <w:r>
        <w:rPr>
          <w:spacing w:val="-6"/>
        </w:rPr>
        <w:t> </w:t>
      </w:r>
      <w:r>
        <w:rPr/>
        <w:t>Coahuila</w:t>
      </w:r>
      <w:r>
        <w:rPr>
          <w:spacing w:val="-5"/>
        </w:rPr>
        <w:t> </w:t>
      </w:r>
      <w:r>
        <w:rPr/>
        <w:t>en</w:t>
      </w:r>
      <w:r>
        <w:rPr>
          <w:spacing w:val="-6"/>
        </w:rPr>
        <w:t> </w:t>
      </w:r>
      <w:r>
        <w:rPr/>
        <w:t>1981</w:t>
      </w:r>
      <w:r>
        <w:rPr>
          <w:spacing w:val="-1"/>
        </w:rPr>
        <w:t> </w:t>
      </w:r>
      <w:r>
        <w:rPr/>
        <w:t>y</w:t>
      </w:r>
      <w:r>
        <w:rPr>
          <w:spacing w:val="-9"/>
        </w:rPr>
        <w:t> </w:t>
      </w:r>
      <w:r>
        <w:rPr/>
        <w:t>otra</w:t>
      </w:r>
      <w:r>
        <w:rPr>
          <w:spacing w:val="-5"/>
        </w:rPr>
        <w:t> </w:t>
      </w:r>
      <w:r>
        <w:rPr/>
        <w:t>planta</w:t>
      </w:r>
      <w:r>
        <w:rPr>
          <w:spacing w:val="-5"/>
        </w:rPr>
        <w:t> </w:t>
      </w:r>
      <w:r>
        <w:rPr/>
        <w:t>en</w:t>
      </w:r>
      <w:r>
        <w:rPr>
          <w:spacing w:val="-4"/>
        </w:rPr>
        <w:t> </w:t>
      </w:r>
      <w:r>
        <w:rPr/>
        <w:t>Silao,</w:t>
      </w:r>
      <w:r>
        <w:rPr>
          <w:spacing w:val="-6"/>
        </w:rPr>
        <w:t> </w:t>
      </w:r>
      <w:r>
        <w:rPr/>
        <w:t>Guanajuato</w:t>
      </w:r>
      <w:r>
        <w:rPr>
          <w:spacing w:val="-6"/>
        </w:rPr>
        <w:t> </w:t>
      </w:r>
      <w:r>
        <w:rPr/>
        <w:t>para</w:t>
      </w:r>
      <w:r>
        <w:rPr>
          <w:spacing w:val="-6"/>
        </w:rPr>
        <w:t> </w:t>
      </w:r>
      <w:r>
        <w:rPr/>
        <w:t>1993;</w:t>
      </w:r>
      <w:r>
        <w:rPr>
          <w:spacing w:val="-6"/>
        </w:rPr>
        <w:t> </w:t>
      </w:r>
      <w:r>
        <w:rPr/>
        <w:t>mientras</w:t>
      </w:r>
      <w:r>
        <w:rPr>
          <w:spacing w:val="-6"/>
        </w:rPr>
        <w:t> </w:t>
      </w:r>
      <w:r>
        <w:rPr/>
        <w:t>que</w:t>
      </w:r>
    </w:p>
    <w:p>
      <w:pPr>
        <w:spacing w:after="0" w:line="360" w:lineRule="auto"/>
        <w:jc w:val="both"/>
        <w:sectPr>
          <w:pgSz w:w="12240" w:h="15840"/>
          <w:pgMar w:header="0" w:footer="1035" w:top="1360" w:bottom="1220" w:left="1600" w:right="1580"/>
        </w:sectPr>
      </w:pPr>
    </w:p>
    <w:p>
      <w:pPr>
        <w:pStyle w:val="BodyText"/>
        <w:spacing w:line="360" w:lineRule="auto" w:before="50"/>
        <w:ind w:left="102" w:right="122"/>
        <w:jc w:val="both"/>
      </w:pPr>
      <w:r>
        <w:rPr/>
        <w:t>Chrysler</w:t>
      </w:r>
      <w:r>
        <w:rPr>
          <w:spacing w:val="-13"/>
        </w:rPr>
        <w:t> </w:t>
      </w:r>
      <w:r>
        <w:rPr/>
        <w:t>se</w:t>
      </w:r>
      <w:r>
        <w:rPr>
          <w:spacing w:val="-15"/>
        </w:rPr>
        <w:t> </w:t>
      </w:r>
      <w:r>
        <w:rPr/>
        <w:t>establece</w:t>
      </w:r>
      <w:r>
        <w:rPr>
          <w:spacing w:val="-13"/>
        </w:rPr>
        <w:t> </w:t>
      </w:r>
      <w:r>
        <w:rPr/>
        <w:t>en</w:t>
      </w:r>
      <w:r>
        <w:rPr>
          <w:spacing w:val="-12"/>
        </w:rPr>
        <w:t> </w:t>
      </w:r>
      <w:r>
        <w:rPr/>
        <w:t>Saltillo,</w:t>
      </w:r>
      <w:r>
        <w:rPr>
          <w:spacing w:val="-14"/>
        </w:rPr>
        <w:t> </w:t>
      </w:r>
      <w:r>
        <w:rPr/>
        <w:t>Coahuila</w:t>
      </w:r>
      <w:r>
        <w:rPr>
          <w:spacing w:val="-15"/>
        </w:rPr>
        <w:t> </w:t>
      </w:r>
      <w:r>
        <w:rPr/>
        <w:t>en</w:t>
      </w:r>
      <w:r>
        <w:rPr>
          <w:spacing w:val="-14"/>
        </w:rPr>
        <w:t> </w:t>
      </w:r>
      <w:r>
        <w:rPr/>
        <w:t>1995,</w:t>
      </w:r>
      <w:r>
        <w:rPr>
          <w:spacing w:val="-14"/>
        </w:rPr>
        <w:t> </w:t>
      </w:r>
      <w:r>
        <w:rPr/>
        <w:t>manteniendo</w:t>
      </w:r>
      <w:r>
        <w:rPr>
          <w:spacing w:val="-15"/>
        </w:rPr>
        <w:t> </w:t>
      </w:r>
      <w:r>
        <w:rPr/>
        <w:t>sus</w:t>
      </w:r>
      <w:r>
        <w:rPr>
          <w:spacing w:val="-14"/>
        </w:rPr>
        <w:t> </w:t>
      </w:r>
      <w:r>
        <w:rPr/>
        <w:t>instalaciones</w:t>
      </w:r>
      <w:r>
        <w:rPr>
          <w:spacing w:val="-15"/>
        </w:rPr>
        <w:t> </w:t>
      </w:r>
      <w:r>
        <w:rPr/>
        <w:t>en</w:t>
      </w:r>
      <w:r>
        <w:rPr>
          <w:spacing w:val="-12"/>
        </w:rPr>
        <w:t> </w:t>
      </w:r>
      <w:r>
        <w:rPr/>
        <w:t>Toluca, Estado de México. En 1992 Nissan establece una planta muy grande y con la más moderna tecnología en Aguascalientes (Velázquez,</w:t>
      </w:r>
      <w:r>
        <w:rPr>
          <w:spacing w:val="-10"/>
        </w:rPr>
        <w:t> </w:t>
      </w:r>
      <w:r>
        <w:rPr/>
        <w:t>2004).</w:t>
      </w:r>
    </w:p>
    <w:p>
      <w:pPr>
        <w:pStyle w:val="BodyText"/>
        <w:spacing w:before="4"/>
        <w:rPr>
          <w:sz w:val="21"/>
        </w:rPr>
      </w:pPr>
    </w:p>
    <w:p>
      <w:pPr>
        <w:pStyle w:val="BodyText"/>
        <w:spacing w:line="360" w:lineRule="auto" w:before="1"/>
        <w:ind w:left="102" w:right="117"/>
        <w:jc w:val="both"/>
      </w:pPr>
      <w:r>
        <w:rPr/>
        <w:t>Como resultado de la firma del TLC, el país se hizo atractivo como punto de producción y puerta de entrada al mercado norteamericano, por lo cual nuevas empresas se establecen en México. Honda se establece en el estado de Jalisco en 1995, BMW en el Estado de México en 1994 y Mercedes Benz un año antes en la misma entidad (Velázquez, 2008).</w:t>
      </w:r>
    </w:p>
    <w:p>
      <w:pPr>
        <w:pStyle w:val="BodyText"/>
        <w:spacing w:before="4"/>
        <w:rPr>
          <w:sz w:val="21"/>
        </w:rPr>
      </w:pPr>
    </w:p>
    <w:p>
      <w:pPr>
        <w:pStyle w:val="BodyText"/>
        <w:spacing w:line="360" w:lineRule="auto" w:before="1"/>
        <w:ind w:left="102" w:right="115"/>
        <w:jc w:val="both"/>
      </w:pPr>
      <w:r>
        <w:rPr/>
        <w:t>Desde entonces, México ha tratado de beneficiarse a partir de la reestructuración de la industria automotriz a nivel mundial y de su consolidación en nuestro país, pues diversas armadoras lo consideran como plataforma única de fabricación para todos sus mercados, en parte debido a la reconocida calidad de la manufactura automotriz mexicana. Actualmente en México existen 8 empresas productoras de vehículos, 12 empresas productoras de vehículos pesados y cerca de 1,200 empresas fabricantes de autopartes (SE, 2013).</w:t>
      </w:r>
    </w:p>
    <w:p>
      <w:pPr>
        <w:pStyle w:val="BodyText"/>
        <w:spacing w:before="5"/>
        <w:rPr>
          <w:sz w:val="21"/>
        </w:rPr>
      </w:pPr>
    </w:p>
    <w:p>
      <w:pPr>
        <w:pStyle w:val="BodyText"/>
        <w:spacing w:line="360" w:lineRule="auto"/>
        <w:ind w:left="102" w:right="116"/>
        <w:jc w:val="both"/>
      </w:pPr>
      <w:r>
        <w:rPr/>
        <w:t>Como ya sea mencionado, ocho de las principales empresas armadoras a nivel mundial, se han establecido en once entidades federativas de México, en este sentido los estados que se han beneficiado de la instalación de sus plantas armadoras son: Aguascalientes, Baja California Norte, Chihuahua, Coahuila, Estado de México, Guanajuato, Jalisco, Morelos, Puebla, San Luis Potosí y Sonora (véase esquema 3.3) (AMIA, 2014).</w:t>
      </w:r>
    </w:p>
    <w:p>
      <w:pPr>
        <w:pStyle w:val="BodyText"/>
        <w:spacing w:before="7"/>
        <w:rPr>
          <w:sz w:val="21"/>
        </w:rPr>
      </w:pPr>
    </w:p>
    <w:p>
      <w:pPr>
        <w:pStyle w:val="Heading1"/>
        <w:ind w:right="398"/>
        <w:jc w:val="center"/>
      </w:pPr>
      <w:r>
        <w:rPr/>
        <w:drawing>
          <wp:anchor distT="0" distB="0" distL="0" distR="0" allowOverlap="1" layoutInCell="1" locked="0" behindDoc="0" simplePos="0" relativeHeight="3424">
            <wp:simplePos x="0" y="0"/>
            <wp:positionH relativeFrom="page">
              <wp:posOffset>1723644</wp:posOffset>
            </wp:positionH>
            <wp:positionV relativeFrom="paragraph">
              <wp:posOffset>263310</wp:posOffset>
            </wp:positionV>
            <wp:extent cx="4310704" cy="2371343"/>
            <wp:effectExtent l="0" t="0" r="0" b="0"/>
            <wp:wrapTopAndBottom/>
            <wp:docPr id="3" name="image34.jpeg" descr=""/>
            <wp:cNvGraphicFramePr>
              <a:graphicFrameLocks noChangeAspect="1"/>
            </wp:cNvGraphicFramePr>
            <a:graphic>
              <a:graphicData uri="http://schemas.openxmlformats.org/drawingml/2006/picture">
                <pic:pic>
                  <pic:nvPicPr>
                    <pic:cNvPr id="4" name="image34.jpeg"/>
                    <pic:cNvPicPr/>
                  </pic:nvPicPr>
                  <pic:blipFill>
                    <a:blip r:embed="rId43" cstate="print"/>
                    <a:stretch>
                      <a:fillRect/>
                    </a:stretch>
                  </pic:blipFill>
                  <pic:spPr>
                    <a:xfrm>
                      <a:off x="0" y="0"/>
                      <a:ext cx="4310704" cy="2371343"/>
                    </a:xfrm>
                    <a:prstGeom prst="rect">
                      <a:avLst/>
                    </a:prstGeom>
                  </pic:spPr>
                </pic:pic>
              </a:graphicData>
            </a:graphic>
          </wp:anchor>
        </w:drawing>
      </w:r>
      <w:r>
        <w:rPr/>
        <w:t>Esquema 3.3. Localización de las plantas de vehículos ligeros en México</w:t>
      </w:r>
    </w:p>
    <w:p>
      <w:pPr>
        <w:spacing w:before="122"/>
        <w:ind w:left="383" w:right="396" w:firstLine="0"/>
        <w:jc w:val="center"/>
        <w:rPr>
          <w:sz w:val="18"/>
        </w:rPr>
      </w:pPr>
      <w:r>
        <w:rPr>
          <w:sz w:val="18"/>
        </w:rPr>
        <w:t>Fuente: Mapa tomado de SE (2013b:20)</w:t>
      </w:r>
    </w:p>
    <w:p>
      <w:pPr>
        <w:spacing w:after="0"/>
        <w:jc w:val="center"/>
        <w:rPr>
          <w:sz w:val="18"/>
        </w:rPr>
        <w:sectPr>
          <w:pgSz w:w="12240" w:h="15840"/>
          <w:pgMar w:header="0" w:footer="1035" w:top="1360" w:bottom="1220" w:left="1600" w:right="1580"/>
        </w:sectPr>
      </w:pPr>
    </w:p>
    <w:p>
      <w:pPr>
        <w:pStyle w:val="BodyText"/>
        <w:spacing w:line="360" w:lineRule="auto" w:before="50"/>
        <w:ind w:left="102" w:right="116"/>
        <w:jc w:val="both"/>
      </w:pPr>
      <w:r>
        <w:rPr/>
        <w:t>Además durante el 2013 llegaron nuevas e importantes inversiones a México, por parte de las empresas de Audi en el estado de Puebla, Honda y Mazda en el estado de Guanajuato, y Daimler-Nissan en Aguascalientes. Asimismo durante el 2014 se anunció la instalación de BMW en San Luis Potosí y Chihuahua (véase esquema 3.4) (SE, 2013).</w:t>
      </w:r>
    </w:p>
    <w:p>
      <w:pPr>
        <w:pStyle w:val="BodyText"/>
        <w:spacing w:before="2"/>
        <w:rPr>
          <w:sz w:val="21"/>
        </w:rPr>
      </w:pPr>
    </w:p>
    <w:p>
      <w:pPr>
        <w:pStyle w:val="BodyText"/>
        <w:spacing w:line="360" w:lineRule="auto"/>
        <w:ind w:left="102" w:right="118"/>
        <w:jc w:val="both"/>
      </w:pPr>
      <w:r>
        <w:rPr/>
        <w:t>En</w:t>
      </w:r>
      <w:r>
        <w:rPr>
          <w:spacing w:val="-9"/>
        </w:rPr>
        <w:t> </w:t>
      </w:r>
      <w:r>
        <w:rPr/>
        <w:t>cuanto</w:t>
      </w:r>
      <w:r>
        <w:rPr>
          <w:spacing w:val="-8"/>
        </w:rPr>
        <w:t> </w:t>
      </w:r>
      <w:r>
        <w:rPr/>
        <w:t>a</w:t>
      </w:r>
      <w:r>
        <w:rPr>
          <w:spacing w:val="-10"/>
        </w:rPr>
        <w:t> </w:t>
      </w:r>
      <w:r>
        <w:rPr/>
        <w:t>las</w:t>
      </w:r>
      <w:r>
        <w:rPr>
          <w:spacing w:val="-7"/>
        </w:rPr>
        <w:t> </w:t>
      </w:r>
      <w:r>
        <w:rPr/>
        <w:t>empresas</w:t>
      </w:r>
      <w:r>
        <w:rPr>
          <w:spacing w:val="-6"/>
        </w:rPr>
        <w:t> </w:t>
      </w:r>
      <w:r>
        <w:rPr/>
        <w:t>productoras</w:t>
      </w:r>
      <w:r>
        <w:rPr>
          <w:spacing w:val="-8"/>
        </w:rPr>
        <w:t> </w:t>
      </w:r>
      <w:r>
        <w:rPr/>
        <w:t>de</w:t>
      </w:r>
      <w:r>
        <w:rPr>
          <w:spacing w:val="-10"/>
        </w:rPr>
        <w:t> </w:t>
      </w:r>
      <w:r>
        <w:rPr/>
        <w:t>vehículos</w:t>
      </w:r>
      <w:r>
        <w:rPr>
          <w:spacing w:val="-6"/>
        </w:rPr>
        <w:t> </w:t>
      </w:r>
      <w:r>
        <w:rPr/>
        <w:t>pesados,</w:t>
      </w:r>
      <w:r>
        <w:rPr>
          <w:spacing w:val="-8"/>
        </w:rPr>
        <w:t> </w:t>
      </w:r>
      <w:r>
        <w:rPr/>
        <w:t>se</w:t>
      </w:r>
      <w:r>
        <w:rPr>
          <w:spacing w:val="-9"/>
        </w:rPr>
        <w:t> </w:t>
      </w:r>
      <w:r>
        <w:rPr/>
        <w:t>encuentran</w:t>
      </w:r>
      <w:r>
        <w:rPr>
          <w:spacing w:val="-9"/>
        </w:rPr>
        <w:t> </w:t>
      </w:r>
      <w:r>
        <w:rPr/>
        <w:t>distribuidas</w:t>
      </w:r>
      <w:r>
        <w:rPr>
          <w:spacing w:val="-8"/>
        </w:rPr>
        <w:t> </w:t>
      </w:r>
      <w:r>
        <w:rPr/>
        <w:t>en</w:t>
      </w:r>
      <w:r>
        <w:rPr>
          <w:spacing w:val="-9"/>
        </w:rPr>
        <w:t> </w:t>
      </w:r>
      <w:r>
        <w:rPr/>
        <w:t>los estados de Baja California Norte, Estado de México, Guanajuato, Hidalgo, Nuevo León, Querétaro, San Luis Potosí y</w:t>
      </w:r>
      <w:r>
        <w:rPr>
          <w:spacing w:val="-9"/>
        </w:rPr>
        <w:t> </w:t>
      </w:r>
      <w:r>
        <w:rPr/>
        <w:t>Chihuahua.</w:t>
      </w:r>
    </w:p>
    <w:p>
      <w:pPr>
        <w:pStyle w:val="BodyText"/>
        <w:spacing w:before="9"/>
        <w:rPr>
          <w:sz w:val="21"/>
        </w:rPr>
      </w:pPr>
    </w:p>
    <w:p>
      <w:pPr>
        <w:pStyle w:val="Heading1"/>
        <w:ind w:right="399"/>
        <w:jc w:val="center"/>
      </w:pPr>
      <w:r>
        <w:rPr/>
        <w:drawing>
          <wp:anchor distT="0" distB="0" distL="0" distR="0" allowOverlap="1" layoutInCell="1" locked="0" behindDoc="0" simplePos="0" relativeHeight="3448">
            <wp:simplePos x="0" y="0"/>
            <wp:positionH relativeFrom="page">
              <wp:posOffset>1723644</wp:posOffset>
            </wp:positionH>
            <wp:positionV relativeFrom="paragraph">
              <wp:posOffset>262041</wp:posOffset>
            </wp:positionV>
            <wp:extent cx="4306541" cy="2367533"/>
            <wp:effectExtent l="0" t="0" r="0" b="0"/>
            <wp:wrapTopAndBottom/>
            <wp:docPr id="5" name="image35.jpeg" descr=""/>
            <wp:cNvGraphicFramePr>
              <a:graphicFrameLocks noChangeAspect="1"/>
            </wp:cNvGraphicFramePr>
            <a:graphic>
              <a:graphicData uri="http://schemas.openxmlformats.org/drawingml/2006/picture">
                <pic:pic>
                  <pic:nvPicPr>
                    <pic:cNvPr id="6" name="image35.jpeg"/>
                    <pic:cNvPicPr/>
                  </pic:nvPicPr>
                  <pic:blipFill>
                    <a:blip r:embed="rId44" cstate="print"/>
                    <a:stretch>
                      <a:fillRect/>
                    </a:stretch>
                  </pic:blipFill>
                  <pic:spPr>
                    <a:xfrm>
                      <a:off x="0" y="0"/>
                      <a:ext cx="4306541" cy="2367533"/>
                    </a:xfrm>
                    <a:prstGeom prst="rect">
                      <a:avLst/>
                    </a:prstGeom>
                  </pic:spPr>
                </pic:pic>
              </a:graphicData>
            </a:graphic>
          </wp:anchor>
        </w:drawing>
      </w:r>
      <w:r>
        <w:rPr/>
        <w:t>Esquema 3.4. Localización de las plantas de vehículos pesados en México</w:t>
      </w:r>
    </w:p>
    <w:p>
      <w:pPr>
        <w:spacing w:before="127"/>
        <w:ind w:left="383" w:right="396" w:firstLine="0"/>
        <w:jc w:val="center"/>
        <w:rPr>
          <w:sz w:val="18"/>
        </w:rPr>
      </w:pPr>
      <w:r>
        <w:rPr>
          <w:sz w:val="18"/>
        </w:rPr>
        <w:t>Fuente: Mapa tomado de SE (2013b:20)</w:t>
      </w:r>
    </w:p>
    <w:p>
      <w:pPr>
        <w:pStyle w:val="BodyText"/>
        <w:rPr>
          <w:sz w:val="18"/>
        </w:rPr>
      </w:pPr>
    </w:p>
    <w:p>
      <w:pPr>
        <w:pStyle w:val="BodyText"/>
        <w:spacing w:line="360" w:lineRule="auto" w:before="137"/>
        <w:ind w:left="102" w:right="116"/>
        <w:jc w:val="both"/>
      </w:pPr>
      <w:r>
        <w:rPr/>
        <w:t>Por el lado del sector de autopartes, la Secretaría de Economía (2013), ubica a las empresas que</w:t>
      </w:r>
      <w:r>
        <w:rPr>
          <w:spacing w:val="-8"/>
        </w:rPr>
        <w:t> </w:t>
      </w:r>
      <w:r>
        <w:rPr/>
        <w:t>producen</w:t>
      </w:r>
      <w:r>
        <w:rPr>
          <w:spacing w:val="-7"/>
        </w:rPr>
        <w:t> </w:t>
      </w:r>
      <w:r>
        <w:rPr/>
        <w:t>autopartes</w:t>
      </w:r>
      <w:r>
        <w:rPr>
          <w:spacing w:val="-5"/>
        </w:rPr>
        <w:t> </w:t>
      </w:r>
      <w:r>
        <w:rPr/>
        <w:t>en</w:t>
      </w:r>
      <w:r>
        <w:rPr>
          <w:spacing w:val="-7"/>
        </w:rPr>
        <w:t> </w:t>
      </w:r>
      <w:r>
        <w:rPr/>
        <w:t>México</w:t>
      </w:r>
      <w:r>
        <w:rPr>
          <w:spacing w:val="-8"/>
        </w:rPr>
        <w:t> </w:t>
      </w:r>
      <w:r>
        <w:rPr/>
        <w:t>en</w:t>
      </w:r>
      <w:r>
        <w:rPr>
          <w:spacing w:val="-7"/>
        </w:rPr>
        <w:t> </w:t>
      </w:r>
      <w:r>
        <w:rPr/>
        <w:t>cuatro</w:t>
      </w:r>
      <w:r>
        <w:rPr>
          <w:spacing w:val="-8"/>
        </w:rPr>
        <w:t> </w:t>
      </w:r>
      <w:r>
        <w:rPr/>
        <w:t>regiones:</w:t>
      </w:r>
      <w:r>
        <w:rPr>
          <w:spacing w:val="-7"/>
        </w:rPr>
        <w:t> </w:t>
      </w:r>
      <w:r>
        <w:rPr/>
        <w:t>Noreste,</w:t>
      </w:r>
      <w:r>
        <w:rPr>
          <w:spacing w:val="-7"/>
        </w:rPr>
        <w:t> </w:t>
      </w:r>
      <w:r>
        <w:rPr/>
        <w:t>Noroeste,</w:t>
      </w:r>
      <w:r>
        <w:rPr>
          <w:spacing w:val="-7"/>
        </w:rPr>
        <w:t> </w:t>
      </w:r>
      <w:r>
        <w:rPr/>
        <w:t>Sureste</w:t>
      </w:r>
      <w:r>
        <w:rPr>
          <w:spacing w:val="-5"/>
        </w:rPr>
        <w:t> </w:t>
      </w:r>
      <w:r>
        <w:rPr/>
        <w:t>y</w:t>
      </w:r>
      <w:r>
        <w:rPr>
          <w:spacing w:val="-12"/>
        </w:rPr>
        <w:t> </w:t>
      </w:r>
      <w:r>
        <w:rPr/>
        <w:t>Centro- Bajío.</w:t>
      </w:r>
    </w:p>
    <w:p>
      <w:pPr>
        <w:pStyle w:val="BodyText"/>
        <w:spacing w:before="2"/>
        <w:rPr>
          <w:sz w:val="21"/>
        </w:rPr>
      </w:pPr>
    </w:p>
    <w:p>
      <w:pPr>
        <w:pStyle w:val="BodyText"/>
        <w:spacing w:line="360" w:lineRule="auto"/>
        <w:ind w:left="102" w:right="117"/>
        <w:jc w:val="both"/>
      </w:pPr>
      <w:r>
        <w:rPr>
          <w:b/>
        </w:rPr>
        <w:t>Región Noreste: </w:t>
      </w:r>
      <w:r>
        <w:rPr/>
        <w:t>Se compone por 198 plantas distribuidas en Chihuahua, Nuevo León, Coahuila y Tamaulipas. La producción en esta región se enfoca en sistemas de aire acondicionado, sistemas automotrices, piezas de plástico, partes para el sistema eléctrico y partes para el motor y maquinados, algunas empresas establecidas en la región son: Honeywell, Johnson Controls, Hyundai y Morse.</w:t>
      </w:r>
    </w:p>
    <w:p>
      <w:pPr>
        <w:pStyle w:val="BodyText"/>
        <w:spacing w:before="5"/>
        <w:rPr>
          <w:sz w:val="21"/>
        </w:rPr>
      </w:pPr>
    </w:p>
    <w:p>
      <w:pPr>
        <w:pStyle w:val="BodyText"/>
        <w:spacing w:line="360" w:lineRule="auto"/>
        <w:ind w:left="102" w:right="119"/>
        <w:jc w:val="both"/>
      </w:pPr>
      <w:r>
        <w:rPr>
          <w:b/>
        </w:rPr>
        <w:t>Región</w:t>
      </w:r>
      <w:r>
        <w:rPr>
          <w:b/>
          <w:spacing w:val="-8"/>
        </w:rPr>
        <w:t> </w:t>
      </w:r>
      <w:r>
        <w:rPr>
          <w:b/>
        </w:rPr>
        <w:t>Noroeste:</w:t>
      </w:r>
      <w:r>
        <w:rPr>
          <w:b/>
          <w:spacing w:val="-10"/>
        </w:rPr>
        <w:t> </w:t>
      </w:r>
      <w:r>
        <w:rPr/>
        <w:t>Está</w:t>
      </w:r>
      <w:r>
        <w:rPr>
          <w:spacing w:val="-10"/>
        </w:rPr>
        <w:t> </w:t>
      </w:r>
      <w:r>
        <w:rPr/>
        <w:t>constituida</w:t>
      </w:r>
      <w:r>
        <w:rPr>
          <w:spacing w:val="-10"/>
        </w:rPr>
        <w:t> </w:t>
      </w:r>
      <w:r>
        <w:rPr/>
        <w:t>por</w:t>
      </w:r>
      <w:r>
        <w:rPr>
          <w:spacing w:val="-10"/>
        </w:rPr>
        <w:t> </w:t>
      </w:r>
      <w:r>
        <w:rPr/>
        <w:t>70</w:t>
      </w:r>
      <w:r>
        <w:rPr>
          <w:spacing w:val="-12"/>
        </w:rPr>
        <w:t> </w:t>
      </w:r>
      <w:r>
        <w:rPr/>
        <w:t>plantas</w:t>
      </w:r>
      <w:r>
        <w:rPr>
          <w:spacing w:val="-12"/>
        </w:rPr>
        <w:t> </w:t>
      </w:r>
      <w:r>
        <w:rPr/>
        <w:t>distribuidas</w:t>
      </w:r>
      <w:r>
        <w:rPr>
          <w:spacing w:val="-9"/>
        </w:rPr>
        <w:t> </w:t>
      </w:r>
      <w:r>
        <w:rPr/>
        <w:t>en</w:t>
      </w:r>
      <w:r>
        <w:rPr>
          <w:spacing w:val="-10"/>
        </w:rPr>
        <w:t> </w:t>
      </w:r>
      <w:r>
        <w:rPr/>
        <w:t>Baja</w:t>
      </w:r>
      <w:r>
        <w:rPr>
          <w:spacing w:val="-10"/>
        </w:rPr>
        <w:t> </w:t>
      </w:r>
      <w:r>
        <w:rPr/>
        <w:t>California</w:t>
      </w:r>
      <w:r>
        <w:rPr>
          <w:spacing w:val="-11"/>
        </w:rPr>
        <w:t> </w:t>
      </w:r>
      <w:r>
        <w:rPr/>
        <w:t>Norte,</w:t>
      </w:r>
      <w:r>
        <w:rPr>
          <w:spacing w:val="-10"/>
        </w:rPr>
        <w:t> </w:t>
      </w:r>
      <w:r>
        <w:rPr/>
        <w:t>Baja California</w:t>
      </w:r>
      <w:r>
        <w:rPr>
          <w:spacing w:val="43"/>
        </w:rPr>
        <w:t> </w:t>
      </w:r>
      <w:r>
        <w:rPr/>
        <w:t>Sur,</w:t>
      </w:r>
      <w:r>
        <w:rPr>
          <w:spacing w:val="43"/>
        </w:rPr>
        <w:t> </w:t>
      </w:r>
      <w:r>
        <w:rPr/>
        <w:t>Sinaloa,</w:t>
      </w:r>
      <w:r>
        <w:rPr>
          <w:spacing w:val="45"/>
        </w:rPr>
        <w:t> </w:t>
      </w:r>
      <w:r>
        <w:rPr/>
        <w:t>Sonora</w:t>
      </w:r>
      <w:r>
        <w:rPr>
          <w:spacing w:val="46"/>
        </w:rPr>
        <w:t> </w:t>
      </w:r>
      <w:r>
        <w:rPr/>
        <w:t>y</w:t>
      </w:r>
      <w:r>
        <w:rPr>
          <w:spacing w:val="39"/>
        </w:rPr>
        <w:t> </w:t>
      </w:r>
      <w:r>
        <w:rPr/>
        <w:t>Durango.</w:t>
      </w:r>
      <w:r>
        <w:rPr>
          <w:spacing w:val="45"/>
        </w:rPr>
        <w:t> </w:t>
      </w:r>
      <w:r>
        <w:rPr/>
        <w:t>La</w:t>
      </w:r>
      <w:r>
        <w:rPr>
          <w:spacing w:val="47"/>
        </w:rPr>
        <w:t> </w:t>
      </w:r>
      <w:r>
        <w:rPr/>
        <w:t>producción</w:t>
      </w:r>
      <w:r>
        <w:rPr>
          <w:spacing w:val="46"/>
        </w:rPr>
        <w:t> </w:t>
      </w:r>
      <w:r>
        <w:rPr/>
        <w:t>en</w:t>
      </w:r>
      <w:r>
        <w:rPr>
          <w:spacing w:val="44"/>
        </w:rPr>
        <w:t> </w:t>
      </w:r>
      <w:r>
        <w:rPr/>
        <w:t>esta</w:t>
      </w:r>
      <w:r>
        <w:rPr>
          <w:spacing w:val="43"/>
        </w:rPr>
        <w:t> </w:t>
      </w:r>
      <w:r>
        <w:rPr/>
        <w:t>región</w:t>
      </w:r>
      <w:r>
        <w:rPr>
          <w:spacing w:val="44"/>
        </w:rPr>
        <w:t> </w:t>
      </w:r>
      <w:r>
        <w:rPr/>
        <w:t>se</w:t>
      </w:r>
      <w:r>
        <w:rPr>
          <w:spacing w:val="43"/>
        </w:rPr>
        <w:t> </w:t>
      </w:r>
      <w:r>
        <w:rPr/>
        <w:t>enfoca</w:t>
      </w:r>
      <w:r>
        <w:rPr>
          <w:spacing w:val="45"/>
        </w:rPr>
        <w:t> </w:t>
      </w:r>
      <w:r>
        <w:rPr/>
        <w:t>en</w:t>
      </w:r>
    </w:p>
    <w:p>
      <w:pPr>
        <w:spacing w:after="0" w:line="360" w:lineRule="auto"/>
        <w:jc w:val="both"/>
        <w:sectPr>
          <w:pgSz w:w="12240" w:h="15840"/>
          <w:pgMar w:header="0" w:footer="1035" w:top="1360" w:bottom="1220" w:left="1600" w:right="1580"/>
        </w:sectPr>
      </w:pPr>
    </w:p>
    <w:p>
      <w:pPr>
        <w:pStyle w:val="BodyText"/>
        <w:spacing w:line="360" w:lineRule="auto" w:before="50"/>
        <w:ind w:left="102" w:right="119"/>
        <w:jc w:val="both"/>
      </w:pPr>
      <w:r>
        <w:rPr/>
        <w:t>sistemas de aire acondicionado y calefacción, componentes de interiores, accesorios y sistemas eléctricos para automóviles, las principales firmas que se encuentran en la región son: Denso, Cooper, Trico y la mexicana Nemak.</w:t>
      </w:r>
    </w:p>
    <w:p>
      <w:pPr>
        <w:pStyle w:val="BodyText"/>
        <w:spacing w:before="4"/>
        <w:rPr>
          <w:sz w:val="21"/>
        </w:rPr>
      </w:pPr>
    </w:p>
    <w:p>
      <w:pPr>
        <w:pStyle w:val="BodyText"/>
        <w:spacing w:line="360" w:lineRule="auto" w:before="1"/>
        <w:ind w:left="102" w:right="118"/>
        <w:jc w:val="both"/>
      </w:pPr>
      <w:r>
        <w:rPr>
          <w:b/>
        </w:rPr>
        <w:t>Región</w:t>
      </w:r>
      <w:r>
        <w:rPr>
          <w:b/>
          <w:spacing w:val="-7"/>
        </w:rPr>
        <w:t> </w:t>
      </w:r>
      <w:r>
        <w:rPr>
          <w:b/>
        </w:rPr>
        <w:t>Sureste:</w:t>
      </w:r>
      <w:r>
        <w:rPr>
          <w:b/>
          <w:spacing w:val="-9"/>
        </w:rPr>
        <w:t> </w:t>
      </w:r>
      <w:r>
        <w:rPr/>
        <w:t>Consta</w:t>
      </w:r>
      <w:r>
        <w:rPr>
          <w:spacing w:val="-7"/>
        </w:rPr>
        <w:t> </w:t>
      </w:r>
      <w:r>
        <w:rPr/>
        <w:t>de</w:t>
      </w:r>
      <w:r>
        <w:rPr>
          <w:spacing w:val="-9"/>
        </w:rPr>
        <w:t> </w:t>
      </w:r>
      <w:r>
        <w:rPr/>
        <w:t>101</w:t>
      </w:r>
      <w:r>
        <w:rPr>
          <w:spacing w:val="-9"/>
        </w:rPr>
        <w:t> </w:t>
      </w:r>
      <w:r>
        <w:rPr/>
        <w:t>plantas</w:t>
      </w:r>
      <w:r>
        <w:rPr>
          <w:spacing w:val="-8"/>
        </w:rPr>
        <w:t> </w:t>
      </w:r>
      <w:r>
        <w:rPr/>
        <w:t>distribuidas</w:t>
      </w:r>
      <w:r>
        <w:rPr>
          <w:spacing w:val="-9"/>
        </w:rPr>
        <w:t> </w:t>
      </w:r>
      <w:r>
        <w:rPr/>
        <w:t>en</w:t>
      </w:r>
      <w:r>
        <w:rPr>
          <w:spacing w:val="-9"/>
        </w:rPr>
        <w:t> </w:t>
      </w:r>
      <w:r>
        <w:rPr/>
        <w:t>Tlaxcala,</w:t>
      </w:r>
      <w:r>
        <w:rPr>
          <w:spacing w:val="-9"/>
        </w:rPr>
        <w:t> </w:t>
      </w:r>
      <w:r>
        <w:rPr/>
        <w:t>Puebla,</w:t>
      </w:r>
      <w:r>
        <w:rPr>
          <w:spacing w:val="-9"/>
        </w:rPr>
        <w:t> </w:t>
      </w:r>
      <w:r>
        <w:rPr/>
        <w:t>Tlaxcala,</w:t>
      </w:r>
      <w:r>
        <w:rPr>
          <w:spacing w:val="-9"/>
        </w:rPr>
        <w:t> </w:t>
      </w:r>
      <w:r>
        <w:rPr/>
        <w:t>Estado</w:t>
      </w:r>
      <w:r>
        <w:rPr>
          <w:spacing w:val="-9"/>
        </w:rPr>
        <w:t> </w:t>
      </w:r>
      <w:r>
        <w:rPr/>
        <w:t>de México, Morelos, Hidalgo y Distrito Federal. La producción en esta región se enfoca en asientos,</w:t>
      </w:r>
      <w:r>
        <w:rPr>
          <w:spacing w:val="-11"/>
        </w:rPr>
        <w:t> </w:t>
      </w:r>
      <w:r>
        <w:rPr/>
        <w:t>aire</w:t>
      </w:r>
      <w:r>
        <w:rPr>
          <w:spacing w:val="-13"/>
        </w:rPr>
        <w:t> </w:t>
      </w:r>
      <w:r>
        <w:rPr/>
        <w:t>acondicionado,</w:t>
      </w:r>
      <w:r>
        <w:rPr>
          <w:spacing w:val="-12"/>
        </w:rPr>
        <w:t> </w:t>
      </w:r>
      <w:r>
        <w:rPr/>
        <w:t>gatos</w:t>
      </w:r>
      <w:r>
        <w:rPr>
          <w:spacing w:val="-11"/>
        </w:rPr>
        <w:t> </w:t>
      </w:r>
      <w:r>
        <w:rPr/>
        <w:t>hidráulicos</w:t>
      </w:r>
      <w:r>
        <w:rPr>
          <w:spacing w:val="-12"/>
        </w:rPr>
        <w:t> </w:t>
      </w:r>
      <w:r>
        <w:rPr/>
        <w:t>tipo</w:t>
      </w:r>
      <w:r>
        <w:rPr>
          <w:spacing w:val="-17"/>
        </w:rPr>
        <w:t> </w:t>
      </w:r>
      <w:r>
        <w:rPr/>
        <w:t>botella,</w:t>
      </w:r>
      <w:r>
        <w:rPr>
          <w:spacing w:val="-12"/>
        </w:rPr>
        <w:t> </w:t>
      </w:r>
      <w:r>
        <w:rPr/>
        <w:t>componentes</w:t>
      </w:r>
      <w:r>
        <w:rPr>
          <w:spacing w:val="-12"/>
        </w:rPr>
        <w:t> </w:t>
      </w:r>
      <w:r>
        <w:rPr/>
        <w:t>de</w:t>
      </w:r>
      <w:r>
        <w:rPr>
          <w:spacing w:val="-13"/>
        </w:rPr>
        <w:t> </w:t>
      </w:r>
      <w:r>
        <w:rPr/>
        <w:t>interiores,</w:t>
      </w:r>
      <w:r>
        <w:rPr>
          <w:spacing w:val="-12"/>
        </w:rPr>
        <w:t> </w:t>
      </w:r>
      <w:r>
        <w:rPr/>
        <w:t>partes para motor, sistemas eléctricos, estampados y suspensión. Las empresas de autopartes más importantes de la región son: Bosch, Valeo y</w:t>
      </w:r>
      <w:r>
        <w:rPr>
          <w:spacing w:val="-9"/>
        </w:rPr>
        <w:t> </w:t>
      </w:r>
      <w:r>
        <w:rPr/>
        <w:t>Jatco.</w:t>
      </w:r>
    </w:p>
    <w:p>
      <w:pPr>
        <w:pStyle w:val="BodyText"/>
        <w:spacing w:before="2"/>
        <w:rPr>
          <w:sz w:val="21"/>
        </w:rPr>
      </w:pPr>
    </w:p>
    <w:p>
      <w:pPr>
        <w:pStyle w:val="BodyText"/>
        <w:spacing w:line="360" w:lineRule="auto"/>
        <w:ind w:left="102" w:right="114"/>
        <w:jc w:val="both"/>
      </w:pPr>
      <w:r>
        <w:rPr>
          <w:b/>
        </w:rPr>
        <w:t>Región Centro-Bajío: </w:t>
      </w:r>
      <w:r>
        <w:rPr/>
        <w:t>Se compone por 142 plantas distribuidas en Jalisco, Guanajuato, Querétaro, Aguascalientes y San Luis Potosí. La producción en esta región se enfoca en estampados,</w:t>
      </w:r>
      <w:r>
        <w:rPr>
          <w:spacing w:val="-16"/>
        </w:rPr>
        <w:t> </w:t>
      </w:r>
      <w:r>
        <w:rPr/>
        <w:t>componentes</w:t>
      </w:r>
      <w:r>
        <w:rPr>
          <w:spacing w:val="-16"/>
        </w:rPr>
        <w:t> </w:t>
      </w:r>
      <w:r>
        <w:rPr/>
        <w:t>eléctricos,</w:t>
      </w:r>
      <w:r>
        <w:rPr>
          <w:spacing w:val="-16"/>
        </w:rPr>
        <w:t> </w:t>
      </w:r>
      <w:r>
        <w:rPr/>
        <w:t>frenos</w:t>
      </w:r>
      <w:r>
        <w:rPr>
          <w:spacing w:val="-11"/>
        </w:rPr>
        <w:t> </w:t>
      </w:r>
      <w:r>
        <w:rPr/>
        <w:t>y</w:t>
      </w:r>
      <w:r>
        <w:rPr>
          <w:spacing w:val="-21"/>
        </w:rPr>
        <w:t> </w:t>
      </w:r>
      <w:r>
        <w:rPr/>
        <w:t>sus</w:t>
      </w:r>
      <w:r>
        <w:rPr>
          <w:spacing w:val="-15"/>
        </w:rPr>
        <w:t> </w:t>
      </w:r>
      <w:r>
        <w:rPr/>
        <w:t>partes,</w:t>
      </w:r>
      <w:r>
        <w:rPr>
          <w:spacing w:val="-16"/>
        </w:rPr>
        <w:t> </w:t>
      </w:r>
      <w:r>
        <w:rPr/>
        <w:t>productos</w:t>
      </w:r>
      <w:r>
        <w:rPr>
          <w:spacing w:val="-15"/>
        </w:rPr>
        <w:t> </w:t>
      </w:r>
      <w:r>
        <w:rPr/>
        <w:t>de</w:t>
      </w:r>
      <w:r>
        <w:rPr>
          <w:spacing w:val="-17"/>
        </w:rPr>
        <w:t> </w:t>
      </w:r>
      <w:r>
        <w:rPr/>
        <w:t>hule,</w:t>
      </w:r>
      <w:r>
        <w:rPr>
          <w:spacing w:val="-14"/>
        </w:rPr>
        <w:t> </w:t>
      </w:r>
      <w:r>
        <w:rPr/>
        <w:t>partes</w:t>
      </w:r>
      <w:r>
        <w:rPr>
          <w:spacing w:val="-16"/>
        </w:rPr>
        <w:t> </w:t>
      </w:r>
      <w:r>
        <w:rPr/>
        <w:t>para</w:t>
      </w:r>
      <w:r>
        <w:rPr>
          <w:spacing w:val="-17"/>
        </w:rPr>
        <w:t> </w:t>
      </w:r>
      <w:r>
        <w:rPr/>
        <w:t>motor y transmisión para automóviles. Algunas empresas establecidas en la región son: Takata, Continental y</w:t>
      </w:r>
      <w:r>
        <w:rPr>
          <w:spacing w:val="-5"/>
        </w:rPr>
        <w:t> </w:t>
      </w:r>
      <w:r>
        <w:rPr/>
        <w:t>Cummins.</w:t>
      </w:r>
    </w:p>
    <w:p>
      <w:pPr>
        <w:pStyle w:val="BodyText"/>
        <w:spacing w:before="10"/>
        <w:rPr>
          <w:sz w:val="21"/>
        </w:rPr>
      </w:pPr>
    </w:p>
    <w:p>
      <w:pPr>
        <w:pStyle w:val="Heading1"/>
        <w:ind w:left="102"/>
        <w:jc w:val="both"/>
      </w:pPr>
      <w:bookmarkStart w:name="_TOC_250015" w:id="20"/>
      <w:bookmarkEnd w:id="20"/>
      <w:r>
        <w:rPr/>
        <w:t>3.5. Importancia de la industria automotriz en México</w:t>
      </w:r>
    </w:p>
    <w:p>
      <w:pPr>
        <w:pStyle w:val="BodyText"/>
        <w:spacing w:before="4"/>
        <w:rPr>
          <w:b/>
          <w:sz w:val="32"/>
        </w:rPr>
      </w:pPr>
    </w:p>
    <w:p>
      <w:pPr>
        <w:pStyle w:val="BodyText"/>
        <w:spacing w:line="360" w:lineRule="auto"/>
        <w:ind w:left="102" w:right="120"/>
        <w:jc w:val="both"/>
      </w:pPr>
      <w:r>
        <w:rPr/>
        <w:t>En México y otras naciones manufactureras, la industria automotriz es considerada un pilar estratégico económico en virtud de los diferentes beneficios que trae consigo la generación de</w:t>
      </w:r>
      <w:r>
        <w:rPr>
          <w:spacing w:val="-15"/>
        </w:rPr>
        <w:t> </w:t>
      </w:r>
      <w:r>
        <w:rPr/>
        <w:t>empleos</w:t>
      </w:r>
      <w:r>
        <w:rPr>
          <w:spacing w:val="-12"/>
        </w:rPr>
        <w:t> </w:t>
      </w:r>
      <w:r>
        <w:rPr/>
        <w:t>a</w:t>
      </w:r>
      <w:r>
        <w:rPr>
          <w:spacing w:val="-15"/>
        </w:rPr>
        <w:t> </w:t>
      </w:r>
      <w:r>
        <w:rPr/>
        <w:t>gran</w:t>
      </w:r>
      <w:r>
        <w:rPr>
          <w:spacing w:val="-12"/>
        </w:rPr>
        <w:t> </w:t>
      </w:r>
      <w:r>
        <w:rPr/>
        <w:t>escala,</w:t>
      </w:r>
      <w:r>
        <w:rPr>
          <w:spacing w:val="-13"/>
        </w:rPr>
        <w:t> </w:t>
      </w:r>
      <w:r>
        <w:rPr/>
        <w:t>las</w:t>
      </w:r>
      <w:r>
        <w:rPr>
          <w:spacing w:val="-15"/>
        </w:rPr>
        <w:t> </w:t>
      </w:r>
      <w:r>
        <w:rPr/>
        <w:t>recaudaciones</w:t>
      </w:r>
      <w:r>
        <w:rPr>
          <w:spacing w:val="-13"/>
        </w:rPr>
        <w:t> </w:t>
      </w:r>
      <w:r>
        <w:rPr/>
        <w:t>fiscales</w:t>
      </w:r>
      <w:r>
        <w:rPr>
          <w:spacing w:val="-13"/>
        </w:rPr>
        <w:t> </w:t>
      </w:r>
      <w:r>
        <w:rPr/>
        <w:t>derivadas</w:t>
      </w:r>
      <w:r>
        <w:rPr>
          <w:spacing w:val="-12"/>
        </w:rPr>
        <w:t> </w:t>
      </w:r>
      <w:r>
        <w:rPr/>
        <w:t>de</w:t>
      </w:r>
      <w:r>
        <w:rPr>
          <w:spacing w:val="-15"/>
        </w:rPr>
        <w:t> </w:t>
      </w:r>
      <w:r>
        <w:rPr/>
        <w:t>las</w:t>
      </w:r>
      <w:r>
        <w:rPr>
          <w:spacing w:val="-13"/>
        </w:rPr>
        <w:t> </w:t>
      </w:r>
      <w:r>
        <w:rPr/>
        <w:t>operaciones</w:t>
      </w:r>
      <w:r>
        <w:rPr>
          <w:spacing w:val="-14"/>
        </w:rPr>
        <w:t> </w:t>
      </w:r>
      <w:r>
        <w:rPr/>
        <w:t>comerciales de la industria, la capacitación del personal, el desarrollo de proveedores locales y la modernización tecnológica relacionada (Vicencio,</w:t>
      </w:r>
      <w:r>
        <w:rPr>
          <w:spacing w:val="-12"/>
        </w:rPr>
        <w:t> </w:t>
      </w:r>
      <w:r>
        <w:rPr/>
        <w:t>2007).</w:t>
      </w:r>
    </w:p>
    <w:p>
      <w:pPr>
        <w:pStyle w:val="BodyText"/>
        <w:spacing w:before="5"/>
        <w:rPr>
          <w:sz w:val="21"/>
        </w:rPr>
      </w:pPr>
    </w:p>
    <w:p>
      <w:pPr>
        <w:pStyle w:val="BodyText"/>
        <w:spacing w:line="360" w:lineRule="auto"/>
        <w:ind w:left="102" w:right="112"/>
        <w:jc w:val="both"/>
      </w:pPr>
      <w:r>
        <w:rPr/>
        <w:t>En este sentido, para el año 2013 la industria automotriz aportó al PIB nacional y manufacturero el 2.1 y el 15.0 %, respectivamente. Actualmente dicha industria genera 674 mil 908 empleos, siendo la industria de autopartes la mayor empleadora del sector (INEGI, 2014).</w:t>
      </w:r>
    </w:p>
    <w:p>
      <w:pPr>
        <w:pStyle w:val="BodyText"/>
        <w:spacing w:before="4"/>
        <w:rPr>
          <w:sz w:val="21"/>
        </w:rPr>
      </w:pPr>
    </w:p>
    <w:p>
      <w:pPr>
        <w:pStyle w:val="BodyText"/>
        <w:spacing w:line="360" w:lineRule="auto" w:before="1"/>
        <w:ind w:left="102" w:right="118"/>
        <w:jc w:val="both"/>
      </w:pPr>
      <w:r>
        <w:rPr/>
        <w:t>Asimismo, el aumento en la capacidad de producción y de las exportaciones en el sector ha estado apoyado por un flujo continuo de la inversión extranjera directa (IED), proveniente principalmente de Estados Unidos, y en los últimos años también de Japón y Alemania. En México, los sectores automotriz y de autopartes representaron en 2013, el 9.4% del total de IED. La industria automotriz terminal atrajo 1,932.1 millones de dólares durante 2013,</w:t>
      </w:r>
    </w:p>
    <w:p>
      <w:pPr>
        <w:spacing w:after="0" w:line="360" w:lineRule="auto"/>
        <w:jc w:val="both"/>
        <w:sectPr>
          <w:pgSz w:w="12240" w:h="15840"/>
          <w:pgMar w:header="0" w:footer="1035" w:top="1360" w:bottom="1220" w:left="1600" w:right="1580"/>
        </w:sectPr>
      </w:pPr>
    </w:p>
    <w:p>
      <w:pPr>
        <w:pStyle w:val="BodyText"/>
        <w:spacing w:line="360" w:lineRule="auto" w:before="50"/>
        <w:ind w:left="102" w:right="121"/>
        <w:jc w:val="both"/>
      </w:pPr>
      <w:r>
        <w:rPr/>
        <w:t>asimismo la IED acumulada por el sector automotriz terminal y de autopartes durante el período 2006-2013 fue de 19,175 millones de dólares, lo que representa el 9.5% de la IED recibida por México durante dicho período (Secretaria de Economía, 2013).</w:t>
      </w:r>
    </w:p>
    <w:p>
      <w:pPr>
        <w:pStyle w:val="BodyText"/>
        <w:spacing w:before="4"/>
        <w:rPr>
          <w:sz w:val="21"/>
        </w:rPr>
      </w:pPr>
    </w:p>
    <w:p>
      <w:pPr>
        <w:pStyle w:val="BodyText"/>
        <w:spacing w:line="360" w:lineRule="auto" w:before="1"/>
        <w:ind w:left="102" w:right="116"/>
        <w:jc w:val="both"/>
      </w:pPr>
      <w:r>
        <w:rPr/>
        <w:t>En 2013, las exportaciones del sector automotriz representaron 1.8 veces las exportaciones de petróleo crudo, debido principalmente al crecimiento del 20.2% de la rama automotriz frente</w:t>
      </w:r>
      <w:r>
        <w:rPr>
          <w:spacing w:val="-5"/>
        </w:rPr>
        <w:t> </w:t>
      </w:r>
      <w:r>
        <w:rPr/>
        <w:t>al</w:t>
      </w:r>
      <w:r>
        <w:rPr>
          <w:spacing w:val="-7"/>
        </w:rPr>
        <w:t> </w:t>
      </w:r>
      <w:r>
        <w:rPr/>
        <w:t>descenso</w:t>
      </w:r>
      <w:r>
        <w:rPr>
          <w:spacing w:val="-7"/>
        </w:rPr>
        <w:t> </w:t>
      </w:r>
      <w:r>
        <w:rPr/>
        <w:t>de</w:t>
      </w:r>
      <w:r>
        <w:rPr>
          <w:spacing w:val="-6"/>
        </w:rPr>
        <w:t> </w:t>
      </w:r>
      <w:r>
        <w:rPr/>
        <w:t>las</w:t>
      </w:r>
      <w:r>
        <w:rPr>
          <w:spacing w:val="-5"/>
        </w:rPr>
        <w:t> </w:t>
      </w:r>
      <w:r>
        <w:rPr/>
        <w:t>exportaciones</w:t>
      </w:r>
      <w:r>
        <w:rPr>
          <w:spacing w:val="-5"/>
        </w:rPr>
        <w:t> </w:t>
      </w:r>
      <w:r>
        <w:rPr/>
        <w:t>de</w:t>
      </w:r>
      <w:r>
        <w:rPr>
          <w:spacing w:val="-7"/>
        </w:rPr>
        <w:t> </w:t>
      </w:r>
      <w:r>
        <w:rPr/>
        <w:t>petróleo</w:t>
      </w:r>
      <w:r>
        <w:rPr>
          <w:spacing w:val="-7"/>
        </w:rPr>
        <w:t> </w:t>
      </w:r>
      <w:r>
        <w:rPr/>
        <w:t>crudo</w:t>
      </w:r>
      <w:r>
        <w:rPr>
          <w:spacing w:val="-7"/>
        </w:rPr>
        <w:t> </w:t>
      </w:r>
      <w:r>
        <w:rPr/>
        <w:t>en</w:t>
      </w:r>
      <w:r>
        <w:rPr>
          <w:spacing w:val="-5"/>
        </w:rPr>
        <w:t> </w:t>
      </w:r>
      <w:r>
        <w:rPr/>
        <w:t>8.5%</w:t>
      </w:r>
      <w:r>
        <w:rPr>
          <w:spacing w:val="-6"/>
        </w:rPr>
        <w:t> </w:t>
      </w:r>
      <w:r>
        <w:rPr/>
        <w:t>en</w:t>
      </w:r>
      <w:r>
        <w:rPr>
          <w:spacing w:val="-7"/>
        </w:rPr>
        <w:t> </w:t>
      </w:r>
      <w:r>
        <w:rPr/>
        <w:t>2013</w:t>
      </w:r>
      <w:r>
        <w:rPr>
          <w:spacing w:val="-5"/>
        </w:rPr>
        <w:t> </w:t>
      </w:r>
      <w:r>
        <w:rPr/>
        <w:t>comparado</w:t>
      </w:r>
      <w:r>
        <w:rPr>
          <w:spacing w:val="-5"/>
        </w:rPr>
        <w:t> </w:t>
      </w:r>
      <w:r>
        <w:rPr/>
        <w:t>con</w:t>
      </w:r>
      <w:r>
        <w:rPr>
          <w:spacing w:val="-7"/>
        </w:rPr>
        <w:t> </w:t>
      </w:r>
      <w:r>
        <w:rPr/>
        <w:t>el año previo. La exportación del sector en 2013 representó el 22.5% de las exportaciones manufactureras de nuestro país, superando el 20.9% de participación que se tuvo en 2012. Mientras que de las exportaciones totales el sector automotriz aportó el 18.6%. Durante los últimos</w:t>
      </w:r>
      <w:r>
        <w:rPr>
          <w:spacing w:val="-6"/>
        </w:rPr>
        <w:t> </w:t>
      </w:r>
      <w:r>
        <w:rPr/>
        <w:t>21</w:t>
      </w:r>
      <w:r>
        <w:rPr>
          <w:spacing w:val="-6"/>
        </w:rPr>
        <w:t> </w:t>
      </w:r>
      <w:r>
        <w:rPr/>
        <w:t>años,</w:t>
      </w:r>
      <w:r>
        <w:rPr>
          <w:spacing w:val="-6"/>
        </w:rPr>
        <w:t> </w:t>
      </w:r>
      <w:r>
        <w:rPr/>
        <w:t>la</w:t>
      </w:r>
      <w:r>
        <w:rPr>
          <w:spacing w:val="-7"/>
        </w:rPr>
        <w:t> </w:t>
      </w:r>
      <w:r>
        <w:rPr/>
        <w:t>industria</w:t>
      </w:r>
      <w:r>
        <w:rPr>
          <w:spacing w:val="-7"/>
        </w:rPr>
        <w:t> </w:t>
      </w:r>
      <w:r>
        <w:rPr/>
        <w:t>ha</w:t>
      </w:r>
      <w:r>
        <w:rPr>
          <w:spacing w:val="-7"/>
        </w:rPr>
        <w:t> </w:t>
      </w:r>
      <w:r>
        <w:rPr/>
        <w:t>acrecentado</w:t>
      </w:r>
      <w:r>
        <w:rPr>
          <w:spacing w:val="-7"/>
        </w:rPr>
        <w:t> </w:t>
      </w:r>
      <w:r>
        <w:rPr/>
        <w:t>su</w:t>
      </w:r>
      <w:r>
        <w:rPr>
          <w:spacing w:val="-6"/>
        </w:rPr>
        <w:t> </w:t>
      </w:r>
      <w:r>
        <w:rPr/>
        <w:t>saldo</w:t>
      </w:r>
      <w:r>
        <w:rPr>
          <w:spacing w:val="-6"/>
        </w:rPr>
        <w:t> </w:t>
      </w:r>
      <w:r>
        <w:rPr/>
        <w:t>en</w:t>
      </w:r>
      <w:r>
        <w:rPr>
          <w:spacing w:val="-6"/>
        </w:rPr>
        <w:t> </w:t>
      </w:r>
      <w:r>
        <w:rPr/>
        <w:t>620%,</w:t>
      </w:r>
      <w:r>
        <w:rPr>
          <w:spacing w:val="-6"/>
        </w:rPr>
        <w:t> </w:t>
      </w:r>
      <w:r>
        <w:rPr/>
        <w:t>reafirmándose</w:t>
      </w:r>
      <w:r>
        <w:rPr>
          <w:spacing w:val="-7"/>
        </w:rPr>
        <w:t> </w:t>
      </w:r>
      <w:r>
        <w:rPr/>
        <w:t>como</w:t>
      </w:r>
      <w:r>
        <w:rPr>
          <w:spacing w:val="-6"/>
        </w:rPr>
        <w:t> </w:t>
      </w:r>
      <w:r>
        <w:rPr/>
        <w:t>el</w:t>
      </w:r>
      <w:r>
        <w:rPr>
          <w:spacing w:val="-6"/>
        </w:rPr>
        <w:t> </w:t>
      </w:r>
      <w:r>
        <w:rPr/>
        <w:t>sector más importante y dinámico del país (AMIA,</w:t>
      </w:r>
      <w:r>
        <w:rPr>
          <w:spacing w:val="-8"/>
        </w:rPr>
        <w:t> </w:t>
      </w:r>
      <w:r>
        <w:rPr/>
        <w:t>2013).</w:t>
      </w:r>
    </w:p>
    <w:p>
      <w:pPr>
        <w:pStyle w:val="BodyText"/>
        <w:spacing w:before="4"/>
        <w:rPr>
          <w:sz w:val="21"/>
        </w:rPr>
      </w:pPr>
    </w:p>
    <w:p>
      <w:pPr>
        <w:pStyle w:val="BodyText"/>
        <w:spacing w:line="360" w:lineRule="auto" w:before="1"/>
        <w:ind w:left="102" w:right="117"/>
        <w:jc w:val="both"/>
      </w:pPr>
      <w:r>
        <w:rPr/>
        <w:t>Actualmente, México se ubica entre los diez principales productores de automóviles, camiones, partes y componentes del mundo, ocupando el séptimo lugar a nivel mundial y es el primer productor en América Latina. Esta industria tendrá importantes crecimientos en años próximos, se estima que México producirá más de 3 millones de vehículos al final de 2015,</w:t>
      </w:r>
      <w:r>
        <w:rPr>
          <w:spacing w:val="-11"/>
        </w:rPr>
        <w:t> </w:t>
      </w:r>
      <w:r>
        <w:rPr/>
        <w:t>el</w:t>
      </w:r>
      <w:r>
        <w:rPr>
          <w:spacing w:val="-11"/>
        </w:rPr>
        <w:t> </w:t>
      </w:r>
      <w:r>
        <w:rPr/>
        <w:t>doble</w:t>
      </w:r>
      <w:r>
        <w:rPr>
          <w:spacing w:val="-11"/>
        </w:rPr>
        <w:t> </w:t>
      </w:r>
      <w:r>
        <w:rPr/>
        <w:t>de</w:t>
      </w:r>
      <w:r>
        <w:rPr>
          <w:spacing w:val="-10"/>
        </w:rPr>
        <w:t> </w:t>
      </w:r>
      <w:r>
        <w:rPr/>
        <w:t>las</w:t>
      </w:r>
      <w:r>
        <w:rPr>
          <w:spacing w:val="-11"/>
        </w:rPr>
        <w:t> </w:t>
      </w:r>
      <w:r>
        <w:rPr/>
        <w:t>unidades</w:t>
      </w:r>
      <w:r>
        <w:rPr>
          <w:spacing w:val="-11"/>
        </w:rPr>
        <w:t> </w:t>
      </w:r>
      <w:r>
        <w:rPr/>
        <w:t>producidas</w:t>
      </w:r>
      <w:r>
        <w:rPr>
          <w:spacing w:val="-11"/>
        </w:rPr>
        <w:t> </w:t>
      </w:r>
      <w:r>
        <w:rPr/>
        <w:t>en</w:t>
      </w:r>
      <w:r>
        <w:rPr>
          <w:spacing w:val="-9"/>
        </w:rPr>
        <w:t> </w:t>
      </w:r>
      <w:r>
        <w:rPr/>
        <w:t>2009</w:t>
      </w:r>
      <w:r>
        <w:rPr>
          <w:spacing w:val="-9"/>
        </w:rPr>
        <w:t> </w:t>
      </w:r>
      <w:r>
        <w:rPr/>
        <w:t>(1.5</w:t>
      </w:r>
      <w:r>
        <w:rPr>
          <w:spacing w:val="-12"/>
        </w:rPr>
        <w:t> </w:t>
      </w:r>
      <w:r>
        <w:rPr/>
        <w:t>millones</w:t>
      </w:r>
      <w:r>
        <w:rPr>
          <w:spacing w:val="-11"/>
        </w:rPr>
        <w:t> </w:t>
      </w:r>
      <w:r>
        <w:rPr/>
        <w:t>de</w:t>
      </w:r>
      <w:r>
        <w:rPr>
          <w:spacing w:val="-12"/>
        </w:rPr>
        <w:t> </w:t>
      </w:r>
      <w:r>
        <w:rPr/>
        <w:t>vehículos)</w:t>
      </w:r>
      <w:r>
        <w:rPr>
          <w:spacing w:val="-12"/>
        </w:rPr>
        <w:t> </w:t>
      </w:r>
      <w:r>
        <w:rPr/>
        <w:t>(AMIA</w:t>
      </w:r>
      <w:r>
        <w:rPr>
          <w:spacing w:val="-9"/>
        </w:rPr>
        <w:t> </w:t>
      </w:r>
      <w:r>
        <w:rPr/>
        <w:t>2014).</w:t>
      </w:r>
    </w:p>
    <w:p>
      <w:pPr>
        <w:pStyle w:val="BodyText"/>
        <w:spacing w:before="2"/>
        <w:rPr>
          <w:sz w:val="21"/>
        </w:rPr>
      </w:pPr>
    </w:p>
    <w:p>
      <w:pPr>
        <w:pStyle w:val="BodyText"/>
        <w:spacing w:line="360" w:lineRule="auto"/>
        <w:ind w:left="102" w:right="122"/>
        <w:jc w:val="both"/>
      </w:pPr>
      <w:r>
        <w:rPr/>
        <w:t>Estos números no son más que el resultado del cambio estructural desde el cual ha evolucionado</w:t>
      </w:r>
      <w:r>
        <w:rPr>
          <w:spacing w:val="-9"/>
        </w:rPr>
        <w:t> </w:t>
      </w:r>
      <w:r>
        <w:rPr/>
        <w:t>esta</w:t>
      </w:r>
      <w:r>
        <w:rPr>
          <w:spacing w:val="-9"/>
        </w:rPr>
        <w:t> </w:t>
      </w:r>
      <w:r>
        <w:rPr/>
        <w:t>industria</w:t>
      </w:r>
      <w:r>
        <w:rPr>
          <w:spacing w:val="-7"/>
        </w:rPr>
        <w:t> </w:t>
      </w:r>
      <w:r>
        <w:rPr/>
        <w:t>y</w:t>
      </w:r>
      <w:r>
        <w:rPr>
          <w:spacing w:val="-13"/>
        </w:rPr>
        <w:t> </w:t>
      </w:r>
      <w:r>
        <w:rPr/>
        <w:t>que</w:t>
      </w:r>
      <w:r>
        <w:rPr>
          <w:spacing w:val="-10"/>
        </w:rPr>
        <w:t> </w:t>
      </w:r>
      <w:r>
        <w:rPr/>
        <w:t>hoy</w:t>
      </w:r>
      <w:r>
        <w:rPr>
          <w:spacing w:val="-11"/>
        </w:rPr>
        <w:t> </w:t>
      </w:r>
      <w:r>
        <w:rPr/>
        <w:t>en</w:t>
      </w:r>
      <w:r>
        <w:rPr>
          <w:spacing w:val="-9"/>
        </w:rPr>
        <w:t> </w:t>
      </w:r>
      <w:r>
        <w:rPr/>
        <w:t>día</w:t>
      </w:r>
      <w:r>
        <w:rPr>
          <w:spacing w:val="-9"/>
        </w:rPr>
        <w:t> </w:t>
      </w:r>
      <w:r>
        <w:rPr/>
        <w:t>la</w:t>
      </w:r>
      <w:r>
        <w:rPr>
          <w:spacing w:val="-9"/>
        </w:rPr>
        <w:t> </w:t>
      </w:r>
      <w:r>
        <w:rPr/>
        <w:t>hacen</w:t>
      </w:r>
      <w:r>
        <w:rPr>
          <w:spacing w:val="-9"/>
        </w:rPr>
        <w:t> </w:t>
      </w:r>
      <w:r>
        <w:rPr/>
        <w:t>ser</w:t>
      </w:r>
      <w:r>
        <w:rPr>
          <w:spacing w:val="-9"/>
        </w:rPr>
        <w:t> </w:t>
      </w:r>
      <w:r>
        <w:rPr/>
        <w:t>un</w:t>
      </w:r>
      <w:r>
        <w:rPr>
          <w:spacing w:val="-9"/>
        </w:rPr>
        <w:t> </w:t>
      </w:r>
      <w:r>
        <w:rPr/>
        <w:t>sector</w:t>
      </w:r>
      <w:r>
        <w:rPr>
          <w:spacing w:val="-7"/>
        </w:rPr>
        <w:t> </w:t>
      </w:r>
      <w:r>
        <w:rPr/>
        <w:t>exportador</w:t>
      </w:r>
      <w:r>
        <w:rPr>
          <w:spacing w:val="-9"/>
        </w:rPr>
        <w:t> </w:t>
      </w:r>
      <w:r>
        <w:rPr/>
        <w:t>por</w:t>
      </w:r>
      <w:r>
        <w:rPr>
          <w:spacing w:val="-9"/>
        </w:rPr>
        <w:t> </w:t>
      </w:r>
      <w:r>
        <w:rPr/>
        <w:t>excelencia al ser de las áreas más beneficiadas con la firma del</w:t>
      </w:r>
      <w:r>
        <w:rPr>
          <w:spacing w:val="-8"/>
        </w:rPr>
        <w:t> </w:t>
      </w:r>
      <w:r>
        <w:rPr/>
        <w:t>TLCAN.</w:t>
      </w:r>
    </w:p>
    <w:p>
      <w:pPr>
        <w:pStyle w:val="BodyText"/>
        <w:spacing w:before="5"/>
        <w:rPr>
          <w:sz w:val="21"/>
        </w:rPr>
      </w:pPr>
    </w:p>
    <w:p>
      <w:pPr>
        <w:pStyle w:val="BodyText"/>
        <w:spacing w:line="360" w:lineRule="auto"/>
        <w:ind w:left="102" w:right="117"/>
        <w:jc w:val="both"/>
      </w:pPr>
      <w:r>
        <w:rPr/>
        <w:t>Con relación al futuro inmediato, el aspecto más importante de la macroeconomía para el sector automotriz es el esperado crecimiento de la demanda interna con el fin de seguir el modelo de los mercados canadiense y estadounidense, cuya estructura automotriz y parque vehicular son considerables; por ello una parte relevante de la estrategia global para los próximos</w:t>
      </w:r>
      <w:r>
        <w:rPr>
          <w:spacing w:val="-3"/>
        </w:rPr>
        <w:t> </w:t>
      </w:r>
      <w:r>
        <w:rPr/>
        <w:t>años</w:t>
      </w:r>
      <w:r>
        <w:rPr>
          <w:spacing w:val="-4"/>
        </w:rPr>
        <w:t> </w:t>
      </w:r>
      <w:r>
        <w:rPr/>
        <w:t>debe</w:t>
      </w:r>
      <w:r>
        <w:rPr>
          <w:spacing w:val="-5"/>
        </w:rPr>
        <w:t> </w:t>
      </w:r>
      <w:r>
        <w:rPr/>
        <w:t>ser</w:t>
      </w:r>
      <w:r>
        <w:rPr>
          <w:spacing w:val="-5"/>
        </w:rPr>
        <w:t> </w:t>
      </w:r>
      <w:r>
        <w:rPr/>
        <w:t>incentivar</w:t>
      </w:r>
      <w:r>
        <w:rPr>
          <w:spacing w:val="-5"/>
        </w:rPr>
        <w:t> </w:t>
      </w:r>
      <w:r>
        <w:rPr/>
        <w:t>el</w:t>
      </w:r>
      <w:r>
        <w:rPr>
          <w:spacing w:val="-3"/>
        </w:rPr>
        <w:t> </w:t>
      </w:r>
      <w:r>
        <w:rPr/>
        <w:t>consumo</w:t>
      </w:r>
      <w:r>
        <w:rPr>
          <w:spacing w:val="-4"/>
        </w:rPr>
        <w:t> </w:t>
      </w:r>
      <w:r>
        <w:rPr/>
        <w:t>doméstico,</w:t>
      </w:r>
      <w:r>
        <w:rPr>
          <w:spacing w:val="-4"/>
        </w:rPr>
        <w:t> </w:t>
      </w:r>
      <w:r>
        <w:rPr/>
        <w:t>contraído</w:t>
      </w:r>
      <w:r>
        <w:rPr>
          <w:spacing w:val="-3"/>
        </w:rPr>
        <w:t> </w:t>
      </w:r>
      <w:r>
        <w:rPr/>
        <w:t>durante</w:t>
      </w:r>
      <w:r>
        <w:rPr>
          <w:spacing w:val="-5"/>
        </w:rPr>
        <w:t> </w:t>
      </w:r>
      <w:r>
        <w:rPr/>
        <w:t>la</w:t>
      </w:r>
      <w:r>
        <w:rPr>
          <w:spacing w:val="-4"/>
        </w:rPr>
        <w:t> </w:t>
      </w:r>
      <w:r>
        <w:rPr/>
        <w:t>década</w:t>
      </w:r>
      <w:r>
        <w:rPr>
          <w:spacing w:val="-5"/>
        </w:rPr>
        <w:t> </w:t>
      </w:r>
      <w:r>
        <w:rPr/>
        <w:t>de</w:t>
      </w:r>
      <w:r>
        <w:rPr>
          <w:spacing w:val="-5"/>
        </w:rPr>
        <w:t> </w:t>
      </w:r>
      <w:r>
        <w:rPr/>
        <w:t>los ochenta y noventa principalmente por las crisis económicas recurrentes (Vicencio,</w:t>
      </w:r>
      <w:r>
        <w:rPr>
          <w:spacing w:val="-12"/>
        </w:rPr>
        <w:t> </w:t>
      </w:r>
      <w:r>
        <w:rPr/>
        <w:t>2007).</w:t>
      </w:r>
    </w:p>
    <w:p>
      <w:pPr>
        <w:pStyle w:val="BodyText"/>
        <w:spacing w:before="5"/>
        <w:rPr>
          <w:sz w:val="21"/>
        </w:rPr>
      </w:pPr>
    </w:p>
    <w:p>
      <w:pPr>
        <w:pStyle w:val="BodyText"/>
        <w:spacing w:line="360" w:lineRule="auto"/>
        <w:ind w:left="102" w:right="119"/>
        <w:jc w:val="both"/>
      </w:pPr>
      <w:r>
        <w:rPr/>
        <w:t>Para</w:t>
      </w:r>
      <w:r>
        <w:rPr>
          <w:spacing w:val="-15"/>
        </w:rPr>
        <w:t> </w:t>
      </w:r>
      <w:r>
        <w:rPr/>
        <w:t>presentar</w:t>
      </w:r>
      <w:r>
        <w:rPr>
          <w:spacing w:val="-12"/>
        </w:rPr>
        <w:t> </w:t>
      </w:r>
      <w:r>
        <w:rPr/>
        <w:t>evidencia</w:t>
      </w:r>
      <w:r>
        <w:rPr>
          <w:spacing w:val="-12"/>
        </w:rPr>
        <w:t> </w:t>
      </w:r>
      <w:r>
        <w:rPr/>
        <w:t>acerca</w:t>
      </w:r>
      <w:r>
        <w:rPr>
          <w:spacing w:val="-14"/>
        </w:rPr>
        <w:t> </w:t>
      </w:r>
      <w:r>
        <w:rPr/>
        <w:t>de</w:t>
      </w:r>
      <w:r>
        <w:rPr>
          <w:spacing w:val="-14"/>
        </w:rPr>
        <w:t> </w:t>
      </w:r>
      <w:r>
        <w:rPr/>
        <w:t>la</w:t>
      </w:r>
      <w:r>
        <w:rPr>
          <w:spacing w:val="-14"/>
        </w:rPr>
        <w:t> </w:t>
      </w:r>
      <w:r>
        <w:rPr/>
        <w:t>importancia</w:t>
      </w:r>
      <w:r>
        <w:rPr>
          <w:spacing w:val="-12"/>
        </w:rPr>
        <w:t> </w:t>
      </w:r>
      <w:r>
        <w:rPr/>
        <w:t>que</w:t>
      </w:r>
      <w:r>
        <w:rPr>
          <w:spacing w:val="-14"/>
        </w:rPr>
        <w:t> </w:t>
      </w:r>
      <w:r>
        <w:rPr/>
        <w:t>tiene</w:t>
      </w:r>
      <w:r>
        <w:rPr>
          <w:spacing w:val="-14"/>
        </w:rPr>
        <w:t> </w:t>
      </w:r>
      <w:r>
        <w:rPr/>
        <w:t>la</w:t>
      </w:r>
      <w:r>
        <w:rPr>
          <w:spacing w:val="-14"/>
        </w:rPr>
        <w:t> </w:t>
      </w:r>
      <w:r>
        <w:rPr/>
        <w:t>industria</w:t>
      </w:r>
      <w:r>
        <w:rPr>
          <w:spacing w:val="-12"/>
        </w:rPr>
        <w:t> </w:t>
      </w:r>
      <w:r>
        <w:rPr/>
        <w:t>automotriz</w:t>
      </w:r>
      <w:r>
        <w:rPr>
          <w:spacing w:val="-12"/>
        </w:rPr>
        <w:t> </w:t>
      </w:r>
      <w:r>
        <w:rPr/>
        <w:t>en</w:t>
      </w:r>
      <w:r>
        <w:rPr>
          <w:spacing w:val="-13"/>
        </w:rPr>
        <w:t> </w:t>
      </w:r>
      <w:r>
        <w:rPr/>
        <w:t>México a continuación se presentan algunos indicadores sobresalientes de dicha industria en</w:t>
      </w:r>
      <w:r>
        <w:rPr>
          <w:spacing w:val="37"/>
        </w:rPr>
        <w:t> </w:t>
      </w:r>
      <w:r>
        <w:rPr/>
        <w:t>cuanto</w:t>
      </w:r>
    </w:p>
    <w:p>
      <w:pPr>
        <w:spacing w:after="0" w:line="360" w:lineRule="auto"/>
        <w:jc w:val="both"/>
        <w:sectPr>
          <w:pgSz w:w="12240" w:h="15840"/>
          <w:pgMar w:header="0" w:footer="1035" w:top="1360" w:bottom="1220" w:left="1600" w:right="1580"/>
        </w:sectPr>
      </w:pPr>
    </w:p>
    <w:p>
      <w:pPr>
        <w:pStyle w:val="BodyText"/>
        <w:spacing w:line="360" w:lineRule="auto" w:before="50"/>
        <w:ind w:left="102" w:right="113"/>
        <w:jc w:val="both"/>
      </w:pPr>
      <w:r>
        <w:rPr/>
        <w:t>a variables como: empleo, valor agregado censal bruto, producción bruta total y remuneraciones totales.</w:t>
      </w:r>
    </w:p>
    <w:p>
      <w:pPr>
        <w:pStyle w:val="BodyText"/>
        <w:spacing w:before="7"/>
        <w:rPr>
          <w:sz w:val="21"/>
        </w:rPr>
      </w:pPr>
    </w:p>
    <w:p>
      <w:pPr>
        <w:pStyle w:val="Heading1"/>
        <w:ind w:left="102"/>
        <w:jc w:val="both"/>
      </w:pPr>
      <w:r>
        <w:rPr/>
        <w:t>3.5.1. Dinámica de la industria automotriz de México</w:t>
      </w:r>
    </w:p>
    <w:p>
      <w:pPr>
        <w:pStyle w:val="BodyText"/>
        <w:spacing w:before="6"/>
        <w:rPr>
          <w:b/>
          <w:sz w:val="32"/>
        </w:rPr>
      </w:pPr>
    </w:p>
    <w:p>
      <w:pPr>
        <w:pStyle w:val="BodyText"/>
        <w:spacing w:line="360" w:lineRule="auto"/>
        <w:ind w:left="102" w:right="116"/>
        <w:jc w:val="both"/>
      </w:pPr>
      <w:r>
        <w:rPr/>
        <w:t>De</w:t>
      </w:r>
      <w:r>
        <w:rPr>
          <w:spacing w:val="-5"/>
        </w:rPr>
        <w:t> </w:t>
      </w:r>
      <w:r>
        <w:rPr/>
        <w:t>acuerdo</w:t>
      </w:r>
      <w:r>
        <w:rPr>
          <w:spacing w:val="-1"/>
        </w:rPr>
        <w:t> </w:t>
      </w:r>
      <w:r>
        <w:rPr/>
        <w:t>al</w:t>
      </w:r>
      <w:r>
        <w:rPr>
          <w:spacing w:val="-3"/>
        </w:rPr>
        <w:t> </w:t>
      </w:r>
      <w:r>
        <w:rPr/>
        <w:t>Censo</w:t>
      </w:r>
      <w:r>
        <w:rPr>
          <w:spacing w:val="-4"/>
        </w:rPr>
        <w:t> </w:t>
      </w:r>
      <w:r>
        <w:rPr/>
        <w:t>Económico</w:t>
      </w:r>
      <w:r>
        <w:rPr>
          <w:spacing w:val="-4"/>
        </w:rPr>
        <w:t> </w:t>
      </w:r>
      <w:r>
        <w:rPr/>
        <w:t>de</w:t>
      </w:r>
      <w:r>
        <w:rPr>
          <w:spacing w:val="-2"/>
        </w:rPr>
        <w:t> </w:t>
      </w:r>
      <w:r>
        <w:rPr/>
        <w:t>INEGI</w:t>
      </w:r>
      <w:r>
        <w:rPr>
          <w:spacing w:val="-7"/>
        </w:rPr>
        <w:t> </w:t>
      </w:r>
      <w:r>
        <w:rPr/>
        <w:t>(2009),</w:t>
      </w:r>
      <w:r>
        <w:rPr>
          <w:spacing w:val="-4"/>
        </w:rPr>
        <w:t> </w:t>
      </w:r>
      <w:r>
        <w:rPr/>
        <w:t>la</w:t>
      </w:r>
      <w:r>
        <w:rPr>
          <w:spacing w:val="-4"/>
        </w:rPr>
        <w:t> </w:t>
      </w:r>
      <w:r>
        <w:rPr/>
        <w:t>industria</w:t>
      </w:r>
      <w:r>
        <w:rPr>
          <w:spacing w:val="-5"/>
        </w:rPr>
        <w:t> </w:t>
      </w:r>
      <w:r>
        <w:rPr/>
        <w:t>terminal</w:t>
      </w:r>
      <w:r>
        <w:rPr>
          <w:spacing w:val="-3"/>
        </w:rPr>
        <w:t> </w:t>
      </w:r>
      <w:r>
        <w:rPr/>
        <w:t>automotriz</w:t>
      </w:r>
      <w:r>
        <w:rPr>
          <w:spacing w:val="-3"/>
        </w:rPr>
        <w:t> </w:t>
      </w:r>
      <w:r>
        <w:rPr/>
        <w:t>con</w:t>
      </w:r>
      <w:r>
        <w:rPr>
          <w:spacing w:val="-4"/>
        </w:rPr>
        <w:t> </w:t>
      </w:r>
      <w:r>
        <w:rPr/>
        <w:t>solo 35 unidades económicas en el país, empleó a 50,905 trabajadores, con lo que logró una producción</w:t>
      </w:r>
      <w:r>
        <w:rPr>
          <w:spacing w:val="-7"/>
        </w:rPr>
        <w:t> </w:t>
      </w:r>
      <w:r>
        <w:rPr/>
        <w:t>bruta</w:t>
      </w:r>
      <w:r>
        <w:rPr>
          <w:spacing w:val="-8"/>
        </w:rPr>
        <w:t> </w:t>
      </w:r>
      <w:r>
        <w:rPr/>
        <w:t>total</w:t>
      </w:r>
      <w:r>
        <w:rPr>
          <w:spacing w:val="-7"/>
        </w:rPr>
        <w:t> </w:t>
      </w:r>
      <w:r>
        <w:rPr/>
        <w:t>de</w:t>
      </w:r>
      <w:r>
        <w:rPr>
          <w:spacing w:val="-8"/>
        </w:rPr>
        <w:t> </w:t>
      </w:r>
      <w:r>
        <w:rPr/>
        <w:t>396,896.7</w:t>
      </w:r>
      <w:r>
        <w:rPr>
          <w:spacing w:val="-7"/>
        </w:rPr>
        <w:t> </w:t>
      </w:r>
      <w:r>
        <w:rPr/>
        <w:t>millones</w:t>
      </w:r>
      <w:r>
        <w:rPr>
          <w:spacing w:val="-7"/>
        </w:rPr>
        <w:t> </w:t>
      </w:r>
      <w:r>
        <w:rPr/>
        <w:t>de</w:t>
      </w:r>
      <w:r>
        <w:rPr>
          <w:spacing w:val="-8"/>
        </w:rPr>
        <w:t> </w:t>
      </w:r>
      <w:r>
        <w:rPr/>
        <w:t>pesos;</w:t>
      </w:r>
      <w:r>
        <w:rPr>
          <w:spacing w:val="-7"/>
        </w:rPr>
        <w:t> </w:t>
      </w:r>
      <w:r>
        <w:rPr/>
        <w:t>en</w:t>
      </w:r>
      <w:r>
        <w:rPr>
          <w:spacing w:val="-7"/>
        </w:rPr>
        <w:t> </w:t>
      </w:r>
      <w:r>
        <w:rPr/>
        <w:t>tanto</w:t>
      </w:r>
      <w:r>
        <w:rPr>
          <w:spacing w:val="-7"/>
        </w:rPr>
        <w:t> </w:t>
      </w:r>
      <w:r>
        <w:rPr/>
        <w:t>que</w:t>
      </w:r>
      <w:r>
        <w:rPr>
          <w:spacing w:val="-8"/>
        </w:rPr>
        <w:t> </w:t>
      </w:r>
      <w:r>
        <w:rPr/>
        <w:t>su</w:t>
      </w:r>
      <w:r>
        <w:rPr>
          <w:spacing w:val="-9"/>
        </w:rPr>
        <w:t> </w:t>
      </w:r>
      <w:r>
        <w:rPr/>
        <w:t>valor</w:t>
      </w:r>
      <w:r>
        <w:rPr>
          <w:spacing w:val="-8"/>
        </w:rPr>
        <w:t> </w:t>
      </w:r>
      <w:r>
        <w:rPr/>
        <w:t>agregado</w:t>
      </w:r>
      <w:r>
        <w:rPr>
          <w:spacing w:val="-7"/>
        </w:rPr>
        <w:t> </w:t>
      </w:r>
      <w:r>
        <w:rPr/>
        <w:t>censal bruto superó los 82 millones de pesos, las remuneraciones fueron de 12,206.7 millones de pesos y la formación bruta de capital fijo de 4,190.9 millones de</w:t>
      </w:r>
      <w:r>
        <w:rPr>
          <w:spacing w:val="-11"/>
        </w:rPr>
        <w:t> </w:t>
      </w:r>
      <w:r>
        <w:rPr/>
        <w:t>pesos.</w:t>
      </w:r>
    </w:p>
    <w:p>
      <w:pPr>
        <w:pStyle w:val="BodyText"/>
        <w:spacing w:before="2"/>
        <w:rPr>
          <w:sz w:val="21"/>
        </w:rPr>
      </w:pPr>
    </w:p>
    <w:p>
      <w:pPr>
        <w:pStyle w:val="BodyText"/>
        <w:spacing w:line="360" w:lineRule="auto"/>
        <w:ind w:left="102" w:right="120"/>
        <w:jc w:val="both"/>
      </w:pPr>
      <w:r>
        <w:rPr/>
        <w:t>En este sentido, la rama más representativa dentro de la industria terminal fue la fabricación de automóviles y camionetas pues con tan solo el 40% de las unidades económicas empleo al 75.2% del personal ocupado, pagó el 79.8% de las remuneraciones y generó el 82.3% y</w:t>
      </w:r>
      <w:r>
        <w:rPr>
          <w:spacing w:val="-39"/>
        </w:rPr>
        <w:t> </w:t>
      </w:r>
      <w:r>
        <w:rPr/>
        <w:t>el 87.3% de la producción bruta total y valor agregado censal bruto, respectivamente, esto puede observarse en el cuadro 3.2 (INEGI;</w:t>
      </w:r>
      <w:r>
        <w:rPr>
          <w:spacing w:val="-11"/>
        </w:rPr>
        <w:t> </w:t>
      </w:r>
      <w:r>
        <w:rPr/>
        <w:t>2009).</w:t>
      </w:r>
    </w:p>
    <w:p>
      <w:pPr>
        <w:pStyle w:val="BodyText"/>
        <w:spacing w:before="9"/>
        <w:rPr>
          <w:sz w:val="21"/>
        </w:rPr>
      </w:pPr>
    </w:p>
    <w:p>
      <w:pPr>
        <w:pStyle w:val="Heading1"/>
        <w:ind w:left="450" w:right="119"/>
      </w:pPr>
      <w:r>
        <w:rPr/>
        <w:t>Cuadro 3.2. Participación porcentual de la industria automotriz terminal, 2008.</w:t>
      </w:r>
    </w:p>
    <w:p>
      <w:pPr>
        <w:pStyle w:val="BodyText"/>
        <w:spacing w:before="11"/>
        <w:rPr>
          <w:b/>
          <w:sz w:val="11"/>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91"/>
        <w:gridCol w:w="1210"/>
        <w:gridCol w:w="986"/>
        <w:gridCol w:w="1515"/>
        <w:gridCol w:w="1189"/>
        <w:gridCol w:w="1118"/>
        <w:gridCol w:w="1220"/>
      </w:tblGrid>
      <w:tr>
        <w:trPr>
          <w:trHeight w:val="838" w:hRule="exact"/>
        </w:trPr>
        <w:tc>
          <w:tcPr>
            <w:tcW w:w="1591" w:type="dxa"/>
            <w:tcBorders>
              <w:right w:val="nil"/>
            </w:tcBorders>
            <w:shd w:val="clear" w:color="auto" w:fill="A6A6A6"/>
          </w:tcPr>
          <w:p>
            <w:pPr/>
          </w:p>
        </w:tc>
        <w:tc>
          <w:tcPr>
            <w:tcW w:w="1210" w:type="dxa"/>
            <w:tcBorders>
              <w:left w:val="nil"/>
              <w:right w:val="nil"/>
            </w:tcBorders>
            <w:shd w:val="clear" w:color="auto" w:fill="A6A6A6"/>
          </w:tcPr>
          <w:p>
            <w:pPr>
              <w:pStyle w:val="TableParagraph"/>
              <w:spacing w:before="1"/>
              <w:jc w:val="left"/>
              <w:rPr>
                <w:b/>
                <w:sz w:val="18"/>
              </w:rPr>
            </w:pPr>
          </w:p>
          <w:p>
            <w:pPr>
              <w:pStyle w:val="TableParagraph"/>
              <w:ind w:left="144" w:right="126" w:firstLine="100"/>
              <w:jc w:val="left"/>
              <w:rPr>
                <w:b/>
                <w:sz w:val="18"/>
              </w:rPr>
            </w:pPr>
            <w:r>
              <w:rPr>
                <w:b/>
                <w:sz w:val="18"/>
              </w:rPr>
              <w:t>Unidades Económicas</w:t>
            </w:r>
          </w:p>
        </w:tc>
        <w:tc>
          <w:tcPr>
            <w:tcW w:w="986" w:type="dxa"/>
            <w:tcBorders>
              <w:left w:val="nil"/>
              <w:right w:val="nil"/>
            </w:tcBorders>
            <w:shd w:val="clear" w:color="auto" w:fill="A6A6A6"/>
          </w:tcPr>
          <w:p>
            <w:pPr>
              <w:pStyle w:val="TableParagraph"/>
              <w:spacing w:before="1"/>
              <w:jc w:val="left"/>
              <w:rPr>
                <w:b/>
                <w:sz w:val="18"/>
              </w:rPr>
            </w:pPr>
          </w:p>
          <w:p>
            <w:pPr>
              <w:pStyle w:val="TableParagraph"/>
              <w:ind w:left="144" w:right="122" w:firstLine="14"/>
              <w:jc w:val="left"/>
              <w:rPr>
                <w:b/>
                <w:sz w:val="18"/>
              </w:rPr>
            </w:pPr>
            <w:r>
              <w:rPr>
                <w:b/>
                <w:sz w:val="18"/>
              </w:rPr>
              <w:t>Personal Ocupado</w:t>
            </w:r>
          </w:p>
        </w:tc>
        <w:tc>
          <w:tcPr>
            <w:tcW w:w="1515" w:type="dxa"/>
            <w:tcBorders>
              <w:left w:val="nil"/>
              <w:right w:val="nil"/>
            </w:tcBorders>
            <w:shd w:val="clear" w:color="auto" w:fill="A6A6A6"/>
          </w:tcPr>
          <w:p>
            <w:pPr>
              <w:pStyle w:val="TableParagraph"/>
              <w:spacing w:before="1"/>
              <w:jc w:val="left"/>
              <w:rPr>
                <w:b/>
                <w:sz w:val="18"/>
              </w:rPr>
            </w:pPr>
          </w:p>
          <w:p>
            <w:pPr>
              <w:pStyle w:val="TableParagraph"/>
              <w:ind w:left="141" w:firstLine="298"/>
              <w:jc w:val="left"/>
              <w:rPr>
                <w:b/>
                <w:sz w:val="18"/>
              </w:rPr>
            </w:pPr>
            <w:r>
              <w:rPr>
                <w:b/>
                <w:sz w:val="18"/>
              </w:rPr>
              <w:t>Total de remuneraciones</w:t>
            </w:r>
          </w:p>
        </w:tc>
        <w:tc>
          <w:tcPr>
            <w:tcW w:w="1189" w:type="dxa"/>
            <w:tcBorders>
              <w:left w:val="nil"/>
              <w:right w:val="nil"/>
            </w:tcBorders>
            <w:shd w:val="clear" w:color="auto" w:fill="A6A6A6"/>
          </w:tcPr>
          <w:p>
            <w:pPr>
              <w:pStyle w:val="TableParagraph"/>
              <w:spacing w:before="1"/>
              <w:jc w:val="left"/>
              <w:rPr>
                <w:b/>
                <w:sz w:val="18"/>
              </w:rPr>
            </w:pPr>
          </w:p>
          <w:p>
            <w:pPr>
              <w:pStyle w:val="TableParagraph"/>
              <w:ind w:left="141" w:firstLine="12"/>
              <w:jc w:val="left"/>
              <w:rPr>
                <w:b/>
                <w:sz w:val="18"/>
              </w:rPr>
            </w:pPr>
            <w:r>
              <w:rPr>
                <w:b/>
                <w:sz w:val="18"/>
              </w:rPr>
              <w:t>Producción Bruta Total</w:t>
            </w:r>
          </w:p>
        </w:tc>
        <w:tc>
          <w:tcPr>
            <w:tcW w:w="1118" w:type="dxa"/>
            <w:tcBorders>
              <w:left w:val="nil"/>
              <w:right w:val="nil"/>
            </w:tcBorders>
            <w:shd w:val="clear" w:color="auto" w:fill="A6A6A6"/>
          </w:tcPr>
          <w:p>
            <w:pPr>
              <w:pStyle w:val="TableParagraph"/>
              <w:ind w:left="184" w:right="184" w:hanging="3"/>
              <w:rPr>
                <w:b/>
                <w:sz w:val="18"/>
              </w:rPr>
            </w:pPr>
            <w:r>
              <w:rPr>
                <w:b/>
                <w:sz w:val="18"/>
              </w:rPr>
              <w:t>Valor Agregado Censal Bruto</w:t>
            </w:r>
          </w:p>
        </w:tc>
        <w:tc>
          <w:tcPr>
            <w:tcW w:w="1220" w:type="dxa"/>
            <w:tcBorders>
              <w:left w:val="nil"/>
            </w:tcBorders>
            <w:shd w:val="clear" w:color="auto" w:fill="A6A6A6"/>
          </w:tcPr>
          <w:p>
            <w:pPr>
              <w:pStyle w:val="TableParagraph"/>
              <w:spacing w:before="105"/>
              <w:ind w:left="146" w:right="141"/>
              <w:rPr>
                <w:b/>
                <w:sz w:val="18"/>
              </w:rPr>
            </w:pPr>
            <w:r>
              <w:rPr>
                <w:b/>
                <w:sz w:val="18"/>
              </w:rPr>
              <w:t>Formación Bruta de Capital Fijo</w:t>
            </w:r>
          </w:p>
        </w:tc>
      </w:tr>
      <w:tr>
        <w:trPr>
          <w:trHeight w:val="797" w:hRule="exact"/>
        </w:trPr>
        <w:tc>
          <w:tcPr>
            <w:tcW w:w="1591" w:type="dxa"/>
          </w:tcPr>
          <w:p>
            <w:pPr>
              <w:pStyle w:val="TableParagraph"/>
              <w:spacing w:before="84"/>
              <w:ind w:left="103" w:right="313"/>
              <w:jc w:val="left"/>
              <w:rPr>
                <w:b/>
                <w:sz w:val="18"/>
              </w:rPr>
            </w:pPr>
            <w:r>
              <w:rPr>
                <w:b/>
                <w:sz w:val="18"/>
              </w:rPr>
              <w:t>Fabricación de automóviles y camiones</w:t>
            </w:r>
          </w:p>
        </w:tc>
        <w:tc>
          <w:tcPr>
            <w:tcW w:w="1210" w:type="dxa"/>
          </w:tcPr>
          <w:p>
            <w:pPr>
              <w:pStyle w:val="TableParagraph"/>
              <w:spacing w:before="9"/>
              <w:jc w:val="left"/>
              <w:rPr>
                <w:b/>
                <w:sz w:val="24"/>
              </w:rPr>
            </w:pPr>
          </w:p>
          <w:p>
            <w:pPr>
              <w:pStyle w:val="TableParagraph"/>
              <w:ind w:right="441"/>
              <w:jc w:val="right"/>
              <w:rPr>
                <w:sz w:val="18"/>
              </w:rPr>
            </w:pPr>
            <w:r>
              <w:rPr>
                <w:sz w:val="18"/>
              </w:rPr>
              <w:t>40.0</w:t>
            </w:r>
          </w:p>
        </w:tc>
        <w:tc>
          <w:tcPr>
            <w:tcW w:w="986" w:type="dxa"/>
          </w:tcPr>
          <w:p>
            <w:pPr>
              <w:pStyle w:val="TableParagraph"/>
              <w:spacing w:before="9"/>
              <w:jc w:val="left"/>
              <w:rPr>
                <w:b/>
                <w:sz w:val="24"/>
              </w:rPr>
            </w:pPr>
          </w:p>
          <w:p>
            <w:pPr>
              <w:pStyle w:val="TableParagraph"/>
              <w:ind w:left="267" w:right="267"/>
              <w:rPr>
                <w:sz w:val="18"/>
              </w:rPr>
            </w:pPr>
            <w:r>
              <w:rPr>
                <w:sz w:val="18"/>
              </w:rPr>
              <w:t>75.2</w:t>
            </w:r>
          </w:p>
        </w:tc>
        <w:tc>
          <w:tcPr>
            <w:tcW w:w="1515" w:type="dxa"/>
          </w:tcPr>
          <w:p>
            <w:pPr>
              <w:pStyle w:val="TableParagraph"/>
              <w:spacing w:before="9"/>
              <w:jc w:val="left"/>
              <w:rPr>
                <w:b/>
                <w:sz w:val="24"/>
              </w:rPr>
            </w:pPr>
          </w:p>
          <w:p>
            <w:pPr>
              <w:pStyle w:val="TableParagraph"/>
              <w:ind w:left="593"/>
              <w:jc w:val="left"/>
              <w:rPr>
                <w:sz w:val="18"/>
              </w:rPr>
            </w:pPr>
            <w:r>
              <w:rPr>
                <w:sz w:val="18"/>
              </w:rPr>
              <w:t>79.8</w:t>
            </w:r>
          </w:p>
        </w:tc>
        <w:tc>
          <w:tcPr>
            <w:tcW w:w="1189" w:type="dxa"/>
          </w:tcPr>
          <w:p>
            <w:pPr>
              <w:pStyle w:val="TableParagraph"/>
              <w:spacing w:before="9"/>
              <w:jc w:val="left"/>
              <w:rPr>
                <w:b/>
                <w:sz w:val="24"/>
              </w:rPr>
            </w:pPr>
          </w:p>
          <w:p>
            <w:pPr>
              <w:pStyle w:val="TableParagraph"/>
              <w:ind w:left="412" w:right="412"/>
              <w:rPr>
                <w:sz w:val="18"/>
              </w:rPr>
            </w:pPr>
            <w:r>
              <w:rPr>
                <w:sz w:val="18"/>
              </w:rPr>
              <w:t>82.3</w:t>
            </w:r>
          </w:p>
        </w:tc>
        <w:tc>
          <w:tcPr>
            <w:tcW w:w="1118" w:type="dxa"/>
          </w:tcPr>
          <w:p>
            <w:pPr>
              <w:pStyle w:val="TableParagraph"/>
              <w:spacing w:before="9"/>
              <w:jc w:val="left"/>
              <w:rPr>
                <w:b/>
                <w:sz w:val="24"/>
              </w:rPr>
            </w:pPr>
          </w:p>
          <w:p>
            <w:pPr>
              <w:pStyle w:val="TableParagraph"/>
              <w:ind w:left="376" w:right="377"/>
              <w:rPr>
                <w:sz w:val="18"/>
              </w:rPr>
            </w:pPr>
            <w:r>
              <w:rPr>
                <w:sz w:val="18"/>
              </w:rPr>
              <w:t>87.3</w:t>
            </w:r>
          </w:p>
        </w:tc>
        <w:tc>
          <w:tcPr>
            <w:tcW w:w="1220" w:type="dxa"/>
            <w:tcBorders>
              <w:top w:val="single" w:sz="41" w:space="0" w:color="A6A6A6"/>
            </w:tcBorders>
          </w:tcPr>
          <w:p>
            <w:pPr>
              <w:pStyle w:val="TableParagraph"/>
              <w:spacing w:before="8"/>
              <w:jc w:val="left"/>
              <w:rPr>
                <w:b/>
                <w:sz w:val="20"/>
              </w:rPr>
            </w:pPr>
          </w:p>
          <w:p>
            <w:pPr>
              <w:pStyle w:val="TableParagraph"/>
              <w:ind w:left="427" w:right="428"/>
              <w:rPr>
                <w:sz w:val="18"/>
              </w:rPr>
            </w:pPr>
            <w:r>
              <w:rPr>
                <w:sz w:val="18"/>
              </w:rPr>
              <w:t>98.9</w:t>
            </w:r>
          </w:p>
        </w:tc>
      </w:tr>
      <w:tr>
        <w:trPr>
          <w:trHeight w:val="711" w:hRule="exact"/>
        </w:trPr>
        <w:tc>
          <w:tcPr>
            <w:tcW w:w="1591" w:type="dxa"/>
          </w:tcPr>
          <w:p>
            <w:pPr>
              <w:pStyle w:val="TableParagraph"/>
              <w:spacing w:before="40"/>
              <w:ind w:left="103"/>
              <w:jc w:val="left"/>
              <w:rPr>
                <w:b/>
                <w:sz w:val="18"/>
              </w:rPr>
            </w:pPr>
            <w:r>
              <w:rPr>
                <w:b/>
                <w:sz w:val="18"/>
              </w:rPr>
              <w:t>Fabricación de camiones y tractocamiones</w:t>
            </w:r>
          </w:p>
        </w:tc>
        <w:tc>
          <w:tcPr>
            <w:tcW w:w="1210" w:type="dxa"/>
          </w:tcPr>
          <w:p>
            <w:pPr>
              <w:pStyle w:val="TableParagraph"/>
              <w:spacing w:before="1"/>
              <w:jc w:val="left"/>
              <w:rPr>
                <w:b/>
                <w:sz w:val="21"/>
              </w:rPr>
            </w:pPr>
          </w:p>
          <w:p>
            <w:pPr>
              <w:pStyle w:val="TableParagraph"/>
              <w:ind w:right="441"/>
              <w:jc w:val="right"/>
              <w:rPr>
                <w:sz w:val="18"/>
              </w:rPr>
            </w:pPr>
            <w:r>
              <w:rPr>
                <w:sz w:val="18"/>
              </w:rPr>
              <w:t>60.0</w:t>
            </w:r>
          </w:p>
        </w:tc>
        <w:tc>
          <w:tcPr>
            <w:tcW w:w="986" w:type="dxa"/>
          </w:tcPr>
          <w:p>
            <w:pPr>
              <w:pStyle w:val="TableParagraph"/>
              <w:spacing w:before="1"/>
              <w:jc w:val="left"/>
              <w:rPr>
                <w:b/>
                <w:sz w:val="21"/>
              </w:rPr>
            </w:pPr>
          </w:p>
          <w:p>
            <w:pPr>
              <w:pStyle w:val="TableParagraph"/>
              <w:ind w:left="267" w:right="267"/>
              <w:rPr>
                <w:sz w:val="18"/>
              </w:rPr>
            </w:pPr>
            <w:r>
              <w:rPr>
                <w:sz w:val="18"/>
              </w:rPr>
              <w:t>24.8</w:t>
            </w:r>
          </w:p>
        </w:tc>
        <w:tc>
          <w:tcPr>
            <w:tcW w:w="1515" w:type="dxa"/>
          </w:tcPr>
          <w:p>
            <w:pPr>
              <w:pStyle w:val="TableParagraph"/>
              <w:spacing w:before="1"/>
              <w:jc w:val="left"/>
              <w:rPr>
                <w:b/>
                <w:sz w:val="21"/>
              </w:rPr>
            </w:pPr>
          </w:p>
          <w:p>
            <w:pPr>
              <w:pStyle w:val="TableParagraph"/>
              <w:ind w:left="593"/>
              <w:jc w:val="left"/>
              <w:rPr>
                <w:sz w:val="18"/>
              </w:rPr>
            </w:pPr>
            <w:r>
              <w:rPr>
                <w:sz w:val="18"/>
              </w:rPr>
              <w:t>20.2</w:t>
            </w:r>
          </w:p>
        </w:tc>
        <w:tc>
          <w:tcPr>
            <w:tcW w:w="1189" w:type="dxa"/>
          </w:tcPr>
          <w:p>
            <w:pPr>
              <w:pStyle w:val="TableParagraph"/>
              <w:spacing w:before="1"/>
              <w:jc w:val="left"/>
              <w:rPr>
                <w:b/>
                <w:sz w:val="21"/>
              </w:rPr>
            </w:pPr>
          </w:p>
          <w:p>
            <w:pPr>
              <w:pStyle w:val="TableParagraph"/>
              <w:ind w:left="412" w:right="412"/>
              <w:rPr>
                <w:sz w:val="18"/>
              </w:rPr>
            </w:pPr>
            <w:r>
              <w:rPr>
                <w:sz w:val="18"/>
              </w:rPr>
              <w:t>17.7</w:t>
            </w:r>
          </w:p>
        </w:tc>
        <w:tc>
          <w:tcPr>
            <w:tcW w:w="1118" w:type="dxa"/>
          </w:tcPr>
          <w:p>
            <w:pPr>
              <w:pStyle w:val="TableParagraph"/>
              <w:spacing w:before="1"/>
              <w:jc w:val="left"/>
              <w:rPr>
                <w:b/>
                <w:sz w:val="21"/>
              </w:rPr>
            </w:pPr>
          </w:p>
          <w:p>
            <w:pPr>
              <w:pStyle w:val="TableParagraph"/>
              <w:ind w:left="376" w:right="377"/>
              <w:rPr>
                <w:sz w:val="18"/>
              </w:rPr>
            </w:pPr>
            <w:r>
              <w:rPr>
                <w:sz w:val="18"/>
              </w:rPr>
              <w:t>12.7</w:t>
            </w:r>
          </w:p>
        </w:tc>
        <w:tc>
          <w:tcPr>
            <w:tcW w:w="1220" w:type="dxa"/>
          </w:tcPr>
          <w:p>
            <w:pPr>
              <w:pStyle w:val="TableParagraph"/>
              <w:spacing w:before="1"/>
              <w:jc w:val="left"/>
              <w:rPr>
                <w:b/>
                <w:sz w:val="21"/>
              </w:rPr>
            </w:pPr>
          </w:p>
          <w:p>
            <w:pPr>
              <w:pStyle w:val="TableParagraph"/>
              <w:ind w:left="426" w:right="428"/>
              <w:rPr>
                <w:sz w:val="18"/>
              </w:rPr>
            </w:pPr>
            <w:r>
              <w:rPr>
                <w:sz w:val="18"/>
              </w:rPr>
              <w:t>1.1</w:t>
            </w:r>
          </w:p>
        </w:tc>
      </w:tr>
    </w:tbl>
    <w:p>
      <w:pPr>
        <w:spacing w:line="202" w:lineRule="exact" w:before="0"/>
        <w:ind w:left="102" w:right="0" w:firstLine="0"/>
        <w:jc w:val="both"/>
        <w:rPr>
          <w:sz w:val="18"/>
        </w:rPr>
      </w:pPr>
      <w:r>
        <w:rPr>
          <w:sz w:val="18"/>
        </w:rPr>
        <w:t>Fuente: Elaboración propia con datos de INEGI (2009).</w:t>
      </w:r>
    </w:p>
    <w:p>
      <w:pPr>
        <w:pStyle w:val="BodyText"/>
        <w:rPr>
          <w:sz w:val="18"/>
        </w:rPr>
      </w:pPr>
    </w:p>
    <w:p>
      <w:pPr>
        <w:pStyle w:val="BodyText"/>
        <w:spacing w:line="360" w:lineRule="auto" w:before="135"/>
        <w:ind w:left="102" w:right="117"/>
        <w:jc w:val="both"/>
      </w:pPr>
      <w:r>
        <w:rPr/>
        <w:t>Durante 2013, la producción total de vehículos en México fue de 3, 052,395 unidades, registrando un nivel record, con lo que creció en 1.7% respecto a lo registrado en 2012. En este sentido, en la gráfica 3.1 observamos que en 2013, las tres empresas norteamericanas destacaron</w:t>
      </w:r>
      <w:r>
        <w:rPr>
          <w:spacing w:val="-13"/>
        </w:rPr>
        <w:t> </w:t>
      </w:r>
      <w:r>
        <w:rPr/>
        <w:t>como</w:t>
      </w:r>
      <w:r>
        <w:rPr>
          <w:spacing w:val="-12"/>
        </w:rPr>
        <w:t> </w:t>
      </w:r>
      <w:r>
        <w:rPr/>
        <w:t>las</w:t>
      </w:r>
      <w:r>
        <w:rPr>
          <w:spacing w:val="-12"/>
        </w:rPr>
        <w:t> </w:t>
      </w:r>
      <w:r>
        <w:rPr/>
        <w:t>principales</w:t>
      </w:r>
      <w:r>
        <w:rPr>
          <w:spacing w:val="-12"/>
        </w:rPr>
        <w:t> </w:t>
      </w:r>
      <w:r>
        <w:rPr/>
        <w:t>productoras</w:t>
      </w:r>
      <w:r>
        <w:rPr>
          <w:spacing w:val="-12"/>
        </w:rPr>
        <w:t> </w:t>
      </w:r>
      <w:r>
        <w:rPr/>
        <w:t>de</w:t>
      </w:r>
      <w:r>
        <w:rPr>
          <w:spacing w:val="-13"/>
        </w:rPr>
        <w:t> </w:t>
      </w:r>
      <w:r>
        <w:rPr/>
        <w:t>vehículos,</w:t>
      </w:r>
      <w:r>
        <w:rPr>
          <w:spacing w:val="-12"/>
        </w:rPr>
        <w:t> </w:t>
      </w:r>
      <w:r>
        <w:rPr/>
        <w:t>en</w:t>
      </w:r>
      <w:r>
        <w:rPr>
          <w:spacing w:val="-12"/>
        </w:rPr>
        <w:t> </w:t>
      </w:r>
      <w:r>
        <w:rPr/>
        <w:t>conjunto,</w:t>
      </w:r>
      <w:r>
        <w:rPr>
          <w:spacing w:val="-12"/>
        </w:rPr>
        <w:t> </w:t>
      </w:r>
      <w:r>
        <w:rPr/>
        <w:t>Chrysler,</w:t>
      </w:r>
      <w:r>
        <w:rPr>
          <w:spacing w:val="-12"/>
        </w:rPr>
        <w:t> </w:t>
      </w:r>
      <w:r>
        <w:rPr/>
        <w:t>Ford</w:t>
      </w:r>
      <w:r>
        <w:rPr>
          <w:spacing w:val="-13"/>
        </w:rPr>
        <w:t> </w:t>
      </w:r>
      <w:r>
        <w:rPr/>
        <w:t>Motor y General Motors, aportaron el 55% de la producción total nacional, mientras que las empresas japonesas Nissan, Honda y Toyota, aportaron el 27%. Es importante mencionar que</w:t>
      </w:r>
      <w:r>
        <w:rPr>
          <w:spacing w:val="-7"/>
        </w:rPr>
        <w:t> </w:t>
      </w:r>
      <w:r>
        <w:rPr/>
        <w:t>si</w:t>
      </w:r>
      <w:r>
        <w:rPr>
          <w:spacing w:val="-6"/>
        </w:rPr>
        <w:t> </w:t>
      </w:r>
      <w:r>
        <w:rPr/>
        <w:t>bien</w:t>
      </w:r>
      <w:r>
        <w:rPr>
          <w:spacing w:val="-7"/>
        </w:rPr>
        <w:t> </w:t>
      </w:r>
      <w:r>
        <w:rPr/>
        <w:t>Toyota</w:t>
      </w:r>
      <w:r>
        <w:rPr>
          <w:spacing w:val="-7"/>
        </w:rPr>
        <w:t> </w:t>
      </w:r>
      <w:r>
        <w:rPr/>
        <w:t>es</w:t>
      </w:r>
      <w:r>
        <w:rPr>
          <w:spacing w:val="-6"/>
        </w:rPr>
        <w:t> </w:t>
      </w:r>
      <w:r>
        <w:rPr/>
        <w:t>una</w:t>
      </w:r>
      <w:r>
        <w:rPr>
          <w:spacing w:val="-5"/>
        </w:rPr>
        <w:t> </w:t>
      </w:r>
      <w:r>
        <w:rPr/>
        <w:t>de</w:t>
      </w:r>
      <w:r>
        <w:rPr>
          <w:spacing w:val="-7"/>
        </w:rPr>
        <w:t> </w:t>
      </w:r>
      <w:r>
        <w:rPr/>
        <w:t>las</w:t>
      </w:r>
      <w:r>
        <w:rPr>
          <w:spacing w:val="-7"/>
        </w:rPr>
        <w:t> </w:t>
      </w:r>
      <w:r>
        <w:rPr/>
        <w:t>empresas</w:t>
      </w:r>
      <w:r>
        <w:rPr>
          <w:spacing w:val="-6"/>
        </w:rPr>
        <w:t> </w:t>
      </w:r>
      <w:r>
        <w:rPr/>
        <w:t>con</w:t>
      </w:r>
      <w:r>
        <w:rPr>
          <w:spacing w:val="-6"/>
        </w:rPr>
        <w:t> </w:t>
      </w:r>
      <w:r>
        <w:rPr/>
        <w:t>mayor</w:t>
      </w:r>
      <w:r>
        <w:rPr>
          <w:spacing w:val="-7"/>
        </w:rPr>
        <w:t> </w:t>
      </w:r>
      <w:r>
        <w:rPr/>
        <w:t>producción</w:t>
      </w:r>
      <w:r>
        <w:rPr>
          <w:spacing w:val="-6"/>
        </w:rPr>
        <w:t> </w:t>
      </w:r>
      <w:r>
        <w:rPr/>
        <w:t>a</w:t>
      </w:r>
      <w:r>
        <w:rPr>
          <w:spacing w:val="-7"/>
        </w:rPr>
        <w:t> </w:t>
      </w:r>
      <w:r>
        <w:rPr/>
        <w:t>nivel</w:t>
      </w:r>
      <w:r>
        <w:rPr>
          <w:spacing w:val="-6"/>
        </w:rPr>
        <w:t> </w:t>
      </w:r>
      <w:r>
        <w:rPr/>
        <w:t>mundial,</w:t>
      </w:r>
      <w:r>
        <w:rPr>
          <w:spacing w:val="-6"/>
        </w:rPr>
        <w:t> </w:t>
      </w:r>
      <w:r>
        <w:rPr/>
        <w:t>en</w:t>
      </w:r>
      <w:r>
        <w:rPr>
          <w:spacing w:val="-6"/>
        </w:rPr>
        <w:t> </w:t>
      </w:r>
      <w:r>
        <w:rPr/>
        <w:t>México</w:t>
      </w:r>
    </w:p>
    <w:p>
      <w:pPr>
        <w:spacing w:after="0" w:line="360" w:lineRule="auto"/>
        <w:jc w:val="both"/>
        <w:sectPr>
          <w:pgSz w:w="12240" w:h="15840"/>
          <w:pgMar w:header="0" w:footer="1035" w:top="1360" w:bottom="1220" w:left="1600" w:right="1580"/>
        </w:sectPr>
      </w:pPr>
    </w:p>
    <w:p>
      <w:pPr>
        <w:pStyle w:val="BodyText"/>
        <w:spacing w:line="360" w:lineRule="auto" w:before="50"/>
        <w:ind w:left="102" w:right="120"/>
        <w:jc w:val="both"/>
      </w:pPr>
      <w:r>
        <w:rPr/>
        <w:t>figura</w:t>
      </w:r>
      <w:r>
        <w:rPr>
          <w:spacing w:val="-8"/>
        </w:rPr>
        <w:t> </w:t>
      </w:r>
      <w:r>
        <w:rPr/>
        <w:t>como</w:t>
      </w:r>
      <w:r>
        <w:rPr>
          <w:spacing w:val="-7"/>
        </w:rPr>
        <w:t> </w:t>
      </w:r>
      <w:r>
        <w:rPr/>
        <w:t>una</w:t>
      </w:r>
      <w:r>
        <w:rPr>
          <w:spacing w:val="-8"/>
        </w:rPr>
        <w:t> </w:t>
      </w:r>
      <w:r>
        <w:rPr/>
        <w:t>de</w:t>
      </w:r>
      <w:r>
        <w:rPr>
          <w:spacing w:val="-8"/>
        </w:rPr>
        <w:t> </w:t>
      </w:r>
      <w:r>
        <w:rPr/>
        <w:t>las</w:t>
      </w:r>
      <w:r>
        <w:rPr>
          <w:spacing w:val="-8"/>
        </w:rPr>
        <w:t> </w:t>
      </w:r>
      <w:r>
        <w:rPr/>
        <w:t>empresas</w:t>
      </w:r>
      <w:r>
        <w:rPr>
          <w:spacing w:val="-7"/>
        </w:rPr>
        <w:t> </w:t>
      </w:r>
      <w:r>
        <w:rPr/>
        <w:t>con</w:t>
      </w:r>
      <w:r>
        <w:rPr>
          <w:spacing w:val="-7"/>
        </w:rPr>
        <w:t> </w:t>
      </w:r>
      <w:r>
        <w:rPr/>
        <w:t>menor</w:t>
      </w:r>
      <w:r>
        <w:rPr>
          <w:spacing w:val="-8"/>
        </w:rPr>
        <w:t> </w:t>
      </w:r>
      <w:r>
        <w:rPr/>
        <w:t>producción</w:t>
      </w:r>
      <w:r>
        <w:rPr>
          <w:spacing w:val="-7"/>
        </w:rPr>
        <w:t> </w:t>
      </w:r>
      <w:r>
        <w:rPr/>
        <w:t>(AMIA,</w:t>
      </w:r>
      <w:r>
        <w:rPr>
          <w:spacing w:val="-8"/>
        </w:rPr>
        <w:t> </w:t>
      </w:r>
      <w:r>
        <w:rPr/>
        <w:t>2013</w:t>
      </w:r>
      <w:r>
        <w:rPr>
          <w:spacing w:val="-5"/>
        </w:rPr>
        <w:t> </w:t>
      </w:r>
      <w:r>
        <w:rPr/>
        <w:t>y</w:t>
      </w:r>
      <w:r>
        <w:rPr>
          <w:spacing w:val="-11"/>
        </w:rPr>
        <w:t> </w:t>
      </w:r>
      <w:r>
        <w:rPr/>
        <w:t>OICA,</w:t>
      </w:r>
      <w:r>
        <w:rPr>
          <w:spacing w:val="-8"/>
        </w:rPr>
        <w:t> </w:t>
      </w:r>
      <w:r>
        <w:rPr/>
        <w:t>2014)</w:t>
      </w:r>
      <w:r>
        <w:rPr>
          <w:spacing w:val="-8"/>
        </w:rPr>
        <w:t> </w:t>
      </w:r>
      <w:r>
        <w:rPr/>
        <w:t>(véase gráfica</w:t>
      </w:r>
      <w:r>
        <w:rPr>
          <w:spacing w:val="-2"/>
        </w:rPr>
        <w:t> </w:t>
      </w:r>
      <w:r>
        <w:rPr/>
        <w:t>3.7)</w:t>
      </w:r>
    </w:p>
    <w:p>
      <w:pPr>
        <w:pStyle w:val="BodyText"/>
        <w:spacing w:before="7"/>
        <w:rPr>
          <w:sz w:val="21"/>
        </w:rPr>
      </w:pPr>
    </w:p>
    <w:p>
      <w:pPr>
        <w:pStyle w:val="Heading1"/>
        <w:ind w:right="400"/>
        <w:jc w:val="center"/>
      </w:pPr>
      <w:r>
        <w:rPr/>
        <w:t>Gráfica 3.7. Producción total de vehículos por empresas en México, 2013</w:t>
      </w:r>
    </w:p>
    <w:p>
      <w:pPr>
        <w:pStyle w:val="BodyText"/>
        <w:rPr>
          <w:b/>
          <w:sz w:val="15"/>
        </w:rPr>
      </w:pPr>
      <w:r>
        <w:rPr/>
        <w:pict>
          <v:group style="position:absolute;margin-left:224.263397pt;margin-top:10.594292pt;width:172.05pt;height:160.8pt;mso-position-horizontal-relative:page;mso-position-vertical-relative:paragraph;z-index:3568;mso-wrap-distance-left:0;mso-wrap-distance-right:0" coordorigin="4485,212" coordsize="3441,3216">
            <v:shape style="position:absolute;left:6093;top:212;width:1299;height:1134" type="#_x0000_t75" stroked="false">
              <v:imagedata r:id="rId45" o:title=""/>
            </v:shape>
            <v:shape style="position:absolute;left:6743;top:872;width:958;height:1711" type="#_x0000_t75" stroked="false">
              <v:imagedata r:id="rId46" o:title=""/>
            </v:shape>
            <v:shape style="position:absolute;left:5607;top:2201;width:1901;height:1226" type="#_x0000_t75" stroked="false">
              <v:imagedata r:id="rId47" o:title=""/>
            </v:shape>
            <v:shape style="position:absolute;left:5405;top:2546;width:446;height:806" type="#_x0000_t75" stroked="false">
              <v:imagedata r:id="rId48" o:title=""/>
            </v:shape>
            <v:shape style="position:absolute;left:4485;top:1301;width:1264;height:1972" type="#_x0000_t75" stroked="false">
              <v:imagedata r:id="rId49" o:title=""/>
            </v:shape>
            <v:shape style="position:absolute;left:4572;top:1098;width:803;height:462" type="#_x0000_t75" stroked="false">
              <v:imagedata r:id="rId50" o:title=""/>
            </v:shape>
            <v:shape style="position:absolute;left:4656;top:212;width:1437;height:1247" type="#_x0000_t75" stroked="false">
              <v:imagedata r:id="rId51" o:title=""/>
            </v:shape>
            <v:shape style="position:absolute;left:4653;top:562;width:3273;height:1932" type="#_x0000_t202" filled="false" stroked="false">
              <v:textbox inset="0,0,0,0">
                <w:txbxContent>
                  <w:p>
                    <w:pPr>
                      <w:spacing w:line="183" w:lineRule="exact" w:before="0"/>
                      <w:ind w:left="1809" w:right="0" w:hanging="322"/>
                      <w:jc w:val="left"/>
                      <w:rPr>
                        <w:b/>
                        <w:sz w:val="18"/>
                      </w:rPr>
                    </w:pPr>
                    <w:r>
                      <w:rPr>
                        <w:b/>
                        <w:sz w:val="18"/>
                      </w:rPr>
                      <w:t>CHRYSLER</w:t>
                    </w:r>
                  </w:p>
                  <w:p>
                    <w:pPr>
                      <w:spacing w:line="207" w:lineRule="exact" w:before="0"/>
                      <w:ind w:left="1809" w:right="0" w:firstLine="0"/>
                      <w:jc w:val="left"/>
                      <w:rPr>
                        <w:b/>
                        <w:sz w:val="18"/>
                      </w:rPr>
                    </w:pPr>
                    <w:r>
                      <w:rPr>
                        <w:b/>
                        <w:sz w:val="18"/>
                      </w:rPr>
                      <w:t>15%</w:t>
                    </w:r>
                  </w:p>
                  <w:p>
                    <w:pPr>
                      <w:spacing w:line="202" w:lineRule="exact" w:before="56"/>
                      <w:ind w:left="1060" w:right="0" w:firstLine="0"/>
                      <w:jc w:val="left"/>
                      <w:rPr>
                        <w:b/>
                        <w:sz w:val="18"/>
                      </w:rPr>
                    </w:pPr>
                    <w:r>
                      <w:rPr>
                        <w:b/>
                        <w:sz w:val="18"/>
                      </w:rPr>
                      <w:t>VOLKSWAGEN</w:t>
                    </w:r>
                  </w:p>
                  <w:p>
                    <w:pPr>
                      <w:tabs>
                        <w:tab w:pos="1545" w:val="left" w:leader="none"/>
                      </w:tabs>
                      <w:spacing w:line="207" w:lineRule="exact" w:before="0"/>
                      <w:ind w:left="31" w:right="0" w:firstLine="0"/>
                      <w:jc w:val="left"/>
                      <w:rPr>
                        <w:b/>
                        <w:sz w:val="18"/>
                      </w:rPr>
                    </w:pPr>
                    <w:r>
                      <w:rPr>
                        <w:b/>
                        <w:position w:val="1"/>
                        <w:sz w:val="18"/>
                      </w:rPr>
                      <w:t>TOYOTA</w:t>
                      <w:tab/>
                    </w:r>
                    <w:r>
                      <w:rPr>
                        <w:b/>
                        <w:sz w:val="18"/>
                      </w:rPr>
                      <w:t>18%</w:t>
                    </w:r>
                  </w:p>
                  <w:p>
                    <w:pPr>
                      <w:spacing w:line="159" w:lineRule="exact" w:before="0"/>
                      <w:ind w:left="271" w:right="2691" w:firstLine="0"/>
                      <w:jc w:val="center"/>
                      <w:rPr>
                        <w:b/>
                        <w:sz w:val="18"/>
                      </w:rPr>
                    </w:pPr>
                    <w:r>
                      <w:rPr>
                        <w:b/>
                        <w:sz w:val="18"/>
                      </w:rPr>
                      <w:t>2%</w:t>
                    </w:r>
                  </w:p>
                  <w:p>
                    <w:pPr>
                      <w:spacing w:line="163" w:lineRule="exact" w:before="0"/>
                      <w:ind w:left="2465" w:right="-18" w:hanging="449"/>
                      <w:jc w:val="left"/>
                      <w:rPr>
                        <w:b/>
                        <w:sz w:val="18"/>
                      </w:rPr>
                    </w:pPr>
                    <w:r>
                      <w:rPr>
                        <w:b/>
                        <w:sz w:val="18"/>
                      </w:rPr>
                      <w:t>FORD MOTOR</w:t>
                    </w:r>
                  </w:p>
                  <w:p>
                    <w:pPr>
                      <w:spacing w:line="207" w:lineRule="exact" w:before="0"/>
                      <w:ind w:left="2465" w:right="0" w:firstLine="0"/>
                      <w:jc w:val="left"/>
                      <w:rPr>
                        <w:b/>
                        <w:sz w:val="18"/>
                      </w:rPr>
                    </w:pPr>
                    <w:r>
                      <w:rPr>
                        <w:b/>
                        <w:sz w:val="18"/>
                      </w:rPr>
                      <w:t>18%</w:t>
                    </w:r>
                  </w:p>
                  <w:p>
                    <w:pPr>
                      <w:spacing w:before="138"/>
                      <w:ind w:left="151" w:right="2593" w:hanging="152"/>
                      <w:jc w:val="left"/>
                      <w:rPr>
                        <w:b/>
                        <w:sz w:val="18"/>
                      </w:rPr>
                    </w:pPr>
                    <w:r>
                      <w:rPr>
                        <w:b/>
                        <w:sz w:val="18"/>
                      </w:rPr>
                      <w:t>NISSAN 23%</w:t>
                    </w:r>
                  </w:p>
                </w:txbxContent>
              </v:textbox>
              <w10:wrap type="none"/>
            </v:shape>
            <v:shape style="position:absolute;left:5426;top:2556;width:1564;height:276" type="#_x0000_t202" filled="false" stroked="false">
              <v:textbox inset="0,0,0,0">
                <w:txbxContent>
                  <w:p>
                    <w:pPr>
                      <w:spacing w:line="276" w:lineRule="exact" w:before="0"/>
                      <w:ind w:left="0" w:right="-17" w:firstLine="0"/>
                      <w:jc w:val="left"/>
                      <w:rPr>
                        <w:b/>
                        <w:sz w:val="18"/>
                      </w:rPr>
                    </w:pPr>
                    <w:r>
                      <w:rPr>
                        <w:b/>
                        <w:position w:val="10"/>
                        <w:sz w:val="18"/>
                      </w:rPr>
                      <w:t>HONDA</w:t>
                    </w:r>
                    <w:r>
                      <w:rPr>
                        <w:b/>
                        <w:sz w:val="18"/>
                      </w:rPr>
                      <w:t>GENERAL</w:t>
                    </w:r>
                  </w:p>
                </w:txbxContent>
              </v:textbox>
              <w10:wrap type="none"/>
            </v:shape>
            <v:shape style="position:absolute;left:5628;top:2763;width:273;height:180" type="#_x0000_t202" filled="false" stroked="false">
              <v:textbox inset="0,0,0,0">
                <w:txbxContent>
                  <w:p>
                    <w:pPr>
                      <w:spacing w:line="180" w:lineRule="exact" w:before="0"/>
                      <w:ind w:left="0" w:right="-17" w:firstLine="0"/>
                      <w:jc w:val="left"/>
                      <w:rPr>
                        <w:b/>
                        <w:sz w:val="18"/>
                      </w:rPr>
                    </w:pPr>
                    <w:r>
                      <w:rPr>
                        <w:b/>
                        <w:sz w:val="18"/>
                      </w:rPr>
                      <w:t>2%</w:t>
                    </w:r>
                  </w:p>
                </w:txbxContent>
              </v:textbox>
              <w10:wrap type="none"/>
            </v:shape>
            <v:shape style="position:absolute;left:6144;top:2858;width:801;height:387" type="#_x0000_t202" filled="false" stroked="false">
              <v:textbox inset="0,0,0,0">
                <w:txbxContent>
                  <w:p>
                    <w:pPr>
                      <w:spacing w:line="183" w:lineRule="exact" w:before="0"/>
                      <w:ind w:left="0" w:right="0" w:firstLine="0"/>
                      <w:jc w:val="center"/>
                      <w:rPr>
                        <w:b/>
                        <w:sz w:val="18"/>
                      </w:rPr>
                    </w:pPr>
                    <w:r>
                      <w:rPr>
                        <w:b/>
                        <w:sz w:val="18"/>
                      </w:rPr>
                      <w:t>MOTORS</w:t>
                    </w:r>
                  </w:p>
                  <w:p>
                    <w:pPr>
                      <w:spacing w:line="203" w:lineRule="exact" w:before="0"/>
                      <w:ind w:left="8" w:right="0" w:firstLine="0"/>
                      <w:jc w:val="center"/>
                      <w:rPr>
                        <w:b/>
                        <w:sz w:val="18"/>
                      </w:rPr>
                    </w:pPr>
                    <w:r>
                      <w:rPr>
                        <w:b/>
                        <w:sz w:val="18"/>
                      </w:rPr>
                      <w:t>22%</w:t>
                    </w:r>
                  </w:p>
                </w:txbxContent>
              </v:textbox>
              <w10:wrap type="none"/>
            </v:shape>
            <w10:wrap type="topAndBottom"/>
          </v:group>
        </w:pict>
      </w:r>
    </w:p>
    <w:p>
      <w:pPr>
        <w:pStyle w:val="BodyText"/>
        <w:spacing w:before="9"/>
        <w:rPr>
          <w:b/>
          <w:sz w:val="18"/>
        </w:rPr>
      </w:pPr>
    </w:p>
    <w:p>
      <w:pPr>
        <w:spacing w:before="1"/>
        <w:ind w:left="383" w:right="399" w:firstLine="0"/>
        <w:jc w:val="center"/>
        <w:rPr>
          <w:sz w:val="18"/>
        </w:rPr>
      </w:pPr>
      <w:r>
        <w:rPr>
          <w:sz w:val="18"/>
        </w:rPr>
        <w:t>Fuente: Elaboración propia con datos de AMIA (2013).</w:t>
      </w:r>
    </w:p>
    <w:p>
      <w:pPr>
        <w:pStyle w:val="BodyText"/>
        <w:rPr>
          <w:sz w:val="18"/>
        </w:rPr>
      </w:pPr>
    </w:p>
    <w:p>
      <w:pPr>
        <w:pStyle w:val="BodyText"/>
        <w:spacing w:line="360" w:lineRule="auto" w:before="137"/>
        <w:ind w:left="102" w:right="115"/>
        <w:jc w:val="both"/>
      </w:pPr>
      <w:r>
        <w:rPr/>
        <w:t>Del total manufacturado en 2013, el 82.1% corresponde unidades destinadas al mercado externo</w:t>
      </w:r>
      <w:r>
        <w:rPr>
          <w:spacing w:val="1"/>
        </w:rPr>
        <w:t> </w:t>
      </w:r>
      <w:r>
        <w:rPr/>
        <w:t>y</w:t>
      </w:r>
      <w:r>
        <w:rPr>
          <w:spacing w:val="-9"/>
        </w:rPr>
        <w:t> </w:t>
      </w:r>
      <w:r>
        <w:rPr/>
        <w:t>el</w:t>
      </w:r>
      <w:r>
        <w:rPr>
          <w:spacing w:val="-3"/>
        </w:rPr>
        <w:t> </w:t>
      </w:r>
      <w:r>
        <w:rPr/>
        <w:t>17.9%</w:t>
      </w:r>
      <w:r>
        <w:rPr>
          <w:spacing w:val="-5"/>
        </w:rPr>
        <w:t> </w:t>
      </w:r>
      <w:r>
        <w:rPr/>
        <w:t>restante</w:t>
      </w:r>
      <w:r>
        <w:rPr>
          <w:spacing w:val="-3"/>
        </w:rPr>
        <w:t> </w:t>
      </w:r>
      <w:r>
        <w:rPr/>
        <w:t>se</w:t>
      </w:r>
      <w:r>
        <w:rPr>
          <w:spacing w:val="-5"/>
        </w:rPr>
        <w:t> </w:t>
      </w:r>
      <w:r>
        <w:rPr/>
        <w:t>colocó</w:t>
      </w:r>
      <w:r>
        <w:rPr>
          <w:spacing w:val="-1"/>
        </w:rPr>
        <w:t> </w:t>
      </w:r>
      <w:r>
        <w:rPr/>
        <w:t>en</w:t>
      </w:r>
      <w:r>
        <w:rPr>
          <w:spacing w:val="-4"/>
        </w:rPr>
        <w:t> </w:t>
      </w:r>
      <w:r>
        <w:rPr/>
        <w:t>el</w:t>
      </w:r>
      <w:r>
        <w:rPr>
          <w:spacing w:val="-3"/>
        </w:rPr>
        <w:t> </w:t>
      </w:r>
      <w:r>
        <w:rPr/>
        <w:t>mercado</w:t>
      </w:r>
      <w:r>
        <w:rPr>
          <w:spacing w:val="-4"/>
        </w:rPr>
        <w:t> </w:t>
      </w:r>
      <w:r>
        <w:rPr/>
        <w:t>interno.</w:t>
      </w:r>
      <w:r>
        <w:rPr>
          <w:spacing w:val="-5"/>
        </w:rPr>
        <w:t> </w:t>
      </w:r>
      <w:r>
        <w:rPr/>
        <w:t>Así</w:t>
      </w:r>
      <w:r>
        <w:rPr>
          <w:spacing w:val="-4"/>
        </w:rPr>
        <w:t> </w:t>
      </w:r>
      <w:r>
        <w:rPr/>
        <w:t>la</w:t>
      </w:r>
      <w:r>
        <w:rPr>
          <w:spacing w:val="-5"/>
        </w:rPr>
        <w:t> </w:t>
      </w:r>
      <w:r>
        <w:rPr/>
        <w:t>exportación</w:t>
      </w:r>
      <w:r>
        <w:rPr>
          <w:spacing w:val="-3"/>
        </w:rPr>
        <w:t> </w:t>
      </w:r>
      <w:r>
        <w:rPr/>
        <w:t>de</w:t>
      </w:r>
      <w:r>
        <w:rPr>
          <w:spacing w:val="-5"/>
        </w:rPr>
        <w:t> </w:t>
      </w:r>
      <w:r>
        <w:rPr/>
        <w:t>vehículos ligeros en México, alcanzó su mejor nivel histórico en 2013, al exportarse 2, 423,084 vehículos ligeros para un crecimiento de 2.9% en relación a 2012, siendo enviados principalmente</w:t>
      </w:r>
      <w:r>
        <w:rPr>
          <w:spacing w:val="-7"/>
        </w:rPr>
        <w:t> </w:t>
      </w:r>
      <w:r>
        <w:rPr/>
        <w:t>a</w:t>
      </w:r>
      <w:r>
        <w:rPr>
          <w:spacing w:val="-7"/>
        </w:rPr>
        <w:t> </w:t>
      </w:r>
      <w:r>
        <w:rPr/>
        <w:t>Estados</w:t>
      </w:r>
      <w:r>
        <w:rPr>
          <w:spacing w:val="-4"/>
        </w:rPr>
        <w:t> </w:t>
      </w:r>
      <w:r>
        <w:rPr/>
        <w:t>Unidos,</w:t>
      </w:r>
      <w:r>
        <w:rPr>
          <w:spacing w:val="-6"/>
        </w:rPr>
        <w:t> </w:t>
      </w:r>
      <w:r>
        <w:rPr/>
        <w:t>con</w:t>
      </w:r>
      <w:r>
        <w:rPr>
          <w:spacing w:val="-6"/>
        </w:rPr>
        <w:t> </w:t>
      </w:r>
      <w:r>
        <w:rPr/>
        <w:t>el</w:t>
      </w:r>
      <w:r>
        <w:rPr>
          <w:spacing w:val="-6"/>
        </w:rPr>
        <w:t> </w:t>
      </w:r>
      <w:r>
        <w:rPr/>
        <w:t>68.0%</w:t>
      </w:r>
      <w:r>
        <w:rPr>
          <w:spacing w:val="-7"/>
        </w:rPr>
        <w:t> </w:t>
      </w:r>
      <w:r>
        <w:rPr/>
        <w:t>del</w:t>
      </w:r>
      <w:r>
        <w:rPr>
          <w:spacing w:val="-6"/>
        </w:rPr>
        <w:t> </w:t>
      </w:r>
      <w:r>
        <w:rPr/>
        <w:t>total</w:t>
      </w:r>
      <w:r>
        <w:rPr>
          <w:spacing w:val="-6"/>
        </w:rPr>
        <w:t> </w:t>
      </w:r>
      <w:r>
        <w:rPr/>
        <w:t>de</w:t>
      </w:r>
      <w:r>
        <w:rPr>
          <w:spacing w:val="-7"/>
        </w:rPr>
        <w:t> </w:t>
      </w:r>
      <w:r>
        <w:rPr/>
        <w:t>las</w:t>
      </w:r>
      <w:r>
        <w:rPr>
          <w:spacing w:val="-7"/>
        </w:rPr>
        <w:t> </w:t>
      </w:r>
      <w:r>
        <w:rPr/>
        <w:t>exportaciones,</w:t>
      </w:r>
      <w:r>
        <w:rPr>
          <w:spacing w:val="-6"/>
        </w:rPr>
        <w:t> </w:t>
      </w:r>
      <w:r>
        <w:rPr/>
        <w:t>como</w:t>
      </w:r>
      <w:r>
        <w:rPr>
          <w:spacing w:val="-6"/>
        </w:rPr>
        <w:t> </w:t>
      </w:r>
      <w:r>
        <w:rPr/>
        <w:t>segundo destino</w:t>
      </w:r>
      <w:r>
        <w:rPr>
          <w:spacing w:val="-13"/>
        </w:rPr>
        <w:t> </w:t>
      </w:r>
      <w:r>
        <w:rPr/>
        <w:t>se</w:t>
      </w:r>
      <w:r>
        <w:rPr>
          <w:spacing w:val="-14"/>
        </w:rPr>
        <w:t> </w:t>
      </w:r>
      <w:r>
        <w:rPr/>
        <w:t>tiene</w:t>
      </w:r>
      <w:r>
        <w:rPr>
          <w:spacing w:val="-12"/>
        </w:rPr>
        <w:t> </w:t>
      </w:r>
      <w:r>
        <w:rPr/>
        <w:t>a</w:t>
      </w:r>
      <w:r>
        <w:rPr>
          <w:spacing w:val="-12"/>
        </w:rPr>
        <w:t> </w:t>
      </w:r>
      <w:r>
        <w:rPr/>
        <w:t>Canadá</w:t>
      </w:r>
      <w:r>
        <w:rPr>
          <w:spacing w:val="-10"/>
        </w:rPr>
        <w:t> </w:t>
      </w:r>
      <w:r>
        <w:rPr/>
        <w:t>con</w:t>
      </w:r>
      <w:r>
        <w:rPr>
          <w:spacing w:val="-13"/>
        </w:rPr>
        <w:t> </w:t>
      </w:r>
      <w:r>
        <w:rPr/>
        <w:t>el</w:t>
      </w:r>
      <w:r>
        <w:rPr>
          <w:spacing w:val="-13"/>
        </w:rPr>
        <w:t> </w:t>
      </w:r>
      <w:r>
        <w:rPr/>
        <w:t>8.0%</w:t>
      </w:r>
      <w:r>
        <w:rPr>
          <w:spacing w:val="-9"/>
        </w:rPr>
        <w:t> </w:t>
      </w:r>
      <w:r>
        <w:rPr/>
        <w:t>y</w:t>
      </w:r>
      <w:r>
        <w:rPr>
          <w:spacing w:val="-16"/>
        </w:rPr>
        <w:t> </w:t>
      </w:r>
      <w:r>
        <w:rPr/>
        <w:t>en</w:t>
      </w:r>
      <w:r>
        <w:rPr>
          <w:spacing w:val="-13"/>
        </w:rPr>
        <w:t> </w:t>
      </w:r>
      <w:r>
        <w:rPr/>
        <w:t>tercer</w:t>
      </w:r>
      <w:r>
        <w:rPr>
          <w:spacing w:val="-14"/>
        </w:rPr>
        <w:t> </w:t>
      </w:r>
      <w:r>
        <w:rPr/>
        <w:t>lugar</w:t>
      </w:r>
      <w:r>
        <w:rPr>
          <w:spacing w:val="-14"/>
        </w:rPr>
        <w:t> </w:t>
      </w:r>
      <w:r>
        <w:rPr/>
        <w:t>está</w:t>
      </w:r>
      <w:r>
        <w:rPr>
          <w:spacing w:val="-14"/>
        </w:rPr>
        <w:t> </w:t>
      </w:r>
      <w:r>
        <w:rPr/>
        <w:t>Brasil</w:t>
      </w:r>
      <w:r>
        <w:rPr>
          <w:spacing w:val="-10"/>
        </w:rPr>
        <w:t> </w:t>
      </w:r>
      <w:r>
        <w:rPr/>
        <w:t>con</w:t>
      </w:r>
      <w:r>
        <w:rPr>
          <w:spacing w:val="-13"/>
        </w:rPr>
        <w:t> </w:t>
      </w:r>
      <w:r>
        <w:rPr/>
        <w:t>el</w:t>
      </w:r>
      <w:r>
        <w:rPr>
          <w:spacing w:val="-11"/>
        </w:rPr>
        <w:t> </w:t>
      </w:r>
      <w:r>
        <w:rPr/>
        <w:t>5.7%</w:t>
      </w:r>
      <w:r>
        <w:rPr>
          <w:spacing w:val="-14"/>
        </w:rPr>
        <w:t> </w:t>
      </w:r>
      <w:r>
        <w:rPr/>
        <w:t>(AMIA,</w:t>
      </w:r>
      <w:r>
        <w:rPr>
          <w:spacing w:val="-13"/>
        </w:rPr>
        <w:t> </w:t>
      </w:r>
      <w:r>
        <w:rPr/>
        <w:t>2013).</w:t>
      </w:r>
    </w:p>
    <w:p>
      <w:pPr>
        <w:pStyle w:val="BodyText"/>
        <w:spacing w:before="4"/>
        <w:rPr>
          <w:sz w:val="21"/>
        </w:rPr>
      </w:pPr>
    </w:p>
    <w:p>
      <w:pPr>
        <w:pStyle w:val="BodyText"/>
        <w:spacing w:line="360" w:lineRule="auto" w:before="1"/>
        <w:ind w:left="102" w:right="116"/>
        <w:jc w:val="both"/>
      </w:pPr>
      <w:r>
        <w:rPr/>
        <w:t>En este sentido, dentro de las empresas que más destacan por su participación en el total de la producción para el mercado externo son: General Motors, Ford, Nissan, Volkswagen y Chrysler. En contraste las empresas más importantes por su participación en el total de la producción destinada para el mercado interno son: Nissan, General Motors y Volkswagen, es importante destacar que la producción de la empresa Toyota se destina principalmente al mercado de exportación (véase gráfica 3.8) (AMIA, 2013).</w:t>
      </w:r>
    </w:p>
    <w:p>
      <w:pPr>
        <w:spacing w:after="0" w:line="360" w:lineRule="auto"/>
        <w:jc w:val="both"/>
        <w:sectPr>
          <w:pgSz w:w="12240" w:h="15840"/>
          <w:pgMar w:header="0" w:footer="1035" w:top="1360" w:bottom="1220" w:left="1600" w:right="1580"/>
        </w:sectPr>
      </w:pPr>
    </w:p>
    <w:p>
      <w:pPr>
        <w:pStyle w:val="Heading1"/>
        <w:spacing w:before="55"/>
        <w:ind w:left="116"/>
        <w:jc w:val="both"/>
      </w:pPr>
      <w:r>
        <w:rPr/>
        <w:pict>
          <v:group style="position:absolute;margin-left:106.904999pt;margin-top:23.158144pt;width:397.6pt;height:170.8pt;mso-position-horizontal-relative:page;mso-position-vertical-relative:paragraph;z-index:4264;mso-wrap-distance-left:0;mso-wrap-distance-right:0" coordorigin="2138,463" coordsize="7952,3416">
            <v:shape style="position:absolute;left:3125;top:658;width:6715;height:2278" type="#_x0000_t75" stroked="false">
              <v:imagedata r:id="rId52" o:title=""/>
            </v:shape>
            <v:line style="position:absolute" from="9319,2556" to="9840,2556" stroked="true" strokeweight=".72pt" strokecolor="#d9d9d9"/>
            <v:line style="position:absolute" from="7670,2556" to="9132,2556" stroked="true" strokeweight=".72pt" strokecolor="#d9d9d9"/>
            <v:line style="position:absolute" from="7402,2556" to="7481,2556" stroked="true" strokeweight=".72pt" strokecolor="#d9d9d9"/>
            <v:line style="position:absolute" from="5753,2556" to="7212,2556" stroked="true" strokeweight=".72pt" strokecolor="#d9d9d9"/>
            <v:line style="position:absolute" from="5482,2556" to="5563,2556" stroked="true" strokeweight=".72pt" strokecolor="#d9d9d9"/>
            <v:line style="position:absolute" from="4524,2556" to="5294,2556" stroked="true" strokeweight=".72pt" strokecolor="#d9d9d9"/>
            <v:line style="position:absolute" from="3564,2556" to="4334,2556" stroked="true" strokeweight=".72pt" strokecolor="#d9d9d9"/>
            <v:line style="position:absolute" from="3125,2556" to="3377,2556" stroked="true" strokeweight=".72pt" strokecolor="#d9d9d9"/>
            <v:line style="position:absolute" from="9319,2177" to="9840,2177" stroked="true" strokeweight=".72pt" strokecolor="#d9d9d9"/>
            <v:line style="position:absolute" from="7670,2177" to="9132,2177" stroked="true" strokeweight=".72pt" strokecolor="#d9d9d9"/>
            <v:line style="position:absolute" from="7402,2177" to="7481,2177" stroked="true" strokeweight=".72pt" strokecolor="#d9d9d9"/>
            <v:line style="position:absolute" from="5482,2177" to="7212,2177" stroked="true" strokeweight=".72pt" strokecolor="#d9d9d9"/>
            <v:line style="position:absolute" from="4524,2177" to="5294,2177" stroked="true" strokeweight=".72pt" strokecolor="#d9d9d9"/>
            <v:line style="position:absolute" from="3564,2177" to="4334,2177" stroked="true" strokeweight=".72pt" strokecolor="#d9d9d9"/>
            <v:line style="position:absolute" from="3125,2177" to="3377,2177" stroked="true" strokeweight=".72pt" strokecolor="#d9d9d9"/>
            <v:line style="position:absolute" from="9319,1798" to="9840,1798" stroked="true" strokeweight=".72pt" strokecolor="#d9d9d9"/>
            <v:line style="position:absolute" from="7402,1798" to="9132,1798" stroked="true" strokeweight=".72pt" strokecolor="#d9d9d9"/>
            <v:line style="position:absolute" from="5482,1798" to="7212,1798" stroked="true" strokeweight=".72pt" strokecolor="#d9d9d9"/>
            <v:line style="position:absolute" from="4524,1798" to="5294,1798" stroked="true" strokeweight=".72pt" strokecolor="#d9d9d9"/>
            <v:line style="position:absolute" from="3564,1798" to="4334,1798" stroked="true" strokeweight=".72pt" strokecolor="#d9d9d9"/>
            <v:line style="position:absolute" from="3125,1798" to="3377,1798" stroked="true" strokeweight=".72pt" strokecolor="#d9d9d9"/>
            <v:line style="position:absolute" from="9319,1419" to="9840,1419" stroked="true" strokeweight=".72pt" strokecolor="#d9d9d9"/>
            <v:line style="position:absolute" from="7402,1419" to="9132,1419" stroked="true" strokeweight=".72pt" strokecolor="#d9d9d9"/>
            <v:line style="position:absolute" from="5482,1419" to="7212,1419" stroked="true" strokeweight=".72pt" strokecolor="#d9d9d9"/>
            <v:line style="position:absolute" from="4524,1419" to="5294,1419" stroked="true" strokeweight=".72pt" strokecolor="#d9d9d9"/>
            <v:line style="position:absolute" from="3564,1419" to="4334,1419" stroked="true" strokeweight=".72pt" strokecolor="#d9d9d9"/>
            <v:line style="position:absolute" from="3125,1419" to="3377,1419" stroked="true" strokeweight=".72pt" strokecolor="#d9d9d9"/>
            <v:line style="position:absolute" from="5482,1039" to="9840,1039" stroked="true" strokeweight=".72pt" strokecolor="#d9d9d9"/>
            <v:line style="position:absolute" from="4524,1039" to="5294,1039" stroked="true" strokeweight=".72pt" strokecolor="#d9d9d9"/>
            <v:line style="position:absolute" from="3125,1039" to="4334,1039" stroked="true" strokeweight=".72pt" strokecolor="#d9d9d9"/>
            <v:line style="position:absolute" from="3125,658" to="9840,658" stroked="true" strokeweight=".72pt" strokecolor="#d9d9d9"/>
            <v:line style="position:absolute" from="3125,658" to="3125,2935" stroked="true" strokeweight=".72pt" strokecolor="#d9d9d9"/>
            <v:line style="position:absolute" from="4085,658" to="4085,2935" stroked="true" strokeweight=".72pt" strokecolor="#d9d9d9"/>
            <v:line style="position:absolute" from="5042,658" to="5042,2935" stroked="true" strokeweight=".72pt" strokecolor="#d9d9d9"/>
            <v:line style="position:absolute" from="6002,658" to="6002,2935" stroked="true" strokeweight=".72pt" strokecolor="#d9d9d9"/>
            <v:line style="position:absolute" from="6962,658" to="6962,2935" stroked="true" strokeweight=".72pt" strokecolor="#d9d9d9"/>
            <v:line style="position:absolute" from="7920,658" to="7920,2935" stroked="true" strokeweight=".72pt" strokecolor="#d9d9d9"/>
            <v:line style="position:absolute" from="8880,658" to="8880,2935" stroked="true" strokeweight=".72pt" strokecolor="#d9d9d9"/>
            <v:line style="position:absolute" from="9840,658" to="9840,2935" stroked="true" strokeweight=".72pt" strokecolor="#d9d9d9"/>
            <v:rect style="position:absolute;left:3377;top:1368;width:187;height:1567" filled="true" fillcolor="#539e39" stroked="false">
              <v:fill type="solid"/>
            </v:rect>
            <v:rect style="position:absolute;left:4334;top:1015;width:190;height:1920" filled="true" fillcolor="#539e39" stroked="false">
              <v:fill type="solid"/>
            </v:rect>
            <v:rect style="position:absolute;left:6254;top:2789;width:187;height:146" filled="true" fillcolor="#539e39" stroked="false">
              <v:fill type="solid"/>
            </v:rect>
            <v:rect style="position:absolute;left:8172;top:2693;width:187;height:242" filled="true" fillcolor="#539e39" stroked="false">
              <v:fill type="solid"/>
            </v:rect>
            <v:rect style="position:absolute;left:9132;top:1351;width:187;height:1584" filled="true" fillcolor="#539e39" stroked="false">
              <v:fill type="solid"/>
            </v:rect>
            <v:rect style="position:absolute;left:3646;top:2835;width:187;height:101" filled="true" fillcolor="#89b833" stroked="false">
              <v:fill type="solid"/>
            </v:rect>
            <v:line style="position:absolute" from="4603,2898" to="4793,2898" stroked="true" strokeweight="3.72pt" strokecolor="#89b833"/>
            <v:rect style="position:absolute;left:5563;top:2470;width:190;height:466" filled="true" fillcolor="#89b833" stroked="false">
              <v:fill type="solid"/>
            </v:rect>
            <v:rect style="position:absolute;left:6523;top:2839;width:187;height:96" filled="true" fillcolor="#89b833" stroked="false">
              <v:fill type="solid"/>
            </v:rect>
            <v:rect style="position:absolute;left:7481;top:2050;width:190;height:886" filled="true" fillcolor="#89b833" stroked="false">
              <v:fill type="solid"/>
            </v:rect>
            <v:rect style="position:absolute;left:9401;top:2561;width:187;height:374" filled="true" fillcolor="#89b833" stroked="false">
              <v:fill type="solid"/>
            </v:rect>
            <v:line style="position:absolute" from="3125,2935" to="9840,2935" stroked="true" strokeweight=".72pt" strokecolor="#d9d9d9"/>
            <v:line style="position:absolute" from="6348,2789" to="6281,2628" stroked="true" strokeweight=".72pt" strokecolor="#a6a6a6"/>
            <v:line style="position:absolute" from="2880,3615" to="2950,3615" stroked="true" strokeweight="3.6pt" strokecolor="#539e39"/>
            <v:line style="position:absolute" from="6605,3615" to="6674,3615" stroked="true" strokeweight="3.6pt" strokecolor="#89b833"/>
            <v:rect style="position:absolute;left:2146;top:471;width:7937;height:3401" filled="false" stroked="true" strokeweight=".72pt" strokecolor="#d9d9d9"/>
            <v:shape style="position:absolute;left:5294;top:951;width:188;height:1985" type="#_x0000_t202" filled="true" fillcolor="#539e39" stroked="false">
              <v:textbox inset="0,0,0,0">
                <w:txbxContent>
                  <w:p>
                    <w:pPr>
                      <w:spacing w:line="240" w:lineRule="auto" w:before="0"/>
                      <w:rPr>
                        <w:b/>
                        <w:sz w:val="16"/>
                      </w:rPr>
                    </w:pPr>
                  </w:p>
                  <w:p>
                    <w:pPr>
                      <w:spacing w:line="240" w:lineRule="auto" w:before="0"/>
                      <w:rPr>
                        <w:b/>
                        <w:sz w:val="16"/>
                      </w:rPr>
                    </w:pPr>
                  </w:p>
                  <w:p>
                    <w:pPr>
                      <w:spacing w:line="240" w:lineRule="auto" w:before="0"/>
                      <w:rPr>
                        <w:b/>
                        <w:sz w:val="16"/>
                      </w:rPr>
                    </w:pPr>
                  </w:p>
                  <w:p>
                    <w:pPr>
                      <w:spacing w:line="240" w:lineRule="auto" w:before="0"/>
                      <w:rPr>
                        <w:b/>
                        <w:sz w:val="16"/>
                      </w:rPr>
                    </w:pPr>
                  </w:p>
                  <w:p>
                    <w:pPr>
                      <w:spacing w:line="240" w:lineRule="auto" w:before="0"/>
                      <w:rPr>
                        <w:b/>
                        <w:sz w:val="16"/>
                      </w:rPr>
                    </w:pPr>
                  </w:p>
                  <w:p>
                    <w:pPr>
                      <w:spacing w:line="240" w:lineRule="auto" w:before="0"/>
                      <w:rPr>
                        <w:b/>
                        <w:sz w:val="16"/>
                      </w:rPr>
                    </w:pPr>
                  </w:p>
                  <w:p>
                    <w:pPr>
                      <w:spacing w:before="141"/>
                      <w:ind w:left="98" w:right="0" w:firstLine="0"/>
                      <w:jc w:val="left"/>
                      <w:rPr>
                        <w:sz w:val="16"/>
                      </w:rPr>
                    </w:pPr>
                    <w:r>
                      <w:rPr>
                        <w:color w:val="404040"/>
                        <w:w w:val="100"/>
                        <w:sz w:val="16"/>
                      </w:rPr>
                      <w:t>1</w:t>
                    </w:r>
                  </w:p>
                </w:txbxContent>
              </v:textbox>
              <v:fill type="solid"/>
              <w10:wrap type="none"/>
            </v:shape>
            <v:shape style="position:absolute;left:7212;top:1239;width:190;height:1697" type="#_x0000_t202" filled="true" fillcolor="#539e39" stroked="false">
              <v:textbox inset="0,0,0,0">
                <w:txbxContent>
                  <w:p>
                    <w:pPr>
                      <w:spacing w:line="240" w:lineRule="auto" w:before="0"/>
                      <w:rPr>
                        <w:b/>
                        <w:sz w:val="16"/>
                      </w:rPr>
                    </w:pPr>
                  </w:p>
                  <w:p>
                    <w:pPr>
                      <w:spacing w:line="240" w:lineRule="auto" w:before="0"/>
                      <w:rPr>
                        <w:b/>
                        <w:sz w:val="16"/>
                      </w:rPr>
                    </w:pPr>
                  </w:p>
                  <w:p>
                    <w:pPr>
                      <w:spacing w:line="240" w:lineRule="auto" w:before="8"/>
                      <w:rPr>
                        <w:b/>
                        <w:sz w:val="14"/>
                      </w:rPr>
                    </w:pPr>
                  </w:p>
                  <w:p>
                    <w:pPr>
                      <w:spacing w:before="0"/>
                      <w:ind w:left="99" w:right="0" w:firstLine="0"/>
                      <w:jc w:val="left"/>
                      <w:rPr>
                        <w:sz w:val="16"/>
                      </w:rPr>
                    </w:pPr>
                    <w:r>
                      <w:rPr>
                        <w:color w:val="404040"/>
                        <w:w w:val="100"/>
                        <w:sz w:val="16"/>
                      </w:rPr>
                      <w:t>2</w:t>
                    </w:r>
                  </w:p>
                </w:txbxContent>
              </v:textbox>
              <v:fill type="solid"/>
              <w10:wrap type="none"/>
            </v:shape>
            <v:shape style="position:absolute;left:2388;top:571;width:584;height:180" type="#_x0000_t202" filled="false" stroked="false">
              <v:textbox inset="0,0,0,0">
                <w:txbxContent>
                  <w:p>
                    <w:pPr>
                      <w:spacing w:line="180" w:lineRule="exact" w:before="0"/>
                      <w:ind w:left="0" w:right="-15" w:firstLine="0"/>
                      <w:jc w:val="left"/>
                      <w:rPr>
                        <w:sz w:val="18"/>
                      </w:rPr>
                    </w:pPr>
                    <w:r>
                      <w:rPr>
                        <w:color w:val="585858"/>
                        <w:spacing w:val="-1"/>
                        <w:sz w:val="18"/>
                      </w:rPr>
                      <w:t>600,000</w:t>
                    </w:r>
                  </w:p>
                </w:txbxContent>
              </v:textbox>
              <w10:wrap type="none"/>
            </v:shape>
            <v:shape style="position:absolute;left:4164;top:761;width:526;height:161" type="#_x0000_t202" filled="false" stroked="false">
              <v:textbox inset="0,0,0,0">
                <w:txbxContent>
                  <w:p>
                    <w:pPr>
                      <w:spacing w:line="161" w:lineRule="exact" w:before="0"/>
                      <w:ind w:left="0" w:right="-14" w:firstLine="0"/>
                      <w:jc w:val="left"/>
                      <w:rPr>
                        <w:sz w:val="16"/>
                      </w:rPr>
                    </w:pPr>
                    <w:r>
                      <w:rPr>
                        <w:color w:val="404040"/>
                        <w:sz w:val="16"/>
                      </w:rPr>
                      <w:t>506,021</w:t>
                    </w:r>
                  </w:p>
                </w:txbxContent>
              </v:textbox>
              <w10:wrap type="none"/>
            </v:shape>
            <v:shape style="position:absolute;left:5124;top:695;width:526;height:161" type="#_x0000_t202" filled="false" stroked="false">
              <v:textbox inset="0,0,0,0">
                <w:txbxContent>
                  <w:p>
                    <w:pPr>
                      <w:spacing w:line="161" w:lineRule="exact" w:before="0"/>
                      <w:ind w:left="0" w:right="-14" w:firstLine="0"/>
                      <w:jc w:val="left"/>
                      <w:rPr>
                        <w:sz w:val="16"/>
                      </w:rPr>
                    </w:pPr>
                    <w:r>
                      <w:rPr>
                        <w:color w:val="404040"/>
                        <w:sz w:val="16"/>
                      </w:rPr>
                      <w:t>523,378</w:t>
                    </w:r>
                  </w:p>
                </w:txbxContent>
              </v:textbox>
              <w10:wrap type="none"/>
            </v:shape>
            <v:shape style="position:absolute;left:2388;top:950;width:584;height:560" type="#_x0000_t202" filled="false" stroked="false">
              <v:textbox inset="0,0,0,0">
                <w:txbxContent>
                  <w:p>
                    <w:pPr>
                      <w:spacing w:line="184" w:lineRule="exact" w:before="0"/>
                      <w:ind w:left="0" w:right="-15" w:firstLine="0"/>
                      <w:jc w:val="left"/>
                      <w:rPr>
                        <w:sz w:val="18"/>
                      </w:rPr>
                    </w:pPr>
                    <w:r>
                      <w:rPr>
                        <w:color w:val="585858"/>
                        <w:spacing w:val="-1"/>
                        <w:sz w:val="18"/>
                      </w:rPr>
                      <w:t>500,000</w:t>
                    </w:r>
                  </w:p>
                  <w:p>
                    <w:pPr>
                      <w:spacing w:line="240" w:lineRule="auto" w:before="11"/>
                      <w:rPr>
                        <w:b/>
                        <w:sz w:val="14"/>
                      </w:rPr>
                    </w:pPr>
                  </w:p>
                  <w:p>
                    <w:pPr>
                      <w:spacing w:line="203" w:lineRule="exact" w:before="0"/>
                      <w:ind w:left="0" w:right="-15" w:firstLine="0"/>
                      <w:jc w:val="left"/>
                      <w:rPr>
                        <w:sz w:val="18"/>
                      </w:rPr>
                    </w:pPr>
                    <w:r>
                      <w:rPr>
                        <w:color w:val="585858"/>
                        <w:spacing w:val="-1"/>
                        <w:sz w:val="18"/>
                      </w:rPr>
                      <w:t>400,000</w:t>
                    </w:r>
                  </w:p>
                </w:txbxContent>
              </v:textbox>
              <w10:wrap type="none"/>
            </v:shape>
            <v:shape style="position:absolute;left:7043;top:985;width:529;height:161" type="#_x0000_t202" filled="false" stroked="false">
              <v:textbox inset="0,0,0,0">
                <w:txbxContent>
                  <w:p>
                    <w:pPr>
                      <w:spacing w:line="161" w:lineRule="exact" w:before="0"/>
                      <w:ind w:left="0" w:right="-11" w:firstLine="0"/>
                      <w:jc w:val="left"/>
                      <w:rPr>
                        <w:sz w:val="16"/>
                      </w:rPr>
                    </w:pPr>
                    <w:r>
                      <w:rPr>
                        <w:color w:val="404040"/>
                        <w:sz w:val="16"/>
                      </w:rPr>
                      <w:t>446,918</w:t>
                    </w:r>
                  </w:p>
                </w:txbxContent>
              </v:textbox>
              <w10:wrap type="none"/>
            </v:shape>
            <v:shape style="position:absolute;left:3205;top:1115;width:529;height:161" type="#_x0000_t202" filled="false" stroked="false">
              <v:textbox inset="0,0,0,0">
                <w:txbxContent>
                  <w:p>
                    <w:pPr>
                      <w:spacing w:line="161" w:lineRule="exact" w:before="0"/>
                      <w:ind w:left="0" w:right="-11" w:firstLine="0"/>
                      <w:jc w:val="left"/>
                      <w:rPr>
                        <w:sz w:val="16"/>
                      </w:rPr>
                    </w:pPr>
                    <w:r>
                      <w:rPr>
                        <w:color w:val="404040"/>
                        <w:sz w:val="16"/>
                      </w:rPr>
                      <w:t>412,784</w:t>
                    </w:r>
                  </w:p>
                </w:txbxContent>
              </v:textbox>
              <w10:wrap type="none"/>
            </v:shape>
            <v:shape style="position:absolute;left:8962;top:1097;width:526;height:161" type="#_x0000_t202" filled="false" stroked="false">
              <v:textbox inset="0,0,0,0">
                <w:txbxContent>
                  <w:p>
                    <w:pPr>
                      <w:spacing w:line="161" w:lineRule="exact" w:before="0"/>
                      <w:ind w:left="0" w:right="-14" w:firstLine="0"/>
                      <w:jc w:val="left"/>
                      <w:rPr>
                        <w:sz w:val="16"/>
                      </w:rPr>
                    </w:pPr>
                    <w:r>
                      <w:rPr>
                        <w:color w:val="404040"/>
                        <w:sz w:val="16"/>
                      </w:rPr>
                      <w:t>417,430</w:t>
                    </w:r>
                  </w:p>
                </w:txbxContent>
              </v:textbox>
              <w10:wrap type="none"/>
            </v:shape>
            <v:shape style="position:absolute;left:2388;top:1709;width:584;height:180" type="#_x0000_t202" filled="false" stroked="false">
              <v:textbox inset="0,0,0,0">
                <w:txbxContent>
                  <w:p>
                    <w:pPr>
                      <w:spacing w:line="180" w:lineRule="exact" w:before="0"/>
                      <w:ind w:left="0" w:right="-15" w:firstLine="0"/>
                      <w:jc w:val="left"/>
                      <w:rPr>
                        <w:sz w:val="18"/>
                      </w:rPr>
                    </w:pPr>
                    <w:r>
                      <w:rPr>
                        <w:color w:val="585858"/>
                        <w:spacing w:val="-1"/>
                        <w:sz w:val="18"/>
                      </w:rPr>
                      <w:t>300,000</w:t>
                    </w:r>
                  </w:p>
                </w:txbxContent>
              </v:textbox>
              <w10:wrap type="none"/>
            </v:shape>
            <v:shape style="position:absolute;left:7393;top:1796;width:445;height:161" type="#_x0000_t202" filled="false" stroked="false">
              <v:textbox inset="0,0,0,0">
                <w:txbxContent>
                  <w:p>
                    <w:pPr>
                      <w:spacing w:line="161" w:lineRule="exact" w:before="0"/>
                      <w:ind w:left="0" w:right="-15" w:firstLine="0"/>
                      <w:jc w:val="left"/>
                      <w:rPr>
                        <w:sz w:val="16"/>
                      </w:rPr>
                    </w:pPr>
                    <w:r>
                      <w:rPr>
                        <w:color w:val="404040"/>
                        <w:sz w:val="16"/>
                      </w:rPr>
                      <w:t>33,295</w:t>
                    </w:r>
                  </w:p>
                </w:txbxContent>
              </v:textbox>
              <w10:wrap type="none"/>
            </v:shape>
            <v:shape style="position:absolute;left:2388;top:2088;width:584;height:180" type="#_x0000_t202" filled="false" stroked="false">
              <v:textbox inset="0,0,0,0">
                <w:txbxContent>
                  <w:p>
                    <w:pPr>
                      <w:spacing w:line="180" w:lineRule="exact" w:before="0"/>
                      <w:ind w:left="0" w:right="-15" w:firstLine="0"/>
                      <w:jc w:val="left"/>
                      <w:rPr>
                        <w:sz w:val="18"/>
                      </w:rPr>
                    </w:pPr>
                    <w:r>
                      <w:rPr>
                        <w:color w:val="585858"/>
                        <w:spacing w:val="-1"/>
                        <w:sz w:val="18"/>
                      </w:rPr>
                      <w:t>200,000</w:t>
                    </w:r>
                  </w:p>
                </w:txbxContent>
              </v:textbox>
              <w10:wrap type="none"/>
            </v:shape>
            <v:shape style="position:absolute;left:5474;top:2216;width:445;height:161" type="#_x0000_t202" filled="false" stroked="false">
              <v:textbox inset="0,0,0,0">
                <w:txbxContent>
                  <w:p>
                    <w:pPr>
                      <w:spacing w:line="161" w:lineRule="exact" w:before="0"/>
                      <w:ind w:left="0" w:right="-15" w:firstLine="0"/>
                      <w:jc w:val="left"/>
                      <w:rPr>
                        <w:sz w:val="16"/>
                      </w:rPr>
                    </w:pPr>
                    <w:r>
                      <w:rPr>
                        <w:color w:val="404040"/>
                        <w:sz w:val="16"/>
                      </w:rPr>
                      <w:t>22,445</w:t>
                    </w:r>
                  </w:p>
                </w:txbxContent>
              </v:textbox>
              <w10:wrap type="none"/>
            </v:shape>
            <v:shape style="position:absolute;left:9271;top:2306;width:447;height:161" type="#_x0000_t202" filled="false" stroked="false">
              <v:textbox inset="0,0,0,0">
                <w:txbxContent>
                  <w:p>
                    <w:pPr>
                      <w:spacing w:line="161" w:lineRule="exact" w:before="0"/>
                      <w:ind w:left="0" w:right="-13" w:firstLine="0"/>
                      <w:jc w:val="left"/>
                      <w:rPr>
                        <w:sz w:val="16"/>
                      </w:rPr>
                    </w:pPr>
                    <w:r>
                      <w:rPr>
                        <w:color w:val="404040"/>
                        <w:sz w:val="16"/>
                      </w:rPr>
                      <w:t>98,716</w:t>
                    </w:r>
                  </w:p>
                </w:txbxContent>
              </v:textbox>
              <w10:wrap type="none"/>
            </v:shape>
            <v:shape style="position:absolute;left:2388;top:2468;width:584;height:180" type="#_x0000_t202" filled="false" stroked="false">
              <v:textbox inset="0,0,0,0">
                <w:txbxContent>
                  <w:p>
                    <w:pPr>
                      <w:spacing w:line="180" w:lineRule="exact" w:before="0"/>
                      <w:ind w:left="0" w:right="-15" w:firstLine="0"/>
                      <w:jc w:val="left"/>
                      <w:rPr>
                        <w:sz w:val="18"/>
                      </w:rPr>
                    </w:pPr>
                    <w:r>
                      <w:rPr>
                        <w:color w:val="585858"/>
                        <w:spacing w:val="-1"/>
                        <w:sz w:val="18"/>
                      </w:rPr>
                      <w:t>100,000</w:t>
                    </w:r>
                  </w:p>
                </w:txbxContent>
              </v:textbox>
              <w10:wrap type="none"/>
            </v:shape>
            <v:shape style="position:absolute;left:6058;top:2434;width:447;height:161" type="#_x0000_t202" filled="false" stroked="false">
              <v:textbox inset="0,0,0,0">
                <w:txbxContent>
                  <w:p>
                    <w:pPr>
                      <w:spacing w:line="161" w:lineRule="exact" w:before="0"/>
                      <w:ind w:left="0" w:right="-13" w:firstLine="0"/>
                      <w:jc w:val="left"/>
                      <w:rPr>
                        <w:sz w:val="16"/>
                      </w:rPr>
                    </w:pPr>
                    <w:r>
                      <w:rPr>
                        <w:color w:val="404040"/>
                        <w:sz w:val="16"/>
                      </w:rPr>
                      <w:t>38,090</w:t>
                    </w:r>
                  </w:p>
                </w:txbxContent>
              </v:textbox>
              <w10:wrap type="none"/>
            </v:shape>
            <v:shape style="position:absolute;left:8043;top:2439;width:447;height:161" type="#_x0000_t202" filled="false" stroked="false">
              <v:textbox inset="0,0,0,0">
                <w:txbxContent>
                  <w:p>
                    <w:pPr>
                      <w:spacing w:line="161" w:lineRule="exact" w:before="0"/>
                      <w:ind w:left="0" w:right="-13" w:firstLine="0"/>
                      <w:jc w:val="left"/>
                      <w:rPr>
                        <w:sz w:val="16"/>
                      </w:rPr>
                    </w:pPr>
                    <w:r>
                      <w:rPr>
                        <w:color w:val="404040"/>
                        <w:sz w:val="16"/>
                      </w:rPr>
                      <w:t>63,724</w:t>
                    </w:r>
                  </w:p>
                </w:txbxContent>
              </v:textbox>
              <w10:wrap type="none"/>
            </v:shape>
            <v:shape style="position:absolute;left:3515;top:2581;width:447;height:161" type="#_x0000_t202" filled="false" stroked="false">
              <v:textbox inset="0,0,0,0">
                <w:txbxContent>
                  <w:p>
                    <w:pPr>
                      <w:spacing w:line="161" w:lineRule="exact" w:before="0"/>
                      <w:ind w:left="0" w:right="-13" w:firstLine="0"/>
                      <w:jc w:val="left"/>
                      <w:rPr>
                        <w:sz w:val="16"/>
                      </w:rPr>
                    </w:pPr>
                    <w:r>
                      <w:rPr>
                        <w:color w:val="404040"/>
                        <w:sz w:val="16"/>
                      </w:rPr>
                      <w:t>26,326</w:t>
                    </w:r>
                  </w:p>
                </w:txbxContent>
              </v:textbox>
              <w10:wrap type="none"/>
            </v:shape>
            <v:shape style="position:absolute;left:4475;top:2608;width:447;height:161" type="#_x0000_t202" filled="false" stroked="false">
              <v:textbox inset="0,0,0,0">
                <w:txbxContent>
                  <w:p>
                    <w:pPr>
                      <w:spacing w:line="161" w:lineRule="exact" w:before="0"/>
                      <w:ind w:left="0" w:right="-13" w:firstLine="0"/>
                      <w:jc w:val="left"/>
                      <w:rPr>
                        <w:sz w:val="16"/>
                      </w:rPr>
                    </w:pPr>
                    <w:r>
                      <w:rPr>
                        <w:color w:val="404040"/>
                        <w:sz w:val="16"/>
                      </w:rPr>
                      <w:t>19,199</w:t>
                    </w:r>
                  </w:p>
                </w:txbxContent>
              </v:textbox>
              <w10:wrap type="none"/>
            </v:shape>
            <v:shape style="position:absolute;left:6548;top:2585;width:447;height:161" type="#_x0000_t202" filled="false" stroked="false">
              <v:textbox inset="0,0,0,0">
                <w:txbxContent>
                  <w:p>
                    <w:pPr>
                      <w:spacing w:line="161" w:lineRule="exact" w:before="0"/>
                      <w:ind w:left="0" w:right="-13" w:firstLine="0"/>
                      <w:jc w:val="left"/>
                      <w:rPr>
                        <w:sz w:val="16"/>
                      </w:rPr>
                    </w:pPr>
                    <w:r>
                      <w:rPr>
                        <w:color w:val="404040"/>
                        <w:sz w:val="16"/>
                      </w:rPr>
                      <w:t>25,139</w:t>
                    </w:r>
                  </w:p>
                </w:txbxContent>
              </v:textbox>
              <w10:wrap type="none"/>
            </v:shape>
            <v:shape style="position:absolute;left:2882;top:2847;width:90;height:180" type="#_x0000_t202" filled="false" stroked="false">
              <v:textbox inset="0,0,0,0">
                <w:txbxContent>
                  <w:p>
                    <w:pPr>
                      <w:spacing w:line="180" w:lineRule="exact" w:before="0"/>
                      <w:ind w:left="0" w:right="0" w:firstLine="0"/>
                      <w:jc w:val="left"/>
                      <w:rPr>
                        <w:sz w:val="18"/>
                      </w:rPr>
                    </w:pPr>
                    <w:r>
                      <w:rPr>
                        <w:color w:val="585858"/>
                        <w:sz w:val="18"/>
                      </w:rPr>
                      <w:t>0</w:t>
                    </w:r>
                  </w:p>
                </w:txbxContent>
              </v:textbox>
              <w10:wrap type="none"/>
            </v:shape>
            <v:shape style="position:absolute;left:3292;top:3018;width:1665;height:120" type="#_x0000_t202" filled="false" stroked="false">
              <v:textbox inset="0,0,0,0">
                <w:txbxContent>
                  <w:p>
                    <w:pPr>
                      <w:tabs>
                        <w:tab w:pos="881" w:val="left" w:leader="none"/>
                      </w:tabs>
                      <w:spacing w:line="120" w:lineRule="exact" w:before="0"/>
                      <w:ind w:left="0" w:right="0" w:firstLine="0"/>
                      <w:jc w:val="left"/>
                      <w:rPr>
                        <w:sz w:val="12"/>
                      </w:rPr>
                    </w:pPr>
                    <w:r>
                      <w:rPr>
                        <w:color w:val="585858"/>
                        <w:sz w:val="12"/>
                      </w:rPr>
                      <w:t>CHRYSLER</w:t>
                      <w:tab/>
                      <w:t>FORD</w:t>
                    </w:r>
                    <w:r>
                      <w:rPr>
                        <w:color w:val="585858"/>
                        <w:spacing w:val="-5"/>
                        <w:sz w:val="12"/>
                      </w:rPr>
                      <w:t> </w:t>
                    </w:r>
                    <w:r>
                      <w:rPr>
                        <w:color w:val="585858"/>
                        <w:sz w:val="12"/>
                      </w:rPr>
                      <w:t>MOTOR</w:t>
                    </w:r>
                  </w:p>
                </w:txbxContent>
              </v:textbox>
              <w10:wrap type="none"/>
            </v:shape>
            <v:shape style="position:absolute;left:5244;top:3018;width:561;height:259" type="#_x0000_t202" filled="false" stroked="false">
              <v:textbox inset="0,0,0,0">
                <w:txbxContent>
                  <w:p>
                    <w:pPr>
                      <w:spacing w:line="123" w:lineRule="exact" w:before="0"/>
                      <w:ind w:left="30" w:right="-18" w:hanging="31"/>
                      <w:jc w:val="left"/>
                      <w:rPr>
                        <w:sz w:val="12"/>
                      </w:rPr>
                    </w:pPr>
                    <w:r>
                      <w:rPr>
                        <w:color w:val="585858"/>
                        <w:sz w:val="12"/>
                      </w:rPr>
                      <w:t>GENERAL</w:t>
                    </w:r>
                  </w:p>
                  <w:p>
                    <w:pPr>
                      <w:spacing w:line="135" w:lineRule="exact" w:before="0"/>
                      <w:ind w:left="30" w:right="-18" w:firstLine="0"/>
                      <w:jc w:val="left"/>
                      <w:rPr>
                        <w:sz w:val="12"/>
                      </w:rPr>
                    </w:pPr>
                    <w:r>
                      <w:rPr>
                        <w:color w:val="585858"/>
                        <w:sz w:val="12"/>
                      </w:rPr>
                      <w:t>MOTORS</w:t>
                    </w:r>
                  </w:p>
                </w:txbxContent>
              </v:textbox>
              <w10:wrap type="none"/>
            </v:shape>
            <v:shape style="position:absolute;left:6267;top:3018;width:435;height:120" type="#_x0000_t202" filled="false" stroked="false">
              <v:textbox inset="0,0,0,0">
                <w:txbxContent>
                  <w:p>
                    <w:pPr>
                      <w:spacing w:line="120" w:lineRule="exact" w:before="0"/>
                      <w:ind w:left="0" w:right="-19" w:firstLine="0"/>
                      <w:jc w:val="left"/>
                      <w:rPr>
                        <w:sz w:val="12"/>
                      </w:rPr>
                    </w:pPr>
                    <w:r>
                      <w:rPr>
                        <w:color w:val="585858"/>
                        <w:sz w:val="12"/>
                      </w:rPr>
                      <w:t>HONDA</w:t>
                    </w:r>
                  </w:p>
                </w:txbxContent>
              </v:textbox>
              <w10:wrap type="none"/>
            </v:shape>
            <v:shape style="position:absolute;left:7226;top:3018;width:435;height:120" type="#_x0000_t202" filled="false" stroked="false">
              <v:textbox inset="0,0,0,0">
                <w:txbxContent>
                  <w:p>
                    <w:pPr>
                      <w:spacing w:line="120" w:lineRule="exact" w:before="0"/>
                      <w:ind w:left="0" w:right="-19" w:firstLine="0"/>
                      <w:jc w:val="left"/>
                      <w:rPr>
                        <w:sz w:val="12"/>
                      </w:rPr>
                    </w:pPr>
                    <w:r>
                      <w:rPr>
                        <w:color w:val="585858"/>
                        <w:sz w:val="12"/>
                      </w:rPr>
                      <w:t>NISSAN</w:t>
                    </w:r>
                  </w:p>
                </w:txbxContent>
              </v:textbox>
              <w10:wrap type="none"/>
            </v:shape>
            <v:shape style="position:absolute;left:8156;top:3018;width:1631;height:120" type="#_x0000_t202" filled="false" stroked="false">
              <v:textbox inset="0,0,0,0">
                <w:txbxContent>
                  <w:p>
                    <w:pPr>
                      <w:tabs>
                        <w:tab w:pos="782" w:val="left" w:leader="none"/>
                      </w:tabs>
                      <w:spacing w:line="120" w:lineRule="exact" w:before="0"/>
                      <w:ind w:left="0" w:right="0" w:firstLine="0"/>
                      <w:jc w:val="left"/>
                      <w:rPr>
                        <w:sz w:val="12"/>
                      </w:rPr>
                    </w:pPr>
                    <w:r>
                      <w:rPr>
                        <w:color w:val="585858"/>
                        <w:sz w:val="12"/>
                      </w:rPr>
                      <w:t>TOYOTA</w:t>
                      <w:tab/>
                      <w:t>VOLKSWAGEN</w:t>
                    </w:r>
                  </w:p>
                </w:txbxContent>
              </v:textbox>
              <w10:wrap type="none"/>
            </v:shape>
            <v:shape style="position:absolute;left:2977;top:3547;width:3295;height:140" type="#_x0000_t202" filled="false" stroked="false">
              <v:textbox inset="0,0,0,0">
                <w:txbxContent>
                  <w:p>
                    <w:pPr>
                      <w:spacing w:line="139" w:lineRule="exact" w:before="0"/>
                      <w:ind w:left="0" w:right="-6" w:firstLine="0"/>
                      <w:jc w:val="left"/>
                      <w:rPr>
                        <w:sz w:val="14"/>
                      </w:rPr>
                    </w:pPr>
                    <w:r>
                      <w:rPr>
                        <w:color w:val="585858"/>
                        <w:sz w:val="14"/>
                      </w:rPr>
                      <w:t>PRODUCCION PARA MERCADO DE</w:t>
                    </w:r>
                    <w:r>
                      <w:rPr>
                        <w:color w:val="585858"/>
                        <w:spacing w:val="-18"/>
                        <w:sz w:val="14"/>
                      </w:rPr>
                      <w:t> </w:t>
                    </w:r>
                    <w:r>
                      <w:rPr>
                        <w:color w:val="585858"/>
                        <w:sz w:val="14"/>
                      </w:rPr>
                      <w:t>EXPORTACION</w:t>
                    </w:r>
                  </w:p>
                </w:txbxContent>
              </v:textbox>
              <w10:wrap type="none"/>
            </v:shape>
            <v:shape style="position:absolute;left:6703;top:3547;width:2700;height:140" type="#_x0000_t202" filled="false" stroked="false">
              <v:textbox inset="0,0,0,0">
                <w:txbxContent>
                  <w:p>
                    <w:pPr>
                      <w:spacing w:line="139" w:lineRule="exact" w:before="0"/>
                      <w:ind w:left="0" w:right="-7" w:firstLine="0"/>
                      <w:jc w:val="left"/>
                      <w:rPr>
                        <w:sz w:val="14"/>
                      </w:rPr>
                    </w:pPr>
                    <w:r>
                      <w:rPr>
                        <w:color w:val="585858"/>
                        <w:sz w:val="14"/>
                      </w:rPr>
                      <w:t>PRODUCCION PARA MERCADO</w:t>
                    </w:r>
                    <w:r>
                      <w:rPr>
                        <w:color w:val="585858"/>
                        <w:spacing w:val="-16"/>
                        <w:sz w:val="14"/>
                      </w:rPr>
                      <w:t> </w:t>
                    </w:r>
                    <w:r>
                      <w:rPr>
                        <w:color w:val="585858"/>
                        <w:sz w:val="14"/>
                      </w:rPr>
                      <w:t>INTERNO</w:t>
                    </w:r>
                  </w:p>
                </w:txbxContent>
              </v:textbox>
              <w10:wrap type="none"/>
            </v:shape>
            <w10:wrap type="topAndBottom"/>
          </v:group>
        </w:pict>
      </w:r>
      <w:r>
        <w:rPr/>
        <w:t>Gráfica 3.8. Producción para mercado interno y externo por empresa en México, 2013</w:t>
      </w:r>
    </w:p>
    <w:p>
      <w:pPr>
        <w:spacing w:before="115"/>
        <w:ind w:left="383" w:right="399" w:firstLine="0"/>
        <w:jc w:val="center"/>
        <w:rPr>
          <w:sz w:val="18"/>
        </w:rPr>
      </w:pPr>
      <w:r>
        <w:rPr>
          <w:sz w:val="18"/>
        </w:rPr>
        <w:t>Fuente: Elaboración propia con datos de AMIA (2013).</w:t>
      </w:r>
    </w:p>
    <w:p>
      <w:pPr>
        <w:pStyle w:val="BodyText"/>
        <w:rPr>
          <w:sz w:val="18"/>
        </w:rPr>
      </w:pPr>
    </w:p>
    <w:p>
      <w:pPr>
        <w:pStyle w:val="BodyText"/>
        <w:spacing w:line="360" w:lineRule="auto" w:before="137"/>
        <w:ind w:left="102" w:right="123"/>
        <w:jc w:val="both"/>
      </w:pPr>
      <w:r>
        <w:rPr/>
        <w:t>Por</w:t>
      </w:r>
      <w:r>
        <w:rPr>
          <w:spacing w:val="-14"/>
        </w:rPr>
        <w:t> </w:t>
      </w:r>
      <w:r>
        <w:rPr/>
        <w:t>el</w:t>
      </w:r>
      <w:r>
        <w:rPr>
          <w:spacing w:val="-13"/>
        </w:rPr>
        <w:t> </w:t>
      </w:r>
      <w:r>
        <w:rPr/>
        <w:t>lado</w:t>
      </w:r>
      <w:r>
        <w:rPr>
          <w:spacing w:val="-14"/>
        </w:rPr>
        <w:t> </w:t>
      </w:r>
      <w:r>
        <w:rPr/>
        <w:t>de</w:t>
      </w:r>
      <w:r>
        <w:rPr>
          <w:spacing w:val="-14"/>
        </w:rPr>
        <w:t> </w:t>
      </w:r>
      <w:r>
        <w:rPr/>
        <w:t>la</w:t>
      </w:r>
      <w:r>
        <w:rPr>
          <w:spacing w:val="-12"/>
        </w:rPr>
        <w:t> </w:t>
      </w:r>
      <w:r>
        <w:rPr/>
        <w:t>industria</w:t>
      </w:r>
      <w:r>
        <w:rPr>
          <w:spacing w:val="-12"/>
        </w:rPr>
        <w:t> </w:t>
      </w:r>
      <w:r>
        <w:rPr/>
        <w:t>de</w:t>
      </w:r>
      <w:r>
        <w:rPr>
          <w:spacing w:val="-14"/>
        </w:rPr>
        <w:t> </w:t>
      </w:r>
      <w:r>
        <w:rPr/>
        <w:t>las</w:t>
      </w:r>
      <w:r>
        <w:rPr>
          <w:spacing w:val="-11"/>
        </w:rPr>
        <w:t> </w:t>
      </w:r>
      <w:r>
        <w:rPr/>
        <w:t>autopartes,</w:t>
      </w:r>
      <w:r>
        <w:rPr>
          <w:spacing w:val="-12"/>
        </w:rPr>
        <w:t> </w:t>
      </w:r>
      <w:r>
        <w:rPr/>
        <w:t>en</w:t>
      </w:r>
      <w:r>
        <w:rPr>
          <w:spacing w:val="-13"/>
        </w:rPr>
        <w:t> </w:t>
      </w:r>
      <w:r>
        <w:rPr/>
        <w:t>2008,</w:t>
      </w:r>
      <w:r>
        <w:rPr>
          <w:spacing w:val="-13"/>
        </w:rPr>
        <w:t> </w:t>
      </w:r>
      <w:r>
        <w:rPr/>
        <w:t>con</w:t>
      </w:r>
      <w:r>
        <w:rPr>
          <w:spacing w:val="-13"/>
        </w:rPr>
        <w:t> </w:t>
      </w:r>
      <w:r>
        <w:rPr/>
        <w:t>1,942</w:t>
      </w:r>
      <w:r>
        <w:rPr>
          <w:spacing w:val="-11"/>
        </w:rPr>
        <w:t> </w:t>
      </w:r>
      <w:r>
        <w:rPr/>
        <w:t>unidades</w:t>
      </w:r>
      <w:r>
        <w:rPr>
          <w:spacing w:val="-11"/>
        </w:rPr>
        <w:t> </w:t>
      </w:r>
      <w:r>
        <w:rPr/>
        <w:t>económicas,</w:t>
      </w:r>
      <w:r>
        <w:rPr>
          <w:spacing w:val="-13"/>
        </w:rPr>
        <w:t> </w:t>
      </w:r>
      <w:r>
        <w:rPr/>
        <w:t>empleó alrededor de 462,032 trabajadores, generando una producción bruta total de 355,978.9 millones de pesos y 130,041.9 millones de pesos de valor agregado censal bruto. Además, registró un valor de 10.88.4 millones de pesos en la formación de bruta de capital fijo y una inversión total de 12.133.9 millones de pesos (INEGI,</w:t>
      </w:r>
      <w:r>
        <w:rPr>
          <w:spacing w:val="-12"/>
        </w:rPr>
        <w:t> </w:t>
      </w:r>
      <w:r>
        <w:rPr/>
        <w:t>2009).</w:t>
      </w:r>
    </w:p>
    <w:p>
      <w:pPr>
        <w:pStyle w:val="BodyText"/>
        <w:spacing w:before="2"/>
        <w:rPr>
          <w:sz w:val="21"/>
        </w:rPr>
      </w:pPr>
    </w:p>
    <w:p>
      <w:pPr>
        <w:pStyle w:val="BodyText"/>
        <w:spacing w:line="360" w:lineRule="auto"/>
        <w:ind w:left="102" w:right="116"/>
        <w:jc w:val="both"/>
      </w:pPr>
      <w:r>
        <w:rPr/>
        <w:t>En</w:t>
      </w:r>
      <w:r>
        <w:rPr>
          <w:spacing w:val="-11"/>
        </w:rPr>
        <w:t> </w:t>
      </w:r>
      <w:r>
        <w:rPr/>
        <w:t>cuanto</w:t>
      </w:r>
      <w:r>
        <w:rPr>
          <w:spacing w:val="-8"/>
        </w:rPr>
        <w:t> </w:t>
      </w:r>
      <w:r>
        <w:rPr/>
        <w:t>a</w:t>
      </w:r>
      <w:r>
        <w:rPr>
          <w:spacing w:val="-12"/>
        </w:rPr>
        <w:t> </w:t>
      </w:r>
      <w:r>
        <w:rPr/>
        <w:t>las</w:t>
      </w:r>
      <w:r>
        <w:rPr>
          <w:spacing w:val="-11"/>
        </w:rPr>
        <w:t> </w:t>
      </w:r>
      <w:r>
        <w:rPr/>
        <w:t>unidades</w:t>
      </w:r>
      <w:r>
        <w:rPr>
          <w:spacing w:val="-8"/>
        </w:rPr>
        <w:t> </w:t>
      </w:r>
      <w:r>
        <w:rPr/>
        <w:t>económicas,</w:t>
      </w:r>
      <w:r>
        <w:rPr>
          <w:spacing w:val="-11"/>
        </w:rPr>
        <w:t> </w:t>
      </w:r>
      <w:r>
        <w:rPr/>
        <w:t>si</w:t>
      </w:r>
      <w:r>
        <w:rPr>
          <w:spacing w:val="-10"/>
        </w:rPr>
        <w:t> </w:t>
      </w:r>
      <w:r>
        <w:rPr/>
        <w:t>observamos</w:t>
      </w:r>
      <w:r>
        <w:rPr>
          <w:spacing w:val="-11"/>
        </w:rPr>
        <w:t> </w:t>
      </w:r>
      <w:r>
        <w:rPr/>
        <w:t>el</w:t>
      </w:r>
      <w:r>
        <w:rPr>
          <w:spacing w:val="-11"/>
        </w:rPr>
        <w:t> </w:t>
      </w:r>
      <w:r>
        <w:rPr/>
        <w:t>cuadro</w:t>
      </w:r>
      <w:r>
        <w:rPr>
          <w:spacing w:val="-12"/>
        </w:rPr>
        <w:t> </w:t>
      </w:r>
      <w:r>
        <w:rPr/>
        <w:t>3.3,</w:t>
      </w:r>
      <w:r>
        <w:rPr>
          <w:spacing w:val="-11"/>
        </w:rPr>
        <w:t> </w:t>
      </w:r>
      <w:r>
        <w:rPr/>
        <w:t>dentro</w:t>
      </w:r>
      <w:r>
        <w:rPr>
          <w:spacing w:val="-11"/>
        </w:rPr>
        <w:t> </w:t>
      </w:r>
      <w:r>
        <w:rPr/>
        <w:t>de</w:t>
      </w:r>
      <w:r>
        <w:rPr>
          <w:spacing w:val="-12"/>
        </w:rPr>
        <w:t> </w:t>
      </w:r>
      <w:r>
        <w:rPr/>
        <w:t>las</w:t>
      </w:r>
      <w:r>
        <w:rPr>
          <w:spacing w:val="-11"/>
        </w:rPr>
        <w:t> </w:t>
      </w:r>
      <w:r>
        <w:rPr/>
        <w:t>nueve</w:t>
      </w:r>
      <w:r>
        <w:rPr>
          <w:spacing w:val="-10"/>
        </w:rPr>
        <w:t> </w:t>
      </w:r>
      <w:r>
        <w:rPr/>
        <w:t>clases de actividad que analizan los censos económicos del INEGI para la industria de autopartes destacan con los mayores porcentajes de participación la fabricación de carrocerías y remolques con 36.4%, la fabricación de otras partes con 16.9% y la fabricación de equipo eléctrico y electrónico con 15.3%, asimismo la actividad con menor proporción fue la fabricación</w:t>
      </w:r>
      <w:r>
        <w:rPr>
          <w:spacing w:val="-9"/>
        </w:rPr>
        <w:t> </w:t>
      </w:r>
      <w:r>
        <w:rPr/>
        <w:t>de</w:t>
      </w:r>
      <w:r>
        <w:rPr>
          <w:spacing w:val="-11"/>
        </w:rPr>
        <w:t> </w:t>
      </w:r>
      <w:r>
        <w:rPr/>
        <w:t>partes</w:t>
      </w:r>
      <w:r>
        <w:rPr>
          <w:spacing w:val="-9"/>
        </w:rPr>
        <w:t> </w:t>
      </w:r>
      <w:r>
        <w:rPr/>
        <w:t>de</w:t>
      </w:r>
      <w:r>
        <w:rPr>
          <w:spacing w:val="-11"/>
        </w:rPr>
        <w:t> </w:t>
      </w:r>
      <w:r>
        <w:rPr/>
        <w:t>sistemas</w:t>
      </w:r>
      <w:r>
        <w:rPr>
          <w:spacing w:val="-8"/>
        </w:rPr>
        <w:t> </w:t>
      </w:r>
      <w:r>
        <w:rPr/>
        <w:t>de</w:t>
      </w:r>
      <w:r>
        <w:rPr>
          <w:spacing w:val="-11"/>
        </w:rPr>
        <w:t> </w:t>
      </w:r>
      <w:r>
        <w:rPr/>
        <w:t>transmisión</w:t>
      </w:r>
      <w:r>
        <w:rPr>
          <w:spacing w:val="-9"/>
        </w:rPr>
        <w:t> </w:t>
      </w:r>
      <w:r>
        <w:rPr/>
        <w:t>con</w:t>
      </w:r>
      <w:r>
        <w:rPr>
          <w:spacing w:val="-10"/>
        </w:rPr>
        <w:t> </w:t>
      </w:r>
      <w:r>
        <w:rPr/>
        <w:t>2.4%.</w:t>
      </w:r>
      <w:r>
        <w:rPr>
          <w:spacing w:val="-10"/>
        </w:rPr>
        <w:t> </w:t>
      </w:r>
      <w:r>
        <w:rPr/>
        <w:t>Por</w:t>
      </w:r>
      <w:r>
        <w:rPr>
          <w:spacing w:val="-10"/>
        </w:rPr>
        <w:t> </w:t>
      </w:r>
      <w:r>
        <w:rPr/>
        <w:t>el</w:t>
      </w:r>
      <w:r>
        <w:rPr>
          <w:spacing w:val="-12"/>
        </w:rPr>
        <w:t> </w:t>
      </w:r>
      <w:r>
        <w:rPr/>
        <w:t>lado</w:t>
      </w:r>
      <w:r>
        <w:rPr>
          <w:spacing w:val="-10"/>
        </w:rPr>
        <w:t> </w:t>
      </w:r>
      <w:r>
        <w:rPr/>
        <w:t>de</w:t>
      </w:r>
      <w:r>
        <w:rPr>
          <w:spacing w:val="-11"/>
        </w:rPr>
        <w:t> </w:t>
      </w:r>
      <w:r>
        <w:rPr/>
        <w:t>la</w:t>
      </w:r>
      <w:r>
        <w:rPr>
          <w:spacing w:val="-13"/>
        </w:rPr>
        <w:t> </w:t>
      </w:r>
      <w:r>
        <w:rPr/>
        <w:t>producción</w:t>
      </w:r>
      <w:r>
        <w:rPr>
          <w:spacing w:val="-9"/>
        </w:rPr>
        <w:t> </w:t>
      </w:r>
      <w:r>
        <w:rPr/>
        <w:t>bruta total</w:t>
      </w:r>
      <w:r>
        <w:rPr>
          <w:spacing w:val="-6"/>
        </w:rPr>
        <w:t> </w:t>
      </w:r>
      <w:r>
        <w:rPr/>
        <w:t>destacan</w:t>
      </w:r>
      <w:r>
        <w:rPr>
          <w:spacing w:val="-6"/>
        </w:rPr>
        <w:t> </w:t>
      </w:r>
      <w:r>
        <w:rPr/>
        <w:t>la</w:t>
      </w:r>
      <w:r>
        <w:rPr>
          <w:spacing w:val="-7"/>
        </w:rPr>
        <w:t> </w:t>
      </w:r>
      <w:r>
        <w:rPr/>
        <w:t>fabricación</w:t>
      </w:r>
      <w:r>
        <w:rPr>
          <w:spacing w:val="-6"/>
        </w:rPr>
        <w:t> </w:t>
      </w:r>
      <w:r>
        <w:rPr/>
        <w:t>de</w:t>
      </w:r>
      <w:r>
        <w:rPr>
          <w:spacing w:val="-7"/>
        </w:rPr>
        <w:t> </w:t>
      </w:r>
      <w:r>
        <w:rPr/>
        <w:t>otras</w:t>
      </w:r>
      <w:r>
        <w:rPr>
          <w:spacing w:val="-6"/>
        </w:rPr>
        <w:t> </w:t>
      </w:r>
      <w:r>
        <w:rPr/>
        <w:t>partes</w:t>
      </w:r>
      <w:r>
        <w:rPr>
          <w:spacing w:val="-4"/>
        </w:rPr>
        <w:t> </w:t>
      </w:r>
      <w:r>
        <w:rPr/>
        <w:t>con</w:t>
      </w:r>
      <w:r>
        <w:rPr>
          <w:spacing w:val="-6"/>
        </w:rPr>
        <w:t> </w:t>
      </w:r>
      <w:r>
        <w:rPr/>
        <w:t>el</w:t>
      </w:r>
      <w:r>
        <w:rPr>
          <w:spacing w:val="-3"/>
        </w:rPr>
        <w:t> </w:t>
      </w:r>
      <w:r>
        <w:rPr/>
        <w:t>24.7%</w:t>
      </w:r>
      <w:r>
        <w:rPr>
          <w:spacing w:val="-7"/>
        </w:rPr>
        <w:t> </w:t>
      </w:r>
      <w:r>
        <w:rPr/>
        <w:t>seguida</w:t>
      </w:r>
      <w:r>
        <w:rPr>
          <w:spacing w:val="-7"/>
        </w:rPr>
        <w:t> </w:t>
      </w:r>
      <w:r>
        <w:rPr/>
        <w:t>de</w:t>
      </w:r>
      <w:r>
        <w:rPr>
          <w:spacing w:val="-7"/>
        </w:rPr>
        <w:t> </w:t>
      </w:r>
      <w:r>
        <w:rPr/>
        <w:t>la</w:t>
      </w:r>
      <w:r>
        <w:rPr>
          <w:spacing w:val="-7"/>
        </w:rPr>
        <w:t> </w:t>
      </w:r>
      <w:r>
        <w:rPr/>
        <w:t>fabricación</w:t>
      </w:r>
      <w:r>
        <w:rPr>
          <w:spacing w:val="-6"/>
        </w:rPr>
        <w:t> </w:t>
      </w:r>
      <w:r>
        <w:rPr/>
        <w:t>de</w:t>
      </w:r>
      <w:r>
        <w:rPr>
          <w:spacing w:val="-7"/>
        </w:rPr>
        <w:t> </w:t>
      </w:r>
      <w:r>
        <w:rPr/>
        <w:t>equipo eléctrico y electrónico (INEGI,</w:t>
      </w:r>
      <w:r>
        <w:rPr>
          <w:spacing w:val="-11"/>
        </w:rPr>
        <w:t> </w:t>
      </w:r>
      <w:r>
        <w:rPr/>
        <w:t>2009).</w:t>
      </w:r>
    </w:p>
    <w:p>
      <w:pPr>
        <w:pStyle w:val="BodyText"/>
        <w:spacing w:before="2"/>
        <w:rPr>
          <w:sz w:val="21"/>
        </w:rPr>
      </w:pPr>
    </w:p>
    <w:p>
      <w:pPr>
        <w:pStyle w:val="BodyText"/>
        <w:spacing w:line="360" w:lineRule="auto"/>
        <w:ind w:left="102" w:right="118"/>
        <w:jc w:val="both"/>
      </w:pPr>
      <w:r>
        <w:rPr/>
        <w:t>Con relación al valor agregado censal bruto, sobresalen las actividades de fabricación de equipo eléctrico y electrónico y la fabricación de otras partes para vehículos automotrices con 27.9 y 25.2% de participación en la industria de autopartes. Por el lado de la formación bruta</w:t>
      </w:r>
      <w:r>
        <w:rPr>
          <w:spacing w:val="-16"/>
        </w:rPr>
        <w:t> </w:t>
      </w:r>
      <w:r>
        <w:rPr/>
        <w:t>de</w:t>
      </w:r>
      <w:r>
        <w:rPr>
          <w:spacing w:val="-15"/>
        </w:rPr>
        <w:t> </w:t>
      </w:r>
      <w:r>
        <w:rPr/>
        <w:t>capital</w:t>
      </w:r>
      <w:r>
        <w:rPr>
          <w:spacing w:val="-14"/>
        </w:rPr>
        <w:t> </w:t>
      </w:r>
      <w:r>
        <w:rPr/>
        <w:t>fijo</w:t>
      </w:r>
      <w:r>
        <w:rPr>
          <w:spacing w:val="-14"/>
        </w:rPr>
        <w:t> </w:t>
      </w:r>
      <w:r>
        <w:rPr/>
        <w:t>se</w:t>
      </w:r>
      <w:r>
        <w:rPr>
          <w:spacing w:val="-15"/>
        </w:rPr>
        <w:t> </w:t>
      </w:r>
      <w:r>
        <w:rPr/>
        <w:t>observa</w:t>
      </w:r>
      <w:r>
        <w:rPr>
          <w:spacing w:val="-16"/>
        </w:rPr>
        <w:t> </w:t>
      </w:r>
      <w:r>
        <w:rPr/>
        <w:t>que</w:t>
      </w:r>
      <w:r>
        <w:rPr>
          <w:spacing w:val="-15"/>
        </w:rPr>
        <w:t> </w:t>
      </w:r>
      <w:r>
        <w:rPr/>
        <w:t>las</w:t>
      </w:r>
      <w:r>
        <w:rPr>
          <w:spacing w:val="-15"/>
        </w:rPr>
        <w:t> </w:t>
      </w:r>
      <w:r>
        <w:rPr/>
        <w:t>actividades</w:t>
      </w:r>
      <w:r>
        <w:rPr>
          <w:spacing w:val="-12"/>
        </w:rPr>
        <w:t> </w:t>
      </w:r>
      <w:r>
        <w:rPr/>
        <w:t>más</w:t>
      </w:r>
      <w:r>
        <w:rPr>
          <w:spacing w:val="-15"/>
        </w:rPr>
        <w:t> </w:t>
      </w:r>
      <w:r>
        <w:rPr/>
        <w:t>destacan</w:t>
      </w:r>
      <w:r>
        <w:rPr>
          <w:spacing w:val="-14"/>
        </w:rPr>
        <w:t> </w:t>
      </w:r>
      <w:r>
        <w:rPr/>
        <w:t>son</w:t>
      </w:r>
      <w:r>
        <w:rPr>
          <w:spacing w:val="-14"/>
        </w:rPr>
        <w:t> </w:t>
      </w:r>
      <w:r>
        <w:rPr/>
        <w:t>la</w:t>
      </w:r>
      <w:r>
        <w:rPr>
          <w:spacing w:val="-15"/>
        </w:rPr>
        <w:t> </w:t>
      </w:r>
      <w:r>
        <w:rPr/>
        <w:t>fabricación</w:t>
      </w:r>
      <w:r>
        <w:rPr>
          <w:spacing w:val="-14"/>
        </w:rPr>
        <w:t> </w:t>
      </w:r>
      <w:r>
        <w:rPr/>
        <w:t>de</w:t>
      </w:r>
      <w:r>
        <w:rPr>
          <w:spacing w:val="-15"/>
        </w:rPr>
        <w:t> </w:t>
      </w:r>
      <w:r>
        <w:rPr/>
        <w:t>motores de</w:t>
      </w:r>
      <w:r>
        <w:rPr>
          <w:spacing w:val="-12"/>
        </w:rPr>
        <w:t> </w:t>
      </w:r>
      <w:r>
        <w:rPr/>
        <w:t>gasolina</w:t>
      </w:r>
      <w:r>
        <w:rPr>
          <w:spacing w:val="-7"/>
        </w:rPr>
        <w:t> </w:t>
      </w:r>
      <w:r>
        <w:rPr/>
        <w:t>y</w:t>
      </w:r>
      <w:r>
        <w:rPr>
          <w:spacing w:val="-16"/>
        </w:rPr>
        <w:t> </w:t>
      </w:r>
      <w:r>
        <w:rPr/>
        <w:t>sus</w:t>
      </w:r>
      <w:r>
        <w:rPr>
          <w:spacing w:val="-11"/>
        </w:rPr>
        <w:t> </w:t>
      </w:r>
      <w:r>
        <w:rPr/>
        <w:t>partes</w:t>
      </w:r>
      <w:r>
        <w:rPr>
          <w:spacing w:val="-11"/>
        </w:rPr>
        <w:t> </w:t>
      </w:r>
      <w:r>
        <w:rPr/>
        <w:t>así</w:t>
      </w:r>
      <w:r>
        <w:rPr>
          <w:spacing w:val="-10"/>
        </w:rPr>
        <w:t> </w:t>
      </w:r>
      <w:r>
        <w:rPr/>
        <w:t>como</w:t>
      </w:r>
      <w:r>
        <w:rPr>
          <w:spacing w:val="-11"/>
        </w:rPr>
        <w:t> </w:t>
      </w:r>
      <w:r>
        <w:rPr/>
        <w:t>la</w:t>
      </w:r>
      <w:r>
        <w:rPr>
          <w:spacing w:val="-12"/>
        </w:rPr>
        <w:t> </w:t>
      </w:r>
      <w:r>
        <w:rPr/>
        <w:t>fabricación</w:t>
      </w:r>
      <w:r>
        <w:rPr>
          <w:spacing w:val="-11"/>
        </w:rPr>
        <w:t> </w:t>
      </w:r>
      <w:r>
        <w:rPr/>
        <w:t>de</w:t>
      </w:r>
      <w:r>
        <w:rPr>
          <w:spacing w:val="-10"/>
        </w:rPr>
        <w:t> </w:t>
      </w:r>
      <w:r>
        <w:rPr/>
        <w:t>otras</w:t>
      </w:r>
      <w:r>
        <w:rPr>
          <w:spacing w:val="-11"/>
        </w:rPr>
        <w:t> </w:t>
      </w:r>
      <w:r>
        <w:rPr/>
        <w:t>partes</w:t>
      </w:r>
      <w:r>
        <w:rPr>
          <w:spacing w:val="-11"/>
        </w:rPr>
        <w:t> </w:t>
      </w:r>
      <w:r>
        <w:rPr/>
        <w:t>de</w:t>
      </w:r>
      <w:r>
        <w:rPr>
          <w:spacing w:val="-12"/>
        </w:rPr>
        <w:t> </w:t>
      </w:r>
      <w:r>
        <w:rPr/>
        <w:t>vehículos</w:t>
      </w:r>
      <w:r>
        <w:rPr>
          <w:spacing w:val="-10"/>
        </w:rPr>
        <w:t> </w:t>
      </w:r>
      <w:r>
        <w:rPr/>
        <w:t>automotrices</w:t>
      </w:r>
      <w:r>
        <w:rPr>
          <w:spacing w:val="-11"/>
        </w:rPr>
        <w:t> </w:t>
      </w:r>
      <w:r>
        <w:rPr/>
        <w:t>con una participación de 29.3 y 20.9%, respectivamente (INEGI, 2009) (véase cuadro</w:t>
      </w:r>
      <w:r>
        <w:rPr>
          <w:spacing w:val="-11"/>
        </w:rPr>
        <w:t> </w:t>
      </w:r>
      <w:r>
        <w:rPr/>
        <w:t>3.3).</w:t>
      </w:r>
    </w:p>
    <w:p>
      <w:pPr>
        <w:spacing w:after="0" w:line="360" w:lineRule="auto"/>
        <w:jc w:val="both"/>
        <w:sectPr>
          <w:pgSz w:w="12240" w:h="15840"/>
          <w:pgMar w:header="0" w:footer="1035" w:top="1360" w:bottom="1220" w:left="1600" w:right="1580"/>
        </w:sectPr>
      </w:pPr>
    </w:p>
    <w:p>
      <w:pPr>
        <w:pStyle w:val="Heading1"/>
        <w:spacing w:line="360" w:lineRule="auto" w:before="55" w:after="6"/>
        <w:ind w:left="3169" w:right="140" w:hanging="3035"/>
      </w:pPr>
      <w:r>
        <w:rPr/>
        <w:t>Cuadro 3.3. Características principales de la industria de autopartes en México, 2008. (Participación porcentual)</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05"/>
        <w:gridCol w:w="1046"/>
        <w:gridCol w:w="850"/>
        <w:gridCol w:w="1378"/>
        <w:gridCol w:w="1049"/>
        <w:gridCol w:w="886"/>
        <w:gridCol w:w="907"/>
        <w:gridCol w:w="1008"/>
      </w:tblGrid>
      <w:tr>
        <w:trPr>
          <w:trHeight w:val="791" w:hRule="exact"/>
        </w:trPr>
        <w:tc>
          <w:tcPr>
            <w:tcW w:w="1705" w:type="dxa"/>
            <w:tcBorders>
              <w:right w:val="nil"/>
            </w:tcBorders>
            <w:shd w:val="clear" w:color="auto" w:fill="A6A6A6"/>
          </w:tcPr>
          <w:p>
            <w:pPr/>
          </w:p>
        </w:tc>
        <w:tc>
          <w:tcPr>
            <w:tcW w:w="1046" w:type="dxa"/>
            <w:tcBorders>
              <w:left w:val="nil"/>
              <w:right w:val="nil"/>
            </w:tcBorders>
            <w:shd w:val="clear" w:color="auto" w:fill="A6A6A6"/>
          </w:tcPr>
          <w:p>
            <w:pPr>
              <w:pStyle w:val="TableParagraph"/>
              <w:spacing w:before="8"/>
              <w:jc w:val="left"/>
              <w:rPr>
                <w:b/>
                <w:sz w:val="16"/>
              </w:rPr>
            </w:pPr>
          </w:p>
          <w:p>
            <w:pPr>
              <w:pStyle w:val="TableParagraph"/>
              <w:spacing w:before="1"/>
              <w:ind w:left="105" w:right="90" w:firstLine="74"/>
              <w:jc w:val="left"/>
              <w:rPr>
                <w:b/>
                <w:sz w:val="17"/>
              </w:rPr>
            </w:pPr>
            <w:r>
              <w:rPr>
                <w:b/>
                <w:sz w:val="17"/>
              </w:rPr>
              <w:t>Unidades económicas</w:t>
            </w:r>
          </w:p>
        </w:tc>
        <w:tc>
          <w:tcPr>
            <w:tcW w:w="850" w:type="dxa"/>
            <w:tcBorders>
              <w:left w:val="nil"/>
              <w:right w:val="nil"/>
            </w:tcBorders>
            <w:shd w:val="clear" w:color="auto" w:fill="A6A6A6"/>
          </w:tcPr>
          <w:p>
            <w:pPr>
              <w:pStyle w:val="TableParagraph"/>
              <w:spacing w:before="8"/>
              <w:jc w:val="left"/>
              <w:rPr>
                <w:b/>
                <w:sz w:val="16"/>
              </w:rPr>
            </w:pPr>
          </w:p>
          <w:p>
            <w:pPr>
              <w:pStyle w:val="TableParagraph"/>
              <w:spacing w:before="1"/>
              <w:ind w:left="117" w:right="89" w:hanging="10"/>
              <w:jc w:val="left"/>
              <w:rPr>
                <w:b/>
                <w:sz w:val="17"/>
              </w:rPr>
            </w:pPr>
            <w:r>
              <w:rPr>
                <w:b/>
                <w:sz w:val="17"/>
              </w:rPr>
              <w:t>Personal ocupado</w:t>
            </w:r>
          </w:p>
        </w:tc>
        <w:tc>
          <w:tcPr>
            <w:tcW w:w="1378" w:type="dxa"/>
            <w:tcBorders>
              <w:left w:val="nil"/>
              <w:right w:val="nil"/>
            </w:tcBorders>
            <w:shd w:val="clear" w:color="auto" w:fill="A6A6A6"/>
          </w:tcPr>
          <w:p>
            <w:pPr>
              <w:pStyle w:val="TableParagraph"/>
              <w:spacing w:before="8"/>
              <w:jc w:val="left"/>
              <w:rPr>
                <w:b/>
                <w:sz w:val="16"/>
              </w:rPr>
            </w:pPr>
          </w:p>
          <w:p>
            <w:pPr>
              <w:pStyle w:val="TableParagraph"/>
              <w:spacing w:before="1"/>
              <w:ind w:left="105" w:right="91" w:firstLine="278"/>
              <w:jc w:val="left"/>
              <w:rPr>
                <w:b/>
                <w:sz w:val="17"/>
              </w:rPr>
            </w:pPr>
            <w:r>
              <w:rPr>
                <w:b/>
                <w:sz w:val="17"/>
              </w:rPr>
              <w:t>Total de remuneraciones</w:t>
            </w:r>
          </w:p>
        </w:tc>
        <w:tc>
          <w:tcPr>
            <w:tcW w:w="1049" w:type="dxa"/>
            <w:tcBorders>
              <w:left w:val="nil"/>
              <w:right w:val="nil"/>
            </w:tcBorders>
            <w:shd w:val="clear" w:color="auto" w:fill="A6A6A6"/>
          </w:tcPr>
          <w:p>
            <w:pPr>
              <w:pStyle w:val="TableParagraph"/>
              <w:spacing w:before="8"/>
              <w:jc w:val="left"/>
              <w:rPr>
                <w:b/>
                <w:sz w:val="16"/>
              </w:rPr>
            </w:pPr>
          </w:p>
          <w:p>
            <w:pPr>
              <w:pStyle w:val="TableParagraph"/>
              <w:spacing w:before="1"/>
              <w:ind w:left="134" w:right="90" w:hanging="27"/>
              <w:jc w:val="left"/>
              <w:rPr>
                <w:b/>
                <w:sz w:val="17"/>
              </w:rPr>
            </w:pPr>
            <w:r>
              <w:rPr>
                <w:b/>
                <w:sz w:val="17"/>
              </w:rPr>
              <w:t>Producción bruta total</w:t>
            </w:r>
          </w:p>
        </w:tc>
        <w:tc>
          <w:tcPr>
            <w:tcW w:w="886" w:type="dxa"/>
            <w:tcBorders>
              <w:left w:val="nil"/>
              <w:right w:val="nil"/>
            </w:tcBorders>
            <w:shd w:val="clear" w:color="auto" w:fill="A6A6A6"/>
          </w:tcPr>
          <w:p>
            <w:pPr>
              <w:pStyle w:val="TableParagraph"/>
              <w:ind w:left="105" w:right="106" w:hanging="5"/>
              <w:rPr>
                <w:b/>
                <w:sz w:val="17"/>
              </w:rPr>
            </w:pPr>
            <w:r>
              <w:rPr>
                <w:b/>
                <w:sz w:val="17"/>
              </w:rPr>
              <w:t>Valor agregado censal bruto</w:t>
            </w:r>
          </w:p>
        </w:tc>
        <w:tc>
          <w:tcPr>
            <w:tcW w:w="907" w:type="dxa"/>
            <w:tcBorders>
              <w:left w:val="nil"/>
              <w:right w:val="nil"/>
            </w:tcBorders>
            <w:shd w:val="clear" w:color="auto" w:fill="A6A6A6"/>
          </w:tcPr>
          <w:p>
            <w:pPr>
              <w:pStyle w:val="TableParagraph"/>
              <w:spacing w:before="8"/>
              <w:jc w:val="left"/>
              <w:rPr>
                <w:b/>
                <w:sz w:val="16"/>
              </w:rPr>
            </w:pPr>
          </w:p>
          <w:p>
            <w:pPr>
              <w:pStyle w:val="TableParagraph"/>
              <w:spacing w:before="1"/>
              <w:ind w:left="287" w:right="90" w:hanging="180"/>
              <w:jc w:val="left"/>
              <w:rPr>
                <w:b/>
                <w:sz w:val="17"/>
              </w:rPr>
            </w:pPr>
            <w:r>
              <w:rPr>
                <w:b/>
                <w:sz w:val="17"/>
              </w:rPr>
              <w:t>Inversión total</w:t>
            </w:r>
          </w:p>
        </w:tc>
        <w:tc>
          <w:tcPr>
            <w:tcW w:w="1008" w:type="dxa"/>
            <w:tcBorders>
              <w:left w:val="nil"/>
            </w:tcBorders>
            <w:shd w:val="clear" w:color="auto" w:fill="A6A6A6"/>
          </w:tcPr>
          <w:p>
            <w:pPr>
              <w:pStyle w:val="TableParagraph"/>
              <w:ind w:left="105" w:right="100"/>
              <w:rPr>
                <w:b/>
                <w:sz w:val="17"/>
              </w:rPr>
            </w:pPr>
            <w:r>
              <w:rPr>
                <w:b/>
                <w:sz w:val="17"/>
              </w:rPr>
              <w:t>Formación Bruta de Capital Fijo</w:t>
            </w:r>
          </w:p>
        </w:tc>
      </w:tr>
      <w:tr>
        <w:trPr>
          <w:trHeight w:val="598" w:hRule="exact"/>
        </w:trPr>
        <w:tc>
          <w:tcPr>
            <w:tcW w:w="1705" w:type="dxa"/>
          </w:tcPr>
          <w:p>
            <w:pPr>
              <w:pStyle w:val="TableParagraph"/>
              <w:ind w:left="103" w:right="490"/>
              <w:jc w:val="left"/>
              <w:rPr>
                <w:b/>
                <w:sz w:val="17"/>
              </w:rPr>
            </w:pPr>
            <w:r>
              <w:rPr>
                <w:b/>
                <w:sz w:val="17"/>
              </w:rPr>
              <w:t>Fabricación de carrocerías y remolques</w:t>
            </w:r>
          </w:p>
        </w:tc>
        <w:tc>
          <w:tcPr>
            <w:tcW w:w="1046" w:type="dxa"/>
          </w:tcPr>
          <w:p>
            <w:pPr>
              <w:pStyle w:val="TableParagraph"/>
              <w:spacing w:before="7"/>
              <w:jc w:val="left"/>
              <w:rPr>
                <w:b/>
                <w:sz w:val="16"/>
              </w:rPr>
            </w:pPr>
          </w:p>
          <w:p>
            <w:pPr>
              <w:pStyle w:val="TableParagraph"/>
              <w:ind w:left="367"/>
              <w:jc w:val="left"/>
              <w:rPr>
                <w:sz w:val="17"/>
              </w:rPr>
            </w:pPr>
            <w:r>
              <w:rPr>
                <w:sz w:val="17"/>
              </w:rPr>
              <w:t>36.4</w:t>
            </w:r>
          </w:p>
        </w:tc>
        <w:tc>
          <w:tcPr>
            <w:tcW w:w="850" w:type="dxa"/>
          </w:tcPr>
          <w:p>
            <w:pPr>
              <w:pStyle w:val="TableParagraph"/>
              <w:spacing w:before="7"/>
              <w:jc w:val="left"/>
              <w:rPr>
                <w:b/>
                <w:sz w:val="16"/>
              </w:rPr>
            </w:pPr>
          </w:p>
          <w:p>
            <w:pPr>
              <w:pStyle w:val="TableParagraph"/>
              <w:ind w:left="311" w:right="-14"/>
              <w:jc w:val="left"/>
              <w:rPr>
                <w:sz w:val="17"/>
              </w:rPr>
            </w:pPr>
            <w:r>
              <w:rPr>
                <w:sz w:val="17"/>
              </w:rPr>
              <w:t>4.5</w:t>
            </w:r>
          </w:p>
        </w:tc>
        <w:tc>
          <w:tcPr>
            <w:tcW w:w="1378" w:type="dxa"/>
          </w:tcPr>
          <w:p>
            <w:pPr>
              <w:pStyle w:val="TableParagraph"/>
              <w:spacing w:before="7"/>
              <w:jc w:val="left"/>
              <w:rPr>
                <w:b/>
                <w:sz w:val="16"/>
              </w:rPr>
            </w:pPr>
          </w:p>
          <w:p>
            <w:pPr>
              <w:pStyle w:val="TableParagraph"/>
              <w:ind w:left="573"/>
              <w:jc w:val="left"/>
              <w:rPr>
                <w:sz w:val="17"/>
              </w:rPr>
            </w:pPr>
            <w:r>
              <w:rPr>
                <w:sz w:val="17"/>
              </w:rPr>
              <w:t>4.1</w:t>
            </w:r>
          </w:p>
        </w:tc>
        <w:tc>
          <w:tcPr>
            <w:tcW w:w="1049" w:type="dxa"/>
          </w:tcPr>
          <w:p>
            <w:pPr>
              <w:pStyle w:val="TableParagraph"/>
              <w:spacing w:before="7"/>
              <w:jc w:val="left"/>
              <w:rPr>
                <w:b/>
                <w:sz w:val="16"/>
              </w:rPr>
            </w:pPr>
          </w:p>
          <w:p>
            <w:pPr>
              <w:pStyle w:val="TableParagraph"/>
              <w:ind w:left="412"/>
              <w:jc w:val="left"/>
              <w:rPr>
                <w:sz w:val="17"/>
              </w:rPr>
            </w:pPr>
            <w:r>
              <w:rPr>
                <w:sz w:val="17"/>
              </w:rPr>
              <w:t>4.3</w:t>
            </w:r>
          </w:p>
        </w:tc>
        <w:tc>
          <w:tcPr>
            <w:tcW w:w="886" w:type="dxa"/>
          </w:tcPr>
          <w:p>
            <w:pPr>
              <w:pStyle w:val="TableParagraph"/>
              <w:spacing w:before="7"/>
              <w:jc w:val="left"/>
              <w:rPr>
                <w:b/>
                <w:sz w:val="16"/>
              </w:rPr>
            </w:pPr>
          </w:p>
          <w:p>
            <w:pPr>
              <w:pStyle w:val="TableParagraph"/>
              <w:ind w:left="329"/>
              <w:jc w:val="left"/>
              <w:rPr>
                <w:sz w:val="17"/>
              </w:rPr>
            </w:pPr>
            <w:r>
              <w:rPr>
                <w:sz w:val="17"/>
              </w:rPr>
              <w:t>3.4</w:t>
            </w:r>
          </w:p>
        </w:tc>
        <w:tc>
          <w:tcPr>
            <w:tcW w:w="907" w:type="dxa"/>
          </w:tcPr>
          <w:p>
            <w:pPr>
              <w:pStyle w:val="TableParagraph"/>
              <w:spacing w:before="7"/>
              <w:jc w:val="left"/>
              <w:rPr>
                <w:b/>
                <w:sz w:val="16"/>
              </w:rPr>
            </w:pPr>
          </w:p>
          <w:p>
            <w:pPr>
              <w:pStyle w:val="TableParagraph"/>
              <w:ind w:left="279" w:right="280"/>
              <w:rPr>
                <w:sz w:val="17"/>
              </w:rPr>
            </w:pPr>
            <w:r>
              <w:rPr>
                <w:sz w:val="17"/>
              </w:rPr>
              <w:t>3.7</w:t>
            </w:r>
          </w:p>
        </w:tc>
        <w:tc>
          <w:tcPr>
            <w:tcW w:w="1008" w:type="dxa"/>
          </w:tcPr>
          <w:p>
            <w:pPr>
              <w:pStyle w:val="TableParagraph"/>
              <w:spacing w:before="7"/>
              <w:jc w:val="left"/>
              <w:rPr>
                <w:b/>
                <w:sz w:val="16"/>
              </w:rPr>
            </w:pPr>
          </w:p>
          <w:p>
            <w:pPr>
              <w:pStyle w:val="TableParagraph"/>
              <w:ind w:left="276" w:right="277"/>
              <w:rPr>
                <w:sz w:val="17"/>
              </w:rPr>
            </w:pPr>
            <w:r>
              <w:rPr>
                <w:sz w:val="17"/>
              </w:rPr>
              <w:t>2.8</w:t>
            </w:r>
          </w:p>
        </w:tc>
      </w:tr>
      <w:tr>
        <w:trPr>
          <w:trHeight w:val="987" w:hRule="exact"/>
        </w:trPr>
        <w:tc>
          <w:tcPr>
            <w:tcW w:w="1705" w:type="dxa"/>
          </w:tcPr>
          <w:p>
            <w:pPr>
              <w:pStyle w:val="TableParagraph"/>
              <w:ind w:left="103" w:right="136"/>
              <w:jc w:val="left"/>
              <w:rPr>
                <w:b/>
                <w:sz w:val="17"/>
              </w:rPr>
            </w:pPr>
            <w:r>
              <w:rPr>
                <w:b/>
                <w:sz w:val="17"/>
              </w:rPr>
              <w:t>Fabricación de motores de gasolina y sus partes para vehículos automotrices</w:t>
            </w:r>
          </w:p>
        </w:tc>
        <w:tc>
          <w:tcPr>
            <w:tcW w:w="1046" w:type="dxa"/>
          </w:tcPr>
          <w:p>
            <w:pPr>
              <w:pStyle w:val="TableParagraph"/>
              <w:jc w:val="left"/>
              <w:rPr>
                <w:b/>
                <w:sz w:val="16"/>
              </w:rPr>
            </w:pPr>
          </w:p>
          <w:p>
            <w:pPr>
              <w:pStyle w:val="TableParagraph"/>
              <w:spacing w:before="6"/>
              <w:jc w:val="left"/>
              <w:rPr>
                <w:b/>
                <w:sz w:val="17"/>
              </w:rPr>
            </w:pPr>
          </w:p>
          <w:p>
            <w:pPr>
              <w:pStyle w:val="TableParagraph"/>
              <w:ind w:left="408"/>
              <w:jc w:val="left"/>
              <w:rPr>
                <w:sz w:val="17"/>
              </w:rPr>
            </w:pPr>
            <w:r>
              <w:rPr>
                <w:sz w:val="17"/>
              </w:rPr>
              <w:t>6.7</w:t>
            </w:r>
          </w:p>
        </w:tc>
        <w:tc>
          <w:tcPr>
            <w:tcW w:w="850" w:type="dxa"/>
          </w:tcPr>
          <w:p>
            <w:pPr>
              <w:pStyle w:val="TableParagraph"/>
              <w:jc w:val="left"/>
              <w:rPr>
                <w:b/>
                <w:sz w:val="16"/>
              </w:rPr>
            </w:pPr>
          </w:p>
          <w:p>
            <w:pPr>
              <w:pStyle w:val="TableParagraph"/>
              <w:spacing w:before="6"/>
              <w:jc w:val="left"/>
              <w:rPr>
                <w:b/>
                <w:sz w:val="17"/>
              </w:rPr>
            </w:pPr>
          </w:p>
          <w:p>
            <w:pPr>
              <w:pStyle w:val="TableParagraph"/>
              <w:ind w:left="311" w:right="-14"/>
              <w:jc w:val="left"/>
              <w:rPr>
                <w:sz w:val="17"/>
              </w:rPr>
            </w:pPr>
            <w:r>
              <w:rPr>
                <w:sz w:val="17"/>
              </w:rPr>
              <w:t>8.5</w:t>
            </w:r>
          </w:p>
        </w:tc>
        <w:tc>
          <w:tcPr>
            <w:tcW w:w="1378" w:type="dxa"/>
          </w:tcPr>
          <w:p>
            <w:pPr>
              <w:pStyle w:val="TableParagraph"/>
              <w:jc w:val="left"/>
              <w:rPr>
                <w:b/>
                <w:sz w:val="16"/>
              </w:rPr>
            </w:pPr>
          </w:p>
          <w:p>
            <w:pPr>
              <w:pStyle w:val="TableParagraph"/>
              <w:spacing w:before="6"/>
              <w:jc w:val="left"/>
              <w:rPr>
                <w:b/>
                <w:sz w:val="17"/>
              </w:rPr>
            </w:pPr>
          </w:p>
          <w:p>
            <w:pPr>
              <w:pStyle w:val="TableParagraph"/>
              <w:ind w:left="533"/>
              <w:jc w:val="left"/>
              <w:rPr>
                <w:sz w:val="17"/>
              </w:rPr>
            </w:pPr>
            <w:r>
              <w:rPr>
                <w:sz w:val="17"/>
              </w:rPr>
              <w:t>11.5</w:t>
            </w:r>
          </w:p>
        </w:tc>
        <w:tc>
          <w:tcPr>
            <w:tcW w:w="1049" w:type="dxa"/>
          </w:tcPr>
          <w:p>
            <w:pPr>
              <w:pStyle w:val="TableParagraph"/>
              <w:jc w:val="left"/>
              <w:rPr>
                <w:b/>
                <w:sz w:val="16"/>
              </w:rPr>
            </w:pPr>
          </w:p>
          <w:p>
            <w:pPr>
              <w:pStyle w:val="TableParagraph"/>
              <w:spacing w:before="6"/>
              <w:jc w:val="left"/>
              <w:rPr>
                <w:b/>
                <w:sz w:val="17"/>
              </w:rPr>
            </w:pPr>
          </w:p>
          <w:p>
            <w:pPr>
              <w:pStyle w:val="TableParagraph"/>
              <w:ind w:left="369"/>
              <w:jc w:val="left"/>
              <w:rPr>
                <w:sz w:val="17"/>
              </w:rPr>
            </w:pPr>
            <w:r>
              <w:rPr>
                <w:sz w:val="17"/>
              </w:rPr>
              <w:t>16.7</w:t>
            </w:r>
          </w:p>
        </w:tc>
        <w:tc>
          <w:tcPr>
            <w:tcW w:w="886" w:type="dxa"/>
          </w:tcPr>
          <w:p>
            <w:pPr>
              <w:pStyle w:val="TableParagraph"/>
              <w:jc w:val="left"/>
              <w:rPr>
                <w:b/>
                <w:sz w:val="16"/>
              </w:rPr>
            </w:pPr>
          </w:p>
          <w:p>
            <w:pPr>
              <w:pStyle w:val="TableParagraph"/>
              <w:spacing w:before="6"/>
              <w:jc w:val="left"/>
              <w:rPr>
                <w:b/>
                <w:sz w:val="17"/>
              </w:rPr>
            </w:pPr>
          </w:p>
          <w:p>
            <w:pPr>
              <w:pStyle w:val="TableParagraph"/>
              <w:ind w:left="288"/>
              <w:jc w:val="left"/>
              <w:rPr>
                <w:sz w:val="17"/>
              </w:rPr>
            </w:pPr>
            <w:r>
              <w:rPr>
                <w:sz w:val="17"/>
              </w:rPr>
              <w:t>13.2</w:t>
            </w:r>
          </w:p>
        </w:tc>
        <w:tc>
          <w:tcPr>
            <w:tcW w:w="907" w:type="dxa"/>
          </w:tcPr>
          <w:p>
            <w:pPr>
              <w:pStyle w:val="TableParagraph"/>
              <w:jc w:val="left"/>
              <w:rPr>
                <w:b/>
                <w:sz w:val="16"/>
              </w:rPr>
            </w:pPr>
          </w:p>
          <w:p>
            <w:pPr>
              <w:pStyle w:val="TableParagraph"/>
              <w:spacing w:before="6"/>
              <w:jc w:val="left"/>
              <w:rPr>
                <w:b/>
                <w:sz w:val="17"/>
              </w:rPr>
            </w:pPr>
          </w:p>
          <w:p>
            <w:pPr>
              <w:pStyle w:val="TableParagraph"/>
              <w:ind w:left="280" w:right="280"/>
              <w:rPr>
                <w:sz w:val="17"/>
              </w:rPr>
            </w:pPr>
            <w:r>
              <w:rPr>
                <w:sz w:val="17"/>
              </w:rPr>
              <w:t>30.9</w:t>
            </w:r>
          </w:p>
        </w:tc>
        <w:tc>
          <w:tcPr>
            <w:tcW w:w="1008" w:type="dxa"/>
          </w:tcPr>
          <w:p>
            <w:pPr>
              <w:pStyle w:val="TableParagraph"/>
              <w:jc w:val="left"/>
              <w:rPr>
                <w:b/>
                <w:sz w:val="16"/>
              </w:rPr>
            </w:pPr>
          </w:p>
          <w:p>
            <w:pPr>
              <w:pStyle w:val="TableParagraph"/>
              <w:spacing w:before="6"/>
              <w:jc w:val="left"/>
              <w:rPr>
                <w:b/>
                <w:sz w:val="17"/>
              </w:rPr>
            </w:pPr>
          </w:p>
          <w:p>
            <w:pPr>
              <w:pStyle w:val="TableParagraph"/>
              <w:ind w:left="275" w:right="277"/>
              <w:rPr>
                <w:sz w:val="17"/>
              </w:rPr>
            </w:pPr>
            <w:r>
              <w:rPr>
                <w:sz w:val="17"/>
              </w:rPr>
              <w:t>29.3</w:t>
            </w:r>
          </w:p>
        </w:tc>
      </w:tr>
      <w:tr>
        <w:trPr>
          <w:trHeight w:val="989" w:hRule="exact"/>
        </w:trPr>
        <w:tc>
          <w:tcPr>
            <w:tcW w:w="1705" w:type="dxa"/>
          </w:tcPr>
          <w:p>
            <w:pPr>
              <w:pStyle w:val="TableParagraph"/>
              <w:ind w:left="103" w:right="297"/>
              <w:jc w:val="left"/>
              <w:rPr>
                <w:b/>
                <w:sz w:val="17"/>
              </w:rPr>
            </w:pPr>
            <w:r>
              <w:rPr>
                <w:b/>
                <w:sz w:val="17"/>
              </w:rPr>
              <w:t>Fabricación de equipo eléctrico y electrónico para vehículos automotores</w:t>
            </w:r>
          </w:p>
        </w:tc>
        <w:tc>
          <w:tcPr>
            <w:tcW w:w="1046" w:type="dxa"/>
          </w:tcPr>
          <w:p>
            <w:pPr>
              <w:pStyle w:val="TableParagraph"/>
              <w:jc w:val="left"/>
              <w:rPr>
                <w:b/>
                <w:sz w:val="16"/>
              </w:rPr>
            </w:pPr>
          </w:p>
          <w:p>
            <w:pPr>
              <w:pStyle w:val="TableParagraph"/>
              <w:spacing w:before="6"/>
              <w:jc w:val="left"/>
              <w:rPr>
                <w:b/>
                <w:sz w:val="17"/>
              </w:rPr>
            </w:pPr>
          </w:p>
          <w:p>
            <w:pPr>
              <w:pStyle w:val="TableParagraph"/>
              <w:ind w:left="367"/>
              <w:jc w:val="left"/>
              <w:rPr>
                <w:sz w:val="17"/>
              </w:rPr>
            </w:pPr>
            <w:r>
              <w:rPr>
                <w:sz w:val="17"/>
              </w:rPr>
              <w:t>15.3</w:t>
            </w:r>
          </w:p>
        </w:tc>
        <w:tc>
          <w:tcPr>
            <w:tcW w:w="850" w:type="dxa"/>
          </w:tcPr>
          <w:p>
            <w:pPr>
              <w:pStyle w:val="TableParagraph"/>
              <w:jc w:val="left"/>
              <w:rPr>
                <w:b/>
                <w:sz w:val="16"/>
              </w:rPr>
            </w:pPr>
          </w:p>
          <w:p>
            <w:pPr>
              <w:pStyle w:val="TableParagraph"/>
              <w:spacing w:before="6"/>
              <w:jc w:val="left"/>
              <w:rPr>
                <w:b/>
                <w:sz w:val="17"/>
              </w:rPr>
            </w:pPr>
          </w:p>
          <w:p>
            <w:pPr>
              <w:pStyle w:val="TableParagraph"/>
              <w:ind w:left="271" w:right="-14"/>
              <w:jc w:val="left"/>
              <w:rPr>
                <w:sz w:val="17"/>
              </w:rPr>
            </w:pPr>
            <w:r>
              <w:rPr>
                <w:sz w:val="17"/>
              </w:rPr>
              <w:t>40.2</w:t>
            </w:r>
          </w:p>
        </w:tc>
        <w:tc>
          <w:tcPr>
            <w:tcW w:w="1378" w:type="dxa"/>
          </w:tcPr>
          <w:p>
            <w:pPr>
              <w:pStyle w:val="TableParagraph"/>
              <w:jc w:val="left"/>
              <w:rPr>
                <w:b/>
                <w:sz w:val="16"/>
              </w:rPr>
            </w:pPr>
          </w:p>
          <w:p>
            <w:pPr>
              <w:pStyle w:val="TableParagraph"/>
              <w:spacing w:before="6"/>
              <w:jc w:val="left"/>
              <w:rPr>
                <w:b/>
                <w:sz w:val="17"/>
              </w:rPr>
            </w:pPr>
          </w:p>
          <w:p>
            <w:pPr>
              <w:pStyle w:val="TableParagraph"/>
              <w:ind w:left="533"/>
              <w:jc w:val="left"/>
              <w:rPr>
                <w:sz w:val="17"/>
              </w:rPr>
            </w:pPr>
            <w:r>
              <w:rPr>
                <w:sz w:val="17"/>
              </w:rPr>
              <w:t>34.0</w:t>
            </w:r>
          </w:p>
        </w:tc>
        <w:tc>
          <w:tcPr>
            <w:tcW w:w="1049" w:type="dxa"/>
          </w:tcPr>
          <w:p>
            <w:pPr>
              <w:pStyle w:val="TableParagraph"/>
              <w:jc w:val="left"/>
              <w:rPr>
                <w:b/>
                <w:sz w:val="16"/>
              </w:rPr>
            </w:pPr>
          </w:p>
          <w:p>
            <w:pPr>
              <w:pStyle w:val="TableParagraph"/>
              <w:spacing w:before="6"/>
              <w:jc w:val="left"/>
              <w:rPr>
                <w:b/>
                <w:sz w:val="17"/>
              </w:rPr>
            </w:pPr>
          </w:p>
          <w:p>
            <w:pPr>
              <w:pStyle w:val="TableParagraph"/>
              <w:ind w:left="369"/>
              <w:jc w:val="left"/>
              <w:rPr>
                <w:sz w:val="17"/>
              </w:rPr>
            </w:pPr>
            <w:r>
              <w:rPr>
                <w:sz w:val="17"/>
              </w:rPr>
              <w:t>23.0</w:t>
            </w:r>
          </w:p>
        </w:tc>
        <w:tc>
          <w:tcPr>
            <w:tcW w:w="886" w:type="dxa"/>
          </w:tcPr>
          <w:p>
            <w:pPr>
              <w:pStyle w:val="TableParagraph"/>
              <w:jc w:val="left"/>
              <w:rPr>
                <w:b/>
                <w:sz w:val="16"/>
              </w:rPr>
            </w:pPr>
          </w:p>
          <w:p>
            <w:pPr>
              <w:pStyle w:val="TableParagraph"/>
              <w:spacing w:before="6"/>
              <w:jc w:val="left"/>
              <w:rPr>
                <w:b/>
                <w:sz w:val="17"/>
              </w:rPr>
            </w:pPr>
          </w:p>
          <w:p>
            <w:pPr>
              <w:pStyle w:val="TableParagraph"/>
              <w:ind w:left="288"/>
              <w:jc w:val="left"/>
              <w:rPr>
                <w:sz w:val="17"/>
              </w:rPr>
            </w:pPr>
            <w:r>
              <w:rPr>
                <w:sz w:val="17"/>
              </w:rPr>
              <w:t>27.9</w:t>
            </w:r>
          </w:p>
        </w:tc>
        <w:tc>
          <w:tcPr>
            <w:tcW w:w="907" w:type="dxa"/>
          </w:tcPr>
          <w:p>
            <w:pPr>
              <w:pStyle w:val="TableParagraph"/>
              <w:jc w:val="left"/>
              <w:rPr>
                <w:b/>
                <w:sz w:val="16"/>
              </w:rPr>
            </w:pPr>
          </w:p>
          <w:p>
            <w:pPr>
              <w:pStyle w:val="TableParagraph"/>
              <w:spacing w:before="6"/>
              <w:jc w:val="left"/>
              <w:rPr>
                <w:b/>
                <w:sz w:val="17"/>
              </w:rPr>
            </w:pPr>
          </w:p>
          <w:p>
            <w:pPr>
              <w:pStyle w:val="TableParagraph"/>
              <w:ind w:left="280" w:right="280"/>
              <w:rPr>
                <w:sz w:val="17"/>
              </w:rPr>
            </w:pPr>
            <w:r>
              <w:rPr>
                <w:sz w:val="17"/>
              </w:rPr>
              <w:t>16.9</w:t>
            </w:r>
          </w:p>
        </w:tc>
        <w:tc>
          <w:tcPr>
            <w:tcW w:w="1008" w:type="dxa"/>
          </w:tcPr>
          <w:p>
            <w:pPr>
              <w:pStyle w:val="TableParagraph"/>
              <w:jc w:val="left"/>
              <w:rPr>
                <w:b/>
                <w:sz w:val="16"/>
              </w:rPr>
            </w:pPr>
          </w:p>
          <w:p>
            <w:pPr>
              <w:pStyle w:val="TableParagraph"/>
              <w:spacing w:before="6"/>
              <w:jc w:val="left"/>
              <w:rPr>
                <w:b/>
                <w:sz w:val="17"/>
              </w:rPr>
            </w:pPr>
          </w:p>
          <w:p>
            <w:pPr>
              <w:pStyle w:val="TableParagraph"/>
              <w:ind w:left="275" w:right="277"/>
              <w:rPr>
                <w:sz w:val="17"/>
              </w:rPr>
            </w:pPr>
            <w:r>
              <w:rPr>
                <w:sz w:val="17"/>
              </w:rPr>
              <w:t>18.9</w:t>
            </w:r>
          </w:p>
        </w:tc>
      </w:tr>
      <w:tr>
        <w:trPr>
          <w:trHeight w:val="1183" w:hRule="exact"/>
        </w:trPr>
        <w:tc>
          <w:tcPr>
            <w:tcW w:w="1705" w:type="dxa"/>
          </w:tcPr>
          <w:p>
            <w:pPr>
              <w:pStyle w:val="TableParagraph"/>
              <w:ind w:left="103" w:right="259"/>
              <w:jc w:val="left"/>
              <w:rPr>
                <w:b/>
                <w:sz w:val="17"/>
              </w:rPr>
            </w:pPr>
            <w:r>
              <w:rPr>
                <w:b/>
                <w:sz w:val="17"/>
              </w:rPr>
              <w:t>Fabricación de partes de sistemas de dirección y de suspensión para vehículos automotrices</w:t>
            </w:r>
          </w:p>
        </w:tc>
        <w:tc>
          <w:tcPr>
            <w:tcW w:w="1046" w:type="dxa"/>
          </w:tcPr>
          <w:p>
            <w:pPr>
              <w:pStyle w:val="TableParagraph"/>
              <w:jc w:val="left"/>
              <w:rPr>
                <w:b/>
                <w:sz w:val="16"/>
              </w:rPr>
            </w:pPr>
          </w:p>
          <w:p>
            <w:pPr>
              <w:pStyle w:val="TableParagraph"/>
              <w:jc w:val="left"/>
              <w:rPr>
                <w:b/>
                <w:sz w:val="16"/>
              </w:rPr>
            </w:pPr>
          </w:p>
          <w:p>
            <w:pPr>
              <w:pStyle w:val="TableParagraph"/>
              <w:spacing w:before="116"/>
              <w:ind w:left="408"/>
              <w:jc w:val="left"/>
              <w:rPr>
                <w:sz w:val="17"/>
              </w:rPr>
            </w:pPr>
            <w:r>
              <w:rPr>
                <w:sz w:val="17"/>
              </w:rPr>
              <w:t>3.5</w:t>
            </w:r>
          </w:p>
        </w:tc>
        <w:tc>
          <w:tcPr>
            <w:tcW w:w="850" w:type="dxa"/>
          </w:tcPr>
          <w:p>
            <w:pPr>
              <w:pStyle w:val="TableParagraph"/>
              <w:jc w:val="left"/>
              <w:rPr>
                <w:b/>
                <w:sz w:val="16"/>
              </w:rPr>
            </w:pPr>
          </w:p>
          <w:p>
            <w:pPr>
              <w:pStyle w:val="TableParagraph"/>
              <w:jc w:val="left"/>
              <w:rPr>
                <w:b/>
                <w:sz w:val="16"/>
              </w:rPr>
            </w:pPr>
          </w:p>
          <w:p>
            <w:pPr>
              <w:pStyle w:val="TableParagraph"/>
              <w:spacing w:before="116"/>
              <w:ind w:left="311" w:right="-14"/>
              <w:jc w:val="left"/>
              <w:rPr>
                <w:sz w:val="17"/>
              </w:rPr>
            </w:pPr>
            <w:r>
              <w:rPr>
                <w:sz w:val="17"/>
              </w:rPr>
              <w:t>2.9</w:t>
            </w:r>
          </w:p>
        </w:tc>
        <w:tc>
          <w:tcPr>
            <w:tcW w:w="1378" w:type="dxa"/>
          </w:tcPr>
          <w:p>
            <w:pPr>
              <w:pStyle w:val="TableParagraph"/>
              <w:jc w:val="left"/>
              <w:rPr>
                <w:b/>
                <w:sz w:val="16"/>
              </w:rPr>
            </w:pPr>
          </w:p>
          <w:p>
            <w:pPr>
              <w:pStyle w:val="TableParagraph"/>
              <w:jc w:val="left"/>
              <w:rPr>
                <w:b/>
                <w:sz w:val="16"/>
              </w:rPr>
            </w:pPr>
          </w:p>
          <w:p>
            <w:pPr>
              <w:pStyle w:val="TableParagraph"/>
              <w:spacing w:before="116"/>
              <w:ind w:left="573"/>
              <w:jc w:val="left"/>
              <w:rPr>
                <w:sz w:val="17"/>
              </w:rPr>
            </w:pPr>
            <w:r>
              <w:rPr>
                <w:sz w:val="17"/>
              </w:rPr>
              <w:t>3.4</w:t>
            </w:r>
          </w:p>
        </w:tc>
        <w:tc>
          <w:tcPr>
            <w:tcW w:w="1049" w:type="dxa"/>
          </w:tcPr>
          <w:p>
            <w:pPr>
              <w:pStyle w:val="TableParagraph"/>
              <w:jc w:val="left"/>
              <w:rPr>
                <w:b/>
                <w:sz w:val="16"/>
              </w:rPr>
            </w:pPr>
          </w:p>
          <w:p>
            <w:pPr>
              <w:pStyle w:val="TableParagraph"/>
              <w:jc w:val="left"/>
              <w:rPr>
                <w:b/>
                <w:sz w:val="16"/>
              </w:rPr>
            </w:pPr>
          </w:p>
          <w:p>
            <w:pPr>
              <w:pStyle w:val="TableParagraph"/>
              <w:spacing w:before="116"/>
              <w:ind w:left="412"/>
              <w:jc w:val="left"/>
              <w:rPr>
                <w:sz w:val="17"/>
              </w:rPr>
            </w:pPr>
            <w:r>
              <w:rPr>
                <w:sz w:val="17"/>
              </w:rPr>
              <w:t>4.5</w:t>
            </w:r>
          </w:p>
        </w:tc>
        <w:tc>
          <w:tcPr>
            <w:tcW w:w="886" w:type="dxa"/>
          </w:tcPr>
          <w:p>
            <w:pPr>
              <w:pStyle w:val="TableParagraph"/>
              <w:jc w:val="left"/>
              <w:rPr>
                <w:b/>
                <w:sz w:val="16"/>
              </w:rPr>
            </w:pPr>
          </w:p>
          <w:p>
            <w:pPr>
              <w:pStyle w:val="TableParagraph"/>
              <w:jc w:val="left"/>
              <w:rPr>
                <w:b/>
                <w:sz w:val="16"/>
              </w:rPr>
            </w:pPr>
          </w:p>
          <w:p>
            <w:pPr>
              <w:pStyle w:val="TableParagraph"/>
              <w:spacing w:before="116"/>
              <w:ind w:left="329"/>
              <w:jc w:val="left"/>
              <w:rPr>
                <w:sz w:val="17"/>
              </w:rPr>
            </w:pPr>
            <w:r>
              <w:rPr>
                <w:sz w:val="17"/>
              </w:rPr>
              <w:t>4.0</w:t>
            </w:r>
          </w:p>
        </w:tc>
        <w:tc>
          <w:tcPr>
            <w:tcW w:w="907" w:type="dxa"/>
          </w:tcPr>
          <w:p>
            <w:pPr>
              <w:pStyle w:val="TableParagraph"/>
              <w:jc w:val="left"/>
              <w:rPr>
                <w:b/>
                <w:sz w:val="16"/>
              </w:rPr>
            </w:pPr>
          </w:p>
          <w:p>
            <w:pPr>
              <w:pStyle w:val="TableParagraph"/>
              <w:jc w:val="left"/>
              <w:rPr>
                <w:b/>
                <w:sz w:val="16"/>
              </w:rPr>
            </w:pPr>
          </w:p>
          <w:p>
            <w:pPr>
              <w:pStyle w:val="TableParagraph"/>
              <w:spacing w:before="116"/>
              <w:ind w:left="279" w:right="280"/>
              <w:rPr>
                <w:sz w:val="17"/>
              </w:rPr>
            </w:pPr>
            <w:r>
              <w:rPr>
                <w:sz w:val="17"/>
              </w:rPr>
              <w:t>4.2</w:t>
            </w:r>
          </w:p>
        </w:tc>
        <w:tc>
          <w:tcPr>
            <w:tcW w:w="1008" w:type="dxa"/>
          </w:tcPr>
          <w:p>
            <w:pPr>
              <w:pStyle w:val="TableParagraph"/>
              <w:jc w:val="left"/>
              <w:rPr>
                <w:b/>
                <w:sz w:val="16"/>
              </w:rPr>
            </w:pPr>
          </w:p>
          <w:p>
            <w:pPr>
              <w:pStyle w:val="TableParagraph"/>
              <w:jc w:val="left"/>
              <w:rPr>
                <w:b/>
                <w:sz w:val="16"/>
              </w:rPr>
            </w:pPr>
          </w:p>
          <w:p>
            <w:pPr>
              <w:pStyle w:val="TableParagraph"/>
              <w:spacing w:before="116"/>
              <w:ind w:left="276" w:right="277"/>
              <w:rPr>
                <w:sz w:val="17"/>
              </w:rPr>
            </w:pPr>
            <w:r>
              <w:rPr>
                <w:sz w:val="17"/>
              </w:rPr>
              <w:t>4.1</w:t>
            </w:r>
          </w:p>
        </w:tc>
      </w:tr>
      <w:tr>
        <w:trPr>
          <w:trHeight w:val="987" w:hRule="exact"/>
        </w:trPr>
        <w:tc>
          <w:tcPr>
            <w:tcW w:w="1705" w:type="dxa"/>
          </w:tcPr>
          <w:p>
            <w:pPr>
              <w:pStyle w:val="TableParagraph"/>
              <w:ind w:left="103" w:right="259"/>
              <w:jc w:val="left"/>
              <w:rPr>
                <w:b/>
                <w:sz w:val="17"/>
              </w:rPr>
            </w:pPr>
            <w:r>
              <w:rPr>
                <w:b/>
                <w:sz w:val="17"/>
              </w:rPr>
              <w:t>Fabricación de partes de sistemas de frenos para vehículos automotrices</w:t>
            </w:r>
          </w:p>
        </w:tc>
        <w:tc>
          <w:tcPr>
            <w:tcW w:w="1046" w:type="dxa"/>
          </w:tcPr>
          <w:p>
            <w:pPr>
              <w:pStyle w:val="TableParagraph"/>
              <w:jc w:val="left"/>
              <w:rPr>
                <w:b/>
                <w:sz w:val="16"/>
              </w:rPr>
            </w:pPr>
          </w:p>
          <w:p>
            <w:pPr>
              <w:pStyle w:val="TableParagraph"/>
              <w:spacing w:before="7"/>
              <w:jc w:val="left"/>
              <w:rPr>
                <w:b/>
                <w:sz w:val="17"/>
              </w:rPr>
            </w:pPr>
          </w:p>
          <w:p>
            <w:pPr>
              <w:pStyle w:val="TableParagraph"/>
              <w:ind w:left="408"/>
              <w:jc w:val="left"/>
              <w:rPr>
                <w:sz w:val="17"/>
              </w:rPr>
            </w:pPr>
            <w:r>
              <w:rPr>
                <w:sz w:val="17"/>
              </w:rPr>
              <w:t>5.4</w:t>
            </w:r>
          </w:p>
        </w:tc>
        <w:tc>
          <w:tcPr>
            <w:tcW w:w="850" w:type="dxa"/>
          </w:tcPr>
          <w:p>
            <w:pPr>
              <w:pStyle w:val="TableParagraph"/>
              <w:jc w:val="left"/>
              <w:rPr>
                <w:b/>
                <w:sz w:val="16"/>
              </w:rPr>
            </w:pPr>
          </w:p>
          <w:p>
            <w:pPr>
              <w:pStyle w:val="TableParagraph"/>
              <w:spacing w:before="7"/>
              <w:jc w:val="left"/>
              <w:rPr>
                <w:b/>
                <w:sz w:val="17"/>
              </w:rPr>
            </w:pPr>
          </w:p>
          <w:p>
            <w:pPr>
              <w:pStyle w:val="TableParagraph"/>
              <w:ind w:left="311" w:right="-14"/>
              <w:jc w:val="left"/>
              <w:rPr>
                <w:sz w:val="17"/>
              </w:rPr>
            </w:pPr>
            <w:r>
              <w:rPr>
                <w:sz w:val="17"/>
              </w:rPr>
              <w:t>3.3</w:t>
            </w:r>
          </w:p>
        </w:tc>
        <w:tc>
          <w:tcPr>
            <w:tcW w:w="1378" w:type="dxa"/>
          </w:tcPr>
          <w:p>
            <w:pPr>
              <w:pStyle w:val="TableParagraph"/>
              <w:jc w:val="left"/>
              <w:rPr>
                <w:b/>
                <w:sz w:val="16"/>
              </w:rPr>
            </w:pPr>
          </w:p>
          <w:p>
            <w:pPr>
              <w:pStyle w:val="TableParagraph"/>
              <w:spacing w:before="7"/>
              <w:jc w:val="left"/>
              <w:rPr>
                <w:b/>
                <w:sz w:val="17"/>
              </w:rPr>
            </w:pPr>
          </w:p>
          <w:p>
            <w:pPr>
              <w:pStyle w:val="TableParagraph"/>
              <w:ind w:left="573"/>
              <w:jc w:val="left"/>
              <w:rPr>
                <w:sz w:val="17"/>
              </w:rPr>
            </w:pPr>
            <w:r>
              <w:rPr>
                <w:sz w:val="17"/>
              </w:rPr>
              <w:t>3.4</w:t>
            </w:r>
          </w:p>
        </w:tc>
        <w:tc>
          <w:tcPr>
            <w:tcW w:w="1049" w:type="dxa"/>
          </w:tcPr>
          <w:p>
            <w:pPr>
              <w:pStyle w:val="TableParagraph"/>
              <w:jc w:val="left"/>
              <w:rPr>
                <w:b/>
                <w:sz w:val="16"/>
              </w:rPr>
            </w:pPr>
          </w:p>
          <w:p>
            <w:pPr>
              <w:pStyle w:val="TableParagraph"/>
              <w:spacing w:before="7"/>
              <w:jc w:val="left"/>
              <w:rPr>
                <w:b/>
                <w:sz w:val="17"/>
              </w:rPr>
            </w:pPr>
          </w:p>
          <w:p>
            <w:pPr>
              <w:pStyle w:val="TableParagraph"/>
              <w:ind w:left="412"/>
              <w:jc w:val="left"/>
              <w:rPr>
                <w:sz w:val="17"/>
              </w:rPr>
            </w:pPr>
            <w:r>
              <w:rPr>
                <w:sz w:val="17"/>
              </w:rPr>
              <w:t>2.9</w:t>
            </w:r>
          </w:p>
        </w:tc>
        <w:tc>
          <w:tcPr>
            <w:tcW w:w="886" w:type="dxa"/>
          </w:tcPr>
          <w:p>
            <w:pPr>
              <w:pStyle w:val="TableParagraph"/>
              <w:jc w:val="left"/>
              <w:rPr>
                <w:b/>
                <w:sz w:val="16"/>
              </w:rPr>
            </w:pPr>
          </w:p>
          <w:p>
            <w:pPr>
              <w:pStyle w:val="TableParagraph"/>
              <w:spacing w:before="7"/>
              <w:jc w:val="left"/>
              <w:rPr>
                <w:b/>
                <w:sz w:val="17"/>
              </w:rPr>
            </w:pPr>
          </w:p>
          <w:p>
            <w:pPr>
              <w:pStyle w:val="TableParagraph"/>
              <w:ind w:left="329"/>
              <w:jc w:val="left"/>
              <w:rPr>
                <w:sz w:val="17"/>
              </w:rPr>
            </w:pPr>
            <w:r>
              <w:rPr>
                <w:sz w:val="17"/>
              </w:rPr>
              <w:t>3.2</w:t>
            </w:r>
          </w:p>
        </w:tc>
        <w:tc>
          <w:tcPr>
            <w:tcW w:w="907" w:type="dxa"/>
          </w:tcPr>
          <w:p>
            <w:pPr>
              <w:pStyle w:val="TableParagraph"/>
              <w:jc w:val="left"/>
              <w:rPr>
                <w:b/>
                <w:sz w:val="16"/>
              </w:rPr>
            </w:pPr>
          </w:p>
          <w:p>
            <w:pPr>
              <w:pStyle w:val="TableParagraph"/>
              <w:spacing w:before="7"/>
              <w:jc w:val="left"/>
              <w:rPr>
                <w:b/>
                <w:sz w:val="17"/>
              </w:rPr>
            </w:pPr>
          </w:p>
          <w:p>
            <w:pPr>
              <w:pStyle w:val="TableParagraph"/>
              <w:ind w:left="279" w:right="280"/>
              <w:rPr>
                <w:sz w:val="17"/>
              </w:rPr>
            </w:pPr>
            <w:r>
              <w:rPr>
                <w:sz w:val="17"/>
              </w:rPr>
              <w:t>2.8</w:t>
            </w:r>
          </w:p>
        </w:tc>
        <w:tc>
          <w:tcPr>
            <w:tcW w:w="1008" w:type="dxa"/>
          </w:tcPr>
          <w:p>
            <w:pPr>
              <w:pStyle w:val="TableParagraph"/>
              <w:jc w:val="left"/>
              <w:rPr>
                <w:b/>
                <w:sz w:val="16"/>
              </w:rPr>
            </w:pPr>
          </w:p>
          <w:p>
            <w:pPr>
              <w:pStyle w:val="TableParagraph"/>
              <w:spacing w:before="7"/>
              <w:jc w:val="left"/>
              <w:rPr>
                <w:b/>
                <w:sz w:val="17"/>
              </w:rPr>
            </w:pPr>
          </w:p>
          <w:p>
            <w:pPr>
              <w:pStyle w:val="TableParagraph"/>
              <w:ind w:left="276" w:right="277"/>
              <w:rPr>
                <w:sz w:val="17"/>
              </w:rPr>
            </w:pPr>
            <w:r>
              <w:rPr>
                <w:sz w:val="17"/>
              </w:rPr>
              <w:t>2.2</w:t>
            </w:r>
          </w:p>
        </w:tc>
      </w:tr>
      <w:tr>
        <w:trPr>
          <w:trHeight w:val="598" w:hRule="exact"/>
        </w:trPr>
        <w:tc>
          <w:tcPr>
            <w:tcW w:w="1705" w:type="dxa"/>
          </w:tcPr>
          <w:p>
            <w:pPr>
              <w:pStyle w:val="TableParagraph"/>
              <w:ind w:left="103" w:right="259"/>
              <w:jc w:val="left"/>
              <w:rPr>
                <w:b/>
                <w:sz w:val="17"/>
              </w:rPr>
            </w:pPr>
            <w:r>
              <w:rPr>
                <w:b/>
                <w:sz w:val="17"/>
              </w:rPr>
              <w:t>Fabricación de partes de sistemas de transmisión</w:t>
            </w:r>
          </w:p>
        </w:tc>
        <w:tc>
          <w:tcPr>
            <w:tcW w:w="1046" w:type="dxa"/>
          </w:tcPr>
          <w:p>
            <w:pPr>
              <w:pStyle w:val="TableParagraph"/>
              <w:spacing w:before="7"/>
              <w:jc w:val="left"/>
              <w:rPr>
                <w:b/>
                <w:sz w:val="16"/>
              </w:rPr>
            </w:pPr>
          </w:p>
          <w:p>
            <w:pPr>
              <w:pStyle w:val="TableParagraph"/>
              <w:ind w:left="408"/>
              <w:jc w:val="left"/>
              <w:rPr>
                <w:sz w:val="17"/>
              </w:rPr>
            </w:pPr>
            <w:r>
              <w:rPr>
                <w:sz w:val="17"/>
              </w:rPr>
              <w:t>2.4</w:t>
            </w:r>
          </w:p>
        </w:tc>
        <w:tc>
          <w:tcPr>
            <w:tcW w:w="850" w:type="dxa"/>
          </w:tcPr>
          <w:p>
            <w:pPr>
              <w:pStyle w:val="TableParagraph"/>
              <w:spacing w:before="7"/>
              <w:jc w:val="left"/>
              <w:rPr>
                <w:b/>
                <w:sz w:val="16"/>
              </w:rPr>
            </w:pPr>
          </w:p>
          <w:p>
            <w:pPr>
              <w:pStyle w:val="TableParagraph"/>
              <w:ind w:left="311" w:right="-14"/>
              <w:jc w:val="left"/>
              <w:rPr>
                <w:sz w:val="17"/>
              </w:rPr>
            </w:pPr>
            <w:r>
              <w:rPr>
                <w:sz w:val="17"/>
              </w:rPr>
              <w:t>4.0</w:t>
            </w:r>
          </w:p>
        </w:tc>
        <w:tc>
          <w:tcPr>
            <w:tcW w:w="1378" w:type="dxa"/>
          </w:tcPr>
          <w:p>
            <w:pPr>
              <w:pStyle w:val="TableParagraph"/>
              <w:spacing w:before="7"/>
              <w:jc w:val="left"/>
              <w:rPr>
                <w:b/>
                <w:sz w:val="16"/>
              </w:rPr>
            </w:pPr>
          </w:p>
          <w:p>
            <w:pPr>
              <w:pStyle w:val="TableParagraph"/>
              <w:ind w:left="573"/>
              <w:jc w:val="left"/>
              <w:rPr>
                <w:sz w:val="17"/>
              </w:rPr>
            </w:pPr>
            <w:r>
              <w:rPr>
                <w:sz w:val="17"/>
              </w:rPr>
              <w:t>5.8</w:t>
            </w:r>
          </w:p>
        </w:tc>
        <w:tc>
          <w:tcPr>
            <w:tcW w:w="1049" w:type="dxa"/>
          </w:tcPr>
          <w:p>
            <w:pPr>
              <w:pStyle w:val="TableParagraph"/>
              <w:spacing w:before="7"/>
              <w:jc w:val="left"/>
              <w:rPr>
                <w:b/>
                <w:sz w:val="16"/>
              </w:rPr>
            </w:pPr>
          </w:p>
          <w:p>
            <w:pPr>
              <w:pStyle w:val="TableParagraph"/>
              <w:ind w:left="412"/>
              <w:jc w:val="left"/>
              <w:rPr>
                <w:sz w:val="17"/>
              </w:rPr>
            </w:pPr>
            <w:r>
              <w:rPr>
                <w:sz w:val="17"/>
              </w:rPr>
              <w:t>7.6</w:t>
            </w:r>
          </w:p>
        </w:tc>
        <w:tc>
          <w:tcPr>
            <w:tcW w:w="886" w:type="dxa"/>
          </w:tcPr>
          <w:p>
            <w:pPr>
              <w:pStyle w:val="TableParagraph"/>
              <w:spacing w:before="7"/>
              <w:jc w:val="left"/>
              <w:rPr>
                <w:b/>
                <w:sz w:val="16"/>
              </w:rPr>
            </w:pPr>
          </w:p>
          <w:p>
            <w:pPr>
              <w:pStyle w:val="TableParagraph"/>
              <w:ind w:left="329"/>
              <w:jc w:val="left"/>
              <w:rPr>
                <w:sz w:val="17"/>
              </w:rPr>
            </w:pPr>
            <w:r>
              <w:rPr>
                <w:sz w:val="17"/>
              </w:rPr>
              <w:t>7.5</w:t>
            </w:r>
          </w:p>
        </w:tc>
        <w:tc>
          <w:tcPr>
            <w:tcW w:w="907" w:type="dxa"/>
          </w:tcPr>
          <w:p>
            <w:pPr>
              <w:pStyle w:val="TableParagraph"/>
              <w:spacing w:before="7"/>
              <w:jc w:val="left"/>
              <w:rPr>
                <w:b/>
                <w:sz w:val="16"/>
              </w:rPr>
            </w:pPr>
          </w:p>
          <w:p>
            <w:pPr>
              <w:pStyle w:val="TableParagraph"/>
              <w:ind w:left="280" w:right="280"/>
              <w:rPr>
                <w:sz w:val="17"/>
              </w:rPr>
            </w:pPr>
            <w:r>
              <w:rPr>
                <w:sz w:val="17"/>
              </w:rPr>
              <w:t>10.2</w:t>
            </w:r>
          </w:p>
        </w:tc>
        <w:tc>
          <w:tcPr>
            <w:tcW w:w="1008" w:type="dxa"/>
          </w:tcPr>
          <w:p>
            <w:pPr>
              <w:pStyle w:val="TableParagraph"/>
              <w:spacing w:before="7"/>
              <w:jc w:val="left"/>
              <w:rPr>
                <w:b/>
                <w:sz w:val="16"/>
              </w:rPr>
            </w:pPr>
          </w:p>
          <w:p>
            <w:pPr>
              <w:pStyle w:val="TableParagraph"/>
              <w:ind w:left="275" w:right="277"/>
              <w:rPr>
                <w:sz w:val="17"/>
              </w:rPr>
            </w:pPr>
            <w:r>
              <w:rPr>
                <w:sz w:val="17"/>
              </w:rPr>
              <w:t>11.4</w:t>
            </w:r>
          </w:p>
        </w:tc>
      </w:tr>
      <w:tr>
        <w:trPr>
          <w:trHeight w:val="792" w:hRule="exact"/>
        </w:trPr>
        <w:tc>
          <w:tcPr>
            <w:tcW w:w="1705" w:type="dxa"/>
          </w:tcPr>
          <w:p>
            <w:pPr>
              <w:pStyle w:val="TableParagraph"/>
              <w:ind w:left="103" w:right="490"/>
              <w:jc w:val="left"/>
              <w:rPr>
                <w:b/>
                <w:sz w:val="17"/>
              </w:rPr>
            </w:pPr>
            <w:r>
              <w:rPr>
                <w:b/>
                <w:sz w:val="17"/>
              </w:rPr>
              <w:t>Fabricación de asientos para vehículos automotores</w:t>
            </w:r>
          </w:p>
        </w:tc>
        <w:tc>
          <w:tcPr>
            <w:tcW w:w="1046" w:type="dxa"/>
          </w:tcPr>
          <w:p>
            <w:pPr>
              <w:pStyle w:val="TableParagraph"/>
              <w:jc w:val="left"/>
              <w:rPr>
                <w:b/>
                <w:sz w:val="16"/>
              </w:rPr>
            </w:pPr>
          </w:p>
          <w:p>
            <w:pPr>
              <w:pStyle w:val="TableParagraph"/>
              <w:spacing w:before="103"/>
              <w:ind w:left="408"/>
              <w:jc w:val="left"/>
              <w:rPr>
                <w:sz w:val="17"/>
              </w:rPr>
            </w:pPr>
            <w:r>
              <w:rPr>
                <w:sz w:val="17"/>
              </w:rPr>
              <w:t>6.5</w:t>
            </w:r>
          </w:p>
        </w:tc>
        <w:tc>
          <w:tcPr>
            <w:tcW w:w="850" w:type="dxa"/>
          </w:tcPr>
          <w:p>
            <w:pPr>
              <w:pStyle w:val="TableParagraph"/>
              <w:jc w:val="left"/>
              <w:rPr>
                <w:b/>
                <w:sz w:val="16"/>
              </w:rPr>
            </w:pPr>
          </w:p>
          <w:p>
            <w:pPr>
              <w:pStyle w:val="TableParagraph"/>
              <w:spacing w:before="103"/>
              <w:ind w:left="271" w:right="-14"/>
              <w:jc w:val="left"/>
              <w:rPr>
                <w:sz w:val="17"/>
              </w:rPr>
            </w:pPr>
            <w:r>
              <w:rPr>
                <w:sz w:val="17"/>
              </w:rPr>
              <w:t>13.7</w:t>
            </w:r>
          </w:p>
        </w:tc>
        <w:tc>
          <w:tcPr>
            <w:tcW w:w="1378" w:type="dxa"/>
          </w:tcPr>
          <w:p>
            <w:pPr>
              <w:pStyle w:val="TableParagraph"/>
              <w:jc w:val="left"/>
              <w:rPr>
                <w:b/>
                <w:sz w:val="16"/>
              </w:rPr>
            </w:pPr>
          </w:p>
          <w:p>
            <w:pPr>
              <w:pStyle w:val="TableParagraph"/>
              <w:spacing w:before="103"/>
              <w:ind w:left="533"/>
              <w:jc w:val="left"/>
              <w:rPr>
                <w:sz w:val="17"/>
              </w:rPr>
            </w:pPr>
            <w:r>
              <w:rPr>
                <w:sz w:val="17"/>
              </w:rPr>
              <w:t>13.5</w:t>
            </w:r>
          </w:p>
        </w:tc>
        <w:tc>
          <w:tcPr>
            <w:tcW w:w="1049" w:type="dxa"/>
          </w:tcPr>
          <w:p>
            <w:pPr>
              <w:pStyle w:val="TableParagraph"/>
              <w:jc w:val="left"/>
              <w:rPr>
                <w:b/>
                <w:sz w:val="16"/>
              </w:rPr>
            </w:pPr>
          </w:p>
          <w:p>
            <w:pPr>
              <w:pStyle w:val="TableParagraph"/>
              <w:spacing w:before="103"/>
              <w:ind w:left="369"/>
              <w:jc w:val="left"/>
              <w:rPr>
                <w:sz w:val="17"/>
              </w:rPr>
            </w:pPr>
            <w:r>
              <w:rPr>
                <w:sz w:val="17"/>
              </w:rPr>
              <w:t>12.0</w:t>
            </w:r>
          </w:p>
        </w:tc>
        <w:tc>
          <w:tcPr>
            <w:tcW w:w="886" w:type="dxa"/>
          </w:tcPr>
          <w:p>
            <w:pPr>
              <w:pStyle w:val="TableParagraph"/>
              <w:jc w:val="left"/>
              <w:rPr>
                <w:b/>
                <w:sz w:val="16"/>
              </w:rPr>
            </w:pPr>
          </w:p>
          <w:p>
            <w:pPr>
              <w:pStyle w:val="TableParagraph"/>
              <w:spacing w:before="103"/>
              <w:ind w:left="288"/>
              <w:jc w:val="left"/>
              <w:rPr>
                <w:sz w:val="17"/>
              </w:rPr>
            </w:pPr>
            <w:r>
              <w:rPr>
                <w:sz w:val="17"/>
              </w:rPr>
              <w:t>13.1</w:t>
            </w:r>
          </w:p>
        </w:tc>
        <w:tc>
          <w:tcPr>
            <w:tcW w:w="907" w:type="dxa"/>
          </w:tcPr>
          <w:p>
            <w:pPr>
              <w:pStyle w:val="TableParagraph"/>
              <w:jc w:val="left"/>
              <w:rPr>
                <w:b/>
                <w:sz w:val="16"/>
              </w:rPr>
            </w:pPr>
          </w:p>
          <w:p>
            <w:pPr>
              <w:pStyle w:val="TableParagraph"/>
              <w:spacing w:before="103"/>
              <w:ind w:left="279" w:right="280"/>
              <w:rPr>
                <w:sz w:val="17"/>
              </w:rPr>
            </w:pPr>
            <w:r>
              <w:rPr>
                <w:sz w:val="17"/>
              </w:rPr>
              <w:t>2.4</w:t>
            </w:r>
          </w:p>
        </w:tc>
        <w:tc>
          <w:tcPr>
            <w:tcW w:w="1008" w:type="dxa"/>
          </w:tcPr>
          <w:p>
            <w:pPr>
              <w:pStyle w:val="TableParagraph"/>
              <w:jc w:val="left"/>
              <w:rPr>
                <w:b/>
                <w:sz w:val="16"/>
              </w:rPr>
            </w:pPr>
          </w:p>
          <w:p>
            <w:pPr>
              <w:pStyle w:val="TableParagraph"/>
              <w:spacing w:before="103"/>
              <w:ind w:left="276" w:right="277"/>
              <w:rPr>
                <w:sz w:val="17"/>
              </w:rPr>
            </w:pPr>
            <w:r>
              <w:rPr>
                <w:sz w:val="17"/>
              </w:rPr>
              <w:t>2.0</w:t>
            </w:r>
          </w:p>
        </w:tc>
      </w:tr>
      <w:tr>
        <w:trPr>
          <w:trHeight w:val="986" w:hRule="exact"/>
        </w:trPr>
        <w:tc>
          <w:tcPr>
            <w:tcW w:w="1705" w:type="dxa"/>
          </w:tcPr>
          <w:p>
            <w:pPr>
              <w:pStyle w:val="TableParagraph"/>
              <w:ind w:left="103" w:right="329"/>
              <w:jc w:val="left"/>
              <w:rPr>
                <w:b/>
                <w:sz w:val="17"/>
              </w:rPr>
            </w:pPr>
            <w:r>
              <w:rPr>
                <w:b/>
                <w:sz w:val="17"/>
              </w:rPr>
              <w:t>Fabricación de piezas metálicas troqueladas para vehículos automotrices</w:t>
            </w:r>
          </w:p>
        </w:tc>
        <w:tc>
          <w:tcPr>
            <w:tcW w:w="1046" w:type="dxa"/>
          </w:tcPr>
          <w:p>
            <w:pPr>
              <w:pStyle w:val="TableParagraph"/>
              <w:jc w:val="left"/>
              <w:rPr>
                <w:b/>
                <w:sz w:val="16"/>
              </w:rPr>
            </w:pPr>
          </w:p>
          <w:p>
            <w:pPr>
              <w:pStyle w:val="TableParagraph"/>
              <w:spacing w:before="6"/>
              <w:jc w:val="left"/>
              <w:rPr>
                <w:b/>
                <w:sz w:val="17"/>
              </w:rPr>
            </w:pPr>
          </w:p>
          <w:p>
            <w:pPr>
              <w:pStyle w:val="TableParagraph"/>
              <w:ind w:left="408"/>
              <w:jc w:val="left"/>
              <w:rPr>
                <w:sz w:val="17"/>
              </w:rPr>
            </w:pPr>
            <w:r>
              <w:rPr>
                <w:sz w:val="17"/>
              </w:rPr>
              <w:t>7.0</w:t>
            </w:r>
          </w:p>
        </w:tc>
        <w:tc>
          <w:tcPr>
            <w:tcW w:w="850" w:type="dxa"/>
          </w:tcPr>
          <w:p>
            <w:pPr>
              <w:pStyle w:val="TableParagraph"/>
              <w:jc w:val="left"/>
              <w:rPr>
                <w:b/>
                <w:sz w:val="16"/>
              </w:rPr>
            </w:pPr>
          </w:p>
          <w:p>
            <w:pPr>
              <w:pStyle w:val="TableParagraph"/>
              <w:spacing w:before="6"/>
              <w:jc w:val="left"/>
              <w:rPr>
                <w:b/>
                <w:sz w:val="17"/>
              </w:rPr>
            </w:pPr>
          </w:p>
          <w:p>
            <w:pPr>
              <w:pStyle w:val="TableParagraph"/>
              <w:ind w:left="311" w:right="-14"/>
              <w:jc w:val="left"/>
              <w:rPr>
                <w:sz w:val="17"/>
              </w:rPr>
            </w:pPr>
            <w:r>
              <w:rPr>
                <w:sz w:val="17"/>
              </w:rPr>
              <w:t>3.2</w:t>
            </w:r>
          </w:p>
        </w:tc>
        <w:tc>
          <w:tcPr>
            <w:tcW w:w="1378" w:type="dxa"/>
          </w:tcPr>
          <w:p>
            <w:pPr>
              <w:pStyle w:val="TableParagraph"/>
              <w:jc w:val="left"/>
              <w:rPr>
                <w:b/>
                <w:sz w:val="16"/>
              </w:rPr>
            </w:pPr>
          </w:p>
          <w:p>
            <w:pPr>
              <w:pStyle w:val="TableParagraph"/>
              <w:spacing w:before="6"/>
              <w:jc w:val="left"/>
              <w:rPr>
                <w:b/>
                <w:sz w:val="17"/>
              </w:rPr>
            </w:pPr>
          </w:p>
          <w:p>
            <w:pPr>
              <w:pStyle w:val="TableParagraph"/>
              <w:ind w:left="573"/>
              <w:jc w:val="left"/>
              <w:rPr>
                <w:sz w:val="17"/>
              </w:rPr>
            </w:pPr>
            <w:r>
              <w:rPr>
                <w:sz w:val="17"/>
              </w:rPr>
              <w:t>2.5</w:t>
            </w:r>
          </w:p>
        </w:tc>
        <w:tc>
          <w:tcPr>
            <w:tcW w:w="1049" w:type="dxa"/>
          </w:tcPr>
          <w:p>
            <w:pPr>
              <w:pStyle w:val="TableParagraph"/>
              <w:jc w:val="left"/>
              <w:rPr>
                <w:b/>
                <w:sz w:val="16"/>
              </w:rPr>
            </w:pPr>
          </w:p>
          <w:p>
            <w:pPr>
              <w:pStyle w:val="TableParagraph"/>
              <w:spacing w:before="6"/>
              <w:jc w:val="left"/>
              <w:rPr>
                <w:b/>
                <w:sz w:val="17"/>
              </w:rPr>
            </w:pPr>
          </w:p>
          <w:p>
            <w:pPr>
              <w:pStyle w:val="TableParagraph"/>
              <w:ind w:left="412"/>
              <w:jc w:val="left"/>
              <w:rPr>
                <w:sz w:val="17"/>
              </w:rPr>
            </w:pPr>
            <w:r>
              <w:rPr>
                <w:sz w:val="17"/>
              </w:rPr>
              <w:t>4.3</w:t>
            </w:r>
          </w:p>
        </w:tc>
        <w:tc>
          <w:tcPr>
            <w:tcW w:w="886" w:type="dxa"/>
          </w:tcPr>
          <w:p>
            <w:pPr>
              <w:pStyle w:val="TableParagraph"/>
              <w:jc w:val="left"/>
              <w:rPr>
                <w:b/>
                <w:sz w:val="16"/>
              </w:rPr>
            </w:pPr>
          </w:p>
          <w:p>
            <w:pPr>
              <w:pStyle w:val="TableParagraph"/>
              <w:spacing w:before="6"/>
              <w:jc w:val="left"/>
              <w:rPr>
                <w:b/>
                <w:sz w:val="17"/>
              </w:rPr>
            </w:pPr>
          </w:p>
          <w:p>
            <w:pPr>
              <w:pStyle w:val="TableParagraph"/>
              <w:ind w:left="329"/>
              <w:jc w:val="left"/>
              <w:rPr>
                <w:sz w:val="17"/>
              </w:rPr>
            </w:pPr>
            <w:r>
              <w:rPr>
                <w:sz w:val="17"/>
              </w:rPr>
              <w:t>2.6</w:t>
            </w:r>
          </w:p>
        </w:tc>
        <w:tc>
          <w:tcPr>
            <w:tcW w:w="907" w:type="dxa"/>
          </w:tcPr>
          <w:p>
            <w:pPr>
              <w:pStyle w:val="TableParagraph"/>
              <w:jc w:val="left"/>
              <w:rPr>
                <w:b/>
                <w:sz w:val="16"/>
              </w:rPr>
            </w:pPr>
          </w:p>
          <w:p>
            <w:pPr>
              <w:pStyle w:val="TableParagraph"/>
              <w:spacing w:before="6"/>
              <w:jc w:val="left"/>
              <w:rPr>
                <w:b/>
                <w:sz w:val="17"/>
              </w:rPr>
            </w:pPr>
          </w:p>
          <w:p>
            <w:pPr>
              <w:pStyle w:val="TableParagraph"/>
              <w:ind w:left="279" w:right="280"/>
              <w:rPr>
                <w:sz w:val="17"/>
              </w:rPr>
            </w:pPr>
            <w:r>
              <w:rPr>
                <w:sz w:val="17"/>
              </w:rPr>
              <w:t>8.4</w:t>
            </w:r>
          </w:p>
        </w:tc>
        <w:tc>
          <w:tcPr>
            <w:tcW w:w="1008" w:type="dxa"/>
          </w:tcPr>
          <w:p>
            <w:pPr>
              <w:pStyle w:val="TableParagraph"/>
              <w:jc w:val="left"/>
              <w:rPr>
                <w:b/>
                <w:sz w:val="16"/>
              </w:rPr>
            </w:pPr>
          </w:p>
          <w:p>
            <w:pPr>
              <w:pStyle w:val="TableParagraph"/>
              <w:spacing w:before="6"/>
              <w:jc w:val="left"/>
              <w:rPr>
                <w:b/>
                <w:sz w:val="17"/>
              </w:rPr>
            </w:pPr>
          </w:p>
          <w:p>
            <w:pPr>
              <w:pStyle w:val="TableParagraph"/>
              <w:ind w:left="276" w:right="277"/>
              <w:rPr>
                <w:sz w:val="17"/>
              </w:rPr>
            </w:pPr>
            <w:r>
              <w:rPr>
                <w:sz w:val="17"/>
              </w:rPr>
              <w:t>8.3</w:t>
            </w:r>
          </w:p>
        </w:tc>
      </w:tr>
      <w:tr>
        <w:trPr>
          <w:trHeight w:val="793" w:hRule="exact"/>
        </w:trPr>
        <w:tc>
          <w:tcPr>
            <w:tcW w:w="1705" w:type="dxa"/>
          </w:tcPr>
          <w:p>
            <w:pPr>
              <w:pStyle w:val="TableParagraph"/>
              <w:ind w:left="103" w:right="325"/>
              <w:jc w:val="left"/>
              <w:rPr>
                <w:b/>
                <w:sz w:val="17"/>
              </w:rPr>
            </w:pPr>
            <w:r>
              <w:rPr>
                <w:b/>
                <w:sz w:val="17"/>
              </w:rPr>
              <w:t>Fabricación de otras partes para vehículos automotrices</w:t>
            </w:r>
          </w:p>
        </w:tc>
        <w:tc>
          <w:tcPr>
            <w:tcW w:w="1046" w:type="dxa"/>
          </w:tcPr>
          <w:p>
            <w:pPr>
              <w:pStyle w:val="TableParagraph"/>
              <w:jc w:val="left"/>
              <w:rPr>
                <w:b/>
                <w:sz w:val="16"/>
              </w:rPr>
            </w:pPr>
          </w:p>
          <w:p>
            <w:pPr>
              <w:pStyle w:val="TableParagraph"/>
              <w:spacing w:before="104"/>
              <w:ind w:left="367"/>
              <w:jc w:val="left"/>
              <w:rPr>
                <w:sz w:val="17"/>
              </w:rPr>
            </w:pPr>
            <w:r>
              <w:rPr>
                <w:sz w:val="17"/>
              </w:rPr>
              <w:t>16.9</w:t>
            </w:r>
          </w:p>
        </w:tc>
        <w:tc>
          <w:tcPr>
            <w:tcW w:w="850" w:type="dxa"/>
          </w:tcPr>
          <w:p>
            <w:pPr>
              <w:pStyle w:val="TableParagraph"/>
              <w:jc w:val="left"/>
              <w:rPr>
                <w:b/>
                <w:sz w:val="16"/>
              </w:rPr>
            </w:pPr>
          </w:p>
          <w:p>
            <w:pPr>
              <w:pStyle w:val="TableParagraph"/>
              <w:spacing w:before="104"/>
              <w:ind w:left="271" w:right="-14"/>
              <w:jc w:val="left"/>
              <w:rPr>
                <w:sz w:val="17"/>
              </w:rPr>
            </w:pPr>
            <w:r>
              <w:rPr>
                <w:sz w:val="17"/>
              </w:rPr>
              <w:t>19.7</w:t>
            </w:r>
          </w:p>
        </w:tc>
        <w:tc>
          <w:tcPr>
            <w:tcW w:w="1378" w:type="dxa"/>
          </w:tcPr>
          <w:p>
            <w:pPr>
              <w:pStyle w:val="TableParagraph"/>
              <w:jc w:val="left"/>
              <w:rPr>
                <w:b/>
                <w:sz w:val="16"/>
              </w:rPr>
            </w:pPr>
          </w:p>
          <w:p>
            <w:pPr>
              <w:pStyle w:val="TableParagraph"/>
              <w:spacing w:before="104"/>
              <w:ind w:left="533"/>
              <w:jc w:val="left"/>
              <w:rPr>
                <w:sz w:val="17"/>
              </w:rPr>
            </w:pPr>
            <w:r>
              <w:rPr>
                <w:sz w:val="17"/>
              </w:rPr>
              <w:t>21.9</w:t>
            </w:r>
          </w:p>
        </w:tc>
        <w:tc>
          <w:tcPr>
            <w:tcW w:w="1049" w:type="dxa"/>
          </w:tcPr>
          <w:p>
            <w:pPr>
              <w:pStyle w:val="TableParagraph"/>
              <w:jc w:val="left"/>
              <w:rPr>
                <w:b/>
                <w:sz w:val="16"/>
              </w:rPr>
            </w:pPr>
          </w:p>
          <w:p>
            <w:pPr>
              <w:pStyle w:val="TableParagraph"/>
              <w:spacing w:before="104"/>
              <w:ind w:left="369"/>
              <w:jc w:val="left"/>
              <w:rPr>
                <w:sz w:val="17"/>
              </w:rPr>
            </w:pPr>
            <w:r>
              <w:rPr>
                <w:sz w:val="17"/>
              </w:rPr>
              <w:t>24.7</w:t>
            </w:r>
          </w:p>
        </w:tc>
        <w:tc>
          <w:tcPr>
            <w:tcW w:w="886" w:type="dxa"/>
          </w:tcPr>
          <w:p>
            <w:pPr>
              <w:pStyle w:val="TableParagraph"/>
              <w:jc w:val="left"/>
              <w:rPr>
                <w:b/>
                <w:sz w:val="16"/>
              </w:rPr>
            </w:pPr>
          </w:p>
          <w:p>
            <w:pPr>
              <w:pStyle w:val="TableParagraph"/>
              <w:spacing w:before="104"/>
              <w:ind w:left="288"/>
              <w:jc w:val="left"/>
              <w:rPr>
                <w:sz w:val="17"/>
              </w:rPr>
            </w:pPr>
            <w:r>
              <w:rPr>
                <w:sz w:val="17"/>
              </w:rPr>
              <w:t>25.2</w:t>
            </w:r>
          </w:p>
        </w:tc>
        <w:tc>
          <w:tcPr>
            <w:tcW w:w="907" w:type="dxa"/>
          </w:tcPr>
          <w:p>
            <w:pPr>
              <w:pStyle w:val="TableParagraph"/>
              <w:jc w:val="left"/>
              <w:rPr>
                <w:b/>
                <w:sz w:val="16"/>
              </w:rPr>
            </w:pPr>
          </w:p>
          <w:p>
            <w:pPr>
              <w:pStyle w:val="TableParagraph"/>
              <w:spacing w:before="104"/>
              <w:ind w:left="280" w:right="280"/>
              <w:rPr>
                <w:sz w:val="17"/>
              </w:rPr>
            </w:pPr>
            <w:r>
              <w:rPr>
                <w:sz w:val="17"/>
              </w:rPr>
              <w:t>20.5</w:t>
            </w:r>
          </w:p>
        </w:tc>
        <w:tc>
          <w:tcPr>
            <w:tcW w:w="1008" w:type="dxa"/>
          </w:tcPr>
          <w:p>
            <w:pPr>
              <w:pStyle w:val="TableParagraph"/>
              <w:jc w:val="left"/>
              <w:rPr>
                <w:b/>
                <w:sz w:val="16"/>
              </w:rPr>
            </w:pPr>
          </w:p>
          <w:p>
            <w:pPr>
              <w:pStyle w:val="TableParagraph"/>
              <w:spacing w:before="104"/>
              <w:ind w:left="275" w:right="277"/>
              <w:rPr>
                <w:sz w:val="17"/>
              </w:rPr>
            </w:pPr>
            <w:r>
              <w:rPr>
                <w:sz w:val="17"/>
              </w:rPr>
              <w:t>20.9</w:t>
            </w:r>
          </w:p>
        </w:tc>
      </w:tr>
    </w:tbl>
    <w:p>
      <w:pPr>
        <w:spacing w:line="202" w:lineRule="exact" w:before="0"/>
        <w:ind w:left="102" w:right="0" w:firstLine="0"/>
        <w:jc w:val="both"/>
        <w:rPr>
          <w:sz w:val="18"/>
        </w:rPr>
      </w:pPr>
      <w:r>
        <w:rPr>
          <w:sz w:val="18"/>
        </w:rPr>
        <w:t>Fuente: Elaboración propia con datos de INEGI (2009).</w:t>
      </w:r>
    </w:p>
    <w:p>
      <w:pPr>
        <w:pStyle w:val="BodyText"/>
        <w:rPr>
          <w:sz w:val="18"/>
        </w:rPr>
      </w:pPr>
    </w:p>
    <w:p>
      <w:pPr>
        <w:pStyle w:val="BodyText"/>
        <w:spacing w:line="360" w:lineRule="auto" w:before="135"/>
        <w:ind w:left="102" w:right="117"/>
        <w:jc w:val="both"/>
      </w:pPr>
      <w:r>
        <w:rPr/>
        <w:t>En cuanto al personal ocupado, se observa en el cuadro 3.3 que la actividad de fabricación de equipo eléctrico y electrónico es la que emplea más del 40% del sector de autopartes, seguida por la fabricación de otras partes y la fabricación de asientos para vehículos automotores, con participaciones del 19.7 y 13.7%, respectivamente. Lo que en consecuencia, ha generado que dichas actividades también destaquen dentro de las remuneraciones totales, con porcentajes de participación del 34.0, 21.9 y 13.5%, respectivamente (INEGI, 2009).</w:t>
      </w:r>
    </w:p>
    <w:p>
      <w:pPr>
        <w:spacing w:after="0" w:line="360" w:lineRule="auto"/>
        <w:jc w:val="both"/>
        <w:sectPr>
          <w:pgSz w:w="12240" w:h="15840"/>
          <w:pgMar w:header="0" w:footer="1035" w:top="1360" w:bottom="1220" w:left="1600" w:right="1580"/>
        </w:sectPr>
      </w:pPr>
    </w:p>
    <w:p>
      <w:pPr>
        <w:pStyle w:val="BodyText"/>
        <w:spacing w:line="360" w:lineRule="auto" w:before="50"/>
        <w:ind w:left="102" w:right="113"/>
        <w:jc w:val="both"/>
      </w:pPr>
      <w:r>
        <w:rPr/>
        <w:t>Así también, se encuentra que las actividades que recibieron la mayor parte de la inversión total en el sector fueron las actividades de fabricación de motores de gasolina y sus partes con una participación del 30.9%, seguida por las actividades de fabricación de otras partes</w:t>
      </w:r>
      <w:r>
        <w:rPr>
          <w:spacing w:val="-21"/>
        </w:rPr>
        <w:t> </w:t>
      </w:r>
      <w:r>
        <w:rPr/>
        <w:t>y la fabricación de equipo eléctrico y electrónico con participaciones del 20.5 y 16.9% respectivamente (INEGI,</w:t>
      </w:r>
      <w:r>
        <w:rPr>
          <w:spacing w:val="-10"/>
        </w:rPr>
        <w:t> </w:t>
      </w:r>
      <w:r>
        <w:rPr/>
        <w:t>2009).</w:t>
      </w:r>
    </w:p>
    <w:p>
      <w:pPr>
        <w:pStyle w:val="BodyText"/>
        <w:spacing w:before="4"/>
        <w:rPr>
          <w:sz w:val="21"/>
        </w:rPr>
      </w:pPr>
    </w:p>
    <w:p>
      <w:pPr>
        <w:pStyle w:val="BodyText"/>
        <w:spacing w:line="360" w:lineRule="auto" w:before="1"/>
        <w:ind w:left="102" w:right="117"/>
        <w:jc w:val="both"/>
      </w:pPr>
      <w:r>
        <w:rPr/>
        <w:t>Hasta aquí se ha resaltado la importancia que poco a poco ha ido adquiriendo la industria automotriz</w:t>
      </w:r>
      <w:r>
        <w:rPr>
          <w:spacing w:val="-2"/>
        </w:rPr>
        <w:t> </w:t>
      </w:r>
      <w:r>
        <w:rPr/>
        <w:t>de</w:t>
      </w:r>
      <w:r>
        <w:rPr>
          <w:spacing w:val="-5"/>
        </w:rPr>
        <w:t> </w:t>
      </w:r>
      <w:r>
        <w:rPr/>
        <w:t>México</w:t>
      </w:r>
      <w:r>
        <w:rPr>
          <w:spacing w:val="-4"/>
        </w:rPr>
        <w:t> </w:t>
      </w:r>
      <w:r>
        <w:rPr/>
        <w:t>tanto</w:t>
      </w:r>
      <w:r>
        <w:rPr>
          <w:spacing w:val="-3"/>
        </w:rPr>
        <w:t> </w:t>
      </w:r>
      <w:r>
        <w:rPr/>
        <w:t>a</w:t>
      </w:r>
      <w:r>
        <w:rPr>
          <w:spacing w:val="-5"/>
        </w:rPr>
        <w:t> </w:t>
      </w:r>
      <w:r>
        <w:rPr/>
        <w:t>nivel</w:t>
      </w:r>
      <w:r>
        <w:rPr>
          <w:spacing w:val="-4"/>
        </w:rPr>
        <w:t> </w:t>
      </w:r>
      <w:r>
        <w:rPr/>
        <w:t>mundial</w:t>
      </w:r>
      <w:r>
        <w:rPr>
          <w:spacing w:val="-3"/>
        </w:rPr>
        <w:t> </w:t>
      </w:r>
      <w:r>
        <w:rPr/>
        <w:t>como</w:t>
      </w:r>
      <w:r>
        <w:rPr>
          <w:spacing w:val="-6"/>
        </w:rPr>
        <w:t> </w:t>
      </w:r>
      <w:r>
        <w:rPr/>
        <w:t>a</w:t>
      </w:r>
      <w:r>
        <w:rPr>
          <w:spacing w:val="-5"/>
        </w:rPr>
        <w:t> </w:t>
      </w:r>
      <w:r>
        <w:rPr/>
        <w:t>nivel</w:t>
      </w:r>
      <w:r>
        <w:rPr>
          <w:spacing w:val="-2"/>
        </w:rPr>
        <w:t> </w:t>
      </w:r>
      <w:r>
        <w:rPr/>
        <w:t>nacional,</w:t>
      </w:r>
      <w:r>
        <w:rPr>
          <w:spacing w:val="-3"/>
        </w:rPr>
        <w:t> </w:t>
      </w:r>
      <w:r>
        <w:rPr/>
        <w:t>esto</w:t>
      </w:r>
      <w:r>
        <w:rPr>
          <w:spacing w:val="-3"/>
        </w:rPr>
        <w:t> </w:t>
      </w:r>
      <w:r>
        <w:rPr/>
        <w:t>se</w:t>
      </w:r>
      <w:r>
        <w:rPr>
          <w:spacing w:val="-5"/>
        </w:rPr>
        <w:t> </w:t>
      </w:r>
      <w:r>
        <w:rPr/>
        <w:t>debe</w:t>
      </w:r>
      <w:r>
        <w:rPr>
          <w:spacing w:val="-5"/>
        </w:rPr>
        <w:t> </w:t>
      </w:r>
      <w:r>
        <w:rPr/>
        <w:t>en</w:t>
      </w:r>
      <w:r>
        <w:rPr>
          <w:spacing w:val="-4"/>
        </w:rPr>
        <w:t> </w:t>
      </w:r>
      <w:r>
        <w:rPr/>
        <w:t>parte</w:t>
      </w:r>
      <w:r>
        <w:rPr>
          <w:spacing w:val="-3"/>
        </w:rPr>
        <w:t> </w:t>
      </w:r>
      <w:r>
        <w:rPr/>
        <w:t>a</w:t>
      </w:r>
      <w:r>
        <w:rPr>
          <w:spacing w:val="-5"/>
        </w:rPr>
        <w:t> </w:t>
      </w:r>
      <w:r>
        <w:rPr/>
        <w:t>la reconocida</w:t>
      </w:r>
      <w:r>
        <w:rPr>
          <w:spacing w:val="-15"/>
        </w:rPr>
        <w:t> </w:t>
      </w:r>
      <w:r>
        <w:rPr/>
        <w:t>calidad</w:t>
      </w:r>
      <w:r>
        <w:rPr>
          <w:spacing w:val="-14"/>
        </w:rPr>
        <w:t> </w:t>
      </w:r>
      <w:r>
        <w:rPr/>
        <w:t>de</w:t>
      </w:r>
      <w:r>
        <w:rPr>
          <w:spacing w:val="-15"/>
        </w:rPr>
        <w:t> </w:t>
      </w:r>
      <w:r>
        <w:rPr/>
        <w:t>la</w:t>
      </w:r>
      <w:r>
        <w:rPr>
          <w:spacing w:val="-15"/>
        </w:rPr>
        <w:t> </w:t>
      </w:r>
      <w:r>
        <w:rPr/>
        <w:t>manufactura</w:t>
      </w:r>
      <w:r>
        <w:rPr>
          <w:spacing w:val="-15"/>
        </w:rPr>
        <w:t> </w:t>
      </w:r>
      <w:r>
        <w:rPr/>
        <w:t>automotriz</w:t>
      </w:r>
      <w:r>
        <w:rPr>
          <w:spacing w:val="-15"/>
        </w:rPr>
        <w:t> </w:t>
      </w:r>
      <w:r>
        <w:rPr/>
        <w:t>mexicana</w:t>
      </w:r>
      <w:r>
        <w:rPr>
          <w:spacing w:val="-15"/>
        </w:rPr>
        <w:t> </w:t>
      </w:r>
      <w:r>
        <w:rPr/>
        <w:t>que</w:t>
      </w:r>
      <w:r>
        <w:rPr>
          <w:spacing w:val="-15"/>
        </w:rPr>
        <w:t> </w:t>
      </w:r>
      <w:r>
        <w:rPr/>
        <w:t>ha</w:t>
      </w:r>
      <w:r>
        <w:rPr>
          <w:spacing w:val="-15"/>
        </w:rPr>
        <w:t> </w:t>
      </w:r>
      <w:r>
        <w:rPr/>
        <w:t>hecho</w:t>
      </w:r>
      <w:r>
        <w:rPr>
          <w:spacing w:val="-14"/>
        </w:rPr>
        <w:t> </w:t>
      </w:r>
      <w:r>
        <w:rPr/>
        <w:t>posible</w:t>
      </w:r>
      <w:r>
        <w:rPr>
          <w:spacing w:val="-15"/>
        </w:rPr>
        <w:t> </w:t>
      </w:r>
      <w:r>
        <w:rPr/>
        <w:t>que</w:t>
      </w:r>
      <w:r>
        <w:rPr>
          <w:spacing w:val="-15"/>
        </w:rPr>
        <w:t> </w:t>
      </w:r>
      <w:r>
        <w:rPr/>
        <w:t>diversas empresas elijan a México como plataforma única de fabricación para todos sus mercados (SE, 2013). Además las ventajas que México ofrece a esta industria lo han llevado a posicionarse como un centro de inversión muy atractivo, permitiendo la generación de nuevos</w:t>
      </w:r>
      <w:r>
        <w:rPr>
          <w:spacing w:val="-13"/>
        </w:rPr>
        <w:t> </w:t>
      </w:r>
      <w:r>
        <w:rPr/>
        <w:t>empleos</w:t>
      </w:r>
      <w:r>
        <w:rPr>
          <w:spacing w:val="-8"/>
        </w:rPr>
        <w:t> </w:t>
      </w:r>
      <w:r>
        <w:rPr/>
        <w:t>y</w:t>
      </w:r>
      <w:r>
        <w:rPr>
          <w:spacing w:val="-18"/>
        </w:rPr>
        <w:t> </w:t>
      </w:r>
      <w:r>
        <w:rPr/>
        <w:t>un</w:t>
      </w:r>
      <w:r>
        <w:rPr>
          <w:spacing w:val="-13"/>
        </w:rPr>
        <w:t> </w:t>
      </w:r>
      <w:r>
        <w:rPr/>
        <w:t>aumento</w:t>
      </w:r>
      <w:r>
        <w:rPr>
          <w:spacing w:val="-13"/>
        </w:rPr>
        <w:t> </w:t>
      </w:r>
      <w:r>
        <w:rPr/>
        <w:t>de</w:t>
      </w:r>
      <w:r>
        <w:rPr>
          <w:spacing w:val="-14"/>
        </w:rPr>
        <w:t> </w:t>
      </w:r>
      <w:r>
        <w:rPr/>
        <w:t>la</w:t>
      </w:r>
      <w:r>
        <w:rPr>
          <w:spacing w:val="-14"/>
        </w:rPr>
        <w:t> </w:t>
      </w:r>
      <w:r>
        <w:rPr/>
        <w:t>competitividad</w:t>
      </w:r>
      <w:r>
        <w:rPr>
          <w:spacing w:val="-11"/>
        </w:rPr>
        <w:t> </w:t>
      </w:r>
      <w:r>
        <w:rPr/>
        <w:t>de</w:t>
      </w:r>
      <w:r>
        <w:rPr>
          <w:spacing w:val="-14"/>
        </w:rPr>
        <w:t> </w:t>
      </w:r>
      <w:r>
        <w:rPr/>
        <w:t>la</w:t>
      </w:r>
      <w:r>
        <w:rPr>
          <w:spacing w:val="-14"/>
        </w:rPr>
        <w:t> </w:t>
      </w:r>
      <w:r>
        <w:rPr/>
        <w:t>industria</w:t>
      </w:r>
      <w:r>
        <w:rPr>
          <w:spacing w:val="-14"/>
        </w:rPr>
        <w:t> </w:t>
      </w:r>
      <w:r>
        <w:rPr/>
        <w:t>automotriz</w:t>
      </w:r>
      <w:r>
        <w:rPr>
          <w:spacing w:val="-12"/>
        </w:rPr>
        <w:t> </w:t>
      </w:r>
      <w:r>
        <w:rPr/>
        <w:t>de</w:t>
      </w:r>
      <w:r>
        <w:rPr>
          <w:spacing w:val="-14"/>
        </w:rPr>
        <w:t> </w:t>
      </w:r>
      <w:r>
        <w:rPr/>
        <w:t>nuestro</w:t>
      </w:r>
      <w:r>
        <w:rPr>
          <w:spacing w:val="-13"/>
        </w:rPr>
        <w:t> </w:t>
      </w:r>
      <w:r>
        <w:rPr/>
        <w:t>país.</w:t>
      </w:r>
    </w:p>
    <w:p>
      <w:pPr>
        <w:pStyle w:val="BodyText"/>
        <w:spacing w:before="2"/>
        <w:rPr>
          <w:sz w:val="21"/>
        </w:rPr>
      </w:pPr>
    </w:p>
    <w:p>
      <w:pPr>
        <w:pStyle w:val="BodyText"/>
        <w:spacing w:line="360" w:lineRule="auto"/>
        <w:ind w:left="102" w:right="116"/>
        <w:jc w:val="both"/>
      </w:pPr>
      <w:r>
        <w:rPr/>
        <w:t>Una</w:t>
      </w:r>
      <w:r>
        <w:rPr>
          <w:spacing w:val="-4"/>
        </w:rPr>
        <w:t> </w:t>
      </w:r>
      <w:r>
        <w:rPr/>
        <w:t>vez</w:t>
      </w:r>
      <w:r>
        <w:rPr>
          <w:spacing w:val="-2"/>
        </w:rPr>
        <w:t> </w:t>
      </w:r>
      <w:r>
        <w:rPr/>
        <w:t>que</w:t>
      </w:r>
      <w:r>
        <w:rPr>
          <w:spacing w:val="-4"/>
        </w:rPr>
        <w:t> </w:t>
      </w:r>
      <w:r>
        <w:rPr/>
        <w:t>se</w:t>
      </w:r>
      <w:r>
        <w:rPr>
          <w:spacing w:val="-4"/>
        </w:rPr>
        <w:t> </w:t>
      </w:r>
      <w:r>
        <w:rPr/>
        <w:t>ha</w:t>
      </w:r>
      <w:r>
        <w:rPr>
          <w:spacing w:val="-4"/>
        </w:rPr>
        <w:t> </w:t>
      </w:r>
      <w:r>
        <w:rPr/>
        <w:t>destacado</w:t>
      </w:r>
      <w:r>
        <w:rPr>
          <w:spacing w:val="-3"/>
        </w:rPr>
        <w:t> </w:t>
      </w:r>
      <w:r>
        <w:rPr/>
        <w:t>de</w:t>
      </w:r>
      <w:r>
        <w:rPr>
          <w:spacing w:val="-4"/>
        </w:rPr>
        <w:t> </w:t>
      </w:r>
      <w:r>
        <w:rPr/>
        <w:t>manera</w:t>
      </w:r>
      <w:r>
        <w:rPr>
          <w:spacing w:val="-5"/>
        </w:rPr>
        <w:t> </w:t>
      </w:r>
      <w:r>
        <w:rPr/>
        <w:t>general</w:t>
      </w:r>
      <w:r>
        <w:rPr>
          <w:spacing w:val="-1"/>
        </w:rPr>
        <w:t> </w:t>
      </w:r>
      <w:r>
        <w:rPr/>
        <w:t>la importancia</w:t>
      </w:r>
      <w:r>
        <w:rPr>
          <w:spacing w:val="-3"/>
        </w:rPr>
        <w:t> </w:t>
      </w:r>
      <w:r>
        <w:rPr/>
        <w:t>del</w:t>
      </w:r>
      <w:r>
        <w:rPr>
          <w:spacing w:val="-2"/>
        </w:rPr>
        <w:t> </w:t>
      </w:r>
      <w:r>
        <w:rPr/>
        <w:t>sector</w:t>
      </w:r>
      <w:r>
        <w:rPr>
          <w:spacing w:val="-3"/>
        </w:rPr>
        <w:t> </w:t>
      </w:r>
      <w:r>
        <w:rPr/>
        <w:t>manufacturero</w:t>
      </w:r>
      <w:r>
        <w:rPr>
          <w:spacing w:val="1"/>
        </w:rPr>
        <w:t> </w:t>
      </w:r>
      <w:r>
        <w:rPr/>
        <w:t>y</w:t>
      </w:r>
      <w:r>
        <w:rPr>
          <w:spacing w:val="-8"/>
        </w:rPr>
        <w:t> </w:t>
      </w:r>
      <w:r>
        <w:rPr/>
        <w:t>la dinámica que genera la industria automotriz en nuestro país por separado, es necesario conocer ahora, cuál ha sido la relación que guarda la industria automotriz con las manufacturas mexicanas, por lo que, en el capítulo siguiente se aborda de manera puntal dicha relación, tanto a nivel nacional como a nivel</w:t>
      </w:r>
      <w:r>
        <w:rPr>
          <w:spacing w:val="-9"/>
        </w:rPr>
        <w:t> </w:t>
      </w:r>
      <w:r>
        <w:rPr/>
        <w:t>regional.</w:t>
      </w:r>
    </w:p>
    <w:p>
      <w:pPr>
        <w:spacing w:after="0" w:line="360" w:lineRule="auto"/>
        <w:jc w:val="both"/>
        <w:sectPr>
          <w:pgSz w:w="12240" w:h="15840"/>
          <w:pgMar w:header="0" w:footer="1035" w:top="1360" w:bottom="1220" w:left="1600" w:right="1580"/>
        </w:sectPr>
      </w:pPr>
    </w:p>
    <w:p>
      <w:pPr>
        <w:pStyle w:val="Heading1"/>
        <w:spacing w:before="55"/>
        <w:ind w:left="1323" w:right="119"/>
      </w:pPr>
      <w:bookmarkStart w:name="_TOC_250014" w:id="21"/>
      <w:bookmarkEnd w:id="21"/>
      <w:r>
        <w:rPr/>
        <w:t>Capítulo 4.  El sector automotriz en cuatro regiones de México</w:t>
      </w:r>
    </w:p>
    <w:p>
      <w:pPr>
        <w:pStyle w:val="BodyText"/>
        <w:spacing w:before="6"/>
        <w:rPr>
          <w:b/>
          <w:sz w:val="32"/>
        </w:rPr>
      </w:pPr>
    </w:p>
    <w:p>
      <w:pPr>
        <w:pStyle w:val="BodyText"/>
        <w:spacing w:line="360" w:lineRule="auto"/>
        <w:ind w:left="102" w:right="115"/>
        <w:jc w:val="both"/>
      </w:pPr>
      <w:r>
        <w:rPr/>
        <w:t>Una vez que se ha presentado la importancia que tiene el sector manufacturero en México y que</w:t>
      </w:r>
      <w:r>
        <w:rPr>
          <w:spacing w:val="-17"/>
        </w:rPr>
        <w:t> </w:t>
      </w:r>
      <w:r>
        <w:rPr/>
        <w:t>se</w:t>
      </w:r>
      <w:r>
        <w:rPr>
          <w:spacing w:val="-17"/>
        </w:rPr>
        <w:t> </w:t>
      </w:r>
      <w:r>
        <w:rPr/>
        <w:t>mostrado</w:t>
      </w:r>
      <w:r>
        <w:rPr>
          <w:spacing w:val="-16"/>
        </w:rPr>
        <w:t> </w:t>
      </w:r>
      <w:r>
        <w:rPr/>
        <w:t>de</w:t>
      </w:r>
      <w:r>
        <w:rPr>
          <w:spacing w:val="-15"/>
        </w:rPr>
        <w:t> </w:t>
      </w:r>
      <w:r>
        <w:rPr/>
        <w:t>manera</w:t>
      </w:r>
      <w:r>
        <w:rPr>
          <w:spacing w:val="-17"/>
        </w:rPr>
        <w:t> </w:t>
      </w:r>
      <w:r>
        <w:rPr/>
        <w:t>general</w:t>
      </w:r>
      <w:r>
        <w:rPr>
          <w:spacing w:val="-15"/>
        </w:rPr>
        <w:t> </w:t>
      </w:r>
      <w:r>
        <w:rPr/>
        <w:t>la</w:t>
      </w:r>
      <w:r>
        <w:rPr>
          <w:spacing w:val="-14"/>
        </w:rPr>
        <w:t> </w:t>
      </w:r>
      <w:r>
        <w:rPr/>
        <w:t>dinámica</w:t>
      </w:r>
      <w:r>
        <w:rPr>
          <w:spacing w:val="-15"/>
        </w:rPr>
        <w:t> </w:t>
      </w:r>
      <w:r>
        <w:rPr/>
        <w:t>que</w:t>
      </w:r>
      <w:r>
        <w:rPr>
          <w:spacing w:val="-14"/>
        </w:rPr>
        <w:t> </w:t>
      </w:r>
      <w:r>
        <w:rPr/>
        <w:t>genera</w:t>
      </w:r>
      <w:r>
        <w:rPr>
          <w:spacing w:val="-15"/>
        </w:rPr>
        <w:t> </w:t>
      </w:r>
      <w:r>
        <w:rPr/>
        <w:t>la</w:t>
      </w:r>
      <w:r>
        <w:rPr>
          <w:spacing w:val="-16"/>
        </w:rPr>
        <w:t> </w:t>
      </w:r>
      <w:r>
        <w:rPr/>
        <w:t>industria</w:t>
      </w:r>
      <w:r>
        <w:rPr>
          <w:spacing w:val="-14"/>
        </w:rPr>
        <w:t> </w:t>
      </w:r>
      <w:r>
        <w:rPr/>
        <w:t>automotriz</w:t>
      </w:r>
      <w:r>
        <w:rPr>
          <w:spacing w:val="-14"/>
        </w:rPr>
        <w:t> </w:t>
      </w:r>
      <w:r>
        <w:rPr/>
        <w:t>en</w:t>
      </w:r>
      <w:r>
        <w:rPr>
          <w:spacing w:val="-16"/>
        </w:rPr>
        <w:t> </w:t>
      </w:r>
      <w:r>
        <w:rPr/>
        <w:t>el</w:t>
      </w:r>
      <w:r>
        <w:rPr>
          <w:spacing w:val="-15"/>
        </w:rPr>
        <w:t> </w:t>
      </w:r>
      <w:r>
        <w:rPr/>
        <w:t>sector manufacturero, el propósito de este capítulo es presentar una mayor evidencia acerca de que la</w:t>
      </w:r>
      <w:r>
        <w:rPr>
          <w:spacing w:val="-11"/>
        </w:rPr>
        <w:t> </w:t>
      </w:r>
      <w:r>
        <w:rPr/>
        <w:t>industria</w:t>
      </w:r>
      <w:r>
        <w:rPr>
          <w:spacing w:val="-11"/>
        </w:rPr>
        <w:t> </w:t>
      </w:r>
      <w:r>
        <w:rPr/>
        <w:t>automotriz</w:t>
      </w:r>
      <w:r>
        <w:rPr>
          <w:spacing w:val="-9"/>
        </w:rPr>
        <w:t> </w:t>
      </w:r>
      <w:r>
        <w:rPr/>
        <w:t>ha</w:t>
      </w:r>
      <w:r>
        <w:rPr>
          <w:spacing w:val="-9"/>
        </w:rPr>
        <w:t> </w:t>
      </w:r>
      <w:r>
        <w:rPr/>
        <w:t>sido</w:t>
      </w:r>
      <w:r>
        <w:rPr>
          <w:spacing w:val="-9"/>
        </w:rPr>
        <w:t> </w:t>
      </w:r>
      <w:r>
        <w:rPr/>
        <w:t>una</w:t>
      </w:r>
      <w:r>
        <w:rPr>
          <w:spacing w:val="-11"/>
        </w:rPr>
        <w:t> </w:t>
      </w:r>
      <w:r>
        <w:rPr/>
        <w:t>industria</w:t>
      </w:r>
      <w:r>
        <w:rPr>
          <w:spacing w:val="-9"/>
        </w:rPr>
        <w:t> </w:t>
      </w:r>
      <w:r>
        <w:rPr/>
        <w:t>clave</w:t>
      </w:r>
      <w:r>
        <w:rPr>
          <w:spacing w:val="-8"/>
        </w:rPr>
        <w:t> </w:t>
      </w:r>
      <w:r>
        <w:rPr/>
        <w:t>en</w:t>
      </w:r>
      <w:r>
        <w:rPr>
          <w:spacing w:val="-10"/>
        </w:rPr>
        <w:t> </w:t>
      </w:r>
      <w:r>
        <w:rPr/>
        <w:t>el</w:t>
      </w:r>
      <w:r>
        <w:rPr>
          <w:spacing w:val="-10"/>
        </w:rPr>
        <w:t> </w:t>
      </w:r>
      <w:r>
        <w:rPr/>
        <w:t>crecimiento</w:t>
      </w:r>
      <w:r>
        <w:rPr>
          <w:spacing w:val="-10"/>
        </w:rPr>
        <w:t> </w:t>
      </w:r>
      <w:r>
        <w:rPr/>
        <w:t>del</w:t>
      </w:r>
      <w:r>
        <w:rPr>
          <w:spacing w:val="-10"/>
        </w:rPr>
        <w:t> </w:t>
      </w:r>
      <w:r>
        <w:rPr/>
        <w:t>sector</w:t>
      </w:r>
      <w:r>
        <w:rPr>
          <w:spacing w:val="-11"/>
        </w:rPr>
        <w:t> </w:t>
      </w:r>
      <w:r>
        <w:rPr/>
        <w:t>manufacturero nacional</w:t>
      </w:r>
      <w:r>
        <w:rPr>
          <w:spacing w:val="-1"/>
        </w:rPr>
        <w:t> </w:t>
      </w:r>
      <w:r>
        <w:rPr/>
        <w:t>y</w:t>
      </w:r>
      <w:r>
        <w:rPr>
          <w:spacing w:val="-10"/>
        </w:rPr>
        <w:t> </w:t>
      </w:r>
      <w:r>
        <w:rPr/>
        <w:t>de</w:t>
      </w:r>
      <w:r>
        <w:rPr>
          <w:spacing w:val="-6"/>
        </w:rPr>
        <w:t> </w:t>
      </w:r>
      <w:r>
        <w:rPr/>
        <w:t>las</w:t>
      </w:r>
      <w:r>
        <w:rPr>
          <w:spacing w:val="-5"/>
        </w:rPr>
        <w:t> </w:t>
      </w:r>
      <w:r>
        <w:rPr/>
        <w:t>regiones</w:t>
      </w:r>
      <w:r>
        <w:rPr>
          <w:spacing w:val="-3"/>
        </w:rPr>
        <w:t> </w:t>
      </w:r>
      <w:r>
        <w:rPr/>
        <w:t>y</w:t>
      </w:r>
      <w:r>
        <w:rPr>
          <w:spacing w:val="-7"/>
        </w:rPr>
        <w:t> </w:t>
      </w:r>
      <w:r>
        <w:rPr/>
        <w:t>estados</w:t>
      </w:r>
      <w:r>
        <w:rPr>
          <w:spacing w:val="-5"/>
        </w:rPr>
        <w:t> </w:t>
      </w:r>
      <w:r>
        <w:rPr/>
        <w:t>donde</w:t>
      </w:r>
      <w:r>
        <w:rPr>
          <w:spacing w:val="-6"/>
        </w:rPr>
        <w:t> </w:t>
      </w:r>
      <w:r>
        <w:rPr/>
        <w:t>se</w:t>
      </w:r>
      <w:r>
        <w:rPr>
          <w:spacing w:val="-6"/>
        </w:rPr>
        <w:t> </w:t>
      </w:r>
      <w:r>
        <w:rPr/>
        <w:t>ubica</w:t>
      </w:r>
      <w:r>
        <w:rPr>
          <w:spacing w:val="-6"/>
        </w:rPr>
        <w:t> </w:t>
      </w:r>
      <w:r>
        <w:rPr/>
        <w:t>actualmente,</w:t>
      </w:r>
      <w:r>
        <w:rPr>
          <w:spacing w:val="-6"/>
        </w:rPr>
        <w:t> </w:t>
      </w:r>
      <w:r>
        <w:rPr/>
        <w:t>durante</w:t>
      </w:r>
      <w:r>
        <w:rPr>
          <w:spacing w:val="-6"/>
        </w:rPr>
        <w:t> </w:t>
      </w:r>
      <w:r>
        <w:rPr/>
        <w:t>el</w:t>
      </w:r>
      <w:r>
        <w:rPr>
          <w:spacing w:val="-2"/>
        </w:rPr>
        <w:t> </w:t>
      </w:r>
      <w:r>
        <w:rPr/>
        <w:t>periodo</w:t>
      </w:r>
      <w:r>
        <w:rPr>
          <w:spacing w:val="-5"/>
        </w:rPr>
        <w:t> </w:t>
      </w:r>
      <w:r>
        <w:rPr/>
        <w:t>de</w:t>
      </w:r>
      <w:r>
        <w:rPr>
          <w:spacing w:val="-6"/>
        </w:rPr>
        <w:t> </w:t>
      </w:r>
      <w:r>
        <w:rPr/>
        <w:t>1980- 2008.</w:t>
      </w:r>
    </w:p>
    <w:p>
      <w:pPr>
        <w:pStyle w:val="BodyText"/>
        <w:spacing w:before="4"/>
        <w:rPr>
          <w:sz w:val="21"/>
        </w:rPr>
      </w:pPr>
    </w:p>
    <w:p>
      <w:pPr>
        <w:pStyle w:val="BodyText"/>
        <w:spacing w:line="360" w:lineRule="auto" w:before="1"/>
        <w:ind w:left="102" w:right="120"/>
        <w:jc w:val="both"/>
      </w:pPr>
      <w:r>
        <w:rPr/>
        <w:t>Para lograr el propósito anterior, el capítulo se ha dividido en tres apartados, en el primero se analiza el desempeño que a nivel nacional ha tenido la industria automotriz dentro del sector</w:t>
      </w:r>
      <w:r>
        <w:rPr>
          <w:spacing w:val="-12"/>
        </w:rPr>
        <w:t> </w:t>
      </w:r>
      <w:r>
        <w:rPr/>
        <w:t>manufacturero</w:t>
      </w:r>
      <w:r>
        <w:rPr>
          <w:spacing w:val="-13"/>
        </w:rPr>
        <w:t> </w:t>
      </w:r>
      <w:r>
        <w:rPr/>
        <w:t>a</w:t>
      </w:r>
      <w:r>
        <w:rPr>
          <w:spacing w:val="-13"/>
        </w:rPr>
        <w:t> </w:t>
      </w:r>
      <w:r>
        <w:rPr/>
        <w:t>lo</w:t>
      </w:r>
      <w:r>
        <w:rPr>
          <w:spacing w:val="-10"/>
        </w:rPr>
        <w:t> </w:t>
      </w:r>
      <w:r>
        <w:rPr/>
        <w:t>largo</w:t>
      </w:r>
      <w:r>
        <w:rPr>
          <w:spacing w:val="-12"/>
        </w:rPr>
        <w:t> </w:t>
      </w:r>
      <w:r>
        <w:rPr/>
        <w:t>del</w:t>
      </w:r>
      <w:r>
        <w:rPr>
          <w:spacing w:val="-12"/>
        </w:rPr>
        <w:t> </w:t>
      </w:r>
      <w:r>
        <w:rPr/>
        <w:t>tiempo,</w:t>
      </w:r>
      <w:r>
        <w:rPr>
          <w:spacing w:val="-12"/>
        </w:rPr>
        <w:t> </w:t>
      </w:r>
      <w:r>
        <w:rPr/>
        <w:t>en</w:t>
      </w:r>
      <w:r>
        <w:rPr>
          <w:spacing w:val="-12"/>
        </w:rPr>
        <w:t> </w:t>
      </w:r>
      <w:r>
        <w:rPr/>
        <w:t>cuanto</w:t>
      </w:r>
      <w:r>
        <w:rPr>
          <w:spacing w:val="-12"/>
        </w:rPr>
        <w:t> </w:t>
      </w:r>
      <w:r>
        <w:rPr/>
        <w:t>a</w:t>
      </w:r>
      <w:r>
        <w:rPr>
          <w:spacing w:val="-13"/>
        </w:rPr>
        <w:t> </w:t>
      </w:r>
      <w:r>
        <w:rPr/>
        <w:t>variables</w:t>
      </w:r>
      <w:r>
        <w:rPr>
          <w:spacing w:val="-12"/>
        </w:rPr>
        <w:t> </w:t>
      </w:r>
      <w:r>
        <w:rPr/>
        <w:t>como</w:t>
      </w:r>
      <w:r>
        <w:rPr>
          <w:spacing w:val="-12"/>
        </w:rPr>
        <w:t> </w:t>
      </w:r>
      <w:r>
        <w:rPr/>
        <w:t>unidades</w:t>
      </w:r>
      <w:r>
        <w:rPr>
          <w:spacing w:val="-12"/>
        </w:rPr>
        <w:t> </w:t>
      </w:r>
      <w:r>
        <w:rPr/>
        <w:t>económicas, personal ocupado, valor agregado censal bruto y producción bruta</w:t>
      </w:r>
      <w:r>
        <w:rPr>
          <w:spacing w:val="-13"/>
        </w:rPr>
        <w:t> </w:t>
      </w:r>
      <w:r>
        <w:rPr/>
        <w:t>total.</w:t>
      </w:r>
    </w:p>
    <w:p>
      <w:pPr>
        <w:pStyle w:val="BodyText"/>
        <w:spacing w:before="4"/>
        <w:rPr>
          <w:sz w:val="21"/>
        </w:rPr>
      </w:pPr>
    </w:p>
    <w:p>
      <w:pPr>
        <w:pStyle w:val="BodyText"/>
        <w:spacing w:line="360" w:lineRule="auto" w:before="1"/>
        <w:ind w:left="102" w:right="120"/>
        <w:jc w:val="both"/>
      </w:pPr>
      <w:r>
        <w:rPr/>
        <w:t>En el segundo apartado se muestra la ubicación de las cuatro regiones donde se encuentra establecida la industria automotriz en México, así como las entidades que las conforman.</w:t>
      </w:r>
    </w:p>
    <w:p>
      <w:pPr>
        <w:pStyle w:val="BodyText"/>
        <w:spacing w:before="4"/>
        <w:rPr>
          <w:sz w:val="21"/>
        </w:rPr>
      </w:pPr>
    </w:p>
    <w:p>
      <w:pPr>
        <w:pStyle w:val="BodyText"/>
        <w:spacing w:line="360" w:lineRule="auto" w:before="1"/>
        <w:ind w:left="102" w:right="118"/>
        <w:jc w:val="both"/>
      </w:pPr>
      <w:r>
        <w:rPr/>
        <w:t>Finalmente</w:t>
      </w:r>
      <w:r>
        <w:rPr>
          <w:spacing w:val="-5"/>
        </w:rPr>
        <w:t> </w:t>
      </w:r>
      <w:r>
        <w:rPr/>
        <w:t>en</w:t>
      </w:r>
      <w:r>
        <w:rPr>
          <w:spacing w:val="-4"/>
        </w:rPr>
        <w:t> </w:t>
      </w:r>
      <w:r>
        <w:rPr/>
        <w:t>el</w:t>
      </w:r>
      <w:r>
        <w:rPr>
          <w:spacing w:val="-3"/>
        </w:rPr>
        <w:t> </w:t>
      </w:r>
      <w:r>
        <w:rPr/>
        <w:t>tercer</w:t>
      </w:r>
      <w:r>
        <w:rPr>
          <w:spacing w:val="-2"/>
        </w:rPr>
        <w:t> </w:t>
      </w:r>
      <w:r>
        <w:rPr/>
        <w:t>apartado</w:t>
      </w:r>
      <w:r>
        <w:rPr>
          <w:spacing w:val="-4"/>
        </w:rPr>
        <w:t> </w:t>
      </w:r>
      <w:r>
        <w:rPr/>
        <w:t>se</w:t>
      </w:r>
      <w:r>
        <w:rPr>
          <w:spacing w:val="-3"/>
        </w:rPr>
        <w:t> </w:t>
      </w:r>
      <w:r>
        <w:rPr/>
        <w:t>presenta</w:t>
      </w:r>
      <w:r>
        <w:rPr>
          <w:spacing w:val="-4"/>
        </w:rPr>
        <w:t> </w:t>
      </w:r>
      <w:r>
        <w:rPr/>
        <w:t>la</w:t>
      </w:r>
      <w:r>
        <w:rPr>
          <w:spacing w:val="-4"/>
        </w:rPr>
        <w:t> </w:t>
      </w:r>
      <w:r>
        <w:rPr/>
        <w:t>evolución</w:t>
      </w:r>
      <w:r>
        <w:rPr>
          <w:spacing w:val="-4"/>
        </w:rPr>
        <w:t> </w:t>
      </w:r>
      <w:r>
        <w:rPr/>
        <w:t>de</w:t>
      </w:r>
      <w:r>
        <w:rPr>
          <w:spacing w:val="-5"/>
        </w:rPr>
        <w:t> </w:t>
      </w:r>
      <w:r>
        <w:rPr/>
        <w:t>la</w:t>
      </w:r>
      <w:r>
        <w:rPr>
          <w:spacing w:val="-4"/>
        </w:rPr>
        <w:t> </w:t>
      </w:r>
      <w:r>
        <w:rPr/>
        <w:t>participación</w:t>
      </w:r>
      <w:r>
        <w:rPr>
          <w:spacing w:val="-4"/>
        </w:rPr>
        <w:t> </w:t>
      </w:r>
      <w:r>
        <w:rPr/>
        <w:t>que</w:t>
      </w:r>
      <w:r>
        <w:rPr>
          <w:spacing w:val="-5"/>
        </w:rPr>
        <w:t> </w:t>
      </w:r>
      <w:r>
        <w:rPr/>
        <w:t>ha</w:t>
      </w:r>
      <w:r>
        <w:rPr>
          <w:spacing w:val="-5"/>
        </w:rPr>
        <w:t> </w:t>
      </w:r>
      <w:r>
        <w:rPr/>
        <w:t>tenido</w:t>
      </w:r>
      <w:r>
        <w:rPr>
          <w:spacing w:val="-4"/>
        </w:rPr>
        <w:t> </w:t>
      </w:r>
      <w:r>
        <w:rPr/>
        <w:t>la industria automotriz en la dinámica productiva manufacturera de cada región y estado, analizando las mismas variables que a nivel nacional. Asimismo se realizó el cálculo de los cocientes de localización para las variables de personal ocupado y valor agregado censal bruto durante el periodo 1980 a 2008 con el fin de destacar las actividades de la industria automotriz en que se han especializado las distintas regiones y sus respectivas</w:t>
      </w:r>
      <w:r>
        <w:rPr>
          <w:spacing w:val="-14"/>
        </w:rPr>
        <w:t> </w:t>
      </w:r>
      <w:r>
        <w:rPr/>
        <w:t>entidades.</w:t>
      </w:r>
    </w:p>
    <w:p>
      <w:pPr>
        <w:pStyle w:val="BodyText"/>
        <w:spacing w:before="10"/>
        <w:rPr>
          <w:sz w:val="21"/>
        </w:rPr>
      </w:pPr>
    </w:p>
    <w:p>
      <w:pPr>
        <w:pStyle w:val="Heading1"/>
        <w:numPr>
          <w:ilvl w:val="1"/>
          <w:numId w:val="28"/>
        </w:numPr>
        <w:tabs>
          <w:tab w:pos="523" w:val="left" w:leader="none"/>
        </w:tabs>
        <w:spacing w:line="240" w:lineRule="auto" w:before="0" w:after="0"/>
        <w:ind w:left="102" w:right="0" w:firstLine="0"/>
        <w:jc w:val="both"/>
      </w:pPr>
      <w:bookmarkStart w:name="_TOC_250013" w:id="22"/>
      <w:r>
        <w:rPr/>
        <w:t>Desempeño de la industria automotriz en el sector manufacturero de</w:t>
      </w:r>
      <w:r>
        <w:rPr>
          <w:spacing w:val="-17"/>
        </w:rPr>
        <w:t> </w:t>
      </w:r>
      <w:bookmarkEnd w:id="22"/>
      <w:r>
        <w:rPr/>
        <w:t>México</w:t>
      </w:r>
    </w:p>
    <w:p>
      <w:pPr>
        <w:pStyle w:val="BodyText"/>
        <w:spacing w:before="4"/>
        <w:rPr>
          <w:b/>
          <w:sz w:val="32"/>
        </w:rPr>
      </w:pPr>
    </w:p>
    <w:p>
      <w:pPr>
        <w:pStyle w:val="BodyText"/>
        <w:spacing w:line="360" w:lineRule="auto"/>
        <w:ind w:left="102" w:right="112"/>
        <w:jc w:val="both"/>
      </w:pPr>
      <w:r>
        <w:rPr/>
        <w:t>Paulatinamente la industria automotriz ha ido adquiriendo importancia dentro del sector de la manufactura y en general del desempeño de nuestro país, en 2008 su contribución al PIB total nacional fue de 3.2% y al PIB manufacturero de 17.5%, respectivamente; sus exportaciones representaron 21.5% del total de las exportaciones mexicanas con más de 45 mil millones de dólares, exportando a más de 100 países en 2008. Así mismo, esta industria representa una fuente directa e indirecta de empleos, genera el 1.6% del empleo nacional, y representa el 11% del total del empleo de la industria manufacturera (INEGI, 2009).</w:t>
      </w:r>
    </w:p>
    <w:p>
      <w:pPr>
        <w:spacing w:after="0" w:line="360" w:lineRule="auto"/>
        <w:jc w:val="both"/>
        <w:sectPr>
          <w:pgSz w:w="12240" w:h="15840"/>
          <w:pgMar w:header="0" w:footer="1035" w:top="1360" w:bottom="1220" w:left="1600" w:right="1580"/>
        </w:sectPr>
      </w:pPr>
    </w:p>
    <w:p>
      <w:pPr>
        <w:pStyle w:val="BodyText"/>
        <w:spacing w:line="360" w:lineRule="auto" w:before="50"/>
        <w:ind w:left="122" w:right="120"/>
        <w:jc w:val="both"/>
      </w:pPr>
      <w:r>
        <w:rPr/>
        <w:t>En general, las once actividades económicas de la industria automotriz, para el año 2008 representaron dentro de la industria manufacturera el 0.45% de las unidades económicas, el 11 % del personal ocupado, el 15.84 % de las remuneraciones totales, el 15.44% de la producción bruta total, el 14.3 % de la inversión total y el 16.68 % de la formación bruta de capital fijo (véase gráfica 4.1).</w:t>
      </w:r>
    </w:p>
    <w:p>
      <w:pPr>
        <w:pStyle w:val="BodyText"/>
        <w:spacing w:before="9"/>
        <w:rPr>
          <w:sz w:val="21"/>
        </w:rPr>
      </w:pPr>
    </w:p>
    <w:p>
      <w:pPr>
        <w:pStyle w:val="Heading1"/>
        <w:spacing w:line="360" w:lineRule="auto"/>
        <w:ind w:left="331" w:right="333"/>
        <w:jc w:val="center"/>
      </w:pPr>
      <w:r>
        <w:rPr/>
        <w:t>Gráfica 4.1. Participación porcentual de la industria automotriz en la industria manufacturera de México, 2008</w:t>
      </w:r>
    </w:p>
    <w:p>
      <w:pPr>
        <w:pStyle w:val="BodyText"/>
        <w:ind w:left="543"/>
        <w:rPr>
          <w:sz w:val="20"/>
        </w:rPr>
      </w:pPr>
      <w:r>
        <w:rPr>
          <w:sz w:val="20"/>
        </w:rPr>
        <w:pict>
          <v:group style="width:398.95pt;height:171.75pt;mso-position-horizontal-relative:char;mso-position-vertical-relative:line" coordorigin="0,0" coordsize="7979,3435">
            <v:shape style="position:absolute;left:653;top:180;width:7318;height:2489" type="#_x0000_t75" stroked="false">
              <v:imagedata r:id="rId53" o:title=""/>
            </v:shape>
            <v:line style="position:absolute" from="7592,2422" to="7971,2422" stroked="true" strokeweight=".72pt" strokecolor="#d9d9d9"/>
            <v:line style="position:absolute" from="6545,2422" to="7306,2422" stroked="true" strokeweight=".72pt" strokecolor="#d9d9d9"/>
            <v:line style="position:absolute" from="5501,2422" to="6262,2422" stroked="true" strokeweight=".72pt" strokecolor="#d9d9d9"/>
            <v:line style="position:absolute" from="4455,2422" to="5216,2422" stroked="true" strokeweight=".72pt" strokecolor="#d9d9d9"/>
            <v:line style="position:absolute" from="3408,2422" to="4169,2422" stroked="true" strokeweight=".72pt" strokecolor="#d9d9d9"/>
            <v:line style="position:absolute" from="2364,2422" to="3125,2422" stroked="true" strokeweight=".72pt" strokecolor="#d9d9d9"/>
            <v:line style="position:absolute" from="653,2422" to="2079,2422" stroked="true" strokeweight=".72pt" strokecolor="#d9d9d9"/>
            <v:line style="position:absolute" from="7592,2172" to="7971,2172" stroked="true" strokeweight=".72pt" strokecolor="#d9d9d9"/>
            <v:line style="position:absolute" from="6545,2172" to="7306,2172" stroked="true" strokeweight=".72pt" strokecolor="#d9d9d9"/>
            <v:line style="position:absolute" from="5501,2172" to="6262,2172" stroked="true" strokeweight=".72pt" strokecolor="#d9d9d9"/>
            <v:line style="position:absolute" from="4455,2172" to="5216,2172" stroked="true" strokeweight=".72pt" strokecolor="#d9d9d9"/>
            <v:line style="position:absolute" from="3408,2172" to="4169,2172" stroked="true" strokeweight=".72pt" strokecolor="#d9d9d9"/>
            <v:line style="position:absolute" from="2364,2172" to="3125,2172" stroked="true" strokeweight=".72pt" strokecolor="#d9d9d9"/>
            <v:line style="position:absolute" from="653,2172" to="2079,2172" stroked="true" strokeweight=".72pt" strokecolor="#d9d9d9"/>
            <v:line style="position:absolute" from="7592,1923" to="7971,1923" stroked="true" strokeweight=".72pt" strokecolor="#d9d9d9"/>
            <v:line style="position:absolute" from="6545,1923" to="7306,1923" stroked="true" strokeweight=".72pt" strokecolor="#d9d9d9"/>
            <v:line style="position:absolute" from="5501,1923" to="6262,1923" stroked="true" strokeweight=".72pt" strokecolor="#d9d9d9"/>
            <v:line style="position:absolute" from="4455,1923" to="5216,1923" stroked="true" strokeweight=".72pt" strokecolor="#d9d9d9"/>
            <v:line style="position:absolute" from="3408,1923" to="4169,1923" stroked="true" strokeweight=".72pt" strokecolor="#d9d9d9"/>
            <v:line style="position:absolute" from="2364,1923" to="3125,1923" stroked="true" strokeweight=".72pt" strokecolor="#d9d9d9"/>
            <v:line style="position:absolute" from="653,1923" to="2079,1923" stroked="true" strokeweight=".72pt" strokecolor="#d9d9d9"/>
            <v:line style="position:absolute" from="7592,1676" to="7971,1676" stroked="true" strokeweight=".72pt" strokecolor="#d9d9d9"/>
            <v:line style="position:absolute" from="6545,1676" to="7306,1676" stroked="true" strokeweight=".72pt" strokecolor="#d9d9d9"/>
            <v:line style="position:absolute" from="5501,1676" to="6262,1676" stroked="true" strokeweight=".72pt" strokecolor="#d9d9d9"/>
            <v:line style="position:absolute" from="4455,1676" to="5216,1676" stroked="true" strokeweight=".72pt" strokecolor="#d9d9d9"/>
            <v:line style="position:absolute" from="3408,1676" to="4169,1676" stroked="true" strokeweight=".72pt" strokecolor="#d9d9d9"/>
            <v:line style="position:absolute" from="2364,1676" to="3125,1676" stroked="true" strokeweight=".72pt" strokecolor="#d9d9d9"/>
            <v:line style="position:absolute" from="653,1676" to="2079,1676" stroked="true" strokeweight=".72pt" strokecolor="#d9d9d9"/>
            <v:line style="position:absolute" from="7592,1426" to="7971,1426" stroked="true" strokeweight=".72pt" strokecolor="#d9d9d9"/>
            <v:line style="position:absolute" from="6545,1426" to="7306,1426" stroked="true" strokeweight=".72pt" strokecolor="#d9d9d9"/>
            <v:line style="position:absolute" from="5501,1426" to="6262,1426" stroked="true" strokeweight=".72pt" strokecolor="#d9d9d9"/>
            <v:line style="position:absolute" from="4455,1426" to="5216,1426" stroked="true" strokeweight=".72pt" strokecolor="#d9d9d9"/>
            <v:line style="position:absolute" from="3408,1426" to="4169,1426" stroked="true" strokeweight=".72pt" strokecolor="#d9d9d9"/>
            <v:line style="position:absolute" from="2364,1426" to="3125,1426" stroked="true" strokeweight=".72pt" strokecolor="#d9d9d9"/>
            <v:line style="position:absolute" from="653,1426" to="2079,1426" stroked="true" strokeweight=".72pt" strokecolor="#d9d9d9"/>
            <v:line style="position:absolute" from="7592,1176" to="7971,1176" stroked="true" strokeweight=".72pt" strokecolor="#d9d9d9"/>
            <v:line style="position:absolute" from="6545,1176" to="7306,1176" stroked="true" strokeweight=".72pt" strokecolor="#d9d9d9"/>
            <v:line style="position:absolute" from="5501,1176" to="6262,1176" stroked="true" strokeweight=".72pt" strokecolor="#d9d9d9"/>
            <v:line style="position:absolute" from="4455,1176" to="5216,1176" stroked="true" strokeweight=".72pt" strokecolor="#d9d9d9"/>
            <v:line style="position:absolute" from="3408,1176" to="4169,1176" stroked="true" strokeweight=".72pt" strokecolor="#d9d9d9"/>
            <v:line style="position:absolute" from="653,1176" to="3125,1176" stroked="true" strokeweight=".72pt" strokecolor="#d9d9d9"/>
            <v:line style="position:absolute" from="7592,927" to="7971,927" stroked="true" strokeweight=".72pt" strokecolor="#d9d9d9"/>
            <v:line style="position:absolute" from="6545,927" to="7306,927" stroked="true" strokeweight=".72pt" strokecolor="#d9d9d9"/>
            <v:line style="position:absolute" from="5501,927" to="6262,927" stroked="true" strokeweight=".72pt" strokecolor="#d9d9d9"/>
            <v:line style="position:absolute" from="4455,927" to="5216,927" stroked="true" strokeweight=".72pt" strokecolor="#d9d9d9"/>
            <v:line style="position:absolute" from="3408,927" to="4169,927" stroked="true" strokeweight=".72pt" strokecolor="#d9d9d9"/>
            <v:line style="position:absolute" from="653,927" to="3125,927" stroked="true" strokeweight=".72pt" strokecolor="#d9d9d9"/>
            <v:line style="position:absolute" from="7592,679" to="7971,679" stroked="true" strokeweight=".72pt" strokecolor="#d9d9d9"/>
            <v:line style="position:absolute" from="653,679" to="7306,679" stroked="true" strokeweight=".72pt" strokecolor="#d9d9d9"/>
            <v:line style="position:absolute" from="653,430" to="7971,430" stroked="true" strokeweight=".72pt" strokecolor="#d9d9d9"/>
            <v:line style="position:absolute" from="653,180" to="7971,180" stroked="true" strokeweight=".72pt" strokecolor="#d9d9d9"/>
            <v:line style="position:absolute" from="653,180" to="653,2669" stroked="true" strokeweight=".72pt" strokecolor="#d9d9d9"/>
            <v:line style="position:absolute" from="1699,180" to="1699,2669" stroked="true" strokeweight=".72pt" strokecolor="#d9d9d9"/>
            <v:line style="position:absolute" from="2744,180" to="2744,2669" stroked="true" strokeweight=".72pt" strokecolor="#d9d9d9"/>
            <v:line style="position:absolute" from="3790,180" to="3790,2669" stroked="true" strokeweight=".72pt" strokecolor="#d9d9d9"/>
            <v:line style="position:absolute" from="4834,180" to="4834,2669" stroked="true" strokeweight=".72pt" strokecolor="#d9d9d9"/>
            <v:line style="position:absolute" from="5880,180" to="5880,2669" stroked="true" strokeweight=".72pt" strokecolor="#d9d9d9"/>
            <v:line style="position:absolute" from="6927,180" to="6927,2669" stroked="true" strokeweight=".72pt" strokecolor="#d9d9d9"/>
            <v:line style="position:absolute" from="7971,180" to="7971,2669" stroked="true" strokeweight=".72pt" strokecolor="#d9d9d9"/>
            <v:line style="position:absolute" from="1035,2641" to="1318,2641" stroked="true" strokeweight="2.76pt" strokecolor="#539e39"/>
            <v:rect style="position:absolute;left:1035;top:2614;width:283;height:55" filled="false" stroked="true" strokeweight=".72pt" strokecolor="#539e39"/>
            <v:rect style="position:absolute;left:2079;top:1301;width:286;height:1368" filled="true" fillcolor="#539e39" stroked="false">
              <v:fill type="solid"/>
            </v:rect>
            <v:rect style="position:absolute;left:2079;top:1301;width:286;height:1368" filled="false" stroked="true" strokeweight=".72pt" strokecolor="#539e39"/>
            <v:rect style="position:absolute;left:3125;top:699;width:283;height:1970" filled="true" fillcolor="#539e39" stroked="false">
              <v:fill type="solid"/>
            </v:rect>
            <v:rect style="position:absolute;left:3125;top:699;width:283;height:1970" filled="false" stroked="true" strokeweight=".72pt" strokecolor="#539e39"/>
            <v:rect style="position:absolute;left:4169;top:749;width:286;height:1920" filled="true" fillcolor="#539e39" stroked="false">
              <v:fill type="solid"/>
            </v:rect>
            <v:rect style="position:absolute;left:4169;top:749;width:286;height:1920" filled="false" stroked="true" strokeweight=".72pt" strokecolor="#539e39"/>
            <v:rect style="position:absolute;left:5215;top:881;width:286;height:1788" filled="true" fillcolor="#539e39" stroked="false">
              <v:fill type="solid"/>
            </v:rect>
            <v:rect style="position:absolute;left:5215;top:881;width:286;height:1788" filled="false" stroked="true" strokeweight=".72pt" strokecolor="#539e39"/>
            <v:rect style="position:absolute;left:6262;top:891;width:283;height:1778" filled="true" fillcolor="#539e39" stroked="false">
              <v:fill type="solid"/>
            </v:rect>
            <v:rect style="position:absolute;left:6262;top:891;width:283;height:1778" filled="false" stroked="true" strokeweight=".72pt" strokecolor="#539e39"/>
            <v:rect style="position:absolute;left:7306;top:595;width:286;height:2074" filled="true" fillcolor="#539e39" stroked="false">
              <v:fill type="solid"/>
            </v:rect>
            <v:rect style="position:absolute;left:7306;top:595;width:286;height:2074" filled="false" stroked="true" strokeweight=".72pt" strokecolor="#539e39"/>
            <v:line style="position:absolute" from="653,2669" to="7971,2669" stroked="true" strokeweight=".72pt" strokecolor="#d9d9d9"/>
            <v:rect style="position:absolute;left:8;top:8;width:7963;height:3420" filled="false" stroked="true" strokeweight=".72pt" strokecolor="#d9d9d9"/>
            <v:shape style="position:absolute;left:6927;top:180;width:1044;height:250" type="#_x0000_t202" filled="false" stroked="false">
              <v:textbox inset="0,0,0,0">
                <w:txbxContent>
                  <w:p>
                    <w:pPr>
                      <w:spacing w:line="132" w:lineRule="exact" w:before="118"/>
                      <w:ind w:left="317" w:right="0" w:firstLine="0"/>
                      <w:jc w:val="left"/>
                      <w:rPr>
                        <w:sz w:val="18"/>
                      </w:rPr>
                    </w:pPr>
                    <w:r>
                      <w:rPr>
                        <w:color w:val="404040"/>
                        <w:sz w:val="18"/>
                      </w:rPr>
                      <w:t>16.68</w:t>
                    </w:r>
                  </w:p>
                </w:txbxContent>
              </v:textbox>
              <w10:wrap type="none"/>
            </v:shape>
            <v:shape style="position:absolute;left:2744;top:430;width:1047;height:250" type="#_x0000_t202" filled="false" stroked="false">
              <v:textbox inset="0,0,0,0">
                <w:txbxContent>
                  <w:p>
                    <w:pPr>
                      <w:spacing w:line="180" w:lineRule="exact" w:before="0"/>
                      <w:ind w:left="318" w:right="0" w:firstLine="0"/>
                      <w:jc w:val="left"/>
                      <w:rPr>
                        <w:sz w:val="18"/>
                      </w:rPr>
                    </w:pPr>
                    <w:r>
                      <w:rPr>
                        <w:color w:val="404040"/>
                        <w:sz w:val="18"/>
                      </w:rPr>
                      <w:t>15.84</w:t>
                    </w:r>
                  </w:p>
                </w:txbxContent>
              </v:textbox>
              <w10:wrap type="none"/>
            </v:shape>
            <v:shape style="position:absolute;left:3790;top:430;width:1044;height:250" type="#_x0000_t202" filled="false" stroked="false">
              <v:textbox inset="0,0,0,0">
                <w:txbxContent>
                  <w:p>
                    <w:pPr>
                      <w:spacing w:before="23"/>
                      <w:ind w:left="317" w:right="0" w:firstLine="0"/>
                      <w:jc w:val="left"/>
                      <w:rPr>
                        <w:sz w:val="18"/>
                      </w:rPr>
                    </w:pPr>
                    <w:r>
                      <w:rPr>
                        <w:color w:val="404040"/>
                        <w:sz w:val="18"/>
                      </w:rPr>
                      <w:t>15.44</w:t>
                    </w:r>
                  </w:p>
                </w:txbxContent>
              </v:textbox>
              <w10:wrap type="none"/>
            </v:shape>
            <v:shape style="position:absolute;left:4834;top:679;width:1047;height:248" type="#_x0000_t202" filled="false" stroked="false">
              <v:textbox inset="0,0,0,0">
                <w:txbxContent>
                  <w:p>
                    <w:pPr>
                      <w:spacing w:line="111" w:lineRule="exact" w:before="0"/>
                      <w:ind w:left="319" w:right="0" w:firstLine="0"/>
                      <w:jc w:val="left"/>
                      <w:rPr>
                        <w:sz w:val="18"/>
                      </w:rPr>
                    </w:pPr>
                    <w:r>
                      <w:rPr>
                        <w:color w:val="404040"/>
                        <w:sz w:val="18"/>
                      </w:rPr>
                      <w:t>14.38</w:t>
                    </w:r>
                  </w:p>
                </w:txbxContent>
              </v:textbox>
              <w10:wrap type="none"/>
            </v:shape>
            <v:shape style="position:absolute;left:5880;top:679;width:1047;height:248" type="#_x0000_t202" filled="false" stroked="false">
              <v:textbox inset="0,0,0,0">
                <w:txbxContent>
                  <w:p>
                    <w:pPr>
                      <w:spacing w:line="123" w:lineRule="exact" w:before="0"/>
                      <w:ind w:left="318" w:right="0" w:firstLine="0"/>
                      <w:jc w:val="left"/>
                      <w:rPr>
                        <w:sz w:val="18"/>
                      </w:rPr>
                    </w:pPr>
                    <w:r>
                      <w:rPr>
                        <w:color w:val="404040"/>
                        <w:sz w:val="18"/>
                      </w:rPr>
                      <w:t>14.30</w:t>
                    </w:r>
                  </w:p>
                </w:txbxContent>
              </v:textbox>
              <w10:wrap type="none"/>
            </v:shape>
            <v:shape style="position:absolute;left:1699;top:927;width:1044;height:250" type="#_x0000_t202" filled="false" stroked="false">
              <v:textbox inset="0,0,0,0">
                <w:txbxContent>
                  <w:p>
                    <w:pPr>
                      <w:spacing w:line="172" w:lineRule="exact" w:before="77"/>
                      <w:ind w:left="316" w:right="0" w:firstLine="0"/>
                      <w:jc w:val="left"/>
                      <w:rPr>
                        <w:sz w:val="18"/>
                      </w:rPr>
                    </w:pPr>
                    <w:r>
                      <w:rPr>
                        <w:color w:val="404040"/>
                        <w:sz w:val="18"/>
                      </w:rPr>
                      <w:t>11.00</w:t>
                    </w:r>
                  </w:p>
                </w:txbxContent>
              </v:textbox>
              <w10:wrap type="none"/>
            </v:shape>
            <v:shape style="position:absolute;left:96;top:93;width:405;height:2669" type="#_x0000_t202" filled="false" stroked="false">
              <v:textbox inset="0,0,0,0">
                <w:txbxContent>
                  <w:p>
                    <w:pPr>
                      <w:spacing w:line="184" w:lineRule="exact" w:before="0"/>
                      <w:ind w:left="0" w:right="-20" w:firstLine="0"/>
                      <w:jc w:val="left"/>
                      <w:rPr>
                        <w:sz w:val="18"/>
                      </w:rPr>
                    </w:pPr>
                    <w:r>
                      <w:rPr>
                        <w:color w:val="585858"/>
                        <w:sz w:val="18"/>
                      </w:rPr>
                      <w:t>20.00</w:t>
                    </w:r>
                  </w:p>
                  <w:p>
                    <w:pPr>
                      <w:spacing w:before="42"/>
                      <w:ind w:left="0" w:right="-20" w:firstLine="0"/>
                      <w:jc w:val="left"/>
                      <w:rPr>
                        <w:sz w:val="18"/>
                      </w:rPr>
                    </w:pPr>
                    <w:r>
                      <w:rPr>
                        <w:color w:val="585858"/>
                        <w:sz w:val="18"/>
                      </w:rPr>
                      <w:t>18.00</w:t>
                    </w:r>
                  </w:p>
                  <w:p>
                    <w:pPr>
                      <w:spacing w:before="42"/>
                      <w:ind w:left="0" w:right="-20" w:firstLine="0"/>
                      <w:jc w:val="left"/>
                      <w:rPr>
                        <w:sz w:val="18"/>
                      </w:rPr>
                    </w:pPr>
                    <w:r>
                      <w:rPr>
                        <w:color w:val="585858"/>
                        <w:sz w:val="18"/>
                      </w:rPr>
                      <w:t>16.00</w:t>
                    </w:r>
                  </w:p>
                  <w:p>
                    <w:pPr>
                      <w:spacing w:before="42"/>
                      <w:ind w:left="0" w:right="-20" w:firstLine="0"/>
                      <w:jc w:val="left"/>
                      <w:rPr>
                        <w:sz w:val="18"/>
                      </w:rPr>
                    </w:pPr>
                    <w:r>
                      <w:rPr>
                        <w:color w:val="585858"/>
                        <w:sz w:val="18"/>
                      </w:rPr>
                      <w:t>14.00</w:t>
                    </w:r>
                  </w:p>
                  <w:p>
                    <w:pPr>
                      <w:spacing w:before="41"/>
                      <w:ind w:left="0" w:right="-20" w:firstLine="0"/>
                      <w:jc w:val="left"/>
                      <w:rPr>
                        <w:sz w:val="18"/>
                      </w:rPr>
                    </w:pPr>
                    <w:r>
                      <w:rPr>
                        <w:color w:val="585858"/>
                        <w:sz w:val="18"/>
                      </w:rPr>
                      <w:t>12.00</w:t>
                    </w:r>
                  </w:p>
                  <w:p>
                    <w:pPr>
                      <w:spacing w:before="42"/>
                      <w:ind w:left="0" w:right="-20" w:firstLine="0"/>
                      <w:jc w:val="left"/>
                      <w:rPr>
                        <w:sz w:val="18"/>
                      </w:rPr>
                    </w:pPr>
                    <w:r>
                      <w:rPr>
                        <w:color w:val="585858"/>
                        <w:sz w:val="18"/>
                      </w:rPr>
                      <w:t>10.00</w:t>
                    </w:r>
                  </w:p>
                  <w:p>
                    <w:pPr>
                      <w:spacing w:before="41"/>
                      <w:ind w:left="89" w:right="-19" w:firstLine="0"/>
                      <w:jc w:val="left"/>
                      <w:rPr>
                        <w:sz w:val="18"/>
                      </w:rPr>
                    </w:pPr>
                    <w:r>
                      <w:rPr>
                        <w:color w:val="585858"/>
                        <w:sz w:val="18"/>
                      </w:rPr>
                      <w:t>8.00</w:t>
                    </w:r>
                  </w:p>
                  <w:p>
                    <w:pPr>
                      <w:spacing w:before="42"/>
                      <w:ind w:left="89" w:right="-19" w:firstLine="0"/>
                      <w:jc w:val="left"/>
                      <w:rPr>
                        <w:sz w:val="18"/>
                      </w:rPr>
                    </w:pPr>
                    <w:r>
                      <w:rPr>
                        <w:color w:val="585858"/>
                        <w:sz w:val="18"/>
                      </w:rPr>
                      <w:t>6.00</w:t>
                    </w:r>
                  </w:p>
                  <w:p>
                    <w:pPr>
                      <w:spacing w:before="42"/>
                      <w:ind w:left="89" w:right="-19" w:firstLine="0"/>
                      <w:jc w:val="left"/>
                      <w:rPr>
                        <w:sz w:val="18"/>
                      </w:rPr>
                    </w:pPr>
                    <w:r>
                      <w:rPr>
                        <w:color w:val="585858"/>
                        <w:sz w:val="18"/>
                      </w:rPr>
                      <w:t>4.00</w:t>
                    </w:r>
                  </w:p>
                  <w:p>
                    <w:pPr>
                      <w:spacing w:before="42"/>
                      <w:ind w:left="89" w:right="-19" w:firstLine="0"/>
                      <w:jc w:val="left"/>
                      <w:rPr>
                        <w:sz w:val="18"/>
                      </w:rPr>
                    </w:pPr>
                    <w:r>
                      <w:rPr>
                        <w:color w:val="585858"/>
                        <w:sz w:val="18"/>
                      </w:rPr>
                      <w:t>2.00</w:t>
                    </w:r>
                  </w:p>
                  <w:p>
                    <w:pPr>
                      <w:spacing w:line="203" w:lineRule="exact" w:before="41"/>
                      <w:ind w:left="89" w:right="-19" w:firstLine="0"/>
                      <w:jc w:val="left"/>
                      <w:rPr>
                        <w:sz w:val="18"/>
                      </w:rPr>
                    </w:pPr>
                    <w:r>
                      <w:rPr>
                        <w:color w:val="585858"/>
                        <w:sz w:val="18"/>
                      </w:rPr>
                      <w:t>0.00</w:t>
                    </w:r>
                  </w:p>
                </w:txbxContent>
              </v:textbox>
              <w10:wrap type="none"/>
            </v:shape>
            <v:shape style="position:absolute;left:1016;top:2341;width:318;height:180" type="#_x0000_t202" filled="false" stroked="false">
              <v:textbox inset="0,0,0,0">
                <w:txbxContent>
                  <w:p>
                    <w:pPr>
                      <w:spacing w:line="180" w:lineRule="exact" w:before="0"/>
                      <w:ind w:left="0" w:right="-17" w:firstLine="0"/>
                      <w:jc w:val="left"/>
                      <w:rPr>
                        <w:sz w:val="18"/>
                      </w:rPr>
                    </w:pPr>
                    <w:r>
                      <w:rPr>
                        <w:color w:val="404040"/>
                        <w:sz w:val="18"/>
                      </w:rPr>
                      <w:t>0.45</w:t>
                    </w:r>
                  </w:p>
                </w:txbxContent>
              </v:textbox>
              <w10:wrap type="none"/>
            </v:shape>
            <v:shape style="position:absolute;left:799;top:2778;width:756;height:345" type="#_x0000_t202" filled="false" stroked="false">
              <v:textbox inset="0,0,0,0">
                <w:txbxContent>
                  <w:p>
                    <w:pPr>
                      <w:spacing w:line="164" w:lineRule="exact" w:before="0"/>
                      <w:ind w:left="0" w:right="-20" w:firstLine="75"/>
                      <w:jc w:val="left"/>
                      <w:rPr>
                        <w:sz w:val="16"/>
                      </w:rPr>
                    </w:pPr>
                    <w:r>
                      <w:rPr>
                        <w:color w:val="585858"/>
                        <w:sz w:val="16"/>
                      </w:rPr>
                      <w:t>Unidades</w:t>
                    </w:r>
                  </w:p>
                  <w:p>
                    <w:pPr>
                      <w:spacing w:line="181" w:lineRule="exact" w:before="0"/>
                      <w:ind w:left="0" w:right="-20" w:firstLine="0"/>
                      <w:jc w:val="left"/>
                      <w:rPr>
                        <w:sz w:val="16"/>
                      </w:rPr>
                    </w:pPr>
                    <w:r>
                      <w:rPr>
                        <w:color w:val="585858"/>
                        <w:sz w:val="16"/>
                      </w:rPr>
                      <w:t>económicas</w:t>
                    </w:r>
                  </w:p>
                </w:txbxContent>
              </v:textbox>
              <w10:wrap type="none"/>
            </v:shape>
            <v:shape style="position:absolute;left:1947;top:2778;width:551;height:345" type="#_x0000_t202" filled="false" stroked="false">
              <v:textbox inset="0,0,0,0">
                <w:txbxContent>
                  <w:p>
                    <w:pPr>
                      <w:spacing w:line="164" w:lineRule="exact" w:before="0"/>
                      <w:ind w:left="4" w:right="-19" w:hanging="5"/>
                      <w:jc w:val="left"/>
                      <w:rPr>
                        <w:sz w:val="16"/>
                      </w:rPr>
                    </w:pPr>
                    <w:r>
                      <w:rPr>
                        <w:color w:val="585858"/>
                        <w:sz w:val="16"/>
                      </w:rPr>
                      <w:t>Personal</w:t>
                    </w:r>
                  </w:p>
                  <w:p>
                    <w:pPr>
                      <w:spacing w:line="181" w:lineRule="exact" w:before="0"/>
                      <w:ind w:left="4" w:right="-16" w:firstLine="0"/>
                      <w:jc w:val="left"/>
                      <w:rPr>
                        <w:sz w:val="16"/>
                      </w:rPr>
                    </w:pPr>
                    <w:r>
                      <w:rPr>
                        <w:color w:val="585858"/>
                        <w:sz w:val="16"/>
                      </w:rPr>
                      <w:t>ocupado</w:t>
                    </w:r>
                  </w:p>
                </w:txbxContent>
              </v:textbox>
              <w10:wrap type="none"/>
            </v:shape>
            <v:shape style="position:absolute;left:3004;top:2778;width:4775;height:161" type="#_x0000_t202" filled="false" stroked="false">
              <v:textbox inset="0,0,0,0">
                <w:txbxContent>
                  <w:p>
                    <w:pPr>
                      <w:tabs>
                        <w:tab w:pos="945" w:val="left" w:leader="none"/>
                        <w:tab w:pos="4079" w:val="left" w:leader="none"/>
                      </w:tabs>
                      <w:spacing w:line="161" w:lineRule="exact" w:before="0"/>
                      <w:ind w:left="0" w:right="0" w:firstLine="0"/>
                      <w:jc w:val="left"/>
                      <w:rPr>
                        <w:sz w:val="16"/>
                      </w:rPr>
                    </w:pPr>
                    <w:r>
                      <w:rPr>
                        <w:color w:val="585858"/>
                        <w:sz w:val="16"/>
                      </w:rPr>
                      <w:t>Total</w:t>
                    </w:r>
                    <w:r>
                      <w:rPr>
                        <w:color w:val="585858"/>
                        <w:spacing w:val="-2"/>
                        <w:sz w:val="16"/>
                      </w:rPr>
                      <w:t> </w:t>
                    </w:r>
                    <w:r>
                      <w:rPr>
                        <w:color w:val="585858"/>
                        <w:sz w:val="16"/>
                      </w:rPr>
                      <w:t>de</w:t>
                      <w:tab/>
                      <w:t>Producción     Valor agregado</w:t>
                    </w:r>
                    <w:r>
                      <w:rPr>
                        <w:color w:val="585858"/>
                        <w:spacing w:val="-1"/>
                        <w:sz w:val="16"/>
                      </w:rPr>
                      <w:t> </w:t>
                    </w:r>
                    <w:r>
                      <w:rPr>
                        <w:color w:val="585858"/>
                        <w:sz w:val="16"/>
                      </w:rPr>
                      <w:t>Inversión</w:t>
                    </w:r>
                    <w:r>
                      <w:rPr>
                        <w:color w:val="585858"/>
                        <w:spacing w:val="-3"/>
                        <w:sz w:val="16"/>
                      </w:rPr>
                      <w:t> </w:t>
                    </w:r>
                    <w:r>
                      <w:rPr>
                        <w:color w:val="585858"/>
                        <w:sz w:val="16"/>
                      </w:rPr>
                      <w:t>total</w:t>
                      <w:tab/>
                    </w:r>
                    <w:r>
                      <w:rPr>
                        <w:color w:val="585858"/>
                        <w:spacing w:val="-1"/>
                        <w:sz w:val="16"/>
                      </w:rPr>
                      <w:t>Formación</w:t>
                    </w:r>
                  </w:p>
                </w:txbxContent>
              </v:textbox>
              <w10:wrap type="none"/>
            </v:shape>
            <v:shape style="position:absolute;left:2761;top:2962;width:1881;height:161" type="#_x0000_t202" filled="false" stroked="false">
              <v:textbox inset="0,0,0,0">
                <w:txbxContent>
                  <w:p>
                    <w:pPr>
                      <w:tabs>
                        <w:tab w:pos="1225" w:val="left" w:leader="none"/>
                      </w:tabs>
                      <w:spacing w:line="161" w:lineRule="exact" w:before="0"/>
                      <w:ind w:left="0" w:right="0" w:firstLine="0"/>
                      <w:jc w:val="left"/>
                      <w:rPr>
                        <w:sz w:val="16"/>
                      </w:rPr>
                    </w:pPr>
                    <w:r>
                      <w:rPr>
                        <w:color w:val="585858"/>
                        <w:sz w:val="16"/>
                      </w:rPr>
                      <w:t>remuneraciones</w:t>
                      <w:tab/>
                      <w:t>bruta</w:t>
                    </w:r>
                    <w:r>
                      <w:rPr>
                        <w:color w:val="585858"/>
                        <w:spacing w:val="-2"/>
                        <w:sz w:val="16"/>
                      </w:rPr>
                      <w:t> </w:t>
                    </w:r>
                    <w:r>
                      <w:rPr>
                        <w:color w:val="585858"/>
                        <w:sz w:val="16"/>
                      </w:rPr>
                      <w:t>total</w:t>
                    </w:r>
                  </w:p>
                </w:txbxContent>
              </v:textbox>
              <w10:wrap type="none"/>
            </v:shape>
            <v:shape style="position:absolute;left:4970;top:2962;width:778;height:161" type="#_x0000_t202" filled="false" stroked="false">
              <v:textbox inset="0,0,0,0">
                <w:txbxContent>
                  <w:p>
                    <w:pPr>
                      <w:spacing w:line="161" w:lineRule="exact" w:before="0"/>
                      <w:ind w:left="0" w:right="-20" w:firstLine="0"/>
                      <w:jc w:val="left"/>
                      <w:rPr>
                        <w:sz w:val="16"/>
                      </w:rPr>
                    </w:pPr>
                    <w:r>
                      <w:rPr>
                        <w:color w:val="585858"/>
                        <w:sz w:val="16"/>
                      </w:rPr>
                      <w:t>censal bruto</w:t>
                    </w:r>
                  </w:p>
                </w:txbxContent>
              </v:textbox>
              <w10:wrap type="none"/>
            </v:shape>
            <v:shape style="position:absolute;left:7050;top:2962;width:760;height:346" type="#_x0000_t202" filled="false" stroked="false">
              <v:textbox inset="0,0,0,0">
                <w:txbxContent>
                  <w:p>
                    <w:pPr>
                      <w:spacing w:line="164" w:lineRule="exact" w:before="0"/>
                      <w:ind w:left="0" w:right="0" w:firstLine="0"/>
                      <w:jc w:val="center"/>
                      <w:rPr>
                        <w:sz w:val="16"/>
                      </w:rPr>
                    </w:pPr>
                    <w:r>
                      <w:rPr>
                        <w:color w:val="585858"/>
                        <w:sz w:val="16"/>
                      </w:rPr>
                      <w:t>Bruta de</w:t>
                    </w:r>
                  </w:p>
                  <w:p>
                    <w:pPr>
                      <w:spacing w:line="181" w:lineRule="exact" w:before="0"/>
                      <w:ind w:left="0" w:right="0" w:firstLine="0"/>
                      <w:jc w:val="center"/>
                      <w:rPr>
                        <w:sz w:val="16"/>
                      </w:rPr>
                    </w:pPr>
                    <w:r>
                      <w:rPr>
                        <w:color w:val="585858"/>
                        <w:sz w:val="16"/>
                      </w:rPr>
                      <w:t>Capital Fijo</w:t>
                    </w:r>
                  </w:p>
                </w:txbxContent>
              </v:textbox>
              <w10:wrap type="none"/>
            </v:shape>
          </v:group>
        </w:pict>
      </w:r>
      <w:r>
        <w:rPr>
          <w:sz w:val="20"/>
        </w:rPr>
      </w:r>
    </w:p>
    <w:p>
      <w:pPr>
        <w:spacing w:before="109"/>
        <w:ind w:left="330" w:right="333" w:firstLine="0"/>
        <w:jc w:val="center"/>
        <w:rPr>
          <w:sz w:val="18"/>
        </w:rPr>
      </w:pPr>
      <w:r>
        <w:rPr>
          <w:sz w:val="18"/>
        </w:rPr>
        <w:t>Fuente: Elaboración propia con base en datos del Censo Económico de INEGI (2009).</w:t>
      </w:r>
    </w:p>
    <w:p>
      <w:pPr>
        <w:pStyle w:val="BodyText"/>
        <w:rPr>
          <w:sz w:val="18"/>
        </w:rPr>
      </w:pPr>
    </w:p>
    <w:p>
      <w:pPr>
        <w:pStyle w:val="BodyText"/>
        <w:spacing w:line="357" w:lineRule="auto" w:before="137"/>
        <w:ind w:left="122" w:right="117"/>
        <w:jc w:val="both"/>
      </w:pPr>
      <w:r>
        <w:rPr/>
        <w:t>Lo interesante de los resultados presentados radica en que, la industria automotriz con solo el 0.45% de las unidades económicas</w:t>
      </w:r>
      <w:r>
        <w:rPr>
          <w:position w:val="9"/>
          <w:sz w:val="16"/>
        </w:rPr>
        <w:t>8 </w:t>
      </w:r>
      <w:r>
        <w:rPr/>
        <w:t>dentro del sector manufacturero logró tener importantes participaciones, tanto en el valor agregado censal bruto como en la producción bruta total, lo que da evidencia de la importancia que tiene la participación de la industria automotriz dentro de las manufacturas.</w:t>
      </w:r>
    </w:p>
    <w:p>
      <w:pPr>
        <w:pStyle w:val="BodyText"/>
        <w:spacing w:before="5"/>
        <w:rPr>
          <w:sz w:val="21"/>
        </w:rPr>
      </w:pPr>
    </w:p>
    <w:p>
      <w:pPr>
        <w:pStyle w:val="BodyText"/>
        <w:spacing w:line="348" w:lineRule="auto"/>
        <w:ind w:left="122" w:right="115"/>
        <w:jc w:val="both"/>
      </w:pPr>
      <w:r>
        <w:rPr/>
        <w:t>Si realizamos un análisis para el periodo de 1980 a 2008, encontramos que las unidades económicas</w:t>
      </w:r>
      <w:r>
        <w:rPr>
          <w:position w:val="9"/>
          <w:sz w:val="16"/>
        </w:rPr>
        <w:t>9  </w:t>
      </w:r>
      <w:r>
        <w:rPr/>
        <w:t>de la industria automotriz, tienen una escasa participación  dentro  del    sector</w:t>
      </w:r>
    </w:p>
    <w:p>
      <w:pPr>
        <w:pStyle w:val="BodyText"/>
        <w:rPr>
          <w:sz w:val="20"/>
        </w:rPr>
      </w:pPr>
    </w:p>
    <w:p>
      <w:pPr>
        <w:pStyle w:val="BodyText"/>
        <w:rPr>
          <w:sz w:val="20"/>
        </w:rPr>
      </w:pPr>
    </w:p>
    <w:p>
      <w:pPr>
        <w:pStyle w:val="BodyText"/>
        <w:rPr>
          <w:sz w:val="20"/>
        </w:rPr>
      </w:pPr>
    </w:p>
    <w:p>
      <w:pPr>
        <w:pStyle w:val="BodyText"/>
        <w:spacing w:before="3"/>
        <w:rPr>
          <w:sz w:val="15"/>
        </w:rPr>
      </w:pPr>
      <w:r>
        <w:rPr/>
        <w:pict>
          <v:line style="position:absolute;mso-position-horizontal-relative:page;mso-position-vertical-relative:paragraph;z-index:4648;mso-wrap-distance-left:0;mso-wrap-distance-right:0" from="85.103996pt,11.046165pt" to="229.123996pt,11.046165pt" stroked="true" strokeweight=".599980pt" strokecolor="#000000">
            <w10:wrap type="topAndBottom"/>
          </v:line>
        </w:pict>
      </w:r>
    </w:p>
    <w:p>
      <w:pPr>
        <w:spacing w:before="70"/>
        <w:ind w:left="122" w:right="123" w:firstLine="0"/>
        <w:jc w:val="both"/>
        <w:rPr>
          <w:sz w:val="20"/>
        </w:rPr>
      </w:pPr>
      <w:r>
        <w:rPr>
          <w:position w:val="7"/>
          <w:sz w:val="13"/>
        </w:rPr>
        <w:t>8 </w:t>
      </w:r>
      <w:r>
        <w:rPr>
          <w:sz w:val="20"/>
        </w:rPr>
        <w:t>No obstante, se debe tomar con reserva el dato de unidades económicas, ya que los Censos Económicos del INEGI, no reportan el cien por ciento de dichas unidades, esto se debe a que la ley del sistema nacional de información</w:t>
      </w:r>
      <w:r>
        <w:rPr>
          <w:spacing w:val="-3"/>
          <w:sz w:val="20"/>
        </w:rPr>
        <w:t> </w:t>
      </w:r>
      <w:r>
        <w:rPr>
          <w:sz w:val="20"/>
        </w:rPr>
        <w:t>estadística</w:t>
      </w:r>
      <w:r>
        <w:rPr>
          <w:spacing w:val="1"/>
          <w:sz w:val="20"/>
        </w:rPr>
        <w:t> </w:t>
      </w:r>
      <w:r>
        <w:rPr>
          <w:sz w:val="20"/>
        </w:rPr>
        <w:t>y</w:t>
      </w:r>
      <w:r>
        <w:rPr>
          <w:spacing w:val="-3"/>
          <w:sz w:val="20"/>
        </w:rPr>
        <w:t> </w:t>
      </w:r>
      <w:r>
        <w:rPr>
          <w:sz w:val="20"/>
        </w:rPr>
        <w:t>geográfica,</w:t>
      </w:r>
      <w:r>
        <w:rPr>
          <w:spacing w:val="-2"/>
          <w:sz w:val="20"/>
        </w:rPr>
        <w:t> </w:t>
      </w:r>
      <w:r>
        <w:rPr>
          <w:sz w:val="20"/>
        </w:rPr>
        <w:t>en</w:t>
      </w:r>
      <w:r>
        <w:rPr>
          <w:spacing w:val="-3"/>
          <w:sz w:val="20"/>
        </w:rPr>
        <w:t> </w:t>
      </w:r>
      <w:r>
        <w:rPr>
          <w:sz w:val="20"/>
        </w:rPr>
        <w:t>vigor,</w:t>
      </w:r>
      <w:r>
        <w:rPr>
          <w:spacing w:val="-2"/>
          <w:sz w:val="20"/>
        </w:rPr>
        <w:t> </w:t>
      </w:r>
      <w:r>
        <w:rPr>
          <w:sz w:val="20"/>
        </w:rPr>
        <w:t>en</w:t>
      </w:r>
      <w:r>
        <w:rPr>
          <w:spacing w:val="-3"/>
          <w:sz w:val="20"/>
        </w:rPr>
        <w:t> </w:t>
      </w:r>
      <w:r>
        <w:rPr>
          <w:sz w:val="20"/>
        </w:rPr>
        <w:t>sus</w:t>
      </w:r>
      <w:r>
        <w:rPr>
          <w:spacing w:val="-3"/>
          <w:sz w:val="20"/>
        </w:rPr>
        <w:t> </w:t>
      </w:r>
      <w:r>
        <w:rPr>
          <w:sz w:val="20"/>
        </w:rPr>
        <w:t>artículos</w:t>
      </w:r>
      <w:r>
        <w:rPr>
          <w:spacing w:val="-3"/>
          <w:sz w:val="20"/>
        </w:rPr>
        <w:t> </w:t>
      </w:r>
      <w:r>
        <w:rPr>
          <w:sz w:val="20"/>
        </w:rPr>
        <w:t>37,</w:t>
      </w:r>
      <w:r>
        <w:rPr>
          <w:spacing w:val="-4"/>
          <w:sz w:val="20"/>
        </w:rPr>
        <w:t> </w:t>
      </w:r>
      <w:r>
        <w:rPr>
          <w:sz w:val="20"/>
        </w:rPr>
        <w:t>38,</w:t>
      </w:r>
      <w:r>
        <w:rPr>
          <w:spacing w:val="-4"/>
          <w:sz w:val="20"/>
        </w:rPr>
        <w:t> </w:t>
      </w:r>
      <w:r>
        <w:rPr>
          <w:sz w:val="20"/>
        </w:rPr>
        <w:t>42</w:t>
      </w:r>
      <w:r>
        <w:rPr>
          <w:spacing w:val="-3"/>
          <w:sz w:val="20"/>
        </w:rPr>
        <w:t> </w:t>
      </w:r>
      <w:r>
        <w:rPr>
          <w:sz w:val="20"/>
        </w:rPr>
        <w:t>y</w:t>
      </w:r>
      <w:r>
        <w:rPr>
          <w:spacing w:val="-6"/>
          <w:sz w:val="20"/>
        </w:rPr>
        <w:t> </w:t>
      </w:r>
      <w:r>
        <w:rPr>
          <w:sz w:val="20"/>
        </w:rPr>
        <w:t>47</w:t>
      </w:r>
      <w:r>
        <w:rPr>
          <w:spacing w:val="-1"/>
          <w:sz w:val="20"/>
        </w:rPr>
        <w:t> </w:t>
      </w:r>
      <w:r>
        <w:rPr>
          <w:sz w:val="20"/>
        </w:rPr>
        <w:t>establece</w:t>
      </w:r>
      <w:r>
        <w:rPr>
          <w:spacing w:val="-2"/>
          <w:sz w:val="20"/>
        </w:rPr>
        <w:t> </w:t>
      </w:r>
      <w:r>
        <w:rPr>
          <w:sz w:val="20"/>
        </w:rPr>
        <w:t>la</w:t>
      </w:r>
      <w:r>
        <w:rPr>
          <w:spacing w:val="-4"/>
          <w:sz w:val="20"/>
        </w:rPr>
        <w:t> </w:t>
      </w:r>
      <w:r>
        <w:rPr>
          <w:sz w:val="20"/>
        </w:rPr>
        <w:t>confidencialidad</w:t>
      </w:r>
      <w:r>
        <w:rPr>
          <w:spacing w:val="-1"/>
          <w:sz w:val="20"/>
        </w:rPr>
        <w:t> </w:t>
      </w:r>
      <w:r>
        <w:rPr>
          <w:sz w:val="20"/>
        </w:rPr>
        <w:t>de la</w:t>
      </w:r>
      <w:r>
        <w:rPr>
          <w:spacing w:val="-9"/>
          <w:sz w:val="20"/>
        </w:rPr>
        <w:t> </w:t>
      </w:r>
      <w:r>
        <w:rPr>
          <w:sz w:val="20"/>
        </w:rPr>
        <w:t>información.</w:t>
      </w:r>
    </w:p>
    <w:p>
      <w:pPr>
        <w:spacing w:line="240" w:lineRule="auto" w:before="0"/>
        <w:ind w:left="122" w:right="120" w:firstLine="0"/>
        <w:jc w:val="both"/>
        <w:rPr>
          <w:sz w:val="20"/>
        </w:rPr>
      </w:pPr>
      <w:r>
        <w:rPr>
          <w:position w:val="7"/>
          <w:sz w:val="13"/>
        </w:rPr>
        <w:t>9 </w:t>
      </w:r>
      <w:r>
        <w:rPr>
          <w:sz w:val="20"/>
        </w:rPr>
        <w:t>Lugar donde se realizan las actividades económicas, dicha unidad puede ser una fábrica, despacho, banco, casa de cambio, escuela, hospital, taller de reparación, empresa de transporte, oficinas de gobierno u otros establecimientos, incluso un espacio de la vivienda o un trabajador por su cuenta sin establecimiento.</w:t>
      </w:r>
    </w:p>
    <w:p>
      <w:pPr>
        <w:spacing w:after="0" w:line="240" w:lineRule="auto"/>
        <w:jc w:val="both"/>
        <w:rPr>
          <w:sz w:val="20"/>
        </w:rPr>
        <w:sectPr>
          <w:pgSz w:w="12240" w:h="15840"/>
          <w:pgMar w:header="0" w:footer="1035" w:top="1360" w:bottom="1220" w:left="1580" w:right="1580"/>
        </w:sectPr>
      </w:pPr>
    </w:p>
    <w:p>
      <w:pPr>
        <w:pStyle w:val="BodyText"/>
        <w:spacing w:line="360" w:lineRule="auto" w:before="50"/>
        <w:ind w:left="122" w:right="122"/>
        <w:jc w:val="both"/>
      </w:pPr>
      <w:r>
        <w:rPr/>
        <w:t>manufacturero, pues representan menos del 1% del total de las unidades económicas del sector, alcanzado su mayor participación en 1985 (véase gráfica 4.2).</w:t>
      </w:r>
    </w:p>
    <w:p>
      <w:pPr>
        <w:pStyle w:val="BodyText"/>
        <w:spacing w:before="7"/>
        <w:rPr>
          <w:sz w:val="21"/>
        </w:rPr>
      </w:pPr>
    </w:p>
    <w:p>
      <w:pPr>
        <w:pStyle w:val="Heading1"/>
        <w:spacing w:line="360" w:lineRule="auto"/>
        <w:ind w:left="329" w:right="333"/>
        <w:jc w:val="center"/>
      </w:pPr>
      <w:r>
        <w:rPr/>
        <w:t>Gráfica 4.2. Unidades económicas: Participación porcentual de la industria automotriz en la industria manufacturera de México, 1980-2008</w:t>
      </w:r>
    </w:p>
    <w:p>
      <w:pPr>
        <w:pStyle w:val="BodyText"/>
        <w:ind w:left="558"/>
        <w:rPr>
          <w:sz w:val="20"/>
        </w:rPr>
      </w:pPr>
      <w:r>
        <w:rPr>
          <w:sz w:val="20"/>
        </w:rPr>
        <w:pict>
          <v:group style="width:397.6pt;height:170.8pt;mso-position-horizontal-relative:char;mso-position-vertical-relative:line" coordorigin="0,0" coordsize="7952,3416">
            <v:shape style="position:absolute;left:514;top:228;width:7210;height:2746" type="#_x0000_t75" stroked="false">
              <v:imagedata r:id="rId54" o:title=""/>
            </v:shape>
            <v:line style="position:absolute" from="7349,2516" to="7723,2516" stroked="true" strokeweight=".72pt" strokecolor="#d9d9d9"/>
            <v:line style="position:absolute" from="6320,2516" to="7068,2516" stroked="true" strokeweight=".72pt" strokecolor="#d9d9d9"/>
            <v:line style="position:absolute" from="5290,2516" to="6039,2516" stroked="true" strokeweight=".72pt" strokecolor="#d9d9d9"/>
            <v:line style="position:absolute" from="4260,2516" to="5009,2516" stroked="true" strokeweight=".72pt" strokecolor="#d9d9d9"/>
            <v:line style="position:absolute" from="3231,2516" to="3980,2516" stroked="true" strokeweight=".72pt" strokecolor="#d9d9d9"/>
            <v:line style="position:absolute" from="2201,2516" to="2950,2516" stroked="true" strokeweight=".72pt" strokecolor="#d9d9d9"/>
            <v:line style="position:absolute" from="1169,2516" to="1920,2516" stroked="true" strokeweight=".72pt" strokecolor="#d9d9d9"/>
            <v:line style="position:absolute" from="514,2516" to="891,2516" stroked="true" strokeweight=".72pt" strokecolor="#d9d9d9"/>
            <v:line style="position:absolute" from="7349,2057" to="7723,2057" stroked="true" strokeweight=".72pt" strokecolor="#d9d9d9"/>
            <v:line style="position:absolute" from="6320,2057" to="7068,2057" stroked="true" strokeweight=".72pt" strokecolor="#d9d9d9"/>
            <v:line style="position:absolute" from="5290,2057" to="6039,2057" stroked="true" strokeweight=".72pt" strokecolor="#d9d9d9"/>
            <v:line style="position:absolute" from="4260,2057" to="5009,2057" stroked="true" strokeweight=".72pt" strokecolor="#d9d9d9"/>
            <v:line style="position:absolute" from="3231,2057" to="3980,2057" stroked="true" strokeweight=".72pt" strokecolor="#d9d9d9"/>
            <v:line style="position:absolute" from="2201,2057" to="2950,2057" stroked="true" strokeweight=".72pt" strokecolor="#d9d9d9"/>
            <v:line style="position:absolute" from="1169,2057" to="1920,2057" stroked="true" strokeweight=".72pt" strokecolor="#d9d9d9"/>
            <v:line style="position:absolute" from="514,2057" to="891,2057" stroked="true" strokeweight=".72pt" strokecolor="#d9d9d9"/>
            <v:line style="position:absolute" from="3231,1601" to="7724,1601" stroked="true" strokeweight=".72pt" strokecolor="#d9d9d9"/>
            <v:line style="position:absolute" from="2201,1601" to="2950,1601" stroked="true" strokeweight=".72pt" strokecolor="#d9d9d9"/>
            <v:line style="position:absolute" from="1169,1601" to="1920,1601" stroked="true" strokeweight=".72pt" strokecolor="#d9d9d9"/>
            <v:line style="position:absolute" from="514,1601" to="891,1601" stroked="true" strokeweight=".72pt" strokecolor="#d9d9d9"/>
            <v:line style="position:absolute" from="2201,1143" to="7724,1143" stroked="true" strokeweight=".72pt" strokecolor="#d9d9d9"/>
            <v:line style="position:absolute" from="514,1143" to="1920,1143" stroked="true" strokeweight=".72pt" strokecolor="#d9d9d9"/>
            <v:line style="position:absolute" from="2201,687" to="7724,687" stroked="true" strokeweight=".72pt" strokecolor="#d9d9d9"/>
            <v:line style="position:absolute" from="514,687" to="1920,687" stroked="true" strokeweight=".72pt" strokecolor="#d9d9d9"/>
            <v:line style="position:absolute" from="514,228" to="7723,228" stroked="true" strokeweight=".72pt" strokecolor="#d9d9d9"/>
            <v:line style="position:absolute" from="514,228" to="514,2974" stroked="true" strokeweight=".72pt" strokecolor="#d9d9d9"/>
            <v:line style="position:absolute" from="1546,228" to="1546,2974" stroked="true" strokeweight=".72pt" strokecolor="#d9d9d9"/>
            <v:line style="position:absolute" from="2575,228" to="2575,2974" stroked="true" strokeweight=".72pt" strokecolor="#d9d9d9"/>
            <v:line style="position:absolute" from="3605,228" to="3605,2974" stroked="true" strokeweight=".72pt" strokecolor="#d9d9d9"/>
            <v:line style="position:absolute" from="4635,228" to="4635,2974" stroked="true" strokeweight=".72pt" strokecolor="#d9d9d9"/>
            <v:line style="position:absolute" from="5664,228" to="5664,2974" stroked="true" strokeweight=".72pt" strokecolor="#d9d9d9"/>
            <v:line style="position:absolute" from="6694,228" to="6694,2974" stroked="true" strokeweight=".72pt" strokecolor="#d9d9d9"/>
            <v:line style="position:absolute" from="7723,228" to="7723,2974" stroked="true" strokeweight=".72pt" strokecolor="#d9d9d9"/>
            <v:rect style="position:absolute;left:891;top:1157;width:278;height:1817" filled="true" fillcolor="#539e39" stroked="false">
              <v:fill type="solid"/>
            </v:rect>
            <v:rect style="position:absolute;left:891;top:1157;width:278;height:1817" filled="false" stroked="true" strokeweight=".72pt" strokecolor="#539e39"/>
            <v:rect style="position:absolute;left:1920;top:634;width:281;height:2340" filled="true" fillcolor="#539e39" stroked="false">
              <v:fill type="solid"/>
            </v:rect>
            <v:rect style="position:absolute;left:1920;top:634;width:281;height:2340" filled="false" stroked="true" strokeweight=".72pt" strokecolor="#539e39"/>
            <v:rect style="position:absolute;left:2950;top:1328;width:281;height:1646" filled="true" fillcolor="#539e39" stroked="false">
              <v:fill type="solid"/>
            </v:rect>
            <v:rect style="position:absolute;left:2950;top:1328;width:281;height:1646" filled="false" stroked="true" strokeweight=".72pt" strokecolor="#539e39"/>
            <v:rect style="position:absolute;left:3980;top:1579;width:281;height:1394" filled="true" fillcolor="#539e39" stroked="false">
              <v:fill type="solid"/>
            </v:rect>
            <v:rect style="position:absolute;left:3980;top:1579;width:281;height:1394" filled="false" stroked="true" strokeweight=".72pt" strokecolor="#539e39"/>
            <v:rect style="position:absolute;left:5009;top:1630;width:281;height:1344" filled="true" fillcolor="#539e39" stroked="false">
              <v:fill type="solid"/>
            </v:rect>
            <v:rect style="position:absolute;left:5009;top:1630;width:281;height:1344" filled="false" stroked="true" strokeweight=".72pt" strokecolor="#539e39"/>
            <v:rect style="position:absolute;left:6039;top:1704;width:281;height:1270" filled="true" fillcolor="#539e39" stroked="false">
              <v:fill type="solid"/>
            </v:rect>
            <v:rect style="position:absolute;left:6039;top:1704;width:281;height:1270" filled="false" stroked="true" strokeweight=".72pt" strokecolor="#539e39"/>
            <v:rect style="position:absolute;left:7068;top:1937;width:281;height:1037" filled="true" fillcolor="#539e39" stroked="false">
              <v:fill type="solid"/>
            </v:rect>
            <v:rect style="position:absolute;left:7068;top:1937;width:281;height:1037" filled="false" stroked="true" strokeweight=".72pt" strokecolor="#539e39"/>
            <v:line style="position:absolute" from="514,2974" to="7723,2974" stroked="true" strokeweight=".72pt" strokecolor="#d9d9d9"/>
            <v:rect style="position:absolute;left:8;top:8;width:7937;height:3401" filled="false" stroked="true" strokeweight=".72pt" strokecolor="#d9d9d9"/>
            <v:shape style="position:absolute;left:138;top:141;width:225;height:180" type="#_x0000_t202" filled="false" stroked="false">
              <v:textbox inset="0,0,0,0">
                <w:txbxContent>
                  <w:p>
                    <w:pPr>
                      <w:spacing w:line="180" w:lineRule="exact" w:before="0"/>
                      <w:ind w:left="0" w:right="-20" w:firstLine="0"/>
                      <w:jc w:val="left"/>
                      <w:rPr>
                        <w:sz w:val="18"/>
                      </w:rPr>
                    </w:pPr>
                    <w:r>
                      <w:rPr>
                        <w:color w:val="585858"/>
                        <w:sz w:val="18"/>
                      </w:rPr>
                      <w:t>1.2</w:t>
                    </w:r>
                  </w:p>
                </w:txbxContent>
              </v:textbox>
              <w10:wrap type="none"/>
            </v:shape>
            <v:shape style="position:absolute;left:1946;top:361;width:227;height:180" type="#_x0000_t202" filled="false" stroked="false">
              <v:textbox inset="0,0,0,0">
                <w:txbxContent>
                  <w:p>
                    <w:pPr>
                      <w:spacing w:line="180" w:lineRule="exact" w:before="0"/>
                      <w:ind w:left="0" w:right="-18" w:firstLine="0"/>
                      <w:jc w:val="left"/>
                      <w:rPr>
                        <w:sz w:val="18"/>
                      </w:rPr>
                    </w:pPr>
                    <w:r>
                      <w:rPr>
                        <w:color w:val="404040"/>
                        <w:sz w:val="18"/>
                      </w:rPr>
                      <w:t>1.0</w:t>
                    </w:r>
                  </w:p>
                </w:txbxContent>
              </v:textbox>
              <w10:wrap type="none"/>
            </v:shape>
            <v:shape style="position:absolute;left:138;top:598;width:225;height:180" type="#_x0000_t202" filled="false" stroked="false">
              <v:textbox inset="0,0,0,0">
                <w:txbxContent>
                  <w:p>
                    <w:pPr>
                      <w:spacing w:line="180" w:lineRule="exact" w:before="0"/>
                      <w:ind w:left="0" w:right="-20" w:firstLine="0"/>
                      <w:jc w:val="left"/>
                      <w:rPr>
                        <w:sz w:val="18"/>
                      </w:rPr>
                    </w:pPr>
                    <w:r>
                      <w:rPr>
                        <w:color w:val="585858"/>
                        <w:sz w:val="18"/>
                      </w:rPr>
                      <w:t>1.0</w:t>
                    </w:r>
                  </w:p>
                </w:txbxContent>
              </v:textbox>
              <w10:wrap type="none"/>
            </v:shape>
            <v:shape style="position:absolute;left:916;top:884;width:227;height:180" type="#_x0000_t202" filled="false" stroked="false">
              <v:textbox inset="0,0,0,0">
                <w:txbxContent>
                  <w:p>
                    <w:pPr>
                      <w:spacing w:line="180" w:lineRule="exact" w:before="0"/>
                      <w:ind w:left="0" w:right="-18" w:firstLine="0"/>
                      <w:jc w:val="left"/>
                      <w:rPr>
                        <w:sz w:val="18"/>
                      </w:rPr>
                    </w:pPr>
                    <w:r>
                      <w:rPr>
                        <w:color w:val="404040"/>
                        <w:sz w:val="18"/>
                      </w:rPr>
                      <w:t>0.8</w:t>
                    </w:r>
                  </w:p>
                </w:txbxContent>
              </v:textbox>
              <w10:wrap type="none"/>
            </v:shape>
            <v:shape style="position:absolute;left:138;top:1055;width:225;height:180" type="#_x0000_t202" filled="false" stroked="false">
              <v:textbox inset="0,0,0,0">
                <w:txbxContent>
                  <w:p>
                    <w:pPr>
                      <w:spacing w:line="180" w:lineRule="exact" w:before="0"/>
                      <w:ind w:left="0" w:right="-20" w:firstLine="0"/>
                      <w:jc w:val="left"/>
                      <w:rPr>
                        <w:sz w:val="18"/>
                      </w:rPr>
                    </w:pPr>
                    <w:r>
                      <w:rPr>
                        <w:color w:val="585858"/>
                        <w:sz w:val="18"/>
                      </w:rPr>
                      <w:t>0.8</w:t>
                    </w:r>
                  </w:p>
                </w:txbxContent>
              </v:textbox>
              <w10:wrap type="none"/>
            </v:shape>
            <v:shape style="position:absolute;left:2976;top:1054;width:227;height:180" type="#_x0000_t202" filled="false" stroked="false">
              <v:textbox inset="0,0,0,0">
                <w:txbxContent>
                  <w:p>
                    <w:pPr>
                      <w:spacing w:line="180" w:lineRule="exact" w:before="0"/>
                      <w:ind w:left="0" w:right="-18" w:firstLine="0"/>
                      <w:jc w:val="left"/>
                      <w:rPr>
                        <w:sz w:val="18"/>
                      </w:rPr>
                    </w:pPr>
                    <w:r>
                      <w:rPr>
                        <w:color w:val="404040"/>
                        <w:sz w:val="18"/>
                      </w:rPr>
                      <w:t>0.7</w:t>
                    </w:r>
                  </w:p>
                </w:txbxContent>
              </v:textbox>
              <w10:wrap type="none"/>
            </v:shape>
            <v:shape style="position:absolute;left:4006;top:1307;width:227;height:180" type="#_x0000_t202" filled="false" stroked="false">
              <v:textbox inset="0,0,0,0">
                <w:txbxContent>
                  <w:p>
                    <w:pPr>
                      <w:spacing w:line="180" w:lineRule="exact" w:before="0"/>
                      <w:ind w:left="0" w:right="-18" w:firstLine="0"/>
                      <w:jc w:val="left"/>
                      <w:rPr>
                        <w:sz w:val="18"/>
                      </w:rPr>
                    </w:pPr>
                    <w:r>
                      <w:rPr>
                        <w:color w:val="404040"/>
                        <w:sz w:val="18"/>
                      </w:rPr>
                      <w:t>0.6</w:t>
                    </w:r>
                  </w:p>
                </w:txbxContent>
              </v:textbox>
              <w10:wrap type="none"/>
            </v:shape>
            <v:shape style="position:absolute;left:5036;top:1357;width:227;height:180" type="#_x0000_t202" filled="false" stroked="false">
              <v:textbox inset="0,0,0,0">
                <w:txbxContent>
                  <w:p>
                    <w:pPr>
                      <w:spacing w:line="180" w:lineRule="exact" w:before="0"/>
                      <w:ind w:left="0" w:right="-18" w:firstLine="0"/>
                      <w:jc w:val="left"/>
                      <w:rPr>
                        <w:sz w:val="18"/>
                      </w:rPr>
                    </w:pPr>
                    <w:r>
                      <w:rPr>
                        <w:color w:val="404040"/>
                        <w:sz w:val="18"/>
                      </w:rPr>
                      <w:t>0.6</w:t>
                    </w:r>
                  </w:p>
                </w:txbxContent>
              </v:textbox>
              <w10:wrap type="none"/>
            </v:shape>
            <v:shape style="position:absolute;left:138;top:1513;width:225;height:180" type="#_x0000_t202" filled="false" stroked="false">
              <v:textbox inset="0,0,0,0">
                <w:txbxContent>
                  <w:p>
                    <w:pPr>
                      <w:spacing w:line="180" w:lineRule="exact" w:before="0"/>
                      <w:ind w:left="0" w:right="-20" w:firstLine="0"/>
                      <w:jc w:val="left"/>
                      <w:rPr>
                        <w:sz w:val="18"/>
                      </w:rPr>
                    </w:pPr>
                    <w:r>
                      <w:rPr>
                        <w:color w:val="585858"/>
                        <w:sz w:val="18"/>
                      </w:rPr>
                      <w:t>0.6</w:t>
                    </w:r>
                  </w:p>
                </w:txbxContent>
              </v:textbox>
              <w10:wrap type="none"/>
            </v:shape>
            <v:shape style="position:absolute;left:6067;top:1432;width:227;height:180" type="#_x0000_t202" filled="false" stroked="false">
              <v:textbox inset="0,0,0,0">
                <w:txbxContent>
                  <w:p>
                    <w:pPr>
                      <w:spacing w:line="180" w:lineRule="exact" w:before="0"/>
                      <w:ind w:left="0" w:right="-18" w:firstLine="0"/>
                      <w:jc w:val="left"/>
                      <w:rPr>
                        <w:sz w:val="18"/>
                      </w:rPr>
                    </w:pPr>
                    <w:r>
                      <w:rPr>
                        <w:color w:val="404040"/>
                        <w:sz w:val="18"/>
                      </w:rPr>
                      <w:t>0.6</w:t>
                    </w:r>
                  </w:p>
                </w:txbxContent>
              </v:textbox>
              <w10:wrap type="none"/>
            </v:shape>
            <v:shape style="position:absolute;left:7097;top:1665;width:227;height:180" type="#_x0000_t202" filled="false" stroked="false">
              <v:textbox inset="0,0,0,0">
                <w:txbxContent>
                  <w:p>
                    <w:pPr>
                      <w:spacing w:line="180" w:lineRule="exact" w:before="0"/>
                      <w:ind w:left="0" w:right="-18" w:firstLine="0"/>
                      <w:jc w:val="left"/>
                      <w:rPr>
                        <w:sz w:val="18"/>
                      </w:rPr>
                    </w:pPr>
                    <w:r>
                      <w:rPr>
                        <w:color w:val="404040"/>
                        <w:sz w:val="18"/>
                      </w:rPr>
                      <w:t>0.5</w:t>
                    </w:r>
                  </w:p>
                </w:txbxContent>
              </v:textbox>
              <w10:wrap type="none"/>
            </v:shape>
            <v:shape style="position:absolute;left:138;top:1971;width:225;height:1095" type="#_x0000_t202" filled="false" stroked="false">
              <v:textbox inset="0,0,0,0">
                <w:txbxContent>
                  <w:p>
                    <w:pPr>
                      <w:spacing w:line="184" w:lineRule="exact" w:before="0"/>
                      <w:ind w:left="0" w:right="-20" w:firstLine="0"/>
                      <w:jc w:val="left"/>
                      <w:rPr>
                        <w:sz w:val="18"/>
                      </w:rPr>
                    </w:pPr>
                    <w:r>
                      <w:rPr>
                        <w:color w:val="585858"/>
                        <w:sz w:val="18"/>
                      </w:rPr>
                      <w:t>0.4</w:t>
                    </w:r>
                  </w:p>
                  <w:p>
                    <w:pPr>
                      <w:spacing w:line="240" w:lineRule="auto" w:before="8"/>
                      <w:rPr>
                        <w:b/>
                        <w:sz w:val="21"/>
                      </w:rPr>
                    </w:pPr>
                  </w:p>
                  <w:p>
                    <w:pPr>
                      <w:spacing w:before="1"/>
                      <w:ind w:left="0" w:right="-20" w:firstLine="0"/>
                      <w:jc w:val="left"/>
                      <w:rPr>
                        <w:sz w:val="18"/>
                      </w:rPr>
                    </w:pPr>
                    <w:r>
                      <w:rPr>
                        <w:color w:val="585858"/>
                        <w:sz w:val="18"/>
                      </w:rPr>
                      <w:t>0.2</w:t>
                    </w:r>
                  </w:p>
                  <w:p>
                    <w:pPr>
                      <w:spacing w:line="240" w:lineRule="auto" w:before="8"/>
                      <w:rPr>
                        <w:b/>
                        <w:sz w:val="21"/>
                      </w:rPr>
                    </w:pPr>
                  </w:p>
                  <w:p>
                    <w:pPr>
                      <w:spacing w:line="203" w:lineRule="exact" w:before="1"/>
                      <w:ind w:left="0" w:right="-20" w:firstLine="0"/>
                      <w:jc w:val="left"/>
                      <w:rPr>
                        <w:sz w:val="18"/>
                      </w:rPr>
                    </w:pPr>
                    <w:r>
                      <w:rPr>
                        <w:color w:val="585858"/>
                        <w:sz w:val="18"/>
                      </w:rPr>
                      <w:t>0.0</w:t>
                    </w:r>
                  </w:p>
                </w:txbxContent>
              </v:textbox>
              <w10:wrap type="none"/>
            </v:shape>
            <v:shape style="position:absolute;left:850;top:3097;width:361;height:180" type="#_x0000_t202" filled="false" stroked="false">
              <v:textbox inset="0,0,0,0">
                <w:txbxContent>
                  <w:p>
                    <w:pPr>
                      <w:spacing w:line="180" w:lineRule="exact" w:before="0"/>
                      <w:ind w:left="0" w:right="-19" w:firstLine="0"/>
                      <w:jc w:val="left"/>
                      <w:rPr>
                        <w:sz w:val="18"/>
                      </w:rPr>
                    </w:pPr>
                    <w:r>
                      <w:rPr>
                        <w:color w:val="585858"/>
                        <w:sz w:val="18"/>
                      </w:rPr>
                      <w:t>1980</w:t>
                    </w:r>
                  </w:p>
                </w:txbxContent>
              </v:textbox>
              <w10:wrap type="none"/>
            </v:shape>
            <v:shape style="position:absolute;left:1881;top:3097;width:361;height:180" type="#_x0000_t202" filled="false" stroked="false">
              <v:textbox inset="0,0,0,0">
                <w:txbxContent>
                  <w:p>
                    <w:pPr>
                      <w:spacing w:line="180" w:lineRule="exact" w:before="0"/>
                      <w:ind w:left="0" w:right="-19" w:firstLine="0"/>
                      <w:jc w:val="left"/>
                      <w:rPr>
                        <w:sz w:val="18"/>
                      </w:rPr>
                    </w:pPr>
                    <w:r>
                      <w:rPr>
                        <w:color w:val="585858"/>
                        <w:sz w:val="18"/>
                      </w:rPr>
                      <w:t>1985</w:t>
                    </w:r>
                  </w:p>
                </w:txbxContent>
              </v:textbox>
              <w10:wrap type="none"/>
            </v:shape>
            <v:shape style="position:absolute;left:2910;top:3097;width:361;height:180" type="#_x0000_t202" filled="false" stroked="false">
              <v:textbox inset="0,0,0,0">
                <w:txbxContent>
                  <w:p>
                    <w:pPr>
                      <w:spacing w:line="180" w:lineRule="exact" w:before="0"/>
                      <w:ind w:left="0" w:right="-19" w:firstLine="0"/>
                      <w:jc w:val="left"/>
                      <w:rPr>
                        <w:sz w:val="18"/>
                      </w:rPr>
                    </w:pPr>
                    <w:r>
                      <w:rPr>
                        <w:color w:val="585858"/>
                        <w:sz w:val="18"/>
                      </w:rPr>
                      <w:t>1988</w:t>
                    </w:r>
                  </w:p>
                </w:txbxContent>
              </v:textbox>
              <w10:wrap type="none"/>
            </v:shape>
            <v:shape style="position:absolute;left:3941;top:3097;width:361;height:180" type="#_x0000_t202" filled="false" stroked="false">
              <v:textbox inset="0,0,0,0">
                <w:txbxContent>
                  <w:p>
                    <w:pPr>
                      <w:spacing w:line="180" w:lineRule="exact" w:before="0"/>
                      <w:ind w:left="0" w:right="-19" w:firstLine="0"/>
                      <w:jc w:val="left"/>
                      <w:rPr>
                        <w:sz w:val="18"/>
                      </w:rPr>
                    </w:pPr>
                    <w:r>
                      <w:rPr>
                        <w:color w:val="585858"/>
                        <w:sz w:val="18"/>
                      </w:rPr>
                      <w:t>1993</w:t>
                    </w:r>
                  </w:p>
                </w:txbxContent>
              </v:textbox>
              <w10:wrap type="none"/>
            </v:shape>
            <v:shape style="position:absolute;left:4971;top:3097;width:361;height:180" type="#_x0000_t202" filled="false" stroked="false">
              <v:textbox inset="0,0,0,0">
                <w:txbxContent>
                  <w:p>
                    <w:pPr>
                      <w:spacing w:line="180" w:lineRule="exact" w:before="0"/>
                      <w:ind w:left="0" w:right="-19" w:firstLine="0"/>
                      <w:jc w:val="left"/>
                      <w:rPr>
                        <w:sz w:val="18"/>
                      </w:rPr>
                    </w:pPr>
                    <w:r>
                      <w:rPr>
                        <w:color w:val="585858"/>
                        <w:sz w:val="18"/>
                      </w:rPr>
                      <w:t>1998</w:t>
                    </w:r>
                  </w:p>
                </w:txbxContent>
              </v:textbox>
              <w10:wrap type="none"/>
            </v:shape>
            <v:shape style="position:absolute;left:6001;top:3097;width:361;height:180" type="#_x0000_t202" filled="false" stroked="false">
              <v:textbox inset="0,0,0,0">
                <w:txbxContent>
                  <w:p>
                    <w:pPr>
                      <w:spacing w:line="180" w:lineRule="exact" w:before="0"/>
                      <w:ind w:left="0" w:right="-19" w:firstLine="0"/>
                      <w:jc w:val="left"/>
                      <w:rPr>
                        <w:sz w:val="18"/>
                      </w:rPr>
                    </w:pPr>
                    <w:r>
                      <w:rPr>
                        <w:color w:val="585858"/>
                        <w:sz w:val="18"/>
                      </w:rPr>
                      <w:t>2003</w:t>
                    </w:r>
                  </w:p>
                </w:txbxContent>
              </v:textbox>
              <w10:wrap type="none"/>
            </v:shape>
            <v:shape style="position:absolute;left:7031;top:3097;width:361;height:180" type="#_x0000_t202" filled="false" stroked="false">
              <v:textbox inset="0,0,0,0">
                <w:txbxContent>
                  <w:p>
                    <w:pPr>
                      <w:spacing w:line="180" w:lineRule="exact" w:before="0"/>
                      <w:ind w:left="0" w:right="-19" w:firstLine="0"/>
                      <w:jc w:val="left"/>
                      <w:rPr>
                        <w:sz w:val="18"/>
                      </w:rPr>
                    </w:pPr>
                    <w:r>
                      <w:rPr>
                        <w:color w:val="585858"/>
                        <w:sz w:val="18"/>
                      </w:rPr>
                      <w:t>2008</w:t>
                    </w:r>
                  </w:p>
                </w:txbxContent>
              </v:textbox>
              <w10:wrap type="none"/>
            </v:shape>
          </v:group>
        </w:pict>
      </w:r>
      <w:r>
        <w:rPr>
          <w:sz w:val="20"/>
        </w:rPr>
      </w:r>
    </w:p>
    <w:p>
      <w:pPr>
        <w:spacing w:before="119"/>
        <w:ind w:left="332" w:right="333" w:firstLine="0"/>
        <w:jc w:val="center"/>
        <w:rPr>
          <w:sz w:val="18"/>
        </w:rPr>
      </w:pPr>
      <w:r>
        <w:rPr>
          <w:sz w:val="18"/>
        </w:rPr>
        <w:t>Fuente: Elaboración propia con base en datos de los Censo Económico de INEGI (varios años).</w:t>
      </w:r>
    </w:p>
    <w:p>
      <w:pPr>
        <w:pStyle w:val="BodyText"/>
        <w:rPr>
          <w:sz w:val="18"/>
        </w:rPr>
      </w:pPr>
    </w:p>
    <w:p>
      <w:pPr>
        <w:pStyle w:val="BodyText"/>
        <w:spacing w:line="360" w:lineRule="auto" w:before="120"/>
        <w:ind w:left="122" w:right="114"/>
        <w:jc w:val="both"/>
      </w:pPr>
      <w:r>
        <w:rPr/>
        <w:t>En contraste, para la producción bruta total</w:t>
      </w:r>
      <w:r>
        <w:rPr>
          <w:position w:val="9"/>
          <w:sz w:val="16"/>
        </w:rPr>
        <w:t>10 </w:t>
      </w:r>
      <w:r>
        <w:rPr/>
        <w:t>(PBT), tenemos que dicha variable sí tiene una participación significativa dentro del total de las manufacturas, y que además ha ido creciendo con el paso del tiempo; en promedio representó el 13.7% del total de la PBT de la industria</w:t>
      </w:r>
      <w:r>
        <w:rPr>
          <w:spacing w:val="-7"/>
        </w:rPr>
        <w:t> </w:t>
      </w:r>
      <w:r>
        <w:rPr/>
        <w:t>manufacturera</w:t>
      </w:r>
      <w:r>
        <w:rPr>
          <w:spacing w:val="-5"/>
        </w:rPr>
        <w:t> </w:t>
      </w:r>
      <w:r>
        <w:rPr/>
        <w:t>para</w:t>
      </w:r>
      <w:r>
        <w:rPr>
          <w:spacing w:val="-8"/>
        </w:rPr>
        <w:t> </w:t>
      </w:r>
      <w:r>
        <w:rPr/>
        <w:t>todo</w:t>
      </w:r>
      <w:r>
        <w:rPr>
          <w:spacing w:val="-4"/>
        </w:rPr>
        <w:t> </w:t>
      </w:r>
      <w:r>
        <w:rPr/>
        <w:t>el</w:t>
      </w:r>
      <w:r>
        <w:rPr>
          <w:spacing w:val="-6"/>
        </w:rPr>
        <w:t> </w:t>
      </w:r>
      <w:r>
        <w:rPr/>
        <w:t>periodo</w:t>
      </w:r>
      <w:r>
        <w:rPr>
          <w:spacing w:val="-6"/>
        </w:rPr>
        <w:t> </w:t>
      </w:r>
      <w:r>
        <w:rPr/>
        <w:t>de</w:t>
      </w:r>
      <w:r>
        <w:rPr>
          <w:spacing w:val="-5"/>
        </w:rPr>
        <w:t> </w:t>
      </w:r>
      <w:r>
        <w:rPr/>
        <w:t>análisis,</w:t>
      </w:r>
      <w:r>
        <w:rPr>
          <w:spacing w:val="-6"/>
        </w:rPr>
        <w:t> </w:t>
      </w:r>
      <w:r>
        <w:rPr/>
        <w:t>siendo</w:t>
      </w:r>
      <w:r>
        <w:rPr>
          <w:spacing w:val="-6"/>
        </w:rPr>
        <w:t> </w:t>
      </w:r>
      <w:r>
        <w:rPr/>
        <w:t>el</w:t>
      </w:r>
      <w:r>
        <w:rPr>
          <w:spacing w:val="-6"/>
        </w:rPr>
        <w:t> </w:t>
      </w:r>
      <w:r>
        <w:rPr/>
        <w:t>año</w:t>
      </w:r>
      <w:r>
        <w:rPr>
          <w:spacing w:val="-4"/>
        </w:rPr>
        <w:t> </w:t>
      </w:r>
      <w:r>
        <w:rPr/>
        <w:t>2003</w:t>
      </w:r>
      <w:r>
        <w:rPr>
          <w:spacing w:val="-6"/>
        </w:rPr>
        <w:t> </w:t>
      </w:r>
      <w:r>
        <w:rPr/>
        <w:t>cuando</w:t>
      </w:r>
      <w:r>
        <w:rPr>
          <w:spacing w:val="-6"/>
        </w:rPr>
        <w:t> </w:t>
      </w:r>
      <w:r>
        <w:rPr/>
        <w:t>presentó una mayor participación (véase gráfica</w:t>
      </w:r>
      <w:r>
        <w:rPr>
          <w:spacing w:val="-9"/>
        </w:rPr>
        <w:t> </w:t>
      </w:r>
      <w:r>
        <w:rPr/>
        <w:t>4.3).</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5"/>
        </w:rPr>
      </w:pPr>
      <w:r>
        <w:rPr/>
        <w:pict>
          <v:line style="position:absolute;mso-position-horizontal-relative:page;mso-position-vertical-relative:paragraph;z-index:5152;mso-wrap-distance-left:0;mso-wrap-distance-right:0" from="85.103996pt,11.386391pt" to="229.123996pt,11.386391pt" stroked="true" strokeweight=".599980pt" strokecolor="#000000">
            <w10:wrap type="topAndBottom"/>
          </v:line>
        </w:pict>
      </w:r>
    </w:p>
    <w:p>
      <w:pPr>
        <w:spacing w:before="70"/>
        <w:ind w:left="122" w:right="114" w:firstLine="0"/>
        <w:jc w:val="both"/>
        <w:rPr>
          <w:sz w:val="20"/>
        </w:rPr>
      </w:pPr>
      <w:r>
        <w:rPr>
          <w:position w:val="7"/>
          <w:sz w:val="13"/>
        </w:rPr>
        <w:t>10 </w:t>
      </w:r>
      <w:r>
        <w:rPr>
          <w:sz w:val="20"/>
        </w:rPr>
        <w:t>Es el valor de todos los bienes y servicios emanados de la actividad económica como resultado de las operaciones</w:t>
      </w:r>
      <w:r>
        <w:rPr>
          <w:spacing w:val="-6"/>
          <w:sz w:val="20"/>
        </w:rPr>
        <w:t> </w:t>
      </w:r>
      <w:r>
        <w:rPr>
          <w:sz w:val="20"/>
        </w:rPr>
        <w:t>realizadas</w:t>
      </w:r>
      <w:r>
        <w:rPr>
          <w:spacing w:val="-6"/>
          <w:sz w:val="20"/>
        </w:rPr>
        <w:t> </w:t>
      </w:r>
      <w:r>
        <w:rPr>
          <w:sz w:val="20"/>
        </w:rPr>
        <w:t>por</w:t>
      </w:r>
      <w:r>
        <w:rPr>
          <w:spacing w:val="-5"/>
          <w:sz w:val="20"/>
        </w:rPr>
        <w:t> </w:t>
      </w:r>
      <w:r>
        <w:rPr>
          <w:sz w:val="20"/>
        </w:rPr>
        <w:t>las</w:t>
      </w:r>
      <w:r>
        <w:rPr>
          <w:spacing w:val="-6"/>
          <w:sz w:val="20"/>
        </w:rPr>
        <w:t> </w:t>
      </w:r>
      <w:r>
        <w:rPr>
          <w:sz w:val="20"/>
        </w:rPr>
        <w:t>unidades</w:t>
      </w:r>
      <w:r>
        <w:rPr>
          <w:spacing w:val="-6"/>
          <w:sz w:val="20"/>
        </w:rPr>
        <w:t> </w:t>
      </w:r>
      <w:r>
        <w:rPr>
          <w:sz w:val="20"/>
        </w:rPr>
        <w:t>económicas,</w:t>
      </w:r>
      <w:r>
        <w:rPr>
          <w:spacing w:val="-5"/>
          <w:sz w:val="20"/>
        </w:rPr>
        <w:t> </w:t>
      </w:r>
      <w:r>
        <w:rPr>
          <w:sz w:val="20"/>
        </w:rPr>
        <w:t>incluido</w:t>
      </w:r>
      <w:r>
        <w:rPr>
          <w:spacing w:val="-4"/>
          <w:sz w:val="20"/>
        </w:rPr>
        <w:t> </w:t>
      </w:r>
      <w:r>
        <w:rPr>
          <w:sz w:val="20"/>
        </w:rPr>
        <w:t>el</w:t>
      </w:r>
      <w:r>
        <w:rPr>
          <w:spacing w:val="-3"/>
          <w:sz w:val="20"/>
        </w:rPr>
        <w:t> </w:t>
      </w:r>
      <w:r>
        <w:rPr>
          <w:sz w:val="20"/>
        </w:rPr>
        <w:t>margen</w:t>
      </w:r>
      <w:r>
        <w:rPr>
          <w:spacing w:val="-7"/>
          <w:sz w:val="20"/>
        </w:rPr>
        <w:t> </w:t>
      </w:r>
      <w:r>
        <w:rPr>
          <w:sz w:val="20"/>
        </w:rPr>
        <w:t>de</w:t>
      </w:r>
      <w:r>
        <w:rPr>
          <w:spacing w:val="-5"/>
          <w:sz w:val="20"/>
        </w:rPr>
        <w:t> </w:t>
      </w:r>
      <w:r>
        <w:rPr>
          <w:sz w:val="20"/>
        </w:rPr>
        <w:t>comercialización</w:t>
      </w:r>
      <w:r>
        <w:rPr>
          <w:spacing w:val="-7"/>
          <w:sz w:val="20"/>
        </w:rPr>
        <w:t> </w:t>
      </w:r>
      <w:r>
        <w:rPr>
          <w:sz w:val="20"/>
        </w:rPr>
        <w:t>de</w:t>
      </w:r>
      <w:r>
        <w:rPr>
          <w:spacing w:val="-5"/>
          <w:sz w:val="20"/>
        </w:rPr>
        <w:t> </w:t>
      </w:r>
      <w:r>
        <w:rPr>
          <w:sz w:val="20"/>
        </w:rPr>
        <w:t>las</w:t>
      </w:r>
      <w:r>
        <w:rPr>
          <w:spacing w:val="-4"/>
          <w:sz w:val="20"/>
        </w:rPr>
        <w:t> </w:t>
      </w:r>
      <w:r>
        <w:rPr>
          <w:sz w:val="20"/>
        </w:rPr>
        <w:t>mercancías revendidas de las</w:t>
      </w:r>
      <w:r>
        <w:rPr>
          <w:spacing w:val="-10"/>
          <w:sz w:val="20"/>
        </w:rPr>
        <w:t> </w:t>
      </w:r>
      <w:r>
        <w:rPr>
          <w:sz w:val="20"/>
        </w:rPr>
        <w:t>firmas.</w:t>
      </w:r>
    </w:p>
    <w:p>
      <w:pPr>
        <w:spacing w:after="0"/>
        <w:jc w:val="both"/>
        <w:rPr>
          <w:sz w:val="20"/>
        </w:rPr>
        <w:sectPr>
          <w:pgSz w:w="12240" w:h="15840"/>
          <w:pgMar w:header="0" w:footer="1035" w:top="1360" w:bottom="1220" w:left="1580" w:right="1580"/>
        </w:sectPr>
      </w:pPr>
    </w:p>
    <w:p>
      <w:pPr>
        <w:pStyle w:val="Heading1"/>
        <w:spacing w:line="360" w:lineRule="auto" w:before="55"/>
        <w:ind w:left="329" w:right="333"/>
        <w:jc w:val="center"/>
      </w:pPr>
      <w:r>
        <w:rPr/>
        <w:t>Gráfica 4.3. Producción bruta total: Participación porcentual de la industria automotriz en la industria manufacturera de México, 1980-2008</w:t>
      </w:r>
    </w:p>
    <w:p>
      <w:pPr>
        <w:pStyle w:val="BodyText"/>
        <w:ind w:left="558"/>
        <w:rPr>
          <w:sz w:val="20"/>
        </w:rPr>
      </w:pPr>
      <w:r>
        <w:rPr>
          <w:sz w:val="20"/>
        </w:rPr>
        <w:pict>
          <v:group style="width:397.6pt;height:170.8pt;mso-position-horizontal-relative:char;mso-position-vertical-relative:line" coordorigin="0,0" coordsize="7952,3416">
            <v:shape style="position:absolute;left:605;top:228;width:7118;height:2746" type="#_x0000_t75" stroked="false">
              <v:imagedata r:id="rId56" o:title=""/>
            </v:shape>
            <v:line style="position:absolute" from="7354,2698" to="7724,2698" stroked="true" strokeweight=".72pt" strokecolor="#d9d9d9"/>
            <v:line style="position:absolute" from="6336,2698" to="7078,2698" stroked="true" strokeweight=".72pt" strokecolor="#d9d9d9"/>
            <v:line style="position:absolute" from="5321,2698" to="6060,2698" stroked="true" strokeweight=".72pt" strokecolor="#d9d9d9"/>
            <v:line style="position:absolute" from="4304,2698" to="5043,2698" stroked="true" strokeweight=".72pt" strokecolor="#d9d9d9"/>
            <v:line style="position:absolute" from="3286,2698" to="4025,2698" stroked="true" strokeweight=".72pt" strokecolor="#d9d9d9"/>
            <v:line style="position:absolute" from="2268,2698" to="3010,2698" stroked="true" strokeweight=".72pt" strokecolor="#d9d9d9"/>
            <v:line style="position:absolute" from="1253,2698" to="1992,2698" stroked="true" strokeweight=".72pt" strokecolor="#d9d9d9"/>
            <v:line style="position:absolute" from="605,2698" to="975,2698" stroked="true" strokeweight=".72pt" strokecolor="#d9d9d9"/>
            <v:line style="position:absolute" from="7354,2424" to="7724,2424" stroked="true" strokeweight=".72pt" strokecolor="#d9d9d9"/>
            <v:line style="position:absolute" from="6336,2424" to="7078,2424" stroked="true" strokeweight=".72pt" strokecolor="#d9d9d9"/>
            <v:line style="position:absolute" from="5321,2424" to="6060,2424" stroked="true" strokeweight=".72pt" strokecolor="#d9d9d9"/>
            <v:line style="position:absolute" from="4304,2424" to="5043,2424" stroked="true" strokeweight=".72pt" strokecolor="#d9d9d9"/>
            <v:line style="position:absolute" from="3286,2424" to="4025,2424" stroked="true" strokeweight=".72pt" strokecolor="#d9d9d9"/>
            <v:line style="position:absolute" from="2268,2424" to="3010,2424" stroked="true" strokeweight=".72pt" strokecolor="#d9d9d9"/>
            <v:line style="position:absolute" from="1253,2424" to="1992,2424" stroked="true" strokeweight=".72pt" strokecolor="#d9d9d9"/>
            <v:line style="position:absolute" from="605,2424" to="975,2424" stroked="true" strokeweight=".72pt" strokecolor="#d9d9d9"/>
            <v:line style="position:absolute" from="7354,2151" to="7724,2151" stroked="true" strokeweight=".72pt" strokecolor="#d9d9d9"/>
            <v:line style="position:absolute" from="6336,2151" to="7078,2151" stroked="true" strokeweight=".72pt" strokecolor="#d9d9d9"/>
            <v:line style="position:absolute" from="5321,2151" to="6060,2151" stroked="true" strokeweight=".72pt" strokecolor="#d9d9d9"/>
            <v:line style="position:absolute" from="4304,2151" to="5043,2151" stroked="true" strokeweight=".72pt" strokecolor="#d9d9d9"/>
            <v:line style="position:absolute" from="3286,2151" to="4025,2151" stroked="true" strokeweight=".72pt" strokecolor="#d9d9d9"/>
            <v:line style="position:absolute" from="2268,2151" to="3010,2151" stroked="true" strokeweight=".72pt" strokecolor="#d9d9d9"/>
            <v:line style="position:absolute" from="1253,2151" to="1992,2151" stroked="true" strokeweight=".72pt" strokecolor="#d9d9d9"/>
            <v:line style="position:absolute" from="605,2151" to="975,2151" stroked="true" strokeweight=".72pt" strokecolor="#d9d9d9"/>
            <v:line style="position:absolute" from="7354,1875" to="7724,1875" stroked="true" strokeweight=".72pt" strokecolor="#d9d9d9"/>
            <v:line style="position:absolute" from="6336,1875" to="7078,1875" stroked="true" strokeweight=".72pt" strokecolor="#d9d9d9"/>
            <v:line style="position:absolute" from="5321,1875" to="6060,1875" stroked="true" strokeweight=".72pt" strokecolor="#d9d9d9"/>
            <v:line style="position:absolute" from="4304,1875" to="5043,1875" stroked="true" strokeweight=".72pt" strokecolor="#d9d9d9"/>
            <v:line style="position:absolute" from="3286,1875" to="4025,1875" stroked="true" strokeweight=".72pt" strokecolor="#d9d9d9"/>
            <v:line style="position:absolute" from="2268,1875" to="3010,1875" stroked="true" strokeweight=".72pt" strokecolor="#d9d9d9"/>
            <v:line style="position:absolute" from="1253,1875" to="1992,1875" stroked="true" strokeweight=".72pt" strokecolor="#d9d9d9"/>
            <v:line style="position:absolute" from="605,1875" to="975,1875" stroked="true" strokeweight=".72pt" strokecolor="#d9d9d9"/>
            <v:line style="position:absolute" from="7354,1601" to="7724,1601" stroked="true" strokeweight=".72pt" strokecolor="#d9d9d9"/>
            <v:line style="position:absolute" from="6336,1601" to="7078,1601" stroked="true" strokeweight=".72pt" strokecolor="#d9d9d9"/>
            <v:line style="position:absolute" from="5321,1601" to="6060,1601" stroked="true" strokeweight=".72pt" strokecolor="#d9d9d9"/>
            <v:line style="position:absolute" from="4304,1601" to="5043,1601" stroked="true" strokeweight=".72pt" strokecolor="#d9d9d9"/>
            <v:line style="position:absolute" from="3286,1601" to="4025,1601" stroked="true" strokeweight=".72pt" strokecolor="#d9d9d9"/>
            <v:line style="position:absolute" from="2268,1601" to="3010,1601" stroked="true" strokeweight=".72pt" strokecolor="#d9d9d9"/>
            <v:line style="position:absolute" from="605,1601" to="1992,1601" stroked="true" strokeweight=".72pt" strokecolor="#d9d9d9"/>
            <v:line style="position:absolute" from="7354,1328" to="7724,1328" stroked="true" strokeweight=".72pt" strokecolor="#d9d9d9"/>
            <v:line style="position:absolute" from="6336,1328" to="7078,1328" stroked="true" strokeweight=".72pt" strokecolor="#d9d9d9"/>
            <v:line style="position:absolute" from="5321,1328" to="6060,1328" stroked="true" strokeweight=".72pt" strokecolor="#d9d9d9"/>
            <v:line style="position:absolute" from="4304,1328" to="5043,1328" stroked="true" strokeweight=".72pt" strokecolor="#d9d9d9"/>
            <v:line style="position:absolute" from="3286,1328" to="4025,1328" stroked="true" strokeweight=".72pt" strokecolor="#d9d9d9"/>
            <v:line style="position:absolute" from="605,1328" to="3010,1328" stroked="true" strokeweight=".72pt" strokecolor="#d9d9d9"/>
            <v:line style="position:absolute" from="7354,1052" to="7724,1052" stroked="true" strokeweight=".72pt" strokecolor="#d9d9d9"/>
            <v:line style="position:absolute" from="6336,1052" to="7078,1052" stroked="true" strokeweight=".72pt" strokecolor="#d9d9d9"/>
            <v:line style="position:absolute" from="5321,1052" to="6060,1052" stroked="true" strokeweight=".72pt" strokecolor="#d9d9d9"/>
            <v:line style="position:absolute" from="605,1052" to="5043,1052" stroked="true" strokeweight=".72pt" strokecolor="#d9d9d9"/>
            <v:line style="position:absolute" from="6336,778" to="7724,778" stroked="true" strokeweight=".72pt" strokecolor="#d9d9d9"/>
            <v:line style="position:absolute" from="5321,778" to="6060,778" stroked="true" strokeweight=".72pt" strokecolor="#d9d9d9"/>
            <v:line style="position:absolute" from="605,778" to="5043,778" stroked="true" strokeweight=".72pt" strokecolor="#d9d9d9"/>
            <v:line style="position:absolute" from="605,502" to="7723,502" stroked="true" strokeweight=".72pt" strokecolor="#d9d9d9"/>
            <v:line style="position:absolute" from="605,228" to="7723,228" stroked="true" strokeweight=".72pt" strokecolor="#d9d9d9"/>
            <v:line style="position:absolute" from="605,228" to="605,2974" stroked="true" strokeweight=".72pt" strokecolor="#d9d9d9"/>
            <v:line style="position:absolute" from="1623,228" to="1623,2974" stroked="true" strokeweight=".72pt" strokecolor="#d9d9d9"/>
            <v:line style="position:absolute" from="2638,228" to="2638,2974" stroked="true" strokeweight=".72pt" strokecolor="#d9d9d9"/>
            <v:line style="position:absolute" from="3655,228" to="3655,2974" stroked="true" strokeweight=".72pt" strokecolor="#d9d9d9"/>
            <v:line style="position:absolute" from="4673,228" to="4673,2974" stroked="true" strokeweight=".72pt" strokecolor="#d9d9d9"/>
            <v:line style="position:absolute" from="5691,228" to="5691,2974" stroked="true" strokeweight=".72pt" strokecolor="#d9d9d9"/>
            <v:line style="position:absolute" from="6706,228" to="6706,2974" stroked="true" strokeweight=".72pt" strokecolor="#d9d9d9"/>
            <v:line style="position:absolute" from="7723,228" to="7723,2974" stroked="true" strokeweight=".72pt" strokecolor="#d9d9d9"/>
            <v:rect style="position:absolute;left:975;top:1671;width:278;height:1303" filled="true" fillcolor="#539e39" stroked="false">
              <v:fill type="solid"/>
            </v:rect>
            <v:rect style="position:absolute;left:975;top:1671;width:278;height:1303" filled="false" stroked="true" strokeweight=".72pt" strokecolor="#539e39"/>
            <v:rect style="position:absolute;left:1992;top:1424;width:276;height:1550" filled="true" fillcolor="#539e39" stroked="false">
              <v:fill type="solid"/>
            </v:rect>
            <v:rect style="position:absolute;left:1992;top:1424;width:276;height:1550" filled="false" stroked="true" strokeweight=".72pt" strokecolor="#539e39"/>
            <v:rect style="position:absolute;left:3010;top:1296;width:276;height:1678" filled="true" fillcolor="#539e39" stroked="false">
              <v:fill type="solid"/>
            </v:rect>
            <v:rect style="position:absolute;left:3010;top:1296;width:276;height:1678" filled="false" stroked="true" strokeweight=".72pt" strokecolor="#539e39"/>
            <v:rect style="position:absolute;left:4025;top:1131;width:278;height:1843" filled="true" fillcolor="#539e39" stroked="false">
              <v:fill type="solid"/>
            </v:rect>
            <v:rect style="position:absolute;left:4025;top:1131;width:278;height:1843" filled="false" stroked="true" strokeweight=".72pt" strokecolor="#539e39"/>
            <v:rect style="position:absolute;left:5043;top:732;width:278;height:2242" filled="true" fillcolor="#539e39" stroked="false">
              <v:fill type="solid"/>
            </v:rect>
            <v:rect style="position:absolute;left:5043;top:732;width:278;height:2242" filled="false" stroked="true" strokeweight=".72pt" strokecolor="#539e39"/>
            <v:rect style="position:absolute;left:6060;top:560;width:276;height:2414" filled="true" fillcolor="#539e39" stroked="false">
              <v:fill type="solid"/>
            </v:rect>
            <v:rect style="position:absolute;left:6060;top:560;width:276;height:2414" filled="false" stroked="true" strokeweight=".72pt" strokecolor="#539e39"/>
            <v:rect style="position:absolute;left:7078;top:855;width:276;height:2119" filled="true" fillcolor="#539e39" stroked="false">
              <v:fill type="solid"/>
            </v:rect>
            <v:rect style="position:absolute;left:7078;top:855;width:276;height:2119" filled="false" stroked="true" strokeweight=".72pt" strokecolor="#539e39"/>
            <v:line style="position:absolute" from="605,2974" to="7723,2974" stroked="true" strokeweight=".72pt" strokecolor="#d9d9d9"/>
            <v:rect style="position:absolute;left:8;top:8;width:7937;height:3401" filled="false" stroked="true" strokeweight=".72pt" strokecolor="#d9d9d9"/>
            <v:shape style="position:absolute;left:138;top:141;width:316;height:2925" type="#_x0000_t202" filled="false" stroked="false">
              <v:textbox inset="0,0,0,0">
                <w:txbxContent>
                  <w:p>
                    <w:pPr>
                      <w:spacing w:line="184" w:lineRule="exact" w:before="0"/>
                      <w:ind w:left="0" w:right="-19" w:firstLine="0"/>
                      <w:jc w:val="left"/>
                      <w:rPr>
                        <w:sz w:val="18"/>
                      </w:rPr>
                    </w:pPr>
                    <w:r>
                      <w:rPr>
                        <w:color w:val="585858"/>
                        <w:sz w:val="18"/>
                      </w:rPr>
                      <w:t>20.0</w:t>
                    </w:r>
                  </w:p>
                  <w:p>
                    <w:pPr>
                      <w:spacing w:before="67"/>
                      <w:ind w:left="0" w:right="-19" w:firstLine="0"/>
                      <w:jc w:val="left"/>
                      <w:rPr>
                        <w:sz w:val="18"/>
                      </w:rPr>
                    </w:pPr>
                    <w:r>
                      <w:rPr>
                        <w:color w:val="585858"/>
                        <w:sz w:val="18"/>
                      </w:rPr>
                      <w:t>18.0</w:t>
                    </w:r>
                  </w:p>
                  <w:p>
                    <w:pPr>
                      <w:spacing w:before="67"/>
                      <w:ind w:left="0" w:right="-19" w:firstLine="0"/>
                      <w:jc w:val="left"/>
                      <w:rPr>
                        <w:sz w:val="18"/>
                      </w:rPr>
                    </w:pPr>
                    <w:r>
                      <w:rPr>
                        <w:color w:val="585858"/>
                        <w:sz w:val="18"/>
                      </w:rPr>
                      <w:t>16.0</w:t>
                    </w:r>
                  </w:p>
                  <w:p>
                    <w:pPr>
                      <w:spacing w:before="67"/>
                      <w:ind w:left="0" w:right="-19" w:firstLine="0"/>
                      <w:jc w:val="left"/>
                      <w:rPr>
                        <w:sz w:val="18"/>
                      </w:rPr>
                    </w:pPr>
                    <w:r>
                      <w:rPr>
                        <w:color w:val="585858"/>
                        <w:sz w:val="18"/>
                      </w:rPr>
                      <w:t>14.0</w:t>
                    </w:r>
                  </w:p>
                  <w:p>
                    <w:pPr>
                      <w:spacing w:before="67"/>
                      <w:ind w:left="0" w:right="-19" w:firstLine="0"/>
                      <w:jc w:val="left"/>
                      <w:rPr>
                        <w:sz w:val="18"/>
                      </w:rPr>
                    </w:pPr>
                    <w:r>
                      <w:rPr>
                        <w:color w:val="585858"/>
                        <w:sz w:val="18"/>
                      </w:rPr>
                      <w:t>12.0</w:t>
                    </w:r>
                  </w:p>
                  <w:p>
                    <w:pPr>
                      <w:spacing w:before="67"/>
                      <w:ind w:left="0" w:right="-19" w:firstLine="0"/>
                      <w:jc w:val="left"/>
                      <w:rPr>
                        <w:sz w:val="18"/>
                      </w:rPr>
                    </w:pPr>
                    <w:r>
                      <w:rPr>
                        <w:color w:val="585858"/>
                        <w:sz w:val="18"/>
                      </w:rPr>
                      <w:t>10.0</w:t>
                    </w:r>
                  </w:p>
                  <w:p>
                    <w:pPr>
                      <w:spacing w:before="67"/>
                      <w:ind w:left="89" w:right="-18" w:firstLine="0"/>
                      <w:jc w:val="left"/>
                      <w:rPr>
                        <w:sz w:val="18"/>
                      </w:rPr>
                    </w:pPr>
                    <w:r>
                      <w:rPr>
                        <w:color w:val="585858"/>
                        <w:sz w:val="18"/>
                      </w:rPr>
                      <w:t>8.0</w:t>
                    </w:r>
                  </w:p>
                  <w:p>
                    <w:pPr>
                      <w:spacing w:before="67"/>
                      <w:ind w:left="89" w:right="-18" w:firstLine="0"/>
                      <w:jc w:val="left"/>
                      <w:rPr>
                        <w:sz w:val="18"/>
                      </w:rPr>
                    </w:pPr>
                    <w:r>
                      <w:rPr>
                        <w:color w:val="585858"/>
                        <w:sz w:val="18"/>
                      </w:rPr>
                      <w:t>6.0</w:t>
                    </w:r>
                  </w:p>
                  <w:p>
                    <w:pPr>
                      <w:spacing w:before="67"/>
                      <w:ind w:left="89" w:right="-18" w:firstLine="0"/>
                      <w:jc w:val="left"/>
                      <w:rPr>
                        <w:sz w:val="18"/>
                      </w:rPr>
                    </w:pPr>
                    <w:r>
                      <w:rPr>
                        <w:color w:val="585858"/>
                        <w:sz w:val="18"/>
                      </w:rPr>
                      <w:t>4.0</w:t>
                    </w:r>
                  </w:p>
                  <w:p>
                    <w:pPr>
                      <w:spacing w:before="67"/>
                      <w:ind w:left="89" w:right="-18" w:firstLine="0"/>
                      <w:jc w:val="left"/>
                      <w:rPr>
                        <w:sz w:val="18"/>
                      </w:rPr>
                    </w:pPr>
                    <w:r>
                      <w:rPr>
                        <w:color w:val="585858"/>
                        <w:sz w:val="18"/>
                      </w:rPr>
                      <w:t>2.0</w:t>
                    </w:r>
                  </w:p>
                  <w:p>
                    <w:pPr>
                      <w:spacing w:line="203" w:lineRule="exact" w:before="67"/>
                      <w:ind w:left="89" w:right="-18" w:firstLine="0"/>
                      <w:jc w:val="left"/>
                      <w:rPr>
                        <w:sz w:val="18"/>
                      </w:rPr>
                    </w:pPr>
                    <w:r>
                      <w:rPr>
                        <w:color w:val="585858"/>
                        <w:sz w:val="18"/>
                      </w:rPr>
                      <w:t>0.0</w:t>
                    </w:r>
                  </w:p>
                </w:txbxContent>
              </v:textbox>
              <w10:wrap type="none"/>
            </v:shape>
            <v:shape style="position:absolute;left:6040;top:285;width:318;height:180" type="#_x0000_t202" filled="false" stroked="false">
              <v:textbox inset="0,0,0,0">
                <w:txbxContent>
                  <w:p>
                    <w:pPr>
                      <w:spacing w:line="180" w:lineRule="exact" w:before="0"/>
                      <w:ind w:left="0" w:right="-17" w:firstLine="0"/>
                      <w:jc w:val="left"/>
                      <w:rPr>
                        <w:sz w:val="18"/>
                      </w:rPr>
                    </w:pPr>
                    <w:r>
                      <w:rPr>
                        <w:color w:val="404040"/>
                        <w:sz w:val="18"/>
                      </w:rPr>
                      <w:t>17.6</w:t>
                    </w:r>
                  </w:p>
                </w:txbxContent>
              </v:textbox>
              <w10:wrap type="none"/>
            </v:shape>
            <v:shape style="position:absolute;left:5023;top:459;width:318;height:180" type="#_x0000_t202" filled="false" stroked="false">
              <v:textbox inset="0,0,0,0">
                <w:txbxContent>
                  <w:p>
                    <w:pPr>
                      <w:spacing w:line="180" w:lineRule="exact" w:before="0"/>
                      <w:ind w:left="0" w:right="-17" w:firstLine="0"/>
                      <w:jc w:val="left"/>
                      <w:rPr>
                        <w:sz w:val="18"/>
                      </w:rPr>
                    </w:pPr>
                    <w:r>
                      <w:rPr>
                        <w:color w:val="404040"/>
                        <w:sz w:val="18"/>
                      </w:rPr>
                      <w:t>16.3</w:t>
                    </w:r>
                  </w:p>
                </w:txbxContent>
              </v:textbox>
              <w10:wrap type="none"/>
            </v:shape>
            <v:shape style="position:absolute;left:7057;top:581;width:318;height:180" type="#_x0000_t202" filled="false" stroked="false">
              <v:textbox inset="0,0,0,0">
                <w:txbxContent>
                  <w:p>
                    <w:pPr>
                      <w:spacing w:line="180" w:lineRule="exact" w:before="0"/>
                      <w:ind w:left="0" w:right="-17" w:firstLine="0"/>
                      <w:jc w:val="left"/>
                      <w:rPr>
                        <w:sz w:val="18"/>
                      </w:rPr>
                    </w:pPr>
                    <w:r>
                      <w:rPr>
                        <w:color w:val="404040"/>
                        <w:sz w:val="18"/>
                      </w:rPr>
                      <w:t>15.4</w:t>
                    </w:r>
                  </w:p>
                </w:txbxContent>
              </v:textbox>
              <w10:wrap type="none"/>
            </v:shape>
            <v:shape style="position:absolute;left:4005;top:858;width:319;height:180" type="#_x0000_t202" filled="false" stroked="false">
              <v:textbox inset="0,0,0,0">
                <w:txbxContent>
                  <w:p>
                    <w:pPr>
                      <w:spacing w:line="180" w:lineRule="exact" w:before="0"/>
                      <w:ind w:left="0" w:right="-16" w:firstLine="0"/>
                      <w:jc w:val="left"/>
                      <w:rPr>
                        <w:sz w:val="18"/>
                      </w:rPr>
                    </w:pPr>
                    <w:r>
                      <w:rPr>
                        <w:color w:val="404040"/>
                        <w:sz w:val="18"/>
                      </w:rPr>
                      <w:t>13.4</w:t>
                    </w:r>
                  </w:p>
                </w:txbxContent>
              </v:textbox>
              <w10:wrap type="none"/>
            </v:shape>
            <v:shape style="position:absolute;left:1971;top:1151;width:318;height:180" type="#_x0000_t202" filled="false" stroked="false">
              <v:textbox inset="0,0,0,0">
                <w:txbxContent>
                  <w:p>
                    <w:pPr>
                      <w:spacing w:line="180" w:lineRule="exact" w:before="0"/>
                      <w:ind w:left="0" w:right="-17" w:firstLine="0"/>
                      <w:jc w:val="left"/>
                      <w:rPr>
                        <w:sz w:val="18"/>
                      </w:rPr>
                    </w:pPr>
                    <w:r>
                      <w:rPr>
                        <w:color w:val="404040"/>
                        <w:sz w:val="18"/>
                      </w:rPr>
                      <w:t>11.3</w:t>
                    </w:r>
                  </w:p>
                </w:txbxContent>
              </v:textbox>
              <w10:wrap type="none"/>
            </v:shape>
            <v:shape style="position:absolute;left:2988;top:1022;width:318;height:180" type="#_x0000_t202" filled="false" stroked="false">
              <v:textbox inset="0,0,0,0">
                <w:txbxContent>
                  <w:p>
                    <w:pPr>
                      <w:spacing w:line="180" w:lineRule="exact" w:before="0"/>
                      <w:ind w:left="0" w:right="-17" w:firstLine="0"/>
                      <w:jc w:val="left"/>
                      <w:rPr>
                        <w:sz w:val="18"/>
                      </w:rPr>
                    </w:pPr>
                    <w:r>
                      <w:rPr>
                        <w:color w:val="404040"/>
                        <w:sz w:val="18"/>
                      </w:rPr>
                      <w:t>12.2</w:t>
                    </w:r>
                  </w:p>
                </w:txbxContent>
              </v:textbox>
              <w10:wrap type="none"/>
            </v:shape>
            <v:shape style="position:absolute;left:1000;top:1396;width:227;height:181" type="#_x0000_t202" filled="false" stroked="false">
              <v:textbox inset="0,0,0,0">
                <w:txbxContent>
                  <w:p>
                    <w:pPr>
                      <w:spacing w:line="180" w:lineRule="exact" w:before="0"/>
                      <w:ind w:left="0" w:right="-18" w:firstLine="0"/>
                      <w:jc w:val="left"/>
                      <w:rPr>
                        <w:sz w:val="18"/>
                      </w:rPr>
                    </w:pPr>
                    <w:r>
                      <w:rPr>
                        <w:color w:val="404040"/>
                        <w:sz w:val="18"/>
                      </w:rPr>
                      <w:t>9.5</w:t>
                    </w:r>
                  </w:p>
                </w:txbxContent>
              </v:textbox>
              <w10:wrap type="none"/>
            </v:shape>
            <v:shape style="position:absolute;left:934;top:3097;width:6465;height:180" type="#_x0000_t202" filled="false" stroked="false">
              <v:textbox inset="0,0,0,0">
                <w:txbxContent>
                  <w:p>
                    <w:pPr>
                      <w:tabs>
                        <w:tab w:pos="1017" w:val="left" w:leader="none"/>
                        <w:tab w:pos="2034" w:val="left" w:leader="none"/>
                        <w:tab w:pos="3051" w:val="left" w:leader="none"/>
                        <w:tab w:pos="4068" w:val="left" w:leader="none"/>
                        <w:tab w:pos="5085" w:val="left" w:leader="none"/>
                        <w:tab w:pos="6102" w:val="left" w:leader="none"/>
                      </w:tabs>
                      <w:spacing w:line="180" w:lineRule="exact" w:before="0"/>
                      <w:ind w:left="0" w:right="0" w:firstLine="0"/>
                      <w:jc w:val="left"/>
                      <w:rPr>
                        <w:sz w:val="18"/>
                      </w:rPr>
                    </w:pPr>
                    <w:r>
                      <w:rPr>
                        <w:color w:val="585858"/>
                        <w:sz w:val="18"/>
                      </w:rPr>
                      <w:t>1980</w:t>
                      <w:tab/>
                      <w:t>1985</w:t>
                      <w:tab/>
                      <w:t>1988</w:t>
                      <w:tab/>
                      <w:t>1993</w:t>
                      <w:tab/>
                      <w:t>1998</w:t>
                      <w:tab/>
                      <w:t>2003</w:t>
                      <w:tab/>
                      <w:t>2008</w:t>
                    </w:r>
                  </w:p>
                </w:txbxContent>
              </v:textbox>
              <w10:wrap type="none"/>
            </v:shape>
          </v:group>
        </w:pict>
      </w:r>
      <w:r>
        <w:rPr>
          <w:sz w:val="20"/>
        </w:rPr>
      </w:r>
    </w:p>
    <w:p>
      <w:pPr>
        <w:spacing w:before="119"/>
        <w:ind w:left="333" w:right="331" w:firstLine="0"/>
        <w:jc w:val="center"/>
        <w:rPr>
          <w:sz w:val="18"/>
        </w:rPr>
      </w:pPr>
      <w:r>
        <w:rPr>
          <w:sz w:val="18"/>
        </w:rPr>
        <w:t>Fuente: Elaboración propia con base en datos de los Censo Económico de INEGI (varios años).</w:t>
      </w:r>
    </w:p>
    <w:p>
      <w:pPr>
        <w:pStyle w:val="BodyText"/>
        <w:rPr>
          <w:sz w:val="18"/>
        </w:rPr>
      </w:pPr>
    </w:p>
    <w:p>
      <w:pPr>
        <w:pStyle w:val="BodyText"/>
        <w:spacing w:line="360" w:lineRule="auto" w:before="119"/>
        <w:ind w:left="122" w:right="114"/>
        <w:jc w:val="both"/>
      </w:pPr>
      <w:r>
        <w:rPr/>
        <w:t>Una</w:t>
      </w:r>
      <w:r>
        <w:rPr>
          <w:spacing w:val="-8"/>
        </w:rPr>
        <w:t> </w:t>
      </w:r>
      <w:r>
        <w:rPr/>
        <w:t>situación</w:t>
      </w:r>
      <w:r>
        <w:rPr>
          <w:spacing w:val="-6"/>
        </w:rPr>
        <w:t> </w:t>
      </w:r>
      <w:r>
        <w:rPr/>
        <w:t>similar</w:t>
      </w:r>
      <w:r>
        <w:rPr>
          <w:spacing w:val="-7"/>
        </w:rPr>
        <w:t> </w:t>
      </w:r>
      <w:r>
        <w:rPr/>
        <w:t>se</w:t>
      </w:r>
      <w:r>
        <w:rPr>
          <w:spacing w:val="-5"/>
        </w:rPr>
        <w:t> </w:t>
      </w:r>
      <w:r>
        <w:rPr/>
        <w:t>encuentra</w:t>
      </w:r>
      <w:r>
        <w:rPr>
          <w:spacing w:val="-7"/>
        </w:rPr>
        <w:t> </w:t>
      </w:r>
      <w:r>
        <w:rPr/>
        <w:t>para</w:t>
      </w:r>
      <w:r>
        <w:rPr>
          <w:spacing w:val="-7"/>
        </w:rPr>
        <w:t> </w:t>
      </w:r>
      <w:r>
        <w:rPr/>
        <w:t>la</w:t>
      </w:r>
      <w:r>
        <w:rPr>
          <w:spacing w:val="-7"/>
        </w:rPr>
        <w:t> </w:t>
      </w:r>
      <w:r>
        <w:rPr/>
        <w:t>variable</w:t>
      </w:r>
      <w:r>
        <w:rPr>
          <w:spacing w:val="-7"/>
        </w:rPr>
        <w:t> </w:t>
      </w:r>
      <w:r>
        <w:rPr/>
        <w:t>de</w:t>
      </w:r>
      <w:r>
        <w:rPr>
          <w:spacing w:val="-7"/>
        </w:rPr>
        <w:t> </w:t>
      </w:r>
      <w:r>
        <w:rPr/>
        <w:t>valor</w:t>
      </w:r>
      <w:r>
        <w:rPr>
          <w:spacing w:val="-7"/>
        </w:rPr>
        <w:t> </w:t>
      </w:r>
      <w:r>
        <w:rPr/>
        <w:t>agregado</w:t>
      </w:r>
      <w:r>
        <w:rPr>
          <w:spacing w:val="-4"/>
        </w:rPr>
        <w:t> </w:t>
      </w:r>
      <w:r>
        <w:rPr/>
        <w:t>censal</w:t>
      </w:r>
      <w:r>
        <w:rPr>
          <w:spacing w:val="-6"/>
        </w:rPr>
        <w:t> </w:t>
      </w:r>
      <w:r>
        <w:rPr/>
        <w:t>bruto</w:t>
      </w:r>
      <w:r>
        <w:rPr>
          <w:position w:val="9"/>
          <w:sz w:val="16"/>
        </w:rPr>
        <w:t>11</w:t>
      </w:r>
      <w:r>
        <w:rPr>
          <w:spacing w:val="15"/>
          <w:position w:val="9"/>
          <w:sz w:val="16"/>
        </w:rPr>
        <w:t> </w:t>
      </w:r>
      <w:r>
        <w:rPr/>
        <w:t>(VACB) pues</w:t>
      </w:r>
      <w:r>
        <w:rPr>
          <w:spacing w:val="-4"/>
        </w:rPr>
        <w:t> </w:t>
      </w:r>
      <w:r>
        <w:rPr/>
        <w:t>de</w:t>
      </w:r>
      <w:r>
        <w:rPr>
          <w:spacing w:val="-5"/>
        </w:rPr>
        <w:t> </w:t>
      </w:r>
      <w:r>
        <w:rPr/>
        <w:t>1980</w:t>
      </w:r>
      <w:r>
        <w:rPr>
          <w:spacing w:val="-4"/>
        </w:rPr>
        <w:t> </w:t>
      </w:r>
      <w:r>
        <w:rPr/>
        <w:t>a</w:t>
      </w:r>
      <w:r>
        <w:rPr>
          <w:spacing w:val="-5"/>
        </w:rPr>
        <w:t> </w:t>
      </w:r>
      <w:r>
        <w:rPr/>
        <w:t>2008,</w:t>
      </w:r>
      <w:r>
        <w:rPr>
          <w:spacing w:val="-4"/>
        </w:rPr>
        <w:t> </w:t>
      </w:r>
      <w:r>
        <w:rPr/>
        <w:t>dicha</w:t>
      </w:r>
      <w:r>
        <w:rPr>
          <w:spacing w:val="-5"/>
        </w:rPr>
        <w:t> </w:t>
      </w:r>
      <w:r>
        <w:rPr/>
        <w:t>variable</w:t>
      </w:r>
      <w:r>
        <w:rPr>
          <w:spacing w:val="-2"/>
        </w:rPr>
        <w:t> </w:t>
      </w:r>
      <w:r>
        <w:rPr/>
        <w:t>para</w:t>
      </w:r>
      <w:r>
        <w:rPr>
          <w:spacing w:val="-5"/>
        </w:rPr>
        <w:t> </w:t>
      </w:r>
      <w:r>
        <w:rPr/>
        <w:t>el</w:t>
      </w:r>
      <w:r>
        <w:rPr>
          <w:spacing w:val="-3"/>
        </w:rPr>
        <w:t> </w:t>
      </w:r>
      <w:r>
        <w:rPr/>
        <w:t>sector</w:t>
      </w:r>
      <w:r>
        <w:rPr>
          <w:spacing w:val="-2"/>
        </w:rPr>
        <w:t> </w:t>
      </w:r>
      <w:r>
        <w:rPr/>
        <w:t>automotriz</w:t>
      </w:r>
      <w:r>
        <w:rPr>
          <w:spacing w:val="-2"/>
        </w:rPr>
        <w:t> </w:t>
      </w:r>
      <w:r>
        <w:rPr/>
        <w:t>promedió</w:t>
      </w:r>
      <w:r>
        <w:rPr>
          <w:spacing w:val="-3"/>
        </w:rPr>
        <w:t> </w:t>
      </w:r>
      <w:r>
        <w:rPr/>
        <w:t>una</w:t>
      </w:r>
      <w:r>
        <w:rPr>
          <w:spacing w:val="-5"/>
        </w:rPr>
        <w:t> </w:t>
      </w:r>
      <w:r>
        <w:rPr/>
        <w:t>participación</w:t>
      </w:r>
      <w:r>
        <w:rPr>
          <w:spacing w:val="-3"/>
        </w:rPr>
        <w:t> </w:t>
      </w:r>
      <w:r>
        <w:rPr/>
        <w:t>de 12.6% dentro del total del VACB de las manufacturas y al igual que la PBT tuvo su mayor participación</w:t>
      </w:r>
      <w:r>
        <w:rPr>
          <w:spacing w:val="-11"/>
        </w:rPr>
        <w:t> </w:t>
      </w:r>
      <w:r>
        <w:rPr/>
        <w:t>en</w:t>
      </w:r>
      <w:r>
        <w:rPr>
          <w:spacing w:val="-13"/>
        </w:rPr>
        <w:t> </w:t>
      </w:r>
      <w:r>
        <w:rPr/>
        <w:t>el</w:t>
      </w:r>
      <w:r>
        <w:rPr>
          <w:spacing w:val="-11"/>
        </w:rPr>
        <w:t> </w:t>
      </w:r>
      <w:r>
        <w:rPr/>
        <w:t>año</w:t>
      </w:r>
      <w:r>
        <w:rPr>
          <w:spacing w:val="-13"/>
        </w:rPr>
        <w:t> </w:t>
      </w:r>
      <w:r>
        <w:rPr/>
        <w:t>2003,</w:t>
      </w:r>
      <w:r>
        <w:rPr>
          <w:spacing w:val="-13"/>
        </w:rPr>
        <w:t> </w:t>
      </w:r>
      <w:r>
        <w:rPr/>
        <w:t>mientras</w:t>
      </w:r>
      <w:r>
        <w:rPr>
          <w:spacing w:val="-13"/>
        </w:rPr>
        <w:t> </w:t>
      </w:r>
      <w:r>
        <w:rPr/>
        <w:t>que</w:t>
      </w:r>
      <w:r>
        <w:rPr>
          <w:spacing w:val="-12"/>
        </w:rPr>
        <w:t> </w:t>
      </w:r>
      <w:r>
        <w:rPr/>
        <w:t>en</w:t>
      </w:r>
      <w:r>
        <w:rPr>
          <w:spacing w:val="-13"/>
        </w:rPr>
        <w:t> </w:t>
      </w:r>
      <w:r>
        <w:rPr/>
        <w:t>el</w:t>
      </w:r>
      <w:r>
        <w:rPr>
          <w:spacing w:val="-13"/>
        </w:rPr>
        <w:t> </w:t>
      </w:r>
      <w:r>
        <w:rPr/>
        <w:t>2008</w:t>
      </w:r>
      <w:r>
        <w:rPr>
          <w:spacing w:val="-13"/>
        </w:rPr>
        <w:t> </w:t>
      </w:r>
      <w:r>
        <w:rPr/>
        <w:t>redujo</w:t>
      </w:r>
      <w:r>
        <w:rPr>
          <w:spacing w:val="-13"/>
        </w:rPr>
        <w:t> </w:t>
      </w:r>
      <w:r>
        <w:rPr/>
        <w:t>su</w:t>
      </w:r>
      <w:r>
        <w:rPr>
          <w:spacing w:val="-13"/>
        </w:rPr>
        <w:t> </w:t>
      </w:r>
      <w:r>
        <w:rPr/>
        <w:t>participación</w:t>
      </w:r>
      <w:r>
        <w:rPr>
          <w:spacing w:val="-13"/>
        </w:rPr>
        <w:t> </w:t>
      </w:r>
      <w:r>
        <w:rPr/>
        <w:t>en</w:t>
      </w:r>
      <w:r>
        <w:rPr>
          <w:spacing w:val="-13"/>
        </w:rPr>
        <w:t> </w:t>
      </w:r>
      <w:r>
        <w:rPr/>
        <w:t>2.4%,</w:t>
      </w:r>
      <w:r>
        <w:rPr>
          <w:spacing w:val="-13"/>
        </w:rPr>
        <w:t> </w:t>
      </w:r>
      <w:r>
        <w:rPr/>
        <w:t>debido a la crisis económica mundial (véase gráfica</w:t>
      </w:r>
      <w:r>
        <w:rPr>
          <w:spacing w:val="-9"/>
        </w:rPr>
        <w:t> </w:t>
      </w:r>
      <w:r>
        <w:rPr/>
        <w:t>4.4).</w:t>
      </w:r>
    </w:p>
    <w:p>
      <w:pPr>
        <w:pStyle w:val="BodyText"/>
        <w:spacing w:before="9"/>
        <w:rPr>
          <w:sz w:val="21"/>
        </w:rPr>
      </w:pPr>
    </w:p>
    <w:p>
      <w:pPr>
        <w:pStyle w:val="Heading1"/>
        <w:spacing w:line="360" w:lineRule="auto"/>
        <w:ind w:left="333" w:right="332"/>
        <w:jc w:val="center"/>
      </w:pPr>
      <w:r>
        <w:rPr/>
        <w:t>Gráfica 4.4. Valor agregado censal bruto: Participación porcentual de la industria automotriz en la industria manufacturera de México, 1980-2008</w:t>
      </w:r>
    </w:p>
    <w:p>
      <w:pPr>
        <w:pStyle w:val="BodyText"/>
        <w:ind w:left="558"/>
        <w:rPr>
          <w:sz w:val="20"/>
        </w:rPr>
      </w:pPr>
      <w:r>
        <w:rPr>
          <w:sz w:val="20"/>
        </w:rPr>
        <w:pict>
          <v:group style="width:397.6pt;height:170.8pt;mso-position-horizontal-relative:char;mso-position-vertical-relative:line" coordorigin="0,0" coordsize="7952,3416">
            <v:shape style="position:absolute;left:605;top:226;width:7118;height:2746" type="#_x0000_t75" stroked="false">
              <v:imagedata r:id="rId57" o:title=""/>
            </v:shape>
            <v:line style="position:absolute" from="7354,2667" to="7724,2667" stroked="true" strokeweight=".72pt" strokecolor="#d9d9d9"/>
            <v:line style="position:absolute" from="6336,2667" to="7078,2667" stroked="true" strokeweight=".72pt" strokecolor="#d9d9d9"/>
            <v:line style="position:absolute" from="5321,2667" to="6060,2667" stroked="true" strokeweight=".72pt" strokecolor="#d9d9d9"/>
            <v:line style="position:absolute" from="4304,2667" to="5043,2667" stroked="true" strokeweight=".72pt" strokecolor="#d9d9d9"/>
            <v:line style="position:absolute" from="3286,2667" to="4025,2667" stroked="true" strokeweight=".72pt" strokecolor="#d9d9d9"/>
            <v:line style="position:absolute" from="2268,2667" to="3010,2667" stroked="true" strokeweight=".72pt" strokecolor="#d9d9d9"/>
            <v:line style="position:absolute" from="1253,2667" to="1992,2667" stroked="true" strokeweight=".72pt" strokecolor="#d9d9d9"/>
            <v:line style="position:absolute" from="605,2667" to="975,2667" stroked="true" strokeweight=".72pt" strokecolor="#d9d9d9"/>
            <v:line style="position:absolute" from="7354,2362" to="7724,2362" stroked="true" strokeweight=".72pt" strokecolor="#d9d9d9"/>
            <v:line style="position:absolute" from="6336,2362" to="7078,2362" stroked="true" strokeweight=".72pt" strokecolor="#d9d9d9"/>
            <v:line style="position:absolute" from="5321,2362" to="6060,2362" stroked="true" strokeweight=".72pt" strokecolor="#d9d9d9"/>
            <v:line style="position:absolute" from="4304,2362" to="5043,2362" stroked="true" strokeweight=".72pt" strokecolor="#d9d9d9"/>
            <v:line style="position:absolute" from="3286,2362" to="4025,2362" stroked="true" strokeweight=".72pt" strokecolor="#d9d9d9"/>
            <v:line style="position:absolute" from="2268,2362" to="3010,2362" stroked="true" strokeweight=".72pt" strokecolor="#d9d9d9"/>
            <v:line style="position:absolute" from="1253,2362" to="1992,2362" stroked="true" strokeweight=".72pt" strokecolor="#d9d9d9"/>
            <v:line style="position:absolute" from="605,2362" to="975,2362" stroked="true" strokeweight=".72pt" strokecolor="#d9d9d9"/>
            <v:line style="position:absolute" from="7354,2057" to="7724,2057" stroked="true" strokeweight=".72pt" strokecolor="#d9d9d9"/>
            <v:line style="position:absolute" from="6336,2057" to="7078,2057" stroked="true" strokeweight=".72pt" strokecolor="#d9d9d9"/>
            <v:line style="position:absolute" from="5321,2057" to="6060,2057" stroked="true" strokeweight=".72pt" strokecolor="#d9d9d9"/>
            <v:line style="position:absolute" from="4304,2057" to="5043,2057" stroked="true" strokeweight=".72pt" strokecolor="#d9d9d9"/>
            <v:line style="position:absolute" from="3286,2057" to="4025,2057" stroked="true" strokeweight=".72pt" strokecolor="#d9d9d9"/>
            <v:line style="position:absolute" from="2268,2057" to="3010,2057" stroked="true" strokeweight=".72pt" strokecolor="#d9d9d9"/>
            <v:line style="position:absolute" from="1253,2057" to="1992,2057" stroked="true" strokeweight=".72pt" strokecolor="#d9d9d9"/>
            <v:line style="position:absolute" from="605,2057" to="975,2057" stroked="true" strokeweight=".72pt" strokecolor="#d9d9d9"/>
            <v:line style="position:absolute" from="7354,1752" to="7724,1752" stroked="true" strokeweight=".72pt" strokecolor="#d9d9d9"/>
            <v:line style="position:absolute" from="6336,1752" to="7078,1752" stroked="true" strokeweight=".72pt" strokecolor="#d9d9d9"/>
            <v:line style="position:absolute" from="5321,1752" to="6060,1752" stroked="true" strokeweight=".72pt" strokecolor="#d9d9d9"/>
            <v:line style="position:absolute" from="4304,1752" to="5043,1752" stroked="true" strokeweight=".72pt" strokecolor="#d9d9d9"/>
            <v:line style="position:absolute" from="3286,1752" to="4025,1752" stroked="true" strokeweight=".72pt" strokecolor="#d9d9d9"/>
            <v:line style="position:absolute" from="2268,1752" to="3010,1752" stroked="true" strokeweight=".72pt" strokecolor="#d9d9d9"/>
            <v:line style="position:absolute" from="1253,1752" to="1992,1752" stroked="true" strokeweight=".72pt" strokecolor="#d9d9d9"/>
            <v:line style="position:absolute" from="605,1752" to="975,1752" stroked="true" strokeweight=".72pt" strokecolor="#d9d9d9"/>
            <v:line style="position:absolute" from="7354,1447" to="7724,1447" stroked="true" strokeweight=".72pt" strokecolor="#d9d9d9"/>
            <v:line style="position:absolute" from="6336,1447" to="7078,1447" stroked="true" strokeweight=".72pt" strokecolor="#d9d9d9"/>
            <v:line style="position:absolute" from="5321,1447" to="6060,1447" stroked="true" strokeweight=".72pt" strokecolor="#d9d9d9"/>
            <v:line style="position:absolute" from="4304,1447" to="5043,1447" stroked="true" strokeweight=".72pt" strokecolor="#d9d9d9"/>
            <v:line style="position:absolute" from="3286,1447" to="4025,1447" stroked="true" strokeweight=".72pt" strokecolor="#d9d9d9"/>
            <v:line style="position:absolute" from="605,1447" to="3010,1447" stroked="true" strokeweight=".72pt" strokecolor="#d9d9d9"/>
            <v:line style="position:absolute" from="7354,1143" to="7724,1143" stroked="true" strokeweight=".72pt" strokecolor="#d9d9d9"/>
            <v:line style="position:absolute" from="6336,1143" to="7078,1143" stroked="true" strokeweight=".72pt" strokecolor="#d9d9d9"/>
            <v:line style="position:absolute" from="5321,1143" to="6060,1143" stroked="true" strokeweight=".72pt" strokecolor="#d9d9d9"/>
            <v:line style="position:absolute" from="3286,1143" to="5043,1143" stroked="true" strokeweight=".72pt" strokecolor="#d9d9d9"/>
            <v:line style="position:absolute" from="605,1143" to="3010,1143" stroked="true" strokeweight=".72pt" strokecolor="#d9d9d9"/>
            <v:line style="position:absolute" from="7354,836" to="7724,836" stroked="true" strokeweight=".72pt" strokecolor="#d9d9d9"/>
            <v:line style="position:absolute" from="6336,836" to="7078,836" stroked="true" strokeweight=".72pt" strokecolor="#d9d9d9"/>
            <v:line style="position:absolute" from="5321,836" to="6060,836" stroked="true" strokeweight=".72pt" strokecolor="#d9d9d9"/>
            <v:line style="position:absolute" from="605,836" to="5043,836" stroked="true" strokeweight=".72pt" strokecolor="#d9d9d9"/>
            <v:line style="position:absolute" from="6336,531" to="7724,531" stroked="true" strokeweight=".72pt" strokecolor="#d9d9d9"/>
            <v:line style="position:absolute" from="605,531" to="6060,531" stroked="true" strokeweight=".72pt" strokecolor="#d9d9d9"/>
            <v:line style="position:absolute" from="605,226" to="7723,226" stroked="true" strokeweight=".72pt" strokecolor="#d9d9d9"/>
            <v:line style="position:absolute" from="605,226" to="605,2972" stroked="true" strokeweight=".72pt" strokecolor="#d9d9d9"/>
            <v:line style="position:absolute" from="1623,226" to="1623,2972" stroked="true" strokeweight=".72pt" strokecolor="#d9d9d9"/>
            <v:line style="position:absolute" from="2638,226" to="2638,2972" stroked="true" strokeweight=".72pt" strokecolor="#d9d9d9"/>
            <v:line style="position:absolute" from="3655,226" to="3655,2972" stroked="true" strokeweight=".72pt" strokecolor="#d9d9d9"/>
            <v:line style="position:absolute" from="4673,226" to="4673,2972" stroked="true" strokeweight=".72pt" strokecolor="#d9d9d9"/>
            <v:line style="position:absolute" from="5691,226" to="5691,2972" stroked="true" strokeweight=".72pt" strokecolor="#d9d9d9"/>
            <v:line style="position:absolute" from="6706,226" to="6706,2972" stroked="true" strokeweight=".72pt" strokecolor="#d9d9d9"/>
            <v:line style="position:absolute" from="7723,226" to="7723,2972" stroked="true" strokeweight=".72pt" strokecolor="#d9d9d9"/>
            <v:rect style="position:absolute;left:975;top:1527;width:278;height:1445" filled="true" fillcolor="#539e39" stroked="false">
              <v:fill type="solid"/>
            </v:rect>
            <v:rect style="position:absolute;left:1992;top:1594;width:276;height:1378" filled="true" fillcolor="#539e39" stroked="false">
              <v:fill type="solid"/>
            </v:rect>
            <v:rect style="position:absolute;left:3010;top:900;width:276;height:2071" filled="true" fillcolor="#539e39" stroked="false">
              <v:fill type="solid"/>
            </v:rect>
            <v:rect style="position:absolute;left:4025;top:1354;width:278;height:1618" filled="true" fillcolor="#539e39" stroked="false">
              <v:fill type="solid"/>
            </v:rect>
            <v:rect style="position:absolute;left:5043;top:797;width:278;height:2174" filled="true" fillcolor="#539e39" stroked="false">
              <v:fill type="solid"/>
            </v:rect>
            <v:rect style="position:absolute;left:6060;top:403;width:276;height:2568" filled="true" fillcolor="#539e39" stroked="false">
              <v:fill type="solid"/>
            </v:rect>
            <v:rect style="position:absolute;left:7078;top:778;width:276;height:2194" filled="true" fillcolor="#539e39" stroked="false">
              <v:fill type="solid"/>
            </v:rect>
            <v:line style="position:absolute" from="605,2971" to="7723,2971" stroked="true" strokeweight=".72pt" strokecolor="#d9d9d9"/>
            <v:rect style="position:absolute;left:8;top:8;width:7937;height:3401" filled="false" stroked="true" strokeweight=".72pt" strokecolor="#d9d9d9"/>
            <v:shape style="position:absolute;left:138;top:140;width:316;height:180" type="#_x0000_t202" filled="false" stroked="false">
              <v:textbox inset="0,0,0,0">
                <w:txbxContent>
                  <w:p>
                    <w:pPr>
                      <w:spacing w:line="180" w:lineRule="exact" w:before="0"/>
                      <w:ind w:left="0" w:right="-19" w:firstLine="0"/>
                      <w:jc w:val="left"/>
                      <w:rPr>
                        <w:sz w:val="18"/>
                      </w:rPr>
                    </w:pPr>
                    <w:r>
                      <w:rPr>
                        <w:color w:val="585858"/>
                        <w:sz w:val="18"/>
                      </w:rPr>
                      <w:t>18.0</w:t>
                    </w:r>
                  </w:p>
                </w:txbxContent>
              </v:textbox>
              <w10:wrap type="none"/>
            </v:shape>
            <v:shape style="position:absolute;left:6040;top:131;width:318;height:180" type="#_x0000_t202" filled="false" stroked="false">
              <v:textbox inset="0,0,0,0">
                <w:txbxContent>
                  <w:p>
                    <w:pPr>
                      <w:spacing w:line="180" w:lineRule="exact" w:before="0"/>
                      <w:ind w:left="0" w:right="-17" w:firstLine="0"/>
                      <w:jc w:val="left"/>
                      <w:rPr>
                        <w:sz w:val="18"/>
                      </w:rPr>
                    </w:pPr>
                    <w:r>
                      <w:rPr>
                        <w:color w:val="404040"/>
                        <w:sz w:val="18"/>
                      </w:rPr>
                      <w:t>16.8</w:t>
                    </w:r>
                  </w:p>
                </w:txbxContent>
              </v:textbox>
              <w10:wrap type="none"/>
            </v:shape>
            <v:shape style="position:absolute;left:138;top:445;width:316;height:2620" type="#_x0000_t202" filled="false" stroked="false">
              <v:textbox inset="0,0,0,0">
                <w:txbxContent>
                  <w:p>
                    <w:pPr>
                      <w:spacing w:line="184" w:lineRule="exact" w:before="0"/>
                      <w:ind w:left="0" w:right="-19" w:firstLine="0"/>
                      <w:jc w:val="left"/>
                      <w:rPr>
                        <w:sz w:val="18"/>
                      </w:rPr>
                    </w:pPr>
                    <w:r>
                      <w:rPr>
                        <w:color w:val="585858"/>
                        <w:sz w:val="18"/>
                      </w:rPr>
                      <w:t>16.0</w:t>
                    </w:r>
                  </w:p>
                  <w:p>
                    <w:pPr>
                      <w:spacing w:before="98"/>
                      <w:ind w:left="0" w:right="-19" w:firstLine="0"/>
                      <w:jc w:val="left"/>
                      <w:rPr>
                        <w:sz w:val="18"/>
                      </w:rPr>
                    </w:pPr>
                    <w:r>
                      <w:rPr>
                        <w:color w:val="585858"/>
                        <w:sz w:val="18"/>
                      </w:rPr>
                      <w:t>14.0</w:t>
                    </w:r>
                  </w:p>
                  <w:p>
                    <w:pPr>
                      <w:spacing w:before="98"/>
                      <w:ind w:left="0" w:right="-19" w:firstLine="0"/>
                      <w:jc w:val="left"/>
                      <w:rPr>
                        <w:sz w:val="18"/>
                      </w:rPr>
                    </w:pPr>
                    <w:r>
                      <w:rPr>
                        <w:color w:val="585858"/>
                        <w:sz w:val="18"/>
                      </w:rPr>
                      <w:t>12.0</w:t>
                    </w:r>
                  </w:p>
                  <w:p>
                    <w:pPr>
                      <w:spacing w:before="98"/>
                      <w:ind w:left="0" w:right="-19" w:firstLine="0"/>
                      <w:jc w:val="left"/>
                      <w:rPr>
                        <w:sz w:val="18"/>
                      </w:rPr>
                    </w:pPr>
                    <w:r>
                      <w:rPr>
                        <w:color w:val="585858"/>
                        <w:sz w:val="18"/>
                      </w:rPr>
                      <w:t>10.0</w:t>
                    </w:r>
                  </w:p>
                  <w:p>
                    <w:pPr>
                      <w:spacing w:before="98"/>
                      <w:ind w:left="89" w:right="-18" w:firstLine="0"/>
                      <w:jc w:val="left"/>
                      <w:rPr>
                        <w:sz w:val="18"/>
                      </w:rPr>
                    </w:pPr>
                    <w:r>
                      <w:rPr>
                        <w:color w:val="585858"/>
                        <w:sz w:val="18"/>
                      </w:rPr>
                      <w:t>8.0</w:t>
                    </w:r>
                  </w:p>
                  <w:p>
                    <w:pPr>
                      <w:spacing w:before="98"/>
                      <w:ind w:left="89" w:right="-18" w:firstLine="0"/>
                      <w:jc w:val="left"/>
                      <w:rPr>
                        <w:sz w:val="18"/>
                      </w:rPr>
                    </w:pPr>
                    <w:r>
                      <w:rPr>
                        <w:color w:val="585858"/>
                        <w:sz w:val="18"/>
                      </w:rPr>
                      <w:t>6.0</w:t>
                    </w:r>
                  </w:p>
                  <w:p>
                    <w:pPr>
                      <w:spacing w:before="98"/>
                      <w:ind w:left="89" w:right="-18" w:firstLine="0"/>
                      <w:jc w:val="left"/>
                      <w:rPr>
                        <w:sz w:val="18"/>
                      </w:rPr>
                    </w:pPr>
                    <w:r>
                      <w:rPr>
                        <w:color w:val="585858"/>
                        <w:sz w:val="18"/>
                      </w:rPr>
                      <w:t>4.0</w:t>
                    </w:r>
                  </w:p>
                  <w:p>
                    <w:pPr>
                      <w:spacing w:before="98"/>
                      <w:ind w:left="89" w:right="-18" w:firstLine="0"/>
                      <w:jc w:val="left"/>
                      <w:rPr>
                        <w:sz w:val="18"/>
                      </w:rPr>
                    </w:pPr>
                    <w:r>
                      <w:rPr>
                        <w:color w:val="585858"/>
                        <w:sz w:val="18"/>
                      </w:rPr>
                      <w:t>2.0</w:t>
                    </w:r>
                  </w:p>
                  <w:p>
                    <w:pPr>
                      <w:spacing w:line="203" w:lineRule="exact" w:before="98"/>
                      <w:ind w:left="89" w:right="-18" w:firstLine="0"/>
                      <w:jc w:val="left"/>
                      <w:rPr>
                        <w:sz w:val="18"/>
                      </w:rPr>
                    </w:pPr>
                    <w:r>
                      <w:rPr>
                        <w:color w:val="585858"/>
                        <w:sz w:val="18"/>
                      </w:rPr>
                      <w:t>0.0</w:t>
                    </w:r>
                  </w:p>
                </w:txbxContent>
              </v:textbox>
              <w10:wrap type="none"/>
            </v:shape>
            <v:shape style="position:absolute;left:2988;top:628;width:318;height:180" type="#_x0000_t202" filled="false" stroked="false">
              <v:textbox inset="0,0,0,0">
                <w:txbxContent>
                  <w:p>
                    <w:pPr>
                      <w:spacing w:line="180" w:lineRule="exact" w:before="0"/>
                      <w:ind w:left="0" w:right="-17" w:firstLine="0"/>
                      <w:jc w:val="left"/>
                      <w:rPr>
                        <w:sz w:val="18"/>
                      </w:rPr>
                    </w:pPr>
                    <w:r>
                      <w:rPr>
                        <w:color w:val="404040"/>
                        <w:sz w:val="18"/>
                      </w:rPr>
                      <w:t>13.6</w:t>
                    </w:r>
                  </w:p>
                </w:txbxContent>
              </v:textbox>
              <w10:wrap type="none"/>
            </v:shape>
            <v:shape style="position:absolute;left:5023;top:524;width:318;height:180" type="#_x0000_t202" filled="false" stroked="false">
              <v:textbox inset="0,0,0,0">
                <w:txbxContent>
                  <w:p>
                    <w:pPr>
                      <w:spacing w:line="180" w:lineRule="exact" w:before="0"/>
                      <w:ind w:left="0" w:right="-17" w:firstLine="0"/>
                      <w:jc w:val="left"/>
                      <w:rPr>
                        <w:sz w:val="18"/>
                      </w:rPr>
                    </w:pPr>
                    <w:r>
                      <w:rPr>
                        <w:color w:val="404040"/>
                        <w:sz w:val="18"/>
                      </w:rPr>
                      <w:t>14.3</w:t>
                    </w:r>
                  </w:p>
                </w:txbxContent>
              </v:textbox>
              <w10:wrap type="none"/>
            </v:shape>
            <v:shape style="position:absolute;left:7057;top:506;width:318;height:180" type="#_x0000_t202" filled="false" stroked="false">
              <v:textbox inset="0,0,0,0">
                <w:txbxContent>
                  <w:p>
                    <w:pPr>
                      <w:spacing w:line="180" w:lineRule="exact" w:before="0"/>
                      <w:ind w:left="0" w:right="-17" w:firstLine="0"/>
                      <w:jc w:val="left"/>
                      <w:rPr>
                        <w:sz w:val="18"/>
                      </w:rPr>
                    </w:pPr>
                    <w:r>
                      <w:rPr>
                        <w:color w:val="404040"/>
                        <w:sz w:val="18"/>
                      </w:rPr>
                      <w:t>14.4</w:t>
                    </w:r>
                  </w:p>
                </w:txbxContent>
              </v:textbox>
              <w10:wrap type="none"/>
            </v:shape>
            <v:shape style="position:absolute;left:4005;top:1082;width:319;height:181" type="#_x0000_t202" filled="false" stroked="false">
              <v:textbox inset="0,0,0,0">
                <w:txbxContent>
                  <w:p>
                    <w:pPr>
                      <w:spacing w:line="180" w:lineRule="exact" w:before="0"/>
                      <w:ind w:left="0" w:right="-16" w:firstLine="0"/>
                      <w:jc w:val="left"/>
                      <w:rPr>
                        <w:sz w:val="18"/>
                      </w:rPr>
                    </w:pPr>
                    <w:r>
                      <w:rPr>
                        <w:color w:val="404040"/>
                        <w:sz w:val="18"/>
                      </w:rPr>
                      <w:t>10.6</w:t>
                    </w:r>
                  </w:p>
                </w:txbxContent>
              </v:textbox>
              <w10:wrap type="none"/>
            </v:shape>
            <v:shape style="position:absolute;left:1000;top:1255;width:227;height:180" type="#_x0000_t202" filled="false" stroked="false">
              <v:textbox inset="0,0,0,0">
                <w:txbxContent>
                  <w:p>
                    <w:pPr>
                      <w:spacing w:line="180" w:lineRule="exact" w:before="0"/>
                      <w:ind w:left="0" w:right="-18" w:firstLine="0"/>
                      <w:jc w:val="left"/>
                      <w:rPr>
                        <w:sz w:val="18"/>
                      </w:rPr>
                    </w:pPr>
                    <w:r>
                      <w:rPr>
                        <w:color w:val="404040"/>
                        <w:sz w:val="18"/>
                      </w:rPr>
                      <w:t>9.5</w:t>
                    </w:r>
                  </w:p>
                </w:txbxContent>
              </v:textbox>
              <w10:wrap type="none"/>
            </v:shape>
            <v:shape style="position:absolute;left:2017;top:1321;width:227;height:180" type="#_x0000_t202" filled="false" stroked="false">
              <v:textbox inset="0,0,0,0">
                <w:txbxContent>
                  <w:p>
                    <w:pPr>
                      <w:spacing w:line="180" w:lineRule="exact" w:before="0"/>
                      <w:ind w:left="0" w:right="-18" w:firstLine="0"/>
                      <w:jc w:val="left"/>
                      <w:rPr>
                        <w:sz w:val="18"/>
                      </w:rPr>
                    </w:pPr>
                    <w:r>
                      <w:rPr>
                        <w:color w:val="404040"/>
                        <w:sz w:val="18"/>
                      </w:rPr>
                      <w:t>9.0</w:t>
                    </w:r>
                  </w:p>
                </w:txbxContent>
              </v:textbox>
              <w10:wrap type="none"/>
            </v:shape>
            <v:shape style="position:absolute;left:934;top:3096;width:6465;height:180" type="#_x0000_t202" filled="false" stroked="false">
              <v:textbox inset="0,0,0,0">
                <w:txbxContent>
                  <w:p>
                    <w:pPr>
                      <w:tabs>
                        <w:tab w:pos="1017" w:val="left" w:leader="none"/>
                        <w:tab w:pos="2034" w:val="left" w:leader="none"/>
                        <w:tab w:pos="3051" w:val="left" w:leader="none"/>
                        <w:tab w:pos="4068" w:val="left" w:leader="none"/>
                        <w:tab w:pos="5085" w:val="left" w:leader="none"/>
                        <w:tab w:pos="6102" w:val="left" w:leader="none"/>
                      </w:tabs>
                      <w:spacing w:line="180" w:lineRule="exact" w:before="0"/>
                      <w:ind w:left="0" w:right="0" w:firstLine="0"/>
                      <w:jc w:val="left"/>
                      <w:rPr>
                        <w:sz w:val="18"/>
                      </w:rPr>
                    </w:pPr>
                    <w:r>
                      <w:rPr>
                        <w:color w:val="585858"/>
                        <w:sz w:val="18"/>
                      </w:rPr>
                      <w:t>1980</w:t>
                      <w:tab/>
                      <w:t>1985</w:t>
                      <w:tab/>
                      <w:t>1988</w:t>
                      <w:tab/>
                      <w:t>1993</w:t>
                      <w:tab/>
                      <w:t>1998</w:t>
                      <w:tab/>
                      <w:t>2003</w:t>
                      <w:tab/>
                      <w:t>2008</w:t>
                    </w:r>
                  </w:p>
                </w:txbxContent>
              </v:textbox>
              <w10:wrap type="none"/>
            </v:shape>
          </v:group>
        </w:pict>
      </w:r>
      <w:r>
        <w:rPr>
          <w:sz w:val="20"/>
        </w:rPr>
      </w:r>
    </w:p>
    <w:p>
      <w:pPr>
        <w:spacing w:before="119"/>
        <w:ind w:left="332" w:right="333" w:firstLine="0"/>
        <w:jc w:val="center"/>
        <w:rPr>
          <w:sz w:val="18"/>
        </w:rPr>
      </w:pPr>
      <w:r>
        <w:rPr>
          <w:sz w:val="18"/>
        </w:rPr>
        <w:t>Fuente: Elaboración propia con base en datos de los Censo Económico de INEGI (varios años).</w:t>
      </w:r>
    </w:p>
    <w:p>
      <w:pPr>
        <w:pStyle w:val="BodyText"/>
        <w:rPr>
          <w:sz w:val="20"/>
        </w:rPr>
      </w:pPr>
    </w:p>
    <w:p>
      <w:pPr>
        <w:pStyle w:val="BodyText"/>
        <w:spacing w:before="10"/>
        <w:rPr>
          <w:sz w:val="20"/>
        </w:rPr>
      </w:pPr>
    </w:p>
    <w:p>
      <w:pPr>
        <w:spacing w:before="0"/>
        <w:ind w:left="122" w:right="41" w:firstLine="0"/>
        <w:jc w:val="left"/>
        <w:rPr>
          <w:sz w:val="20"/>
        </w:rPr>
      </w:pPr>
      <w:r>
        <w:rPr>
          <w:position w:val="7"/>
          <w:sz w:val="13"/>
        </w:rPr>
        <w:t>11 </w:t>
      </w:r>
      <w:r>
        <w:rPr>
          <w:sz w:val="20"/>
        </w:rPr>
        <w:t>Es el valor que resulta de restar a la producción bruta total, el importe de los insumos totales. Se le llama bruto porque a este valor agregado no se le han deducido las asignaciones efectuadas por la depreciación de los</w:t>
      </w:r>
    </w:p>
    <w:p>
      <w:pPr>
        <w:spacing w:after="0"/>
        <w:jc w:val="left"/>
        <w:rPr>
          <w:sz w:val="20"/>
        </w:rPr>
        <w:sectPr>
          <w:footerReference w:type="default" r:id="rId55"/>
          <w:pgSz w:w="12240" w:h="15840"/>
          <w:pgMar w:footer="1395" w:header="0" w:top="1360" w:bottom="1580" w:left="1580" w:right="1580"/>
          <w:pgNumType w:start="86"/>
        </w:sectPr>
      </w:pPr>
    </w:p>
    <w:p>
      <w:pPr>
        <w:pStyle w:val="BodyText"/>
        <w:spacing w:line="360" w:lineRule="auto" w:before="55"/>
        <w:ind w:left="122" w:right="117"/>
        <w:jc w:val="both"/>
      </w:pPr>
      <w:r>
        <w:rPr/>
        <w:t>En cuanto al personal ocupado</w:t>
      </w:r>
      <w:r>
        <w:rPr>
          <w:position w:val="9"/>
          <w:sz w:val="16"/>
        </w:rPr>
        <w:t>12 </w:t>
      </w:r>
      <w:r>
        <w:rPr/>
        <w:t>del sector automotriz de México, se encontró un dato de suma importancia, pues la participación de dicha variable dentro de la manufactura</w:t>
      </w:r>
      <w:r>
        <w:rPr>
          <w:spacing w:val="-18"/>
        </w:rPr>
        <w:t> </w:t>
      </w:r>
      <w:r>
        <w:rPr/>
        <w:t>nacional ha ido en aumento y en general, durante el periodo de 1980 a 2008 representó el 8.9% del empleo generado al interior de la industria manufacturera (véase gráfica</w:t>
      </w:r>
      <w:r>
        <w:rPr>
          <w:spacing w:val="-7"/>
        </w:rPr>
        <w:t> </w:t>
      </w:r>
      <w:r>
        <w:rPr/>
        <w:t>4.5).</w:t>
      </w:r>
    </w:p>
    <w:p>
      <w:pPr>
        <w:pStyle w:val="BodyText"/>
        <w:spacing w:before="7"/>
        <w:rPr>
          <w:sz w:val="21"/>
        </w:rPr>
      </w:pPr>
    </w:p>
    <w:p>
      <w:pPr>
        <w:pStyle w:val="Heading1"/>
        <w:spacing w:line="360" w:lineRule="auto"/>
        <w:ind w:left="120" w:right="122"/>
        <w:jc w:val="center"/>
      </w:pPr>
      <w:r>
        <w:rPr/>
        <w:t>Gráfica 4.5. Personal ocupado: Participación porcentual de la industria automotriz en la industria manufacturera de México, 1980-2008</w:t>
      </w:r>
    </w:p>
    <w:p>
      <w:pPr>
        <w:pStyle w:val="BodyText"/>
        <w:ind w:left="558"/>
        <w:rPr>
          <w:sz w:val="20"/>
        </w:rPr>
      </w:pPr>
      <w:r>
        <w:rPr>
          <w:sz w:val="20"/>
        </w:rPr>
        <w:pict>
          <v:group style="width:397.6pt;height:170.8pt;mso-position-horizontal-relative:char;mso-position-vertical-relative:line" coordorigin="0,0" coordsize="7952,3416">
            <v:shape style="position:absolute;left:605;top:228;width:7118;height:2746" type="#_x0000_t75" stroked="false">
              <v:imagedata r:id="rId59" o:title=""/>
            </v:shape>
            <v:line style="position:absolute" from="7354,2580" to="7724,2580" stroked="true" strokeweight=".72pt" strokecolor="#d9d9d9"/>
            <v:line style="position:absolute" from="6336,2580" to="7078,2580" stroked="true" strokeweight=".72pt" strokecolor="#d9d9d9"/>
            <v:line style="position:absolute" from="5321,2580" to="6060,2580" stroked="true" strokeweight=".72pt" strokecolor="#d9d9d9"/>
            <v:line style="position:absolute" from="4304,2580" to="5043,2580" stroked="true" strokeweight=".72pt" strokecolor="#d9d9d9"/>
            <v:line style="position:absolute" from="3286,2580" to="4025,2580" stroked="true" strokeweight=".72pt" strokecolor="#d9d9d9"/>
            <v:line style="position:absolute" from="2268,2580" to="3010,2580" stroked="true" strokeweight=".72pt" strokecolor="#d9d9d9"/>
            <v:line style="position:absolute" from="1253,2580" to="1992,2580" stroked="true" strokeweight=".72pt" strokecolor="#d9d9d9"/>
            <v:line style="position:absolute" from="605,2580" to="975,2580" stroked="true" strokeweight=".72pt" strokecolor="#d9d9d9"/>
            <v:line style="position:absolute" from="7354,2189" to="7724,2189" stroked="true" strokeweight=".72pt" strokecolor="#d9d9d9"/>
            <v:line style="position:absolute" from="6336,2189" to="7078,2189" stroked="true" strokeweight=".72pt" strokecolor="#d9d9d9"/>
            <v:line style="position:absolute" from="5321,2189" to="6060,2189" stroked="true" strokeweight=".72pt" strokecolor="#d9d9d9"/>
            <v:line style="position:absolute" from="4304,2189" to="5043,2189" stroked="true" strokeweight=".72pt" strokecolor="#d9d9d9"/>
            <v:line style="position:absolute" from="3286,2189" to="4025,2189" stroked="true" strokeweight=".72pt" strokecolor="#d9d9d9"/>
            <v:line style="position:absolute" from="2268,2189" to="3010,2189" stroked="true" strokeweight=".72pt" strokecolor="#d9d9d9"/>
            <v:line style="position:absolute" from="1253,2189" to="1992,2189" stroked="true" strokeweight=".72pt" strokecolor="#d9d9d9"/>
            <v:line style="position:absolute" from="605,2189" to="975,2189" stroked="true" strokeweight=".72pt" strokecolor="#d9d9d9"/>
            <v:line style="position:absolute" from="7354,1798" to="7724,1798" stroked="true" strokeweight=".72pt" strokecolor="#d9d9d9"/>
            <v:line style="position:absolute" from="6336,1798" to="7078,1798" stroked="true" strokeweight=".72pt" strokecolor="#d9d9d9"/>
            <v:line style="position:absolute" from="5321,1798" to="6060,1798" stroked="true" strokeweight=".72pt" strokecolor="#d9d9d9"/>
            <v:line style="position:absolute" from="4304,1798" to="5043,1798" stroked="true" strokeweight=".72pt" strokecolor="#d9d9d9"/>
            <v:line style="position:absolute" from="3286,1798" to="4025,1798" stroked="true" strokeweight=".72pt" strokecolor="#d9d9d9"/>
            <v:line style="position:absolute" from="2268,1798" to="3010,1798" stroked="true" strokeweight=".72pt" strokecolor="#d9d9d9"/>
            <v:line style="position:absolute" from="605,1798" to="1992,1798" stroked="true" strokeweight=".72pt" strokecolor="#d9d9d9"/>
            <v:line style="position:absolute" from="7354,1404" to="7724,1404" stroked="true" strokeweight=".72pt" strokecolor="#d9d9d9"/>
            <v:line style="position:absolute" from="6336,1404" to="7078,1404" stroked="true" strokeweight=".72pt" strokecolor="#d9d9d9"/>
            <v:line style="position:absolute" from="5321,1404" to="6060,1404" stroked="true" strokeweight=".72pt" strokecolor="#d9d9d9"/>
            <v:line style="position:absolute" from="4304,1404" to="5043,1404" stroked="true" strokeweight=".72pt" strokecolor="#d9d9d9"/>
            <v:line style="position:absolute" from="605,1404" to="4025,1404" stroked="true" strokeweight=".72pt" strokecolor="#d9d9d9"/>
            <v:line style="position:absolute" from="7354,1013" to="7724,1013" stroked="true" strokeweight=".72pt" strokecolor="#d9d9d9"/>
            <v:line style="position:absolute" from="6336,1013" to="7078,1013" stroked="true" strokeweight=".72pt" strokecolor="#d9d9d9"/>
            <v:line style="position:absolute" from="605,1013" to="6060,1013" stroked="true" strokeweight=".72pt" strokecolor="#d9d9d9"/>
            <v:line style="position:absolute" from="605,620" to="7723,620" stroked="true" strokeweight=".72pt" strokecolor="#d9d9d9"/>
            <v:line style="position:absolute" from="605,228" to="7723,228" stroked="true" strokeweight=".72pt" strokecolor="#d9d9d9"/>
            <v:line style="position:absolute" from="605,228" to="605,2974" stroked="true" strokeweight=".72pt" strokecolor="#d9d9d9"/>
            <v:line style="position:absolute" from="1623,228" to="1623,2974" stroked="true" strokeweight=".72pt" strokecolor="#d9d9d9"/>
            <v:line style="position:absolute" from="2638,228" to="2638,2974" stroked="true" strokeweight=".72pt" strokecolor="#d9d9d9"/>
            <v:line style="position:absolute" from="3655,228" to="3655,2974" stroked="true" strokeweight=".72pt" strokecolor="#d9d9d9"/>
            <v:line style="position:absolute" from="4673,228" to="4673,2974" stroked="true" strokeweight=".72pt" strokecolor="#d9d9d9"/>
            <v:line style="position:absolute" from="5691,228" to="5691,2974" stroked="true" strokeweight=".72pt" strokecolor="#d9d9d9"/>
            <v:line style="position:absolute" from="6706,228" to="6706,2974" stroked="true" strokeweight=".72pt" strokecolor="#d9d9d9"/>
            <v:line style="position:absolute" from="7723,228" to="7723,2974" stroked="true" strokeweight=".72pt" strokecolor="#d9d9d9"/>
            <v:rect style="position:absolute;left:975;top:1875;width:278;height:1099" filled="true" fillcolor="#539e39" stroked="false">
              <v:fill type="solid"/>
            </v:rect>
            <v:rect style="position:absolute;left:975;top:1875;width:278;height:1099" filled="false" stroked="true" strokeweight=".72pt" strokecolor="#539e39"/>
            <v:rect style="position:absolute;left:1992;top:1522;width:276;height:1452" filled="true" fillcolor="#539e39" stroked="false">
              <v:fill type="solid"/>
            </v:rect>
            <v:rect style="position:absolute;left:1992;top:1522;width:276;height:1452" filled="false" stroked="true" strokeweight=".72pt" strokecolor="#539e39"/>
            <v:rect style="position:absolute;left:3010;top:1421;width:276;height:1553" filled="true" fillcolor="#539e39" stroked="false">
              <v:fill type="solid"/>
            </v:rect>
            <v:rect style="position:absolute;left:3010;top:1421;width:276;height:1553" filled="false" stroked="true" strokeweight=".72pt" strokecolor="#539e39"/>
            <v:rect style="position:absolute;left:4025;top:1337;width:278;height:1637" filled="true" fillcolor="#539e39" stroked="false">
              <v:fill type="solid"/>
            </v:rect>
            <v:rect style="position:absolute;left:4025;top:1337;width:278;height:1637" filled="false" stroked="true" strokeweight=".72pt" strokecolor="#539e39"/>
            <v:rect style="position:absolute;left:5043;top:1006;width:278;height:1968" filled="true" fillcolor="#539e39" stroked="false">
              <v:fill type="solid"/>
            </v:rect>
            <v:rect style="position:absolute;left:5043;top:1006;width:278;height:1968" filled="false" stroked="true" strokeweight=".72pt" strokecolor="#539e39"/>
            <v:rect style="position:absolute;left:6060;top:643;width:276;height:2330" filled="true" fillcolor="#539e39" stroked="false">
              <v:fill type="solid"/>
            </v:rect>
            <v:rect style="position:absolute;left:6060;top:643;width:276;height:2330" filled="false" stroked="true" strokeweight=".72pt" strokecolor="#539e39"/>
            <v:rect style="position:absolute;left:7078;top:816;width:276;height:2158" filled="true" fillcolor="#539e39" stroked="false">
              <v:fill type="solid"/>
            </v:rect>
            <v:rect style="position:absolute;left:7078;top:816;width:276;height:2158" filled="false" stroked="true" strokeweight=".72pt" strokecolor="#539e39"/>
            <v:line style="position:absolute" from="605,2974" to="7723,2974" stroked="true" strokeweight=".72pt" strokecolor="#d9d9d9"/>
            <v:rect style="position:absolute;left:8;top:8;width:7937;height:3401" filled="false" stroked="true" strokeweight=".72pt" strokecolor="#d9d9d9"/>
            <v:shape style="position:absolute;left:138;top:141;width:316;height:180" type="#_x0000_t202" filled="false" stroked="false">
              <v:textbox inset="0,0,0,0">
                <w:txbxContent>
                  <w:p>
                    <w:pPr>
                      <w:spacing w:line="180" w:lineRule="exact" w:before="0"/>
                      <w:ind w:left="0" w:right="-19" w:firstLine="0"/>
                      <w:jc w:val="left"/>
                      <w:rPr>
                        <w:sz w:val="18"/>
                      </w:rPr>
                    </w:pPr>
                    <w:r>
                      <w:rPr>
                        <w:color w:val="585858"/>
                        <w:sz w:val="18"/>
                      </w:rPr>
                      <w:t>14.0</w:t>
                    </w:r>
                  </w:p>
                </w:txbxContent>
              </v:textbox>
              <w10:wrap type="none"/>
            </v:shape>
            <v:shape style="position:absolute;left:6040;top:370;width:318;height:180" type="#_x0000_t202" filled="false" stroked="false">
              <v:textbox inset="0,0,0,0">
                <w:txbxContent>
                  <w:p>
                    <w:pPr>
                      <w:spacing w:line="180" w:lineRule="exact" w:before="0"/>
                      <w:ind w:left="0" w:right="-17" w:firstLine="0"/>
                      <w:jc w:val="left"/>
                      <w:rPr>
                        <w:sz w:val="18"/>
                      </w:rPr>
                    </w:pPr>
                    <w:r>
                      <w:rPr>
                        <w:color w:val="404040"/>
                        <w:sz w:val="18"/>
                      </w:rPr>
                      <w:t>11.9</w:t>
                    </w:r>
                  </w:p>
                </w:txbxContent>
              </v:textbox>
              <w10:wrap type="none"/>
            </v:shape>
            <v:shape style="position:absolute;left:138;top:533;width:316;height:180" type="#_x0000_t202" filled="false" stroked="false">
              <v:textbox inset="0,0,0,0">
                <w:txbxContent>
                  <w:p>
                    <w:pPr>
                      <w:spacing w:line="180" w:lineRule="exact" w:before="0"/>
                      <w:ind w:left="0" w:right="-19" w:firstLine="0"/>
                      <w:jc w:val="left"/>
                      <w:rPr>
                        <w:sz w:val="18"/>
                      </w:rPr>
                    </w:pPr>
                    <w:r>
                      <w:rPr>
                        <w:color w:val="585858"/>
                        <w:sz w:val="18"/>
                      </w:rPr>
                      <w:t>12.0</w:t>
                    </w:r>
                  </w:p>
                </w:txbxContent>
              </v:textbox>
              <w10:wrap type="none"/>
            </v:shape>
            <v:shape style="position:absolute;left:7057;top:543;width:318;height:180" type="#_x0000_t202" filled="false" stroked="false">
              <v:textbox inset="0,0,0,0">
                <w:txbxContent>
                  <w:p>
                    <w:pPr>
                      <w:spacing w:line="180" w:lineRule="exact" w:before="0"/>
                      <w:ind w:left="0" w:right="-17" w:firstLine="0"/>
                      <w:jc w:val="left"/>
                      <w:rPr>
                        <w:sz w:val="18"/>
                      </w:rPr>
                    </w:pPr>
                    <w:r>
                      <w:rPr>
                        <w:color w:val="404040"/>
                        <w:sz w:val="18"/>
                      </w:rPr>
                      <w:t>11.0</w:t>
                    </w:r>
                  </w:p>
                </w:txbxContent>
              </v:textbox>
              <w10:wrap type="none"/>
            </v:shape>
            <v:shape style="position:absolute;left:5023;top:732;width:318;height:180" type="#_x0000_t202" filled="false" stroked="false">
              <v:textbox inset="0,0,0,0">
                <w:txbxContent>
                  <w:p>
                    <w:pPr>
                      <w:spacing w:line="180" w:lineRule="exact" w:before="0"/>
                      <w:ind w:left="0" w:right="-17" w:firstLine="0"/>
                      <w:jc w:val="left"/>
                      <w:rPr>
                        <w:sz w:val="18"/>
                      </w:rPr>
                    </w:pPr>
                    <w:r>
                      <w:rPr>
                        <w:color w:val="404040"/>
                        <w:sz w:val="18"/>
                      </w:rPr>
                      <w:t>10.0</w:t>
                    </w:r>
                  </w:p>
                </w:txbxContent>
              </v:textbox>
              <w10:wrap type="none"/>
            </v:shape>
            <v:shape style="position:absolute;left:138;top:925;width:316;height:180" type="#_x0000_t202" filled="false" stroked="false">
              <v:textbox inset="0,0,0,0">
                <w:txbxContent>
                  <w:p>
                    <w:pPr>
                      <w:spacing w:line="180" w:lineRule="exact" w:before="0"/>
                      <w:ind w:left="0" w:right="-19" w:firstLine="0"/>
                      <w:jc w:val="left"/>
                      <w:rPr>
                        <w:sz w:val="18"/>
                      </w:rPr>
                    </w:pPr>
                    <w:r>
                      <w:rPr>
                        <w:color w:val="585858"/>
                        <w:sz w:val="18"/>
                      </w:rPr>
                      <w:t>10.0</w:t>
                    </w:r>
                  </w:p>
                </w:txbxContent>
              </v:textbox>
              <w10:wrap type="none"/>
            </v:shape>
            <v:shape style="position:absolute;left:3034;top:1147;width:227;height:180" type="#_x0000_t202" filled="false" stroked="false">
              <v:textbox inset="0,0,0,0">
                <w:txbxContent>
                  <w:p>
                    <w:pPr>
                      <w:spacing w:line="180" w:lineRule="exact" w:before="0"/>
                      <w:ind w:left="0" w:right="-18" w:firstLine="0"/>
                      <w:jc w:val="left"/>
                      <w:rPr>
                        <w:sz w:val="18"/>
                      </w:rPr>
                    </w:pPr>
                    <w:r>
                      <w:rPr>
                        <w:color w:val="404040"/>
                        <w:sz w:val="18"/>
                      </w:rPr>
                      <w:t>7.9</w:t>
                    </w:r>
                  </w:p>
                </w:txbxContent>
              </v:textbox>
              <w10:wrap type="none"/>
            </v:shape>
            <v:shape style="position:absolute;left:4051;top:1064;width:227;height:180" type="#_x0000_t202" filled="false" stroked="false">
              <v:textbox inset="0,0,0,0">
                <w:txbxContent>
                  <w:p>
                    <w:pPr>
                      <w:spacing w:line="180" w:lineRule="exact" w:before="0"/>
                      <w:ind w:left="0" w:right="-18" w:firstLine="0"/>
                      <w:jc w:val="left"/>
                      <w:rPr>
                        <w:sz w:val="18"/>
                      </w:rPr>
                    </w:pPr>
                    <w:r>
                      <w:rPr>
                        <w:color w:val="404040"/>
                        <w:sz w:val="18"/>
                      </w:rPr>
                      <w:t>8.3</w:t>
                    </w:r>
                  </w:p>
                </w:txbxContent>
              </v:textbox>
              <w10:wrap type="none"/>
            </v:shape>
            <v:shape style="position:absolute;left:227;top:1317;width:225;height:180" type="#_x0000_t202" filled="false" stroked="false">
              <v:textbox inset="0,0,0,0">
                <w:txbxContent>
                  <w:p>
                    <w:pPr>
                      <w:spacing w:line="180" w:lineRule="exact" w:before="0"/>
                      <w:ind w:left="0" w:right="-20" w:firstLine="0"/>
                      <w:jc w:val="left"/>
                      <w:rPr>
                        <w:sz w:val="18"/>
                      </w:rPr>
                    </w:pPr>
                    <w:r>
                      <w:rPr>
                        <w:color w:val="585858"/>
                        <w:sz w:val="18"/>
                      </w:rPr>
                      <w:t>8.0</w:t>
                    </w:r>
                  </w:p>
                </w:txbxContent>
              </v:textbox>
              <w10:wrap type="none"/>
            </v:shape>
            <v:shape style="position:absolute;left:2017;top:1248;width:227;height:180" type="#_x0000_t202" filled="false" stroked="false">
              <v:textbox inset="0,0,0,0">
                <w:txbxContent>
                  <w:p>
                    <w:pPr>
                      <w:spacing w:line="180" w:lineRule="exact" w:before="0"/>
                      <w:ind w:left="0" w:right="-18" w:firstLine="0"/>
                      <w:jc w:val="left"/>
                      <w:rPr>
                        <w:sz w:val="18"/>
                      </w:rPr>
                    </w:pPr>
                    <w:r>
                      <w:rPr>
                        <w:color w:val="404040"/>
                        <w:sz w:val="18"/>
                      </w:rPr>
                      <w:t>7.4</w:t>
                    </w:r>
                  </w:p>
                </w:txbxContent>
              </v:textbox>
              <w10:wrap type="none"/>
            </v:shape>
            <v:shape style="position:absolute;left:227;top:1709;width:225;height:180" type="#_x0000_t202" filled="false" stroked="false">
              <v:textbox inset="0,0,0,0">
                <w:txbxContent>
                  <w:p>
                    <w:pPr>
                      <w:spacing w:line="180" w:lineRule="exact" w:before="0"/>
                      <w:ind w:left="0" w:right="-20" w:firstLine="0"/>
                      <w:jc w:val="left"/>
                      <w:rPr>
                        <w:sz w:val="18"/>
                      </w:rPr>
                    </w:pPr>
                    <w:r>
                      <w:rPr>
                        <w:color w:val="585858"/>
                        <w:sz w:val="18"/>
                      </w:rPr>
                      <w:t>6.0</w:t>
                    </w:r>
                  </w:p>
                </w:txbxContent>
              </v:textbox>
              <w10:wrap type="none"/>
            </v:shape>
            <v:shape style="position:absolute;left:1000;top:1602;width:227;height:180" type="#_x0000_t202" filled="false" stroked="false">
              <v:textbox inset="0,0,0,0">
                <w:txbxContent>
                  <w:p>
                    <w:pPr>
                      <w:spacing w:line="180" w:lineRule="exact" w:before="0"/>
                      <w:ind w:left="0" w:right="-18" w:firstLine="0"/>
                      <w:jc w:val="left"/>
                      <w:rPr>
                        <w:sz w:val="18"/>
                      </w:rPr>
                    </w:pPr>
                    <w:r>
                      <w:rPr>
                        <w:color w:val="404040"/>
                        <w:sz w:val="18"/>
                      </w:rPr>
                      <w:t>5.6</w:t>
                    </w:r>
                  </w:p>
                </w:txbxContent>
              </v:textbox>
              <w10:wrap type="none"/>
            </v:shape>
            <v:shape style="position:absolute;left:227;top:2101;width:225;height:965" type="#_x0000_t202" filled="false" stroked="false">
              <v:textbox inset="0,0,0,0">
                <w:txbxContent>
                  <w:p>
                    <w:pPr>
                      <w:spacing w:line="184" w:lineRule="exact" w:before="0"/>
                      <w:ind w:left="0" w:right="-20" w:firstLine="0"/>
                      <w:jc w:val="left"/>
                      <w:rPr>
                        <w:sz w:val="18"/>
                      </w:rPr>
                    </w:pPr>
                    <w:r>
                      <w:rPr>
                        <w:color w:val="585858"/>
                        <w:sz w:val="18"/>
                      </w:rPr>
                      <w:t>4.0</w:t>
                    </w:r>
                  </w:p>
                  <w:p>
                    <w:pPr>
                      <w:spacing w:line="240" w:lineRule="auto" w:before="1"/>
                      <w:rPr>
                        <w:b/>
                        <w:sz w:val="16"/>
                      </w:rPr>
                    </w:pPr>
                  </w:p>
                  <w:p>
                    <w:pPr>
                      <w:spacing w:before="0"/>
                      <w:ind w:left="0" w:right="-20" w:firstLine="0"/>
                      <w:jc w:val="left"/>
                      <w:rPr>
                        <w:sz w:val="18"/>
                      </w:rPr>
                    </w:pPr>
                    <w:r>
                      <w:rPr>
                        <w:color w:val="585858"/>
                        <w:sz w:val="18"/>
                      </w:rPr>
                      <w:t>2.0</w:t>
                    </w:r>
                  </w:p>
                  <w:p>
                    <w:pPr>
                      <w:spacing w:line="240" w:lineRule="auto" w:before="1"/>
                      <w:rPr>
                        <w:b/>
                        <w:sz w:val="16"/>
                      </w:rPr>
                    </w:pPr>
                  </w:p>
                  <w:p>
                    <w:pPr>
                      <w:spacing w:line="203" w:lineRule="exact" w:before="0"/>
                      <w:ind w:left="0" w:right="-20" w:firstLine="0"/>
                      <w:jc w:val="left"/>
                      <w:rPr>
                        <w:sz w:val="18"/>
                      </w:rPr>
                    </w:pPr>
                    <w:r>
                      <w:rPr>
                        <w:color w:val="585858"/>
                        <w:sz w:val="18"/>
                      </w:rPr>
                      <w:t>0.0</w:t>
                    </w:r>
                  </w:p>
                </w:txbxContent>
              </v:textbox>
              <w10:wrap type="none"/>
            </v:shape>
            <v:shape style="position:absolute;left:934;top:3097;width:361;height:180" type="#_x0000_t202" filled="false" stroked="false">
              <v:textbox inset="0,0,0,0">
                <w:txbxContent>
                  <w:p>
                    <w:pPr>
                      <w:spacing w:line="180" w:lineRule="exact" w:before="0"/>
                      <w:ind w:left="0" w:right="-19" w:firstLine="0"/>
                      <w:jc w:val="left"/>
                      <w:rPr>
                        <w:sz w:val="18"/>
                      </w:rPr>
                    </w:pPr>
                    <w:r>
                      <w:rPr>
                        <w:color w:val="585858"/>
                        <w:sz w:val="18"/>
                      </w:rPr>
                      <w:t>1980</w:t>
                    </w:r>
                  </w:p>
                </w:txbxContent>
              </v:textbox>
              <w10:wrap type="none"/>
            </v:shape>
            <v:shape style="position:absolute;left:1951;top:3097;width:361;height:180" type="#_x0000_t202" filled="false" stroked="false">
              <v:textbox inset="0,0,0,0">
                <w:txbxContent>
                  <w:p>
                    <w:pPr>
                      <w:spacing w:line="180" w:lineRule="exact" w:before="0"/>
                      <w:ind w:left="0" w:right="-19" w:firstLine="0"/>
                      <w:jc w:val="left"/>
                      <w:rPr>
                        <w:sz w:val="18"/>
                      </w:rPr>
                    </w:pPr>
                    <w:r>
                      <w:rPr>
                        <w:color w:val="585858"/>
                        <w:sz w:val="18"/>
                      </w:rPr>
                      <w:t>1985</w:t>
                    </w:r>
                  </w:p>
                </w:txbxContent>
              </v:textbox>
              <w10:wrap type="none"/>
            </v:shape>
            <v:shape style="position:absolute;left:2969;top:3097;width:361;height:180" type="#_x0000_t202" filled="false" stroked="false">
              <v:textbox inset="0,0,0,0">
                <w:txbxContent>
                  <w:p>
                    <w:pPr>
                      <w:spacing w:line="180" w:lineRule="exact" w:before="0"/>
                      <w:ind w:left="0" w:right="-19" w:firstLine="0"/>
                      <w:jc w:val="left"/>
                      <w:rPr>
                        <w:sz w:val="18"/>
                      </w:rPr>
                    </w:pPr>
                    <w:r>
                      <w:rPr>
                        <w:color w:val="585858"/>
                        <w:sz w:val="18"/>
                      </w:rPr>
                      <w:t>1988</w:t>
                    </w:r>
                  </w:p>
                </w:txbxContent>
              </v:textbox>
              <w10:wrap type="none"/>
            </v:shape>
            <v:shape style="position:absolute;left:3986;top:3097;width:361;height:180" type="#_x0000_t202" filled="false" stroked="false">
              <v:textbox inset="0,0,0,0">
                <w:txbxContent>
                  <w:p>
                    <w:pPr>
                      <w:spacing w:line="180" w:lineRule="exact" w:before="0"/>
                      <w:ind w:left="0" w:right="-19" w:firstLine="0"/>
                      <w:jc w:val="left"/>
                      <w:rPr>
                        <w:sz w:val="18"/>
                      </w:rPr>
                    </w:pPr>
                    <w:r>
                      <w:rPr>
                        <w:color w:val="585858"/>
                        <w:sz w:val="18"/>
                      </w:rPr>
                      <w:t>1993</w:t>
                    </w:r>
                  </w:p>
                </w:txbxContent>
              </v:textbox>
              <w10:wrap type="none"/>
            </v:shape>
            <v:shape style="position:absolute;left:5003;top:3097;width:361;height:180" type="#_x0000_t202" filled="false" stroked="false">
              <v:textbox inset="0,0,0,0">
                <w:txbxContent>
                  <w:p>
                    <w:pPr>
                      <w:spacing w:line="180" w:lineRule="exact" w:before="0"/>
                      <w:ind w:left="0" w:right="-19" w:firstLine="0"/>
                      <w:jc w:val="left"/>
                      <w:rPr>
                        <w:sz w:val="18"/>
                      </w:rPr>
                    </w:pPr>
                    <w:r>
                      <w:rPr>
                        <w:color w:val="585858"/>
                        <w:sz w:val="18"/>
                      </w:rPr>
                      <w:t>1998</w:t>
                    </w:r>
                  </w:p>
                </w:txbxContent>
              </v:textbox>
              <w10:wrap type="none"/>
            </v:shape>
            <v:shape style="position:absolute;left:6020;top:3097;width:361;height:180" type="#_x0000_t202" filled="false" stroked="false">
              <v:textbox inset="0,0,0,0">
                <w:txbxContent>
                  <w:p>
                    <w:pPr>
                      <w:spacing w:line="180" w:lineRule="exact" w:before="0"/>
                      <w:ind w:left="0" w:right="-19" w:firstLine="0"/>
                      <w:jc w:val="left"/>
                      <w:rPr>
                        <w:sz w:val="18"/>
                      </w:rPr>
                    </w:pPr>
                    <w:r>
                      <w:rPr>
                        <w:color w:val="585858"/>
                        <w:sz w:val="18"/>
                      </w:rPr>
                      <w:t>2003</w:t>
                    </w:r>
                  </w:p>
                </w:txbxContent>
              </v:textbox>
              <w10:wrap type="none"/>
            </v:shape>
            <v:shape style="position:absolute;left:7037;top:3097;width:363;height:180" type="#_x0000_t202" filled="false" stroked="false">
              <v:textbox inset="0,0,0,0">
                <w:txbxContent>
                  <w:p>
                    <w:pPr>
                      <w:spacing w:line="180" w:lineRule="exact" w:before="0"/>
                      <w:ind w:left="0" w:right="-17" w:firstLine="0"/>
                      <w:jc w:val="left"/>
                      <w:rPr>
                        <w:sz w:val="18"/>
                      </w:rPr>
                    </w:pPr>
                    <w:r>
                      <w:rPr>
                        <w:color w:val="585858"/>
                        <w:sz w:val="18"/>
                      </w:rPr>
                      <w:t>2008</w:t>
                    </w:r>
                  </w:p>
                </w:txbxContent>
              </v:textbox>
              <w10:wrap type="none"/>
            </v:shape>
          </v:group>
        </w:pict>
      </w:r>
      <w:r>
        <w:rPr>
          <w:sz w:val="20"/>
        </w:rPr>
      </w:r>
    </w:p>
    <w:p>
      <w:pPr>
        <w:spacing w:before="119"/>
        <w:ind w:left="332" w:right="333" w:firstLine="0"/>
        <w:jc w:val="center"/>
        <w:rPr>
          <w:sz w:val="18"/>
        </w:rPr>
      </w:pPr>
      <w:r>
        <w:rPr>
          <w:sz w:val="18"/>
        </w:rPr>
        <w:t>Fuente: Elaboración propia con base en datos de los Censo Económico de INEGI (varios años).</w:t>
      </w:r>
    </w:p>
    <w:p>
      <w:pPr>
        <w:pStyle w:val="BodyText"/>
        <w:rPr>
          <w:sz w:val="18"/>
        </w:rPr>
      </w:pPr>
    </w:p>
    <w:p>
      <w:pPr>
        <w:pStyle w:val="BodyText"/>
        <w:spacing w:before="11"/>
        <w:rPr>
          <w:sz w:val="26"/>
        </w:rPr>
      </w:pPr>
    </w:p>
    <w:p>
      <w:pPr>
        <w:pStyle w:val="BodyText"/>
        <w:spacing w:line="360" w:lineRule="auto"/>
        <w:ind w:left="122" w:right="117"/>
        <w:jc w:val="both"/>
      </w:pPr>
      <w:r>
        <w:rPr/>
        <w:t>Con lo anterior, podemos llegar a una conclusión interesante, y es que pese a que el sector automotriz tiene una mínima participación dentro de la industria manufacturera en cuanto a unidades económicas se refiere, con ellas ha logrado tener niveles significativos de producción dentro de las manufacturas y además ha logrado generar un importante número de</w:t>
      </w:r>
      <w:r>
        <w:rPr>
          <w:spacing w:val="-5"/>
        </w:rPr>
        <w:t> </w:t>
      </w:r>
      <w:r>
        <w:rPr/>
        <w:t>empleos,</w:t>
      </w:r>
      <w:r>
        <w:rPr>
          <w:spacing w:val="-4"/>
        </w:rPr>
        <w:t> </w:t>
      </w:r>
      <w:r>
        <w:rPr/>
        <w:t>que</w:t>
      </w:r>
      <w:r>
        <w:rPr>
          <w:spacing w:val="-5"/>
        </w:rPr>
        <w:t> </w:t>
      </w:r>
      <w:r>
        <w:rPr/>
        <w:t>para</w:t>
      </w:r>
      <w:r>
        <w:rPr>
          <w:spacing w:val="-3"/>
        </w:rPr>
        <w:t> </w:t>
      </w:r>
      <w:r>
        <w:rPr/>
        <w:t>el</w:t>
      </w:r>
      <w:r>
        <w:rPr>
          <w:spacing w:val="-3"/>
        </w:rPr>
        <w:t> </w:t>
      </w:r>
      <w:r>
        <w:rPr/>
        <w:t>año</w:t>
      </w:r>
      <w:r>
        <w:rPr>
          <w:spacing w:val="-4"/>
        </w:rPr>
        <w:t> </w:t>
      </w:r>
      <w:r>
        <w:rPr/>
        <w:t>2008</w:t>
      </w:r>
      <w:r>
        <w:rPr>
          <w:spacing w:val="-4"/>
        </w:rPr>
        <w:t> </w:t>
      </w:r>
      <w:r>
        <w:rPr/>
        <w:t>superó</w:t>
      </w:r>
      <w:r>
        <w:rPr>
          <w:spacing w:val="-2"/>
        </w:rPr>
        <w:t> </w:t>
      </w:r>
      <w:r>
        <w:rPr/>
        <w:t>el</w:t>
      </w:r>
      <w:r>
        <w:rPr>
          <w:spacing w:val="-3"/>
        </w:rPr>
        <w:t> </w:t>
      </w:r>
      <w:r>
        <w:rPr/>
        <w:t>medio</w:t>
      </w:r>
      <w:r>
        <w:rPr>
          <w:spacing w:val="-2"/>
        </w:rPr>
        <w:t> </w:t>
      </w:r>
      <w:r>
        <w:rPr/>
        <w:t>millón.</w:t>
      </w:r>
      <w:r>
        <w:rPr>
          <w:spacing w:val="-4"/>
        </w:rPr>
        <w:t> </w:t>
      </w:r>
      <w:r>
        <w:rPr/>
        <w:t>Esto</w:t>
      </w:r>
      <w:r>
        <w:rPr>
          <w:spacing w:val="-3"/>
        </w:rPr>
        <w:t> </w:t>
      </w:r>
      <w:r>
        <w:rPr/>
        <w:t>permite</w:t>
      </w:r>
      <w:r>
        <w:rPr>
          <w:spacing w:val="-4"/>
        </w:rPr>
        <w:t> </w:t>
      </w:r>
      <w:r>
        <w:rPr/>
        <w:t>afirmar</w:t>
      </w:r>
      <w:r>
        <w:rPr>
          <w:spacing w:val="-5"/>
        </w:rPr>
        <w:t> </w:t>
      </w:r>
      <w:r>
        <w:rPr/>
        <w:t>que</w:t>
      </w:r>
      <w:r>
        <w:rPr>
          <w:spacing w:val="-3"/>
        </w:rPr>
        <w:t> </w:t>
      </w:r>
      <w:r>
        <w:rPr/>
        <w:t>el</w:t>
      </w:r>
      <w:r>
        <w:rPr>
          <w:spacing w:val="-3"/>
        </w:rPr>
        <w:t> </w:t>
      </w:r>
      <w:r>
        <w:rPr/>
        <w:t>sector automotriz es altamente productivo, lo que puede deberse a que sus actividades cubren una gran</w:t>
      </w:r>
      <w:r>
        <w:rPr>
          <w:spacing w:val="-9"/>
        </w:rPr>
        <w:t> </w:t>
      </w:r>
      <w:r>
        <w:rPr/>
        <w:t>variedad</w:t>
      </w:r>
      <w:r>
        <w:rPr>
          <w:spacing w:val="-9"/>
        </w:rPr>
        <w:t> </w:t>
      </w:r>
      <w:r>
        <w:rPr/>
        <w:t>de</w:t>
      </w:r>
      <w:r>
        <w:rPr>
          <w:spacing w:val="-10"/>
        </w:rPr>
        <w:t> </w:t>
      </w:r>
      <w:r>
        <w:rPr/>
        <w:t>procesos,</w:t>
      </w:r>
      <w:r>
        <w:rPr>
          <w:spacing w:val="-8"/>
        </w:rPr>
        <w:t> </w:t>
      </w:r>
      <w:r>
        <w:rPr/>
        <w:t>que</w:t>
      </w:r>
      <w:r>
        <w:rPr>
          <w:spacing w:val="-10"/>
        </w:rPr>
        <w:t> </w:t>
      </w:r>
      <w:r>
        <w:rPr/>
        <w:t>van</w:t>
      </w:r>
      <w:r>
        <w:rPr>
          <w:spacing w:val="-9"/>
        </w:rPr>
        <w:t> </w:t>
      </w:r>
      <w:r>
        <w:rPr/>
        <w:t>desde</w:t>
      </w:r>
      <w:r>
        <w:rPr>
          <w:spacing w:val="-7"/>
        </w:rPr>
        <w:t> </w:t>
      </w:r>
      <w:r>
        <w:rPr/>
        <w:t>aquellos</w:t>
      </w:r>
      <w:r>
        <w:rPr>
          <w:spacing w:val="-6"/>
        </w:rPr>
        <w:t> </w:t>
      </w:r>
      <w:r>
        <w:rPr/>
        <w:t>que</w:t>
      </w:r>
      <w:r>
        <w:rPr>
          <w:spacing w:val="-10"/>
        </w:rPr>
        <w:t> </w:t>
      </w:r>
      <w:r>
        <w:rPr/>
        <w:t>son</w:t>
      </w:r>
      <w:r>
        <w:rPr>
          <w:spacing w:val="-8"/>
        </w:rPr>
        <w:t> </w:t>
      </w:r>
      <w:r>
        <w:rPr/>
        <w:t>intensivos</w:t>
      </w:r>
      <w:r>
        <w:rPr>
          <w:spacing w:val="-8"/>
        </w:rPr>
        <w:t> </w:t>
      </w:r>
      <w:r>
        <w:rPr/>
        <w:t>en</w:t>
      </w:r>
      <w:r>
        <w:rPr>
          <w:spacing w:val="-7"/>
        </w:rPr>
        <w:t> </w:t>
      </w:r>
      <w:r>
        <w:rPr/>
        <w:t>mano</w:t>
      </w:r>
      <w:r>
        <w:rPr>
          <w:spacing w:val="-9"/>
        </w:rPr>
        <w:t> </w:t>
      </w:r>
      <w:r>
        <w:rPr/>
        <w:t>de</w:t>
      </w:r>
      <w:r>
        <w:rPr>
          <w:spacing w:val="-10"/>
        </w:rPr>
        <w:t> </w:t>
      </w:r>
      <w:r>
        <w:rPr/>
        <w:t>obra,</w:t>
      </w:r>
      <w:r>
        <w:rPr>
          <w:spacing w:val="-9"/>
        </w:rPr>
        <w:t> </w:t>
      </w:r>
      <w:r>
        <w:rPr/>
        <w:t>hasta aquellos intensivos en tecnología y</w:t>
      </w:r>
      <w:r>
        <w:rPr>
          <w:spacing w:val="-9"/>
        </w:rPr>
        <w:t> </w:t>
      </w:r>
      <w:r>
        <w:rPr/>
        <w:t>capital.</w:t>
      </w:r>
    </w:p>
    <w:p>
      <w:pPr>
        <w:pStyle w:val="BodyText"/>
        <w:spacing w:before="4"/>
        <w:rPr>
          <w:sz w:val="21"/>
        </w:rPr>
      </w:pPr>
    </w:p>
    <w:p>
      <w:pPr>
        <w:pStyle w:val="BodyText"/>
        <w:spacing w:line="360" w:lineRule="auto" w:before="1"/>
        <w:ind w:left="122" w:right="121"/>
        <w:jc w:val="both"/>
      </w:pPr>
      <w:r>
        <w:rPr/>
        <w:t>Además, la importancia de la industria automotriz no sólo destaca dentro del sector manufacturero, sino de la economía en general, ya que de acuerdo con datos del censo</w:t>
      </w:r>
    </w:p>
    <w:p>
      <w:pPr>
        <w:pStyle w:val="BodyText"/>
        <w:spacing w:before="8"/>
        <w:rPr>
          <w:sz w:val="27"/>
        </w:rPr>
      </w:pPr>
      <w:r>
        <w:rPr/>
        <w:pict>
          <v:line style="position:absolute;mso-position-horizontal-relative:page;mso-position-vertical-relative:paragraph;z-index:6184;mso-wrap-distance-left:0;mso-wrap-distance-right:0" from="85.103996pt,18.179739pt" to="229.123996pt,18.179739pt" stroked="true" strokeweight=".60004pt" strokecolor="#000000">
            <w10:wrap type="topAndBottom"/>
          </v:line>
        </w:pict>
      </w:r>
    </w:p>
    <w:p>
      <w:pPr>
        <w:spacing w:before="70"/>
        <w:ind w:left="122" w:right="123" w:firstLine="0"/>
        <w:jc w:val="both"/>
        <w:rPr>
          <w:sz w:val="20"/>
        </w:rPr>
      </w:pPr>
      <w:r>
        <w:rPr>
          <w:position w:val="7"/>
          <w:sz w:val="13"/>
        </w:rPr>
        <w:t>12 </w:t>
      </w:r>
      <w:r>
        <w:rPr>
          <w:sz w:val="20"/>
        </w:rPr>
        <w:t>Comprende a los trabajadores empleados y obreros, eventuales o de planta, que en el mes de referencia trabajaron bajo control o dirección de la empresa en la entidad federativa o fuera de éstacon una remuneración fija o determinada, cubriendo como mínimo una tercera parte de la jornada laboral. Incluye al personal con licencia por enfermedad, vacaciones, huelgas y licencias temporales con o sin goce de sueldo. Excluye al personal con licencia ilimitada, pensionado con base en honorarios, igualas o comisiones.</w:t>
      </w:r>
    </w:p>
    <w:p>
      <w:pPr>
        <w:spacing w:after="0"/>
        <w:jc w:val="both"/>
        <w:rPr>
          <w:sz w:val="20"/>
        </w:rPr>
        <w:sectPr>
          <w:footerReference w:type="default" r:id="rId58"/>
          <w:pgSz w:w="12240" w:h="15840"/>
          <w:pgMar w:footer="1035" w:header="0" w:top="1340" w:bottom="1220" w:left="1580" w:right="1580"/>
          <w:pgNumType w:start="87"/>
        </w:sectPr>
      </w:pPr>
    </w:p>
    <w:p>
      <w:pPr>
        <w:pStyle w:val="BodyText"/>
        <w:spacing w:line="360" w:lineRule="auto" w:before="50"/>
        <w:ind w:left="102" w:right="115"/>
        <w:jc w:val="both"/>
      </w:pPr>
      <w:r>
        <w:rPr/>
        <w:t>económico del INEGI (2009), la fabricación de automóviles y camionetas, fue considerada una</w:t>
      </w:r>
      <w:r>
        <w:rPr>
          <w:spacing w:val="-10"/>
        </w:rPr>
        <w:t> </w:t>
      </w:r>
      <w:r>
        <w:rPr/>
        <w:t>de</w:t>
      </w:r>
      <w:r>
        <w:rPr>
          <w:spacing w:val="-10"/>
        </w:rPr>
        <w:t> </w:t>
      </w:r>
      <w:r>
        <w:rPr/>
        <w:t>las</w:t>
      </w:r>
      <w:r>
        <w:rPr>
          <w:spacing w:val="-7"/>
        </w:rPr>
        <w:t> </w:t>
      </w:r>
      <w:r>
        <w:rPr/>
        <w:t>diez</w:t>
      </w:r>
      <w:r>
        <w:rPr>
          <w:spacing w:val="-8"/>
        </w:rPr>
        <w:t> </w:t>
      </w:r>
      <w:r>
        <w:rPr/>
        <w:t>clases</w:t>
      </w:r>
      <w:r>
        <w:rPr>
          <w:spacing w:val="-6"/>
        </w:rPr>
        <w:t> </w:t>
      </w:r>
      <w:r>
        <w:rPr/>
        <w:t>de</w:t>
      </w:r>
      <w:r>
        <w:rPr>
          <w:spacing w:val="-7"/>
        </w:rPr>
        <w:t> </w:t>
      </w:r>
      <w:r>
        <w:rPr/>
        <w:t>actividades</w:t>
      </w:r>
      <w:r>
        <w:rPr>
          <w:spacing w:val="-8"/>
        </w:rPr>
        <w:t> </w:t>
      </w:r>
      <w:r>
        <w:rPr/>
        <w:t>más</w:t>
      </w:r>
      <w:r>
        <w:rPr>
          <w:spacing w:val="-9"/>
        </w:rPr>
        <w:t> </w:t>
      </w:r>
      <w:r>
        <w:rPr/>
        <w:t>importantes</w:t>
      </w:r>
      <w:r>
        <w:rPr>
          <w:spacing w:val="-9"/>
        </w:rPr>
        <w:t> </w:t>
      </w:r>
      <w:r>
        <w:rPr/>
        <w:t>por</w:t>
      </w:r>
      <w:r>
        <w:rPr>
          <w:spacing w:val="-9"/>
        </w:rPr>
        <w:t> </w:t>
      </w:r>
      <w:r>
        <w:rPr/>
        <w:t>su</w:t>
      </w:r>
      <w:r>
        <w:rPr>
          <w:spacing w:val="-8"/>
        </w:rPr>
        <w:t> </w:t>
      </w:r>
      <w:r>
        <w:rPr/>
        <w:t>aportación</w:t>
      </w:r>
      <w:r>
        <w:rPr>
          <w:spacing w:val="-6"/>
        </w:rPr>
        <w:t> </w:t>
      </w:r>
      <w:r>
        <w:rPr/>
        <w:t>a</w:t>
      </w:r>
      <w:r>
        <w:rPr>
          <w:spacing w:val="-10"/>
        </w:rPr>
        <w:t> </w:t>
      </w:r>
      <w:r>
        <w:rPr/>
        <w:t>la</w:t>
      </w:r>
      <w:r>
        <w:rPr>
          <w:spacing w:val="-7"/>
        </w:rPr>
        <w:t> </w:t>
      </w:r>
      <w:r>
        <w:rPr/>
        <w:t>producción</w:t>
      </w:r>
      <w:r>
        <w:rPr>
          <w:spacing w:val="-8"/>
        </w:rPr>
        <w:t> </w:t>
      </w:r>
      <w:r>
        <w:rPr/>
        <w:t>bruta total</w:t>
      </w:r>
      <w:r>
        <w:rPr>
          <w:spacing w:val="-14"/>
        </w:rPr>
        <w:t> </w:t>
      </w:r>
      <w:r>
        <w:rPr/>
        <w:t>nacional</w:t>
      </w:r>
      <w:r>
        <w:rPr>
          <w:spacing w:val="-15"/>
        </w:rPr>
        <w:t> </w:t>
      </w:r>
      <w:r>
        <w:rPr/>
        <w:t>en</w:t>
      </w:r>
      <w:r>
        <w:rPr>
          <w:spacing w:val="-14"/>
        </w:rPr>
        <w:t> </w:t>
      </w:r>
      <w:r>
        <w:rPr/>
        <w:t>2008,</w:t>
      </w:r>
      <w:r>
        <w:rPr>
          <w:spacing w:val="-14"/>
        </w:rPr>
        <w:t> </w:t>
      </w:r>
      <w:r>
        <w:rPr/>
        <w:t>pues</w:t>
      </w:r>
      <w:r>
        <w:rPr>
          <w:spacing w:val="-14"/>
        </w:rPr>
        <w:t> </w:t>
      </w:r>
      <w:r>
        <w:rPr/>
        <w:t>tuvo</w:t>
      </w:r>
      <w:r>
        <w:rPr>
          <w:spacing w:val="-14"/>
        </w:rPr>
        <w:t> </w:t>
      </w:r>
      <w:r>
        <w:rPr/>
        <w:t>una</w:t>
      </w:r>
      <w:r>
        <w:rPr>
          <w:spacing w:val="-15"/>
        </w:rPr>
        <w:t> </w:t>
      </w:r>
      <w:r>
        <w:rPr/>
        <w:t>participación</w:t>
      </w:r>
      <w:r>
        <w:rPr>
          <w:spacing w:val="-14"/>
        </w:rPr>
        <w:t> </w:t>
      </w:r>
      <w:r>
        <w:rPr/>
        <w:t>del</w:t>
      </w:r>
      <w:r>
        <w:rPr>
          <w:spacing w:val="-14"/>
        </w:rPr>
        <w:t> </w:t>
      </w:r>
      <w:r>
        <w:rPr/>
        <w:t>3%,</w:t>
      </w:r>
      <w:r>
        <w:rPr>
          <w:spacing w:val="-14"/>
        </w:rPr>
        <w:t> </w:t>
      </w:r>
      <w:r>
        <w:rPr/>
        <w:t>ocupando</w:t>
      </w:r>
      <w:r>
        <w:rPr>
          <w:spacing w:val="-14"/>
        </w:rPr>
        <w:t> </w:t>
      </w:r>
      <w:r>
        <w:rPr/>
        <w:t>así</w:t>
      </w:r>
      <w:r>
        <w:rPr>
          <w:spacing w:val="-14"/>
        </w:rPr>
        <w:t> </w:t>
      </w:r>
      <w:r>
        <w:rPr/>
        <w:t>el</w:t>
      </w:r>
      <w:r>
        <w:rPr>
          <w:spacing w:val="-14"/>
        </w:rPr>
        <w:t> </w:t>
      </w:r>
      <w:r>
        <w:rPr/>
        <w:t>sexto</w:t>
      </w:r>
      <w:r>
        <w:rPr>
          <w:spacing w:val="-14"/>
        </w:rPr>
        <w:t> </w:t>
      </w:r>
      <w:r>
        <w:rPr/>
        <w:t>lugar</w:t>
      </w:r>
      <w:r>
        <w:rPr>
          <w:spacing w:val="-15"/>
        </w:rPr>
        <w:t> </w:t>
      </w:r>
      <w:r>
        <w:rPr/>
        <w:t>dentro de 962 clases de actividades que son objeto de cobertura de los Censos Económicos del INEGI, superando actividades como telecomunicaciones inalámbricas y alámbricas, fabricación de preparaciones farmacéuticas y elaboración de refrescos y otras bebidas no alcohólicas y ubicándose detrás de la fabricación de petroquímicos básicos del gas natural y del petróleo refinado y de la Banca Múltiple por sólo el 0.1 por ciento (véase cuadro</w:t>
      </w:r>
      <w:r>
        <w:rPr>
          <w:spacing w:val="-12"/>
        </w:rPr>
        <w:t> </w:t>
      </w:r>
      <w:r>
        <w:rPr/>
        <w:t>4.1).</w:t>
      </w:r>
    </w:p>
    <w:p>
      <w:pPr>
        <w:pStyle w:val="BodyText"/>
        <w:spacing w:before="7"/>
        <w:rPr>
          <w:sz w:val="21"/>
        </w:rPr>
      </w:pPr>
    </w:p>
    <w:p>
      <w:pPr>
        <w:pStyle w:val="Heading1"/>
        <w:spacing w:line="360" w:lineRule="auto" w:after="5"/>
        <w:ind w:left="1969" w:right="316" w:hanging="1659"/>
      </w:pPr>
      <w:r>
        <w:rPr/>
        <w:t>Cuadro 4.1. Las 10 clases de actividad más importantes según la producción bruta total, 2008 (Porcentajes respecto al total nacional)</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235"/>
        <w:gridCol w:w="1292"/>
        <w:gridCol w:w="1116"/>
        <w:gridCol w:w="1186"/>
      </w:tblGrid>
      <w:tr>
        <w:trPr>
          <w:trHeight w:val="617" w:hRule="exact"/>
        </w:trPr>
        <w:tc>
          <w:tcPr>
            <w:tcW w:w="5235" w:type="dxa"/>
            <w:tcBorders>
              <w:bottom w:val="single" w:sz="10" w:space="0" w:color="FFFFFF"/>
              <w:right w:val="nil"/>
            </w:tcBorders>
            <w:shd w:val="clear" w:color="auto" w:fill="A6A6A6"/>
          </w:tcPr>
          <w:p>
            <w:pPr>
              <w:pStyle w:val="TableParagraph"/>
              <w:spacing w:before="1"/>
              <w:jc w:val="left"/>
              <w:rPr>
                <w:b/>
                <w:sz w:val="16"/>
              </w:rPr>
            </w:pPr>
          </w:p>
          <w:p>
            <w:pPr>
              <w:pStyle w:val="TableParagraph"/>
              <w:ind w:left="1773" w:right="1783"/>
              <w:rPr>
                <w:b/>
                <w:sz w:val="20"/>
              </w:rPr>
            </w:pPr>
            <w:r>
              <w:rPr>
                <w:b/>
                <w:sz w:val="20"/>
              </w:rPr>
              <w:t>Clases de actividad</w:t>
            </w:r>
          </w:p>
        </w:tc>
        <w:tc>
          <w:tcPr>
            <w:tcW w:w="1292" w:type="dxa"/>
            <w:tcBorders>
              <w:left w:val="nil"/>
              <w:bottom w:val="single" w:sz="10" w:space="0" w:color="FFFFFF"/>
              <w:right w:val="nil"/>
            </w:tcBorders>
            <w:shd w:val="clear" w:color="auto" w:fill="A6A6A6"/>
          </w:tcPr>
          <w:p>
            <w:pPr>
              <w:pStyle w:val="TableParagraph"/>
              <w:spacing w:before="70"/>
              <w:ind w:left="139" w:right="127" w:firstLine="14"/>
              <w:jc w:val="left"/>
              <w:rPr>
                <w:b/>
                <w:sz w:val="20"/>
              </w:rPr>
            </w:pPr>
            <w:r>
              <w:rPr>
                <w:b/>
                <w:sz w:val="20"/>
              </w:rPr>
              <w:t>Producción Bruta Total</w:t>
            </w:r>
          </w:p>
        </w:tc>
        <w:tc>
          <w:tcPr>
            <w:tcW w:w="1116" w:type="dxa"/>
            <w:tcBorders>
              <w:left w:val="nil"/>
              <w:bottom w:val="single" w:sz="10" w:space="0" w:color="FFFFFF"/>
              <w:right w:val="nil"/>
            </w:tcBorders>
            <w:shd w:val="clear" w:color="auto" w:fill="A6A6A6"/>
          </w:tcPr>
          <w:p>
            <w:pPr>
              <w:pStyle w:val="TableParagraph"/>
              <w:spacing w:before="70"/>
              <w:ind w:left="374" w:right="223" w:hanging="135"/>
              <w:jc w:val="left"/>
              <w:rPr>
                <w:b/>
                <w:sz w:val="20"/>
              </w:rPr>
            </w:pPr>
            <w:r>
              <w:rPr>
                <w:b/>
                <w:sz w:val="20"/>
              </w:rPr>
              <w:t>Activos fijos</w:t>
            </w:r>
          </w:p>
        </w:tc>
        <w:tc>
          <w:tcPr>
            <w:tcW w:w="1186" w:type="dxa"/>
            <w:tcBorders>
              <w:left w:val="nil"/>
              <w:bottom w:val="single" w:sz="10" w:space="0" w:color="FFFFFF"/>
            </w:tcBorders>
            <w:shd w:val="clear" w:color="auto" w:fill="A6A6A6"/>
          </w:tcPr>
          <w:p>
            <w:pPr>
              <w:pStyle w:val="TableParagraph"/>
              <w:spacing w:before="70"/>
              <w:ind w:left="204" w:right="179" w:firstLine="16"/>
              <w:jc w:val="left"/>
              <w:rPr>
                <w:b/>
                <w:sz w:val="20"/>
              </w:rPr>
            </w:pPr>
            <w:r>
              <w:rPr>
                <w:b/>
                <w:sz w:val="20"/>
              </w:rPr>
              <w:t>Personal Ocupado</w:t>
            </w:r>
          </w:p>
        </w:tc>
      </w:tr>
      <w:tr>
        <w:trPr>
          <w:trHeight w:val="289" w:hRule="exact"/>
        </w:trPr>
        <w:tc>
          <w:tcPr>
            <w:tcW w:w="5235" w:type="dxa"/>
            <w:tcBorders>
              <w:top w:val="single" w:sz="10" w:space="0" w:color="FFFFFF"/>
              <w:right w:val="single" w:sz="4" w:space="0" w:color="A8D08D"/>
            </w:tcBorders>
            <w:shd w:val="clear" w:color="auto" w:fill="E1EED9"/>
          </w:tcPr>
          <w:p>
            <w:pPr>
              <w:pStyle w:val="TableParagraph"/>
              <w:ind w:left="103" w:right="154"/>
              <w:jc w:val="left"/>
              <w:rPr>
                <w:b/>
                <w:sz w:val="20"/>
              </w:rPr>
            </w:pPr>
            <w:r>
              <w:rPr>
                <w:b/>
                <w:sz w:val="20"/>
              </w:rPr>
              <w:t>Total</w:t>
            </w:r>
          </w:p>
        </w:tc>
        <w:tc>
          <w:tcPr>
            <w:tcW w:w="1292" w:type="dxa"/>
            <w:tcBorders>
              <w:top w:val="single" w:sz="10" w:space="0" w:color="FFFFFF"/>
              <w:left w:val="single" w:sz="4" w:space="0" w:color="A8D08D"/>
              <w:right w:val="single" w:sz="4" w:space="0" w:color="A8D08D"/>
            </w:tcBorders>
            <w:shd w:val="clear" w:color="auto" w:fill="E1EED9"/>
          </w:tcPr>
          <w:p>
            <w:pPr>
              <w:pStyle w:val="TableParagraph"/>
              <w:ind w:left="445" w:right="447"/>
              <w:rPr>
                <w:b/>
                <w:sz w:val="20"/>
              </w:rPr>
            </w:pPr>
            <w:r>
              <w:rPr>
                <w:b/>
                <w:sz w:val="20"/>
              </w:rPr>
              <w:t>34.2</w:t>
            </w:r>
          </w:p>
        </w:tc>
        <w:tc>
          <w:tcPr>
            <w:tcW w:w="1116" w:type="dxa"/>
            <w:tcBorders>
              <w:top w:val="single" w:sz="10" w:space="0" w:color="FFFFFF"/>
              <w:left w:val="single" w:sz="4" w:space="0" w:color="A8D08D"/>
              <w:right w:val="single" w:sz="4" w:space="0" w:color="A8D08D"/>
            </w:tcBorders>
            <w:shd w:val="clear" w:color="auto" w:fill="E1EED9"/>
          </w:tcPr>
          <w:p>
            <w:pPr>
              <w:pStyle w:val="TableParagraph"/>
              <w:ind w:left="81" w:right="82"/>
              <w:rPr>
                <w:b/>
                <w:sz w:val="20"/>
              </w:rPr>
            </w:pPr>
            <w:r>
              <w:rPr>
                <w:b/>
                <w:sz w:val="20"/>
              </w:rPr>
              <w:t>35.1</w:t>
            </w:r>
          </w:p>
        </w:tc>
        <w:tc>
          <w:tcPr>
            <w:tcW w:w="1186" w:type="dxa"/>
            <w:tcBorders>
              <w:top w:val="single" w:sz="10" w:space="0" w:color="FFFFFF"/>
              <w:left w:val="single" w:sz="4" w:space="0" w:color="A8D08D"/>
            </w:tcBorders>
            <w:shd w:val="clear" w:color="auto" w:fill="E1EED9"/>
          </w:tcPr>
          <w:p>
            <w:pPr>
              <w:pStyle w:val="TableParagraph"/>
              <w:ind w:left="443" w:right="443"/>
              <w:rPr>
                <w:b/>
                <w:sz w:val="20"/>
              </w:rPr>
            </w:pPr>
            <w:r>
              <w:rPr>
                <w:b/>
                <w:sz w:val="20"/>
              </w:rPr>
              <w:t>3.7</w:t>
            </w:r>
          </w:p>
        </w:tc>
      </w:tr>
      <w:tr>
        <w:trPr>
          <w:trHeight w:val="301" w:hRule="exact"/>
        </w:trPr>
        <w:tc>
          <w:tcPr>
            <w:tcW w:w="5235" w:type="dxa"/>
            <w:tcBorders>
              <w:top w:val="single" w:sz="5" w:space="0" w:color="E1EED9"/>
              <w:right w:val="single" w:sz="4" w:space="0" w:color="A8D08D"/>
            </w:tcBorders>
          </w:tcPr>
          <w:p>
            <w:pPr>
              <w:pStyle w:val="TableParagraph"/>
              <w:spacing w:before="17"/>
              <w:ind w:left="103" w:right="154"/>
              <w:jc w:val="left"/>
              <w:rPr>
                <w:b/>
                <w:sz w:val="20"/>
              </w:rPr>
            </w:pPr>
            <w:r>
              <w:rPr>
                <w:b/>
                <w:sz w:val="20"/>
              </w:rPr>
              <w:t>Extracción de petróleo y gas</w:t>
            </w:r>
          </w:p>
        </w:tc>
        <w:tc>
          <w:tcPr>
            <w:tcW w:w="1292" w:type="dxa"/>
            <w:tcBorders>
              <w:top w:val="single" w:sz="5" w:space="0" w:color="E1EED9"/>
              <w:left w:val="single" w:sz="4" w:space="0" w:color="A8D08D"/>
              <w:right w:val="single" w:sz="4" w:space="0" w:color="A8D08D"/>
            </w:tcBorders>
          </w:tcPr>
          <w:p>
            <w:pPr>
              <w:pStyle w:val="TableParagraph"/>
              <w:spacing w:before="12"/>
              <w:ind w:left="445" w:right="447"/>
              <w:rPr>
                <w:sz w:val="20"/>
              </w:rPr>
            </w:pPr>
            <w:r>
              <w:rPr>
                <w:sz w:val="20"/>
              </w:rPr>
              <w:t>10.8</w:t>
            </w:r>
          </w:p>
        </w:tc>
        <w:tc>
          <w:tcPr>
            <w:tcW w:w="1116" w:type="dxa"/>
            <w:tcBorders>
              <w:top w:val="single" w:sz="5" w:space="0" w:color="E1EED9"/>
              <w:left w:val="single" w:sz="4" w:space="0" w:color="A8D08D"/>
              <w:right w:val="single" w:sz="4" w:space="0" w:color="A8D08D"/>
            </w:tcBorders>
          </w:tcPr>
          <w:p>
            <w:pPr>
              <w:pStyle w:val="TableParagraph"/>
              <w:spacing w:before="12"/>
              <w:ind w:left="81" w:right="82"/>
              <w:rPr>
                <w:sz w:val="20"/>
              </w:rPr>
            </w:pPr>
            <w:r>
              <w:rPr>
                <w:sz w:val="20"/>
              </w:rPr>
              <w:t>4.6</w:t>
            </w:r>
          </w:p>
        </w:tc>
        <w:tc>
          <w:tcPr>
            <w:tcW w:w="1186" w:type="dxa"/>
            <w:tcBorders>
              <w:top w:val="single" w:sz="5" w:space="0" w:color="E1EED9"/>
              <w:left w:val="single" w:sz="4" w:space="0" w:color="A8D08D"/>
            </w:tcBorders>
          </w:tcPr>
          <w:p>
            <w:pPr>
              <w:pStyle w:val="TableParagraph"/>
              <w:spacing w:before="12"/>
              <w:ind w:left="443" w:right="443"/>
              <w:rPr>
                <w:sz w:val="20"/>
              </w:rPr>
            </w:pPr>
            <w:r>
              <w:rPr>
                <w:sz w:val="20"/>
              </w:rPr>
              <w:t>0.2</w:t>
            </w:r>
          </w:p>
        </w:tc>
      </w:tr>
      <w:tr>
        <w:trPr>
          <w:trHeight w:val="281" w:hRule="exact"/>
        </w:trPr>
        <w:tc>
          <w:tcPr>
            <w:tcW w:w="5235" w:type="dxa"/>
            <w:tcBorders>
              <w:right w:val="single" w:sz="4" w:space="0" w:color="A8D08D"/>
            </w:tcBorders>
          </w:tcPr>
          <w:p>
            <w:pPr>
              <w:pStyle w:val="TableParagraph"/>
              <w:spacing w:before="5"/>
              <w:ind w:left="103" w:right="154"/>
              <w:jc w:val="left"/>
              <w:rPr>
                <w:b/>
                <w:sz w:val="20"/>
              </w:rPr>
            </w:pPr>
            <w:r>
              <w:rPr>
                <w:b/>
                <w:sz w:val="20"/>
              </w:rPr>
              <w:t>Refinación de petróleo</w:t>
            </w:r>
          </w:p>
        </w:tc>
        <w:tc>
          <w:tcPr>
            <w:tcW w:w="1292" w:type="dxa"/>
            <w:tcBorders>
              <w:left w:val="single" w:sz="4" w:space="0" w:color="A8D08D"/>
              <w:right w:val="single" w:sz="4" w:space="0" w:color="A8D08D"/>
            </w:tcBorders>
          </w:tcPr>
          <w:p>
            <w:pPr>
              <w:pStyle w:val="TableParagraph"/>
              <w:ind w:right="4"/>
              <w:rPr>
                <w:sz w:val="20"/>
              </w:rPr>
            </w:pPr>
            <w:r>
              <w:rPr>
                <w:w w:val="99"/>
                <w:sz w:val="20"/>
              </w:rPr>
              <w:t>5</w:t>
            </w:r>
          </w:p>
        </w:tc>
        <w:tc>
          <w:tcPr>
            <w:tcW w:w="1116" w:type="dxa"/>
            <w:tcBorders>
              <w:left w:val="single" w:sz="4" w:space="0" w:color="A8D08D"/>
              <w:right w:val="single" w:sz="4" w:space="0" w:color="A8D08D"/>
            </w:tcBorders>
          </w:tcPr>
          <w:p>
            <w:pPr>
              <w:pStyle w:val="TableParagraph"/>
              <w:ind w:left="81" w:right="82"/>
              <w:rPr>
                <w:sz w:val="20"/>
              </w:rPr>
            </w:pPr>
            <w:r>
              <w:rPr>
                <w:sz w:val="20"/>
              </w:rPr>
              <w:t>1.4</w:t>
            </w:r>
          </w:p>
        </w:tc>
        <w:tc>
          <w:tcPr>
            <w:tcW w:w="1186" w:type="dxa"/>
            <w:tcBorders>
              <w:left w:val="single" w:sz="4" w:space="0" w:color="A8D08D"/>
            </w:tcBorders>
          </w:tcPr>
          <w:p>
            <w:pPr>
              <w:pStyle w:val="TableParagraph"/>
              <w:ind w:left="443" w:right="443"/>
              <w:rPr>
                <w:sz w:val="20"/>
              </w:rPr>
            </w:pPr>
            <w:r>
              <w:rPr>
                <w:sz w:val="20"/>
              </w:rPr>
              <w:t>0.1</w:t>
            </w:r>
          </w:p>
        </w:tc>
      </w:tr>
      <w:tr>
        <w:trPr>
          <w:trHeight w:val="540" w:hRule="exact"/>
        </w:trPr>
        <w:tc>
          <w:tcPr>
            <w:tcW w:w="5235" w:type="dxa"/>
            <w:tcBorders>
              <w:right w:val="single" w:sz="4" w:space="0" w:color="A8D08D"/>
            </w:tcBorders>
          </w:tcPr>
          <w:p>
            <w:pPr>
              <w:pStyle w:val="TableParagraph"/>
              <w:spacing w:line="278" w:lineRule="auto"/>
              <w:ind w:left="103" w:right="154"/>
              <w:jc w:val="left"/>
              <w:rPr>
                <w:b/>
                <w:sz w:val="20"/>
              </w:rPr>
            </w:pPr>
            <w:r>
              <w:rPr>
                <w:b/>
                <w:sz w:val="20"/>
              </w:rPr>
              <w:t>Generación, transmisión y distribución de energía eléctrica</w:t>
            </w:r>
          </w:p>
        </w:tc>
        <w:tc>
          <w:tcPr>
            <w:tcW w:w="1292" w:type="dxa"/>
            <w:tcBorders>
              <w:left w:val="single" w:sz="4" w:space="0" w:color="A8D08D"/>
              <w:right w:val="single" w:sz="4" w:space="0" w:color="A8D08D"/>
            </w:tcBorders>
          </w:tcPr>
          <w:p>
            <w:pPr>
              <w:pStyle w:val="TableParagraph"/>
              <w:spacing w:before="130"/>
              <w:ind w:left="445" w:right="447"/>
              <w:rPr>
                <w:sz w:val="20"/>
              </w:rPr>
            </w:pPr>
            <w:r>
              <w:rPr>
                <w:sz w:val="20"/>
              </w:rPr>
              <w:t>4.1</w:t>
            </w:r>
          </w:p>
        </w:tc>
        <w:tc>
          <w:tcPr>
            <w:tcW w:w="1116" w:type="dxa"/>
            <w:tcBorders>
              <w:left w:val="single" w:sz="4" w:space="0" w:color="A8D08D"/>
              <w:right w:val="single" w:sz="4" w:space="0" w:color="A8D08D"/>
            </w:tcBorders>
          </w:tcPr>
          <w:p>
            <w:pPr>
              <w:pStyle w:val="TableParagraph"/>
              <w:spacing w:before="130"/>
              <w:ind w:left="81" w:right="82"/>
              <w:rPr>
                <w:sz w:val="20"/>
              </w:rPr>
            </w:pPr>
            <w:r>
              <w:rPr>
                <w:sz w:val="20"/>
              </w:rPr>
              <w:t>20.2</w:t>
            </w:r>
          </w:p>
        </w:tc>
        <w:tc>
          <w:tcPr>
            <w:tcW w:w="1186" w:type="dxa"/>
            <w:tcBorders>
              <w:left w:val="single" w:sz="4" w:space="0" w:color="A8D08D"/>
            </w:tcBorders>
          </w:tcPr>
          <w:p>
            <w:pPr>
              <w:pStyle w:val="TableParagraph"/>
              <w:spacing w:before="130"/>
              <w:ind w:left="443" w:right="443"/>
              <w:rPr>
                <w:sz w:val="20"/>
              </w:rPr>
            </w:pPr>
            <w:r>
              <w:rPr>
                <w:sz w:val="20"/>
              </w:rPr>
              <w:t>0.6</w:t>
            </w:r>
          </w:p>
        </w:tc>
      </w:tr>
      <w:tr>
        <w:trPr>
          <w:trHeight w:val="564" w:hRule="exact"/>
        </w:trPr>
        <w:tc>
          <w:tcPr>
            <w:tcW w:w="5235" w:type="dxa"/>
            <w:tcBorders>
              <w:right w:val="single" w:sz="4" w:space="0" w:color="A8D08D"/>
            </w:tcBorders>
          </w:tcPr>
          <w:p>
            <w:pPr>
              <w:pStyle w:val="TableParagraph"/>
              <w:spacing w:line="276" w:lineRule="auto" w:before="12"/>
              <w:ind w:left="103"/>
              <w:jc w:val="left"/>
              <w:rPr>
                <w:b/>
                <w:sz w:val="20"/>
              </w:rPr>
            </w:pPr>
            <w:r>
              <w:rPr>
                <w:b/>
                <w:sz w:val="20"/>
              </w:rPr>
              <w:t>Fabricación de petroquímicos básicos del gas natural y del petróleo refinado</w:t>
            </w:r>
          </w:p>
        </w:tc>
        <w:tc>
          <w:tcPr>
            <w:tcW w:w="1292" w:type="dxa"/>
            <w:tcBorders>
              <w:left w:val="single" w:sz="4" w:space="0" w:color="A8D08D"/>
              <w:right w:val="single" w:sz="4" w:space="0" w:color="A8D08D"/>
            </w:tcBorders>
          </w:tcPr>
          <w:p>
            <w:pPr>
              <w:pStyle w:val="TableParagraph"/>
              <w:spacing w:before="139"/>
              <w:ind w:left="445" w:right="447"/>
              <w:rPr>
                <w:sz w:val="20"/>
              </w:rPr>
            </w:pPr>
            <w:r>
              <w:rPr>
                <w:sz w:val="20"/>
              </w:rPr>
              <w:t>3.1</w:t>
            </w:r>
          </w:p>
        </w:tc>
        <w:tc>
          <w:tcPr>
            <w:tcW w:w="1116" w:type="dxa"/>
            <w:tcBorders>
              <w:left w:val="single" w:sz="4" w:space="0" w:color="A8D08D"/>
              <w:right w:val="single" w:sz="4" w:space="0" w:color="A8D08D"/>
            </w:tcBorders>
          </w:tcPr>
          <w:p>
            <w:pPr>
              <w:pStyle w:val="TableParagraph"/>
              <w:spacing w:before="139"/>
              <w:ind w:left="81" w:right="82"/>
              <w:rPr>
                <w:sz w:val="20"/>
              </w:rPr>
            </w:pPr>
            <w:r>
              <w:rPr>
                <w:sz w:val="20"/>
              </w:rPr>
              <w:t>0.6</w:t>
            </w:r>
          </w:p>
        </w:tc>
        <w:tc>
          <w:tcPr>
            <w:tcW w:w="1186" w:type="dxa"/>
            <w:tcBorders>
              <w:left w:val="single" w:sz="4" w:space="0" w:color="A8D08D"/>
            </w:tcBorders>
          </w:tcPr>
          <w:p>
            <w:pPr>
              <w:pStyle w:val="TableParagraph"/>
              <w:spacing w:before="139"/>
              <w:ind w:left="443" w:right="443"/>
              <w:rPr>
                <w:sz w:val="20"/>
              </w:rPr>
            </w:pPr>
            <w:r>
              <w:rPr>
                <w:sz w:val="20"/>
              </w:rPr>
              <w:t>0.1</w:t>
            </w:r>
          </w:p>
        </w:tc>
      </w:tr>
      <w:tr>
        <w:trPr>
          <w:trHeight w:val="278" w:hRule="exact"/>
        </w:trPr>
        <w:tc>
          <w:tcPr>
            <w:tcW w:w="5235" w:type="dxa"/>
            <w:tcBorders>
              <w:right w:val="single" w:sz="4" w:space="0" w:color="A8D08D"/>
            </w:tcBorders>
          </w:tcPr>
          <w:p>
            <w:pPr>
              <w:pStyle w:val="TableParagraph"/>
              <w:ind w:left="103" w:right="154"/>
              <w:jc w:val="left"/>
              <w:rPr>
                <w:b/>
                <w:sz w:val="20"/>
              </w:rPr>
            </w:pPr>
            <w:r>
              <w:rPr>
                <w:b/>
                <w:sz w:val="20"/>
              </w:rPr>
              <w:t>Banca Múltiple</w:t>
            </w:r>
          </w:p>
        </w:tc>
        <w:tc>
          <w:tcPr>
            <w:tcW w:w="1292" w:type="dxa"/>
            <w:tcBorders>
              <w:left w:val="single" w:sz="4" w:space="0" w:color="A8D08D"/>
              <w:right w:val="single" w:sz="4" w:space="0" w:color="A8D08D"/>
            </w:tcBorders>
          </w:tcPr>
          <w:p>
            <w:pPr>
              <w:pStyle w:val="TableParagraph"/>
              <w:spacing w:line="226" w:lineRule="exact"/>
              <w:ind w:left="445" w:right="447"/>
              <w:rPr>
                <w:sz w:val="20"/>
              </w:rPr>
            </w:pPr>
            <w:r>
              <w:rPr>
                <w:sz w:val="20"/>
              </w:rPr>
              <w:t>3.1</w:t>
            </w:r>
          </w:p>
        </w:tc>
        <w:tc>
          <w:tcPr>
            <w:tcW w:w="1116" w:type="dxa"/>
            <w:tcBorders>
              <w:left w:val="single" w:sz="4" w:space="0" w:color="A8D08D"/>
              <w:right w:val="single" w:sz="4" w:space="0" w:color="A8D08D"/>
            </w:tcBorders>
          </w:tcPr>
          <w:p>
            <w:pPr>
              <w:pStyle w:val="TableParagraph"/>
              <w:spacing w:line="226" w:lineRule="exact"/>
              <w:ind w:left="81" w:right="82"/>
              <w:rPr>
                <w:sz w:val="20"/>
              </w:rPr>
            </w:pPr>
            <w:r>
              <w:rPr>
                <w:sz w:val="20"/>
              </w:rPr>
              <w:t>0.7</w:t>
            </w:r>
          </w:p>
        </w:tc>
        <w:tc>
          <w:tcPr>
            <w:tcW w:w="1186" w:type="dxa"/>
            <w:tcBorders>
              <w:left w:val="single" w:sz="4" w:space="0" w:color="A8D08D"/>
            </w:tcBorders>
          </w:tcPr>
          <w:p>
            <w:pPr>
              <w:pStyle w:val="TableParagraph"/>
              <w:spacing w:line="226" w:lineRule="exact"/>
              <w:ind w:left="443" w:right="443"/>
              <w:rPr>
                <w:sz w:val="20"/>
              </w:rPr>
            </w:pPr>
            <w:r>
              <w:rPr>
                <w:sz w:val="20"/>
              </w:rPr>
              <w:t>1.1</w:t>
            </w:r>
          </w:p>
        </w:tc>
      </w:tr>
      <w:tr>
        <w:trPr>
          <w:trHeight w:val="283" w:hRule="exact"/>
        </w:trPr>
        <w:tc>
          <w:tcPr>
            <w:tcW w:w="5235" w:type="dxa"/>
            <w:tcBorders>
              <w:right w:val="single" w:sz="4" w:space="0" w:color="A8D08D"/>
            </w:tcBorders>
            <w:shd w:val="clear" w:color="auto" w:fill="B9DB7C"/>
          </w:tcPr>
          <w:p>
            <w:pPr>
              <w:pStyle w:val="TableParagraph"/>
              <w:spacing w:before="5"/>
              <w:ind w:left="103" w:right="154"/>
              <w:jc w:val="left"/>
              <w:rPr>
                <w:b/>
                <w:sz w:val="20"/>
              </w:rPr>
            </w:pPr>
            <w:r>
              <w:rPr>
                <w:b/>
                <w:sz w:val="20"/>
              </w:rPr>
              <w:t>Fabricación de automóviles y camionetas</w:t>
            </w:r>
          </w:p>
        </w:tc>
        <w:tc>
          <w:tcPr>
            <w:tcW w:w="1292" w:type="dxa"/>
            <w:tcBorders>
              <w:left w:val="single" w:sz="4" w:space="0" w:color="A8D08D"/>
              <w:right w:val="single" w:sz="4" w:space="0" w:color="A8D08D"/>
            </w:tcBorders>
            <w:shd w:val="clear" w:color="auto" w:fill="B9DB7C"/>
          </w:tcPr>
          <w:p>
            <w:pPr>
              <w:pStyle w:val="TableParagraph"/>
              <w:ind w:right="4"/>
              <w:rPr>
                <w:sz w:val="20"/>
              </w:rPr>
            </w:pPr>
            <w:r>
              <w:rPr>
                <w:w w:val="99"/>
                <w:sz w:val="20"/>
              </w:rPr>
              <w:t>3</w:t>
            </w:r>
          </w:p>
        </w:tc>
        <w:tc>
          <w:tcPr>
            <w:tcW w:w="1116" w:type="dxa"/>
            <w:tcBorders>
              <w:left w:val="single" w:sz="4" w:space="0" w:color="A8D08D"/>
              <w:right w:val="single" w:sz="4" w:space="0" w:color="A8D08D"/>
            </w:tcBorders>
            <w:shd w:val="clear" w:color="auto" w:fill="B9DB7C"/>
          </w:tcPr>
          <w:p>
            <w:pPr>
              <w:pStyle w:val="TableParagraph"/>
              <w:ind w:left="81" w:right="82"/>
              <w:rPr>
                <w:sz w:val="20"/>
              </w:rPr>
            </w:pPr>
            <w:r>
              <w:rPr>
                <w:sz w:val="20"/>
              </w:rPr>
              <w:t>1.3</w:t>
            </w:r>
          </w:p>
        </w:tc>
        <w:tc>
          <w:tcPr>
            <w:tcW w:w="1186" w:type="dxa"/>
            <w:tcBorders>
              <w:left w:val="single" w:sz="4" w:space="0" w:color="A8D08D"/>
            </w:tcBorders>
            <w:shd w:val="clear" w:color="auto" w:fill="B9DB7C"/>
          </w:tcPr>
          <w:p>
            <w:pPr>
              <w:pStyle w:val="TableParagraph"/>
              <w:ind w:left="443" w:right="443"/>
              <w:rPr>
                <w:sz w:val="20"/>
              </w:rPr>
            </w:pPr>
            <w:r>
              <w:rPr>
                <w:sz w:val="20"/>
              </w:rPr>
              <w:t>0.2</w:t>
            </w:r>
          </w:p>
        </w:tc>
      </w:tr>
      <w:tr>
        <w:trPr>
          <w:trHeight w:val="542" w:hRule="exact"/>
        </w:trPr>
        <w:tc>
          <w:tcPr>
            <w:tcW w:w="5235" w:type="dxa"/>
            <w:tcBorders>
              <w:right w:val="single" w:sz="4" w:space="0" w:color="A8D08D"/>
            </w:tcBorders>
          </w:tcPr>
          <w:p>
            <w:pPr>
              <w:pStyle w:val="TableParagraph"/>
              <w:spacing w:line="276" w:lineRule="auto" w:before="5"/>
              <w:ind w:left="103" w:right="154"/>
              <w:jc w:val="left"/>
              <w:rPr>
                <w:b/>
                <w:sz w:val="20"/>
              </w:rPr>
            </w:pPr>
            <w:r>
              <w:rPr>
                <w:b/>
                <w:sz w:val="20"/>
              </w:rPr>
              <w:t>Operadores de telecomunicaciones inalámbricas, excepto servicios de satélite</w:t>
            </w:r>
          </w:p>
        </w:tc>
        <w:tc>
          <w:tcPr>
            <w:tcW w:w="1292" w:type="dxa"/>
            <w:tcBorders>
              <w:left w:val="single" w:sz="4" w:space="0" w:color="A8D08D"/>
              <w:right w:val="single" w:sz="4" w:space="0" w:color="A8D08D"/>
            </w:tcBorders>
          </w:tcPr>
          <w:p>
            <w:pPr>
              <w:pStyle w:val="TableParagraph"/>
              <w:spacing w:before="132"/>
              <w:ind w:left="445" w:right="447"/>
              <w:rPr>
                <w:sz w:val="20"/>
              </w:rPr>
            </w:pPr>
            <w:r>
              <w:rPr>
                <w:sz w:val="20"/>
              </w:rPr>
              <w:t>1.6</w:t>
            </w:r>
          </w:p>
        </w:tc>
        <w:tc>
          <w:tcPr>
            <w:tcW w:w="1116" w:type="dxa"/>
            <w:tcBorders>
              <w:left w:val="single" w:sz="4" w:space="0" w:color="A8D08D"/>
              <w:right w:val="single" w:sz="4" w:space="0" w:color="A8D08D"/>
            </w:tcBorders>
          </w:tcPr>
          <w:p>
            <w:pPr>
              <w:pStyle w:val="TableParagraph"/>
              <w:spacing w:before="132"/>
              <w:ind w:left="81" w:right="82"/>
              <w:rPr>
                <w:sz w:val="20"/>
              </w:rPr>
            </w:pPr>
            <w:r>
              <w:rPr>
                <w:sz w:val="20"/>
              </w:rPr>
              <w:t>2.7</w:t>
            </w:r>
          </w:p>
        </w:tc>
        <w:tc>
          <w:tcPr>
            <w:tcW w:w="1186" w:type="dxa"/>
            <w:tcBorders>
              <w:left w:val="single" w:sz="4" w:space="0" w:color="A8D08D"/>
            </w:tcBorders>
          </w:tcPr>
          <w:p>
            <w:pPr>
              <w:pStyle w:val="TableParagraph"/>
              <w:spacing w:before="132"/>
              <w:ind w:left="443" w:right="443"/>
              <w:rPr>
                <w:sz w:val="20"/>
              </w:rPr>
            </w:pPr>
            <w:r>
              <w:rPr>
                <w:sz w:val="20"/>
              </w:rPr>
              <w:t>0.2</w:t>
            </w:r>
          </w:p>
        </w:tc>
      </w:tr>
      <w:tr>
        <w:trPr>
          <w:trHeight w:val="540" w:hRule="exact"/>
        </w:trPr>
        <w:tc>
          <w:tcPr>
            <w:tcW w:w="5235" w:type="dxa"/>
            <w:tcBorders>
              <w:right w:val="single" w:sz="4" w:space="0" w:color="A8D08D"/>
            </w:tcBorders>
          </w:tcPr>
          <w:p>
            <w:pPr>
              <w:pStyle w:val="TableParagraph"/>
              <w:spacing w:line="276" w:lineRule="auto" w:before="3"/>
              <w:ind w:left="103" w:right="154"/>
              <w:jc w:val="left"/>
              <w:rPr>
                <w:b/>
                <w:sz w:val="20"/>
              </w:rPr>
            </w:pPr>
            <w:r>
              <w:rPr>
                <w:b/>
                <w:sz w:val="20"/>
              </w:rPr>
              <w:t>Operadores de telecomunicaciones alámbricas, excepto por suscripción</w:t>
            </w:r>
          </w:p>
        </w:tc>
        <w:tc>
          <w:tcPr>
            <w:tcW w:w="1292" w:type="dxa"/>
            <w:tcBorders>
              <w:left w:val="single" w:sz="4" w:space="0" w:color="A8D08D"/>
              <w:right w:val="single" w:sz="4" w:space="0" w:color="A8D08D"/>
            </w:tcBorders>
          </w:tcPr>
          <w:p>
            <w:pPr>
              <w:pStyle w:val="TableParagraph"/>
              <w:spacing w:before="130"/>
              <w:ind w:left="445" w:right="447"/>
              <w:rPr>
                <w:sz w:val="20"/>
              </w:rPr>
            </w:pPr>
            <w:r>
              <w:rPr>
                <w:sz w:val="20"/>
              </w:rPr>
              <w:t>1.3</w:t>
            </w:r>
          </w:p>
        </w:tc>
        <w:tc>
          <w:tcPr>
            <w:tcW w:w="1116" w:type="dxa"/>
            <w:tcBorders>
              <w:left w:val="single" w:sz="4" w:space="0" w:color="A8D08D"/>
              <w:right w:val="single" w:sz="4" w:space="0" w:color="A8D08D"/>
            </w:tcBorders>
          </w:tcPr>
          <w:p>
            <w:pPr>
              <w:pStyle w:val="TableParagraph"/>
              <w:spacing w:before="130"/>
              <w:ind w:left="81" w:right="82"/>
              <w:rPr>
                <w:sz w:val="20"/>
              </w:rPr>
            </w:pPr>
            <w:r>
              <w:rPr>
                <w:sz w:val="20"/>
              </w:rPr>
              <w:t>0.6</w:t>
            </w:r>
          </w:p>
        </w:tc>
        <w:tc>
          <w:tcPr>
            <w:tcW w:w="1186" w:type="dxa"/>
            <w:tcBorders>
              <w:left w:val="single" w:sz="4" w:space="0" w:color="A8D08D"/>
            </w:tcBorders>
          </w:tcPr>
          <w:p>
            <w:pPr>
              <w:pStyle w:val="TableParagraph"/>
              <w:spacing w:before="130"/>
              <w:ind w:left="443" w:right="443"/>
              <w:rPr>
                <w:sz w:val="20"/>
              </w:rPr>
            </w:pPr>
            <w:r>
              <w:rPr>
                <w:sz w:val="20"/>
              </w:rPr>
              <w:t>0.4</w:t>
            </w:r>
          </w:p>
        </w:tc>
      </w:tr>
      <w:tr>
        <w:trPr>
          <w:trHeight w:val="313" w:hRule="exact"/>
        </w:trPr>
        <w:tc>
          <w:tcPr>
            <w:tcW w:w="5235" w:type="dxa"/>
            <w:tcBorders>
              <w:right w:val="single" w:sz="4" w:space="0" w:color="A8D08D"/>
            </w:tcBorders>
          </w:tcPr>
          <w:p>
            <w:pPr>
              <w:pStyle w:val="TableParagraph"/>
              <w:spacing w:before="20"/>
              <w:ind w:left="103" w:right="154"/>
              <w:jc w:val="left"/>
              <w:rPr>
                <w:b/>
                <w:sz w:val="20"/>
              </w:rPr>
            </w:pPr>
            <w:r>
              <w:rPr>
                <w:b/>
                <w:sz w:val="20"/>
              </w:rPr>
              <w:t>Fabricación de preparaciones farmacéuticas</w:t>
            </w:r>
          </w:p>
        </w:tc>
        <w:tc>
          <w:tcPr>
            <w:tcW w:w="1292" w:type="dxa"/>
            <w:tcBorders>
              <w:left w:val="single" w:sz="4" w:space="0" w:color="A8D08D"/>
              <w:right w:val="single" w:sz="4" w:space="0" w:color="A8D08D"/>
            </w:tcBorders>
          </w:tcPr>
          <w:p>
            <w:pPr>
              <w:pStyle w:val="TableParagraph"/>
              <w:spacing w:before="15"/>
              <w:ind w:left="445" w:right="447"/>
              <w:rPr>
                <w:sz w:val="20"/>
              </w:rPr>
            </w:pPr>
            <w:r>
              <w:rPr>
                <w:sz w:val="20"/>
              </w:rPr>
              <w:t>1.3</w:t>
            </w:r>
          </w:p>
        </w:tc>
        <w:tc>
          <w:tcPr>
            <w:tcW w:w="1116" w:type="dxa"/>
            <w:tcBorders>
              <w:left w:val="single" w:sz="4" w:space="0" w:color="A8D08D"/>
              <w:right w:val="single" w:sz="4" w:space="0" w:color="A8D08D"/>
            </w:tcBorders>
          </w:tcPr>
          <w:p>
            <w:pPr>
              <w:pStyle w:val="TableParagraph"/>
              <w:spacing w:before="15"/>
              <w:ind w:left="81" w:right="82"/>
              <w:rPr>
                <w:sz w:val="20"/>
              </w:rPr>
            </w:pPr>
            <w:r>
              <w:rPr>
                <w:sz w:val="20"/>
              </w:rPr>
              <w:t>0.6</w:t>
            </w:r>
          </w:p>
        </w:tc>
        <w:tc>
          <w:tcPr>
            <w:tcW w:w="1186" w:type="dxa"/>
            <w:tcBorders>
              <w:left w:val="single" w:sz="4" w:space="0" w:color="A8D08D"/>
            </w:tcBorders>
          </w:tcPr>
          <w:p>
            <w:pPr>
              <w:pStyle w:val="TableParagraph"/>
              <w:spacing w:before="15"/>
              <w:ind w:left="443" w:right="443"/>
              <w:rPr>
                <w:sz w:val="20"/>
              </w:rPr>
            </w:pPr>
            <w:r>
              <w:rPr>
                <w:sz w:val="20"/>
              </w:rPr>
              <w:t>0.4</w:t>
            </w:r>
          </w:p>
        </w:tc>
      </w:tr>
      <w:tr>
        <w:trPr>
          <w:trHeight w:val="276" w:hRule="exact"/>
        </w:trPr>
        <w:tc>
          <w:tcPr>
            <w:tcW w:w="5235" w:type="dxa"/>
            <w:tcBorders>
              <w:right w:val="single" w:sz="4" w:space="0" w:color="A8D08D"/>
            </w:tcBorders>
          </w:tcPr>
          <w:p>
            <w:pPr>
              <w:pStyle w:val="TableParagraph"/>
              <w:ind w:left="103" w:right="154"/>
              <w:jc w:val="left"/>
              <w:rPr>
                <w:b/>
                <w:sz w:val="20"/>
              </w:rPr>
            </w:pPr>
            <w:r>
              <w:rPr>
                <w:b/>
                <w:sz w:val="20"/>
              </w:rPr>
              <w:t>Elaboración de refrescos y otras bebidas no alcohólicas</w:t>
            </w:r>
          </w:p>
        </w:tc>
        <w:tc>
          <w:tcPr>
            <w:tcW w:w="1292" w:type="dxa"/>
            <w:tcBorders>
              <w:left w:val="single" w:sz="4" w:space="0" w:color="A8D08D"/>
              <w:right w:val="single" w:sz="4" w:space="0" w:color="A8D08D"/>
            </w:tcBorders>
          </w:tcPr>
          <w:p>
            <w:pPr>
              <w:pStyle w:val="TableParagraph"/>
              <w:spacing w:line="226" w:lineRule="exact"/>
              <w:ind w:right="4"/>
              <w:rPr>
                <w:sz w:val="20"/>
              </w:rPr>
            </w:pPr>
            <w:r>
              <w:rPr>
                <w:w w:val="99"/>
                <w:sz w:val="20"/>
              </w:rPr>
              <w:t>1</w:t>
            </w:r>
          </w:p>
        </w:tc>
        <w:tc>
          <w:tcPr>
            <w:tcW w:w="1116" w:type="dxa"/>
            <w:tcBorders>
              <w:left w:val="single" w:sz="4" w:space="0" w:color="A8D08D"/>
              <w:right w:val="single" w:sz="4" w:space="0" w:color="A8D08D"/>
            </w:tcBorders>
          </w:tcPr>
          <w:p>
            <w:pPr>
              <w:pStyle w:val="TableParagraph"/>
              <w:spacing w:line="226" w:lineRule="exact"/>
              <w:ind w:left="81" w:right="82"/>
              <w:rPr>
                <w:sz w:val="20"/>
              </w:rPr>
            </w:pPr>
            <w:r>
              <w:rPr>
                <w:sz w:val="20"/>
              </w:rPr>
              <w:t>0.6</w:t>
            </w:r>
          </w:p>
        </w:tc>
        <w:tc>
          <w:tcPr>
            <w:tcW w:w="1186" w:type="dxa"/>
            <w:tcBorders>
              <w:left w:val="single" w:sz="4" w:space="0" w:color="A8D08D"/>
            </w:tcBorders>
          </w:tcPr>
          <w:p>
            <w:pPr>
              <w:pStyle w:val="TableParagraph"/>
              <w:spacing w:line="226" w:lineRule="exact"/>
              <w:ind w:left="443" w:right="443"/>
              <w:rPr>
                <w:sz w:val="20"/>
              </w:rPr>
            </w:pPr>
            <w:r>
              <w:rPr>
                <w:sz w:val="20"/>
              </w:rPr>
              <w:t>0.3</w:t>
            </w:r>
          </w:p>
        </w:tc>
      </w:tr>
    </w:tbl>
    <w:p>
      <w:pPr>
        <w:spacing w:line="202" w:lineRule="exact" w:before="0"/>
        <w:ind w:left="102" w:right="0" w:firstLine="0"/>
        <w:jc w:val="both"/>
        <w:rPr>
          <w:sz w:val="18"/>
        </w:rPr>
      </w:pPr>
      <w:r>
        <w:rPr>
          <w:sz w:val="18"/>
        </w:rPr>
        <w:t>Fuente: Cuadro obtenido de INEGI (2010). Resumen de los resultados de los Censos Económicos, 2009.</w:t>
      </w:r>
    </w:p>
    <w:p>
      <w:pPr>
        <w:pStyle w:val="BodyText"/>
        <w:rPr>
          <w:sz w:val="18"/>
        </w:rPr>
      </w:pPr>
    </w:p>
    <w:p>
      <w:pPr>
        <w:pStyle w:val="BodyText"/>
        <w:spacing w:line="360" w:lineRule="auto" w:before="135"/>
        <w:ind w:left="102" w:right="114"/>
        <w:jc w:val="both"/>
      </w:pPr>
      <w:r>
        <w:rPr/>
        <w:t>Asimismo, dentro de la industria automotriz destaca una de las ramas que destaca por sus aportaciones en cuanto a unidades económicas, personal ocupado y valor agregado censal bruto es la fabricación de partes para vehículos automotores, pues representa el 44, 79.9 y 56.3% respectivamente. No obstante, la fabricación de automóviles y camiones, aportó para el año 2008 más de la mitad de la producción bruta total del sector automotriz.</w:t>
      </w:r>
    </w:p>
    <w:p>
      <w:pPr>
        <w:spacing w:after="0" w:line="360" w:lineRule="auto"/>
        <w:jc w:val="both"/>
        <w:sectPr>
          <w:pgSz w:w="12240" w:h="15840"/>
          <w:pgMar w:header="0" w:footer="1035" w:top="1360" w:bottom="1220" w:left="1600" w:right="1580"/>
        </w:sectPr>
      </w:pPr>
    </w:p>
    <w:p>
      <w:pPr>
        <w:pStyle w:val="Heading1"/>
        <w:spacing w:line="360" w:lineRule="auto" w:before="55" w:after="6"/>
        <w:ind w:left="2373" w:right="515" w:hanging="1861"/>
      </w:pPr>
      <w:r>
        <w:rPr/>
        <w:t>Cuadro 4.2. Principales características de la industria automotriz por rama de actividad, 2008 (participación porcentual)</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71"/>
        <w:gridCol w:w="1582"/>
        <w:gridCol w:w="1315"/>
        <w:gridCol w:w="1621"/>
        <w:gridCol w:w="1740"/>
      </w:tblGrid>
      <w:tr>
        <w:trPr>
          <w:trHeight w:val="469" w:hRule="exact"/>
        </w:trPr>
        <w:tc>
          <w:tcPr>
            <w:tcW w:w="2571" w:type="dxa"/>
            <w:tcBorders>
              <w:right w:val="nil"/>
            </w:tcBorders>
            <w:shd w:val="clear" w:color="auto" w:fill="A6A6A6"/>
          </w:tcPr>
          <w:p>
            <w:pPr/>
          </w:p>
        </w:tc>
        <w:tc>
          <w:tcPr>
            <w:tcW w:w="1582" w:type="dxa"/>
            <w:tcBorders>
              <w:left w:val="nil"/>
              <w:right w:val="nil"/>
            </w:tcBorders>
            <w:shd w:val="clear" w:color="auto" w:fill="A6A6A6"/>
          </w:tcPr>
          <w:p>
            <w:pPr>
              <w:pStyle w:val="TableParagraph"/>
              <w:ind w:left="275" w:right="264" w:firstLine="112"/>
              <w:jc w:val="left"/>
              <w:rPr>
                <w:b/>
                <w:sz w:val="20"/>
              </w:rPr>
            </w:pPr>
            <w:r>
              <w:rPr>
                <w:b/>
                <w:sz w:val="20"/>
              </w:rPr>
              <w:t>Unidades Económicas</w:t>
            </w:r>
          </w:p>
        </w:tc>
        <w:tc>
          <w:tcPr>
            <w:tcW w:w="1315" w:type="dxa"/>
            <w:tcBorders>
              <w:left w:val="nil"/>
              <w:right w:val="nil"/>
            </w:tcBorders>
            <w:shd w:val="clear" w:color="auto" w:fill="A6A6A6"/>
          </w:tcPr>
          <w:p>
            <w:pPr>
              <w:pStyle w:val="TableParagraph"/>
              <w:ind w:left="266" w:right="268" w:firstLine="16"/>
              <w:jc w:val="left"/>
              <w:rPr>
                <w:b/>
                <w:sz w:val="20"/>
              </w:rPr>
            </w:pPr>
            <w:r>
              <w:rPr>
                <w:b/>
                <w:sz w:val="20"/>
              </w:rPr>
              <w:t>Personal </w:t>
            </w:r>
            <w:r>
              <w:rPr>
                <w:b/>
                <w:w w:val="95"/>
                <w:sz w:val="20"/>
              </w:rPr>
              <w:t>Ocupado</w:t>
            </w:r>
          </w:p>
        </w:tc>
        <w:tc>
          <w:tcPr>
            <w:tcW w:w="1621" w:type="dxa"/>
            <w:tcBorders>
              <w:left w:val="nil"/>
              <w:right w:val="nil"/>
            </w:tcBorders>
            <w:shd w:val="clear" w:color="auto" w:fill="A6A6A6"/>
          </w:tcPr>
          <w:p>
            <w:pPr>
              <w:pStyle w:val="TableParagraph"/>
              <w:ind w:left="304" w:right="291" w:firstLine="14"/>
              <w:jc w:val="left"/>
              <w:rPr>
                <w:b/>
                <w:sz w:val="20"/>
              </w:rPr>
            </w:pPr>
            <w:r>
              <w:rPr>
                <w:b/>
                <w:sz w:val="20"/>
              </w:rPr>
              <w:t>Producción Bruta Total</w:t>
            </w:r>
          </w:p>
        </w:tc>
        <w:tc>
          <w:tcPr>
            <w:tcW w:w="1740" w:type="dxa"/>
            <w:tcBorders>
              <w:left w:val="nil"/>
            </w:tcBorders>
            <w:shd w:val="clear" w:color="auto" w:fill="A6A6A6"/>
          </w:tcPr>
          <w:p>
            <w:pPr>
              <w:pStyle w:val="TableParagraph"/>
              <w:ind w:left="304" w:right="164" w:hanging="125"/>
              <w:jc w:val="left"/>
              <w:rPr>
                <w:b/>
                <w:sz w:val="20"/>
              </w:rPr>
            </w:pPr>
            <w:r>
              <w:rPr>
                <w:b/>
                <w:sz w:val="20"/>
              </w:rPr>
              <w:t>Valor Agregado Censal Bruto</w:t>
            </w:r>
          </w:p>
        </w:tc>
      </w:tr>
      <w:tr>
        <w:trPr>
          <w:trHeight w:val="470" w:hRule="exact"/>
        </w:trPr>
        <w:tc>
          <w:tcPr>
            <w:tcW w:w="2571" w:type="dxa"/>
            <w:tcBorders>
              <w:top w:val="single" w:sz="40" w:space="0" w:color="A6A6A6"/>
            </w:tcBorders>
          </w:tcPr>
          <w:p>
            <w:pPr>
              <w:pStyle w:val="TableParagraph"/>
              <w:spacing w:line="182" w:lineRule="exact"/>
              <w:ind w:left="103"/>
              <w:jc w:val="left"/>
              <w:rPr>
                <w:b/>
                <w:sz w:val="20"/>
              </w:rPr>
            </w:pPr>
            <w:r>
              <w:rPr>
                <w:b/>
                <w:sz w:val="20"/>
              </w:rPr>
              <w:t>Fabricación de automóviles</w:t>
            </w:r>
          </w:p>
          <w:p>
            <w:pPr>
              <w:pStyle w:val="TableParagraph"/>
              <w:ind w:left="103"/>
              <w:jc w:val="left"/>
              <w:rPr>
                <w:b/>
                <w:sz w:val="20"/>
              </w:rPr>
            </w:pPr>
            <w:r>
              <w:rPr>
                <w:b/>
                <w:sz w:val="20"/>
              </w:rPr>
              <w:t>y camiones</w:t>
            </w:r>
          </w:p>
        </w:tc>
        <w:tc>
          <w:tcPr>
            <w:tcW w:w="1582" w:type="dxa"/>
          </w:tcPr>
          <w:p>
            <w:pPr>
              <w:pStyle w:val="TableParagraph"/>
              <w:spacing w:before="108"/>
              <w:ind w:left="657"/>
              <w:jc w:val="left"/>
              <w:rPr>
                <w:sz w:val="20"/>
              </w:rPr>
            </w:pPr>
            <w:r>
              <w:rPr>
                <w:sz w:val="20"/>
              </w:rPr>
              <w:t>1.2</w:t>
            </w:r>
          </w:p>
        </w:tc>
        <w:tc>
          <w:tcPr>
            <w:tcW w:w="1315" w:type="dxa"/>
          </w:tcPr>
          <w:p>
            <w:pPr>
              <w:pStyle w:val="TableParagraph"/>
              <w:spacing w:before="108"/>
              <w:ind w:left="525"/>
              <w:jc w:val="left"/>
              <w:rPr>
                <w:sz w:val="20"/>
              </w:rPr>
            </w:pPr>
            <w:r>
              <w:rPr>
                <w:sz w:val="20"/>
              </w:rPr>
              <w:t>9.2</w:t>
            </w:r>
          </w:p>
        </w:tc>
        <w:tc>
          <w:tcPr>
            <w:tcW w:w="1621" w:type="dxa"/>
          </w:tcPr>
          <w:p>
            <w:pPr>
              <w:pStyle w:val="TableParagraph"/>
              <w:spacing w:before="108"/>
              <w:ind w:left="626"/>
              <w:jc w:val="left"/>
              <w:rPr>
                <w:sz w:val="20"/>
              </w:rPr>
            </w:pPr>
            <w:r>
              <w:rPr>
                <w:sz w:val="20"/>
              </w:rPr>
              <w:t>50.7</w:t>
            </w:r>
          </w:p>
        </w:tc>
        <w:tc>
          <w:tcPr>
            <w:tcW w:w="1740" w:type="dxa"/>
          </w:tcPr>
          <w:p>
            <w:pPr>
              <w:pStyle w:val="TableParagraph"/>
              <w:spacing w:before="108"/>
              <w:ind w:left="670" w:right="670"/>
              <w:rPr>
                <w:sz w:val="20"/>
              </w:rPr>
            </w:pPr>
            <w:r>
              <w:rPr>
                <w:sz w:val="20"/>
              </w:rPr>
              <w:t>37.2</w:t>
            </w:r>
          </w:p>
        </w:tc>
      </w:tr>
      <w:tr>
        <w:trPr>
          <w:trHeight w:val="470" w:hRule="exact"/>
        </w:trPr>
        <w:tc>
          <w:tcPr>
            <w:tcW w:w="2571" w:type="dxa"/>
          </w:tcPr>
          <w:p>
            <w:pPr>
              <w:pStyle w:val="TableParagraph"/>
              <w:ind w:left="103" w:right="150"/>
              <w:jc w:val="left"/>
              <w:rPr>
                <w:b/>
                <w:sz w:val="20"/>
              </w:rPr>
            </w:pPr>
            <w:r>
              <w:rPr>
                <w:b/>
                <w:sz w:val="20"/>
              </w:rPr>
              <w:t>Fabricación de carrocerías y remolques</w:t>
            </w:r>
          </w:p>
        </w:tc>
        <w:tc>
          <w:tcPr>
            <w:tcW w:w="1582" w:type="dxa"/>
          </w:tcPr>
          <w:p>
            <w:pPr>
              <w:pStyle w:val="TableParagraph"/>
              <w:spacing w:before="108"/>
              <w:ind w:left="607"/>
              <w:jc w:val="left"/>
              <w:rPr>
                <w:sz w:val="20"/>
              </w:rPr>
            </w:pPr>
            <w:r>
              <w:rPr>
                <w:sz w:val="20"/>
              </w:rPr>
              <w:t>25.1</w:t>
            </w:r>
          </w:p>
        </w:tc>
        <w:tc>
          <w:tcPr>
            <w:tcW w:w="1315" w:type="dxa"/>
          </w:tcPr>
          <w:p>
            <w:pPr>
              <w:pStyle w:val="TableParagraph"/>
              <w:spacing w:before="108"/>
              <w:ind w:left="525"/>
              <w:jc w:val="left"/>
              <w:rPr>
                <w:sz w:val="20"/>
              </w:rPr>
            </w:pPr>
            <w:r>
              <w:rPr>
                <w:sz w:val="20"/>
              </w:rPr>
              <w:t>3.8</w:t>
            </w:r>
          </w:p>
        </w:tc>
        <w:tc>
          <w:tcPr>
            <w:tcW w:w="1621" w:type="dxa"/>
          </w:tcPr>
          <w:p>
            <w:pPr>
              <w:pStyle w:val="TableParagraph"/>
              <w:spacing w:before="108"/>
              <w:ind w:left="676"/>
              <w:jc w:val="left"/>
              <w:rPr>
                <w:sz w:val="20"/>
              </w:rPr>
            </w:pPr>
            <w:r>
              <w:rPr>
                <w:sz w:val="20"/>
              </w:rPr>
              <w:t>2.0</w:t>
            </w:r>
          </w:p>
        </w:tc>
        <w:tc>
          <w:tcPr>
            <w:tcW w:w="1740" w:type="dxa"/>
          </w:tcPr>
          <w:p>
            <w:pPr>
              <w:pStyle w:val="TableParagraph"/>
              <w:spacing w:before="108"/>
              <w:ind w:left="670" w:right="670"/>
              <w:rPr>
                <w:sz w:val="20"/>
              </w:rPr>
            </w:pPr>
            <w:r>
              <w:rPr>
                <w:sz w:val="20"/>
              </w:rPr>
              <w:t>2.0</w:t>
            </w:r>
          </w:p>
        </w:tc>
      </w:tr>
      <w:tr>
        <w:trPr>
          <w:trHeight w:val="557" w:hRule="exact"/>
        </w:trPr>
        <w:tc>
          <w:tcPr>
            <w:tcW w:w="2571" w:type="dxa"/>
          </w:tcPr>
          <w:p>
            <w:pPr>
              <w:pStyle w:val="TableParagraph"/>
              <w:spacing w:before="41"/>
              <w:ind w:left="103" w:right="133"/>
              <w:jc w:val="left"/>
              <w:rPr>
                <w:b/>
                <w:sz w:val="20"/>
              </w:rPr>
            </w:pPr>
            <w:r>
              <w:rPr>
                <w:b/>
                <w:sz w:val="20"/>
              </w:rPr>
              <w:t>Fabricación de partes para vehículos automotores</w:t>
            </w:r>
          </w:p>
        </w:tc>
        <w:tc>
          <w:tcPr>
            <w:tcW w:w="1582" w:type="dxa"/>
          </w:tcPr>
          <w:p>
            <w:pPr>
              <w:pStyle w:val="TableParagraph"/>
              <w:spacing w:before="151"/>
              <w:ind w:left="607"/>
              <w:jc w:val="left"/>
              <w:rPr>
                <w:sz w:val="20"/>
              </w:rPr>
            </w:pPr>
            <w:r>
              <w:rPr>
                <w:sz w:val="20"/>
              </w:rPr>
              <w:t>44.0</w:t>
            </w:r>
          </w:p>
        </w:tc>
        <w:tc>
          <w:tcPr>
            <w:tcW w:w="1315" w:type="dxa"/>
          </w:tcPr>
          <w:p>
            <w:pPr>
              <w:pStyle w:val="TableParagraph"/>
              <w:spacing w:before="151"/>
              <w:ind w:left="475"/>
              <w:jc w:val="left"/>
              <w:rPr>
                <w:sz w:val="20"/>
              </w:rPr>
            </w:pPr>
            <w:r>
              <w:rPr>
                <w:sz w:val="20"/>
              </w:rPr>
              <w:t>79.9</w:t>
            </w:r>
          </w:p>
        </w:tc>
        <w:tc>
          <w:tcPr>
            <w:tcW w:w="1621" w:type="dxa"/>
          </w:tcPr>
          <w:p>
            <w:pPr>
              <w:pStyle w:val="TableParagraph"/>
              <w:spacing w:before="151"/>
              <w:ind w:left="626"/>
              <w:jc w:val="left"/>
              <w:rPr>
                <w:sz w:val="20"/>
              </w:rPr>
            </w:pPr>
            <w:r>
              <w:rPr>
                <w:sz w:val="20"/>
              </w:rPr>
              <w:t>43.5</w:t>
            </w:r>
          </w:p>
        </w:tc>
        <w:tc>
          <w:tcPr>
            <w:tcW w:w="1740" w:type="dxa"/>
          </w:tcPr>
          <w:p>
            <w:pPr>
              <w:pStyle w:val="TableParagraph"/>
              <w:spacing w:before="151"/>
              <w:ind w:left="670" w:right="670"/>
              <w:rPr>
                <w:sz w:val="20"/>
              </w:rPr>
            </w:pPr>
            <w:r>
              <w:rPr>
                <w:sz w:val="20"/>
              </w:rPr>
              <w:t>56.3</w:t>
            </w:r>
          </w:p>
        </w:tc>
      </w:tr>
      <w:tr>
        <w:trPr>
          <w:trHeight w:val="471" w:hRule="exact"/>
        </w:trPr>
        <w:tc>
          <w:tcPr>
            <w:tcW w:w="2571" w:type="dxa"/>
          </w:tcPr>
          <w:p>
            <w:pPr>
              <w:pStyle w:val="TableParagraph"/>
              <w:spacing w:before="1"/>
              <w:ind w:left="103" w:right="260"/>
              <w:jc w:val="left"/>
              <w:rPr>
                <w:b/>
                <w:sz w:val="20"/>
              </w:rPr>
            </w:pPr>
            <w:r>
              <w:rPr>
                <w:b/>
                <w:sz w:val="20"/>
              </w:rPr>
              <w:t>Fabricación de productos de hule</w:t>
            </w:r>
          </w:p>
        </w:tc>
        <w:tc>
          <w:tcPr>
            <w:tcW w:w="1582" w:type="dxa"/>
          </w:tcPr>
          <w:p>
            <w:pPr>
              <w:pStyle w:val="TableParagraph"/>
              <w:spacing w:before="109"/>
              <w:ind w:left="607"/>
              <w:jc w:val="left"/>
              <w:rPr>
                <w:sz w:val="20"/>
              </w:rPr>
            </w:pPr>
            <w:r>
              <w:rPr>
                <w:sz w:val="20"/>
              </w:rPr>
              <w:t>29.7</w:t>
            </w:r>
          </w:p>
        </w:tc>
        <w:tc>
          <w:tcPr>
            <w:tcW w:w="1315" w:type="dxa"/>
          </w:tcPr>
          <w:p>
            <w:pPr>
              <w:pStyle w:val="TableParagraph"/>
              <w:spacing w:before="109"/>
              <w:ind w:left="525"/>
              <w:jc w:val="left"/>
              <w:rPr>
                <w:sz w:val="20"/>
              </w:rPr>
            </w:pPr>
            <w:r>
              <w:rPr>
                <w:sz w:val="20"/>
              </w:rPr>
              <w:t>7.1</w:t>
            </w:r>
          </w:p>
        </w:tc>
        <w:tc>
          <w:tcPr>
            <w:tcW w:w="1621" w:type="dxa"/>
          </w:tcPr>
          <w:p>
            <w:pPr>
              <w:pStyle w:val="TableParagraph"/>
              <w:spacing w:before="109"/>
              <w:ind w:left="676"/>
              <w:jc w:val="left"/>
              <w:rPr>
                <w:sz w:val="20"/>
              </w:rPr>
            </w:pPr>
            <w:r>
              <w:rPr>
                <w:sz w:val="20"/>
              </w:rPr>
              <w:t>3.9</w:t>
            </w:r>
          </w:p>
        </w:tc>
        <w:tc>
          <w:tcPr>
            <w:tcW w:w="1740" w:type="dxa"/>
          </w:tcPr>
          <w:p>
            <w:pPr>
              <w:pStyle w:val="TableParagraph"/>
              <w:spacing w:before="109"/>
              <w:ind w:left="670" w:right="670"/>
              <w:rPr>
                <w:sz w:val="20"/>
              </w:rPr>
            </w:pPr>
            <w:r>
              <w:rPr>
                <w:sz w:val="20"/>
              </w:rPr>
              <w:t>4.6</w:t>
            </w:r>
          </w:p>
        </w:tc>
      </w:tr>
    </w:tbl>
    <w:p>
      <w:pPr>
        <w:spacing w:line="202" w:lineRule="exact" w:before="0"/>
        <w:ind w:left="102" w:right="0" w:firstLine="0"/>
        <w:jc w:val="both"/>
        <w:rPr>
          <w:sz w:val="18"/>
        </w:rPr>
      </w:pPr>
      <w:r>
        <w:rPr>
          <w:sz w:val="18"/>
        </w:rPr>
        <w:t>Fuente: INEGI, 2013.</w:t>
      </w:r>
    </w:p>
    <w:p>
      <w:pPr>
        <w:pStyle w:val="BodyText"/>
        <w:rPr>
          <w:sz w:val="18"/>
        </w:rPr>
      </w:pPr>
    </w:p>
    <w:p>
      <w:pPr>
        <w:pStyle w:val="BodyText"/>
        <w:spacing w:line="360" w:lineRule="auto" w:before="137"/>
        <w:ind w:left="102" w:right="119"/>
        <w:jc w:val="both"/>
      </w:pPr>
      <w:r>
        <w:rPr/>
        <w:t>Del mismo modo dentro de los sistemas de mayor dinamismo de la industria de autopartes se encuentran la fabricación de asientos y accesorios interiores para vehículos, los sistemas de transmisión, de frenos, de dirección y suspensión y la fabricación de piezas metálicas troqueladas. Estas actividades generan en conjunto 32.7% de la producción bruta total del sector y emplean 28.3% de la población ocupada en la industria automotriz (INEGI, 2009).</w:t>
      </w:r>
    </w:p>
    <w:p>
      <w:pPr>
        <w:pStyle w:val="BodyText"/>
        <w:spacing w:before="2"/>
        <w:rPr>
          <w:sz w:val="21"/>
        </w:rPr>
      </w:pPr>
    </w:p>
    <w:p>
      <w:pPr>
        <w:pStyle w:val="BodyText"/>
        <w:spacing w:line="360" w:lineRule="auto" w:before="1"/>
        <w:ind w:left="102" w:right="118"/>
        <w:jc w:val="both"/>
      </w:pPr>
      <w:r>
        <w:rPr/>
        <w:t>Finalmente, para concluir este apartado, debemos decir que la evolución que ha tenido el sector</w:t>
      </w:r>
      <w:r>
        <w:rPr>
          <w:spacing w:val="-5"/>
        </w:rPr>
        <w:t> </w:t>
      </w:r>
      <w:r>
        <w:rPr/>
        <w:t>de</w:t>
      </w:r>
      <w:r>
        <w:rPr>
          <w:spacing w:val="-6"/>
        </w:rPr>
        <w:t> </w:t>
      </w:r>
      <w:r>
        <w:rPr/>
        <w:t>las</w:t>
      </w:r>
      <w:r>
        <w:rPr>
          <w:spacing w:val="-5"/>
        </w:rPr>
        <w:t> </w:t>
      </w:r>
      <w:r>
        <w:rPr/>
        <w:t>manufacturas</w:t>
      </w:r>
      <w:r>
        <w:rPr>
          <w:spacing w:val="-5"/>
        </w:rPr>
        <w:t> </w:t>
      </w:r>
      <w:r>
        <w:rPr/>
        <w:t>en</w:t>
      </w:r>
      <w:r>
        <w:rPr>
          <w:spacing w:val="-4"/>
        </w:rPr>
        <w:t> </w:t>
      </w:r>
      <w:r>
        <w:rPr/>
        <w:t>México,</w:t>
      </w:r>
      <w:r>
        <w:rPr>
          <w:spacing w:val="-5"/>
        </w:rPr>
        <w:t> </w:t>
      </w:r>
      <w:r>
        <w:rPr/>
        <w:t>han</w:t>
      </w:r>
      <w:r>
        <w:rPr>
          <w:spacing w:val="-5"/>
        </w:rPr>
        <w:t> </w:t>
      </w:r>
      <w:r>
        <w:rPr/>
        <w:t>influido</w:t>
      </w:r>
      <w:r>
        <w:rPr>
          <w:spacing w:val="-7"/>
        </w:rPr>
        <w:t> </w:t>
      </w:r>
      <w:r>
        <w:rPr/>
        <w:t>de</w:t>
      </w:r>
      <w:r>
        <w:rPr>
          <w:spacing w:val="-6"/>
        </w:rPr>
        <w:t> </w:t>
      </w:r>
      <w:r>
        <w:rPr/>
        <w:t>manera</w:t>
      </w:r>
      <w:r>
        <w:rPr>
          <w:spacing w:val="-7"/>
        </w:rPr>
        <w:t> </w:t>
      </w:r>
      <w:r>
        <w:rPr/>
        <w:t>importante</w:t>
      </w:r>
      <w:r>
        <w:rPr>
          <w:spacing w:val="-5"/>
        </w:rPr>
        <w:t> </w:t>
      </w:r>
      <w:r>
        <w:rPr/>
        <w:t>en</w:t>
      </w:r>
      <w:r>
        <w:rPr>
          <w:spacing w:val="-3"/>
        </w:rPr>
        <w:t> </w:t>
      </w:r>
      <w:r>
        <w:rPr/>
        <w:t>el</w:t>
      </w:r>
      <w:r>
        <w:rPr>
          <w:spacing w:val="-4"/>
        </w:rPr>
        <w:t> </w:t>
      </w:r>
      <w:r>
        <w:rPr/>
        <w:t>desarrollo</w:t>
      </w:r>
      <w:r>
        <w:rPr>
          <w:spacing w:val="-5"/>
        </w:rPr>
        <w:t> </w:t>
      </w:r>
      <w:r>
        <w:rPr/>
        <w:t>de la industria automotriz, la cual ha sido una de las industrias más beneficiadas a partir de la apertura</w:t>
      </w:r>
      <w:r>
        <w:rPr>
          <w:spacing w:val="-4"/>
        </w:rPr>
        <w:t> </w:t>
      </w:r>
      <w:r>
        <w:rPr/>
        <w:t>económica.</w:t>
      </w:r>
    </w:p>
    <w:p>
      <w:pPr>
        <w:pStyle w:val="BodyText"/>
        <w:spacing w:before="2"/>
        <w:rPr>
          <w:sz w:val="21"/>
        </w:rPr>
      </w:pPr>
    </w:p>
    <w:p>
      <w:pPr>
        <w:pStyle w:val="BodyText"/>
        <w:spacing w:line="360" w:lineRule="auto"/>
        <w:ind w:left="102" w:right="116"/>
        <w:jc w:val="both"/>
      </w:pPr>
      <w:r>
        <w:rPr/>
        <w:t>Además,</w:t>
      </w:r>
      <w:r>
        <w:rPr>
          <w:spacing w:val="-8"/>
        </w:rPr>
        <w:t> </w:t>
      </w:r>
      <w:r>
        <w:rPr/>
        <w:t>se</w:t>
      </w:r>
      <w:r>
        <w:rPr>
          <w:spacing w:val="-8"/>
        </w:rPr>
        <w:t> </w:t>
      </w:r>
      <w:r>
        <w:rPr/>
        <w:t>ha</w:t>
      </w:r>
      <w:r>
        <w:rPr>
          <w:spacing w:val="-8"/>
        </w:rPr>
        <w:t> </w:t>
      </w:r>
      <w:r>
        <w:rPr/>
        <w:t>demostrado</w:t>
      </w:r>
      <w:r>
        <w:rPr>
          <w:spacing w:val="-7"/>
        </w:rPr>
        <w:t> </w:t>
      </w:r>
      <w:r>
        <w:rPr/>
        <w:t>de</w:t>
      </w:r>
      <w:r>
        <w:rPr>
          <w:spacing w:val="-8"/>
        </w:rPr>
        <w:t> </w:t>
      </w:r>
      <w:r>
        <w:rPr/>
        <w:t>manera</w:t>
      </w:r>
      <w:r>
        <w:rPr>
          <w:spacing w:val="-9"/>
        </w:rPr>
        <w:t> </w:t>
      </w:r>
      <w:r>
        <w:rPr/>
        <w:t>general,</w:t>
      </w:r>
      <w:r>
        <w:rPr>
          <w:spacing w:val="-7"/>
        </w:rPr>
        <w:t> </w:t>
      </w:r>
      <w:r>
        <w:rPr/>
        <w:t>la</w:t>
      </w:r>
      <w:r>
        <w:rPr>
          <w:spacing w:val="-8"/>
        </w:rPr>
        <w:t> </w:t>
      </w:r>
      <w:r>
        <w:rPr/>
        <w:t>importancia</w:t>
      </w:r>
      <w:r>
        <w:rPr>
          <w:spacing w:val="-8"/>
        </w:rPr>
        <w:t> </w:t>
      </w:r>
      <w:r>
        <w:rPr/>
        <w:t>que</w:t>
      </w:r>
      <w:r>
        <w:rPr>
          <w:spacing w:val="-8"/>
        </w:rPr>
        <w:t> </w:t>
      </w:r>
      <w:r>
        <w:rPr/>
        <w:t>el</w:t>
      </w:r>
      <w:r>
        <w:rPr>
          <w:spacing w:val="-7"/>
        </w:rPr>
        <w:t> </w:t>
      </w:r>
      <w:r>
        <w:rPr/>
        <w:t>sector</w:t>
      </w:r>
      <w:r>
        <w:rPr>
          <w:spacing w:val="-5"/>
        </w:rPr>
        <w:t> </w:t>
      </w:r>
      <w:r>
        <w:rPr/>
        <w:t>manufacturero</w:t>
      </w:r>
      <w:r>
        <w:rPr>
          <w:spacing w:val="-8"/>
        </w:rPr>
        <w:t> </w:t>
      </w:r>
      <w:r>
        <w:rPr/>
        <w:t>en la dinámica productiva del país y el papel determinante de la industria automotriz dentro de las manufacturas, </w:t>
      </w:r>
      <w:r>
        <w:rPr>
          <w:spacing w:val="-3"/>
        </w:rPr>
        <w:t>ya </w:t>
      </w:r>
      <w:r>
        <w:rPr/>
        <w:t>que la información presentada durante este capítulo muestra evidencia de que la industria automotriz puede ser el detonante de crecimiento dentro del sector manufacturero, gracias a los empleos, servicios y productos que genera y a los importantes encadenamientos que tiene con otras</w:t>
      </w:r>
      <w:r>
        <w:rPr>
          <w:spacing w:val="-9"/>
        </w:rPr>
        <w:t> </w:t>
      </w:r>
      <w:r>
        <w:rPr/>
        <w:t>industrias.</w:t>
      </w:r>
    </w:p>
    <w:p>
      <w:pPr>
        <w:pStyle w:val="BodyText"/>
        <w:spacing w:before="4"/>
        <w:rPr>
          <w:sz w:val="21"/>
        </w:rPr>
      </w:pPr>
    </w:p>
    <w:p>
      <w:pPr>
        <w:pStyle w:val="BodyText"/>
        <w:spacing w:line="360" w:lineRule="auto" w:before="1"/>
        <w:ind w:left="102" w:right="114"/>
        <w:jc w:val="both"/>
      </w:pPr>
      <w:r>
        <w:rPr/>
        <w:t>Lo anterior nos da pie a realizar un análisis más detallado del impacto que la industria automotriz ha provocado en el sector manufacturero durante el periodo 1980-2009 en las regiones y entidades donde se ubica actualmente, que de acuerdo con Carbajal y de Jesús (2013),</w:t>
      </w:r>
      <w:r>
        <w:rPr>
          <w:spacing w:val="-5"/>
        </w:rPr>
        <w:t> </w:t>
      </w:r>
      <w:r>
        <w:rPr/>
        <w:t>conforman</w:t>
      </w:r>
      <w:r>
        <w:rPr>
          <w:spacing w:val="-4"/>
        </w:rPr>
        <w:t> </w:t>
      </w:r>
      <w:r>
        <w:rPr/>
        <w:t>claramente</w:t>
      </w:r>
      <w:r>
        <w:rPr>
          <w:spacing w:val="-5"/>
        </w:rPr>
        <w:t> </w:t>
      </w:r>
      <w:r>
        <w:rPr/>
        <w:t>cuatro</w:t>
      </w:r>
      <w:r>
        <w:rPr>
          <w:spacing w:val="-4"/>
        </w:rPr>
        <w:t> </w:t>
      </w:r>
      <w:r>
        <w:rPr/>
        <w:t>regiones,</w:t>
      </w:r>
      <w:r>
        <w:rPr>
          <w:spacing w:val="-4"/>
        </w:rPr>
        <w:t> </w:t>
      </w:r>
      <w:r>
        <w:rPr/>
        <w:t>en</w:t>
      </w:r>
      <w:r>
        <w:rPr>
          <w:spacing w:val="-4"/>
        </w:rPr>
        <w:t> </w:t>
      </w:r>
      <w:r>
        <w:rPr/>
        <w:t>las</w:t>
      </w:r>
      <w:r>
        <w:rPr>
          <w:spacing w:val="-4"/>
        </w:rPr>
        <w:t> </w:t>
      </w:r>
      <w:r>
        <w:rPr/>
        <w:t>que</w:t>
      </w:r>
      <w:r>
        <w:rPr>
          <w:spacing w:val="-2"/>
        </w:rPr>
        <w:t> </w:t>
      </w:r>
      <w:r>
        <w:rPr>
          <w:spacing w:val="-3"/>
        </w:rPr>
        <w:t>ya</w:t>
      </w:r>
      <w:r>
        <w:rPr>
          <w:spacing w:val="-5"/>
        </w:rPr>
        <w:t> </w:t>
      </w:r>
      <w:r>
        <w:rPr/>
        <w:t>sea</w:t>
      </w:r>
      <w:r>
        <w:rPr>
          <w:spacing w:val="-5"/>
        </w:rPr>
        <w:t> </w:t>
      </w:r>
      <w:r>
        <w:rPr/>
        <w:t>en</w:t>
      </w:r>
      <w:r>
        <w:rPr>
          <w:spacing w:val="-4"/>
        </w:rPr>
        <w:t> </w:t>
      </w:r>
      <w:r>
        <w:rPr/>
        <w:t>mayor</w:t>
      </w:r>
      <w:r>
        <w:rPr>
          <w:spacing w:val="-2"/>
        </w:rPr>
        <w:t> </w:t>
      </w:r>
      <w:r>
        <w:rPr/>
        <w:t>o</w:t>
      </w:r>
      <w:r>
        <w:rPr>
          <w:spacing w:val="-4"/>
        </w:rPr>
        <w:t> </w:t>
      </w:r>
      <w:r>
        <w:rPr/>
        <w:t>menor</w:t>
      </w:r>
      <w:r>
        <w:rPr>
          <w:spacing w:val="-5"/>
        </w:rPr>
        <w:t> </w:t>
      </w:r>
      <w:r>
        <w:rPr/>
        <w:t>grado</w:t>
      </w:r>
      <w:r>
        <w:rPr>
          <w:spacing w:val="-4"/>
        </w:rPr>
        <w:t> </w:t>
      </w:r>
      <w:r>
        <w:rPr/>
        <w:t>ha</w:t>
      </w:r>
    </w:p>
    <w:p>
      <w:pPr>
        <w:spacing w:after="0" w:line="360" w:lineRule="auto"/>
        <w:jc w:val="both"/>
        <w:sectPr>
          <w:pgSz w:w="12240" w:h="15840"/>
          <w:pgMar w:header="0" w:footer="1035" w:top="1360" w:bottom="1220" w:left="1600" w:right="1580"/>
        </w:sectPr>
      </w:pPr>
    </w:p>
    <w:p>
      <w:pPr>
        <w:pStyle w:val="BodyText"/>
        <w:spacing w:line="360" w:lineRule="auto" w:before="50"/>
        <w:ind w:left="102" w:right="123"/>
        <w:jc w:val="both"/>
      </w:pPr>
      <w:r>
        <w:rPr/>
        <w:t>llegado a dinamizar no solo al sector manufacturero, sino a la actividad económica en general.</w:t>
      </w:r>
    </w:p>
    <w:p>
      <w:pPr>
        <w:pStyle w:val="BodyText"/>
        <w:spacing w:before="7"/>
        <w:rPr>
          <w:sz w:val="21"/>
        </w:rPr>
      </w:pPr>
    </w:p>
    <w:p>
      <w:pPr>
        <w:pStyle w:val="Heading1"/>
        <w:numPr>
          <w:ilvl w:val="1"/>
          <w:numId w:val="28"/>
        </w:numPr>
        <w:tabs>
          <w:tab w:pos="523" w:val="left" w:leader="none"/>
        </w:tabs>
        <w:spacing w:line="240" w:lineRule="auto" w:before="0" w:after="0"/>
        <w:ind w:left="522" w:right="0" w:hanging="420"/>
        <w:jc w:val="both"/>
      </w:pPr>
      <w:bookmarkStart w:name="_TOC_250012" w:id="23"/>
      <w:r>
        <w:rPr/>
        <w:t>Las cuatro regiones de la industria automotriz en</w:t>
      </w:r>
      <w:r>
        <w:rPr>
          <w:spacing w:val="-15"/>
        </w:rPr>
        <w:t> </w:t>
      </w:r>
      <w:bookmarkEnd w:id="23"/>
      <w:r>
        <w:rPr/>
        <w:t>México</w:t>
      </w:r>
    </w:p>
    <w:p>
      <w:pPr>
        <w:pStyle w:val="BodyText"/>
        <w:spacing w:before="6"/>
        <w:rPr>
          <w:b/>
          <w:sz w:val="32"/>
        </w:rPr>
      </w:pPr>
    </w:p>
    <w:p>
      <w:pPr>
        <w:pStyle w:val="BodyText"/>
        <w:spacing w:line="360" w:lineRule="auto"/>
        <w:ind w:left="102" w:right="117"/>
        <w:jc w:val="both"/>
      </w:pPr>
      <w:r>
        <w:rPr/>
        <w:t>Como </w:t>
      </w:r>
      <w:r>
        <w:rPr>
          <w:spacing w:val="-3"/>
        </w:rPr>
        <w:t>ya </w:t>
      </w:r>
      <w:r>
        <w:rPr/>
        <w:t>se ha mencionado la industria automotriz es una de las más dinámicas y competitivas</w:t>
      </w:r>
      <w:r>
        <w:rPr>
          <w:spacing w:val="-11"/>
        </w:rPr>
        <w:t> </w:t>
      </w:r>
      <w:r>
        <w:rPr/>
        <w:t>debido</w:t>
      </w:r>
      <w:r>
        <w:rPr>
          <w:spacing w:val="-11"/>
        </w:rPr>
        <w:t> </w:t>
      </w:r>
      <w:r>
        <w:rPr/>
        <w:t>a</w:t>
      </w:r>
      <w:r>
        <w:rPr>
          <w:spacing w:val="-12"/>
        </w:rPr>
        <w:t> </w:t>
      </w:r>
      <w:r>
        <w:rPr/>
        <w:t>que</w:t>
      </w:r>
      <w:r>
        <w:rPr>
          <w:spacing w:val="-12"/>
        </w:rPr>
        <w:t> </w:t>
      </w:r>
      <w:r>
        <w:rPr/>
        <w:t>representa</w:t>
      </w:r>
      <w:r>
        <w:rPr>
          <w:spacing w:val="-9"/>
        </w:rPr>
        <w:t> </w:t>
      </w:r>
      <w:r>
        <w:rPr/>
        <w:t>una</w:t>
      </w:r>
      <w:r>
        <w:rPr>
          <w:spacing w:val="-12"/>
        </w:rPr>
        <w:t> </w:t>
      </w:r>
      <w:r>
        <w:rPr/>
        <w:t>parte</w:t>
      </w:r>
      <w:r>
        <w:rPr>
          <w:spacing w:val="-12"/>
        </w:rPr>
        <w:t> </w:t>
      </w:r>
      <w:r>
        <w:rPr/>
        <w:t>importante</w:t>
      </w:r>
      <w:r>
        <w:rPr>
          <w:spacing w:val="-11"/>
        </w:rPr>
        <w:t> </w:t>
      </w:r>
      <w:r>
        <w:rPr/>
        <w:t>del</w:t>
      </w:r>
      <w:r>
        <w:rPr>
          <w:spacing w:val="-11"/>
        </w:rPr>
        <w:t> </w:t>
      </w:r>
      <w:r>
        <w:rPr/>
        <w:t>PIB</w:t>
      </w:r>
      <w:r>
        <w:rPr>
          <w:spacing w:val="-11"/>
        </w:rPr>
        <w:t> </w:t>
      </w:r>
      <w:r>
        <w:rPr/>
        <w:t>manufacturero</w:t>
      </w:r>
      <w:r>
        <w:rPr>
          <w:spacing w:val="-7"/>
        </w:rPr>
        <w:t> </w:t>
      </w:r>
      <w:r>
        <w:rPr/>
        <w:t>y</w:t>
      </w:r>
      <w:r>
        <w:rPr>
          <w:spacing w:val="-16"/>
        </w:rPr>
        <w:t> </w:t>
      </w:r>
      <w:r>
        <w:rPr/>
        <w:t>total,</w:t>
      </w:r>
      <w:r>
        <w:rPr>
          <w:spacing w:val="-11"/>
        </w:rPr>
        <w:t> </w:t>
      </w:r>
      <w:r>
        <w:rPr/>
        <w:t>por los</w:t>
      </w:r>
      <w:r>
        <w:rPr>
          <w:spacing w:val="-8"/>
        </w:rPr>
        <w:t> </w:t>
      </w:r>
      <w:r>
        <w:rPr/>
        <w:t>empleos</w:t>
      </w:r>
      <w:r>
        <w:rPr>
          <w:spacing w:val="-8"/>
        </w:rPr>
        <w:t> </w:t>
      </w:r>
      <w:r>
        <w:rPr/>
        <w:t>que</w:t>
      </w:r>
      <w:r>
        <w:rPr>
          <w:spacing w:val="-10"/>
        </w:rPr>
        <w:t> </w:t>
      </w:r>
      <w:r>
        <w:rPr/>
        <w:t>genera</w:t>
      </w:r>
      <w:r>
        <w:rPr>
          <w:spacing w:val="-7"/>
        </w:rPr>
        <w:t> </w:t>
      </w:r>
      <w:r>
        <w:rPr/>
        <w:t>y</w:t>
      </w:r>
      <w:r>
        <w:rPr>
          <w:spacing w:val="-11"/>
        </w:rPr>
        <w:t> </w:t>
      </w:r>
      <w:r>
        <w:rPr/>
        <w:t>por</w:t>
      </w:r>
      <w:r>
        <w:rPr>
          <w:spacing w:val="-9"/>
        </w:rPr>
        <w:t> </w:t>
      </w:r>
      <w:r>
        <w:rPr/>
        <w:t>los</w:t>
      </w:r>
      <w:r>
        <w:rPr>
          <w:spacing w:val="-8"/>
        </w:rPr>
        <w:t> </w:t>
      </w:r>
      <w:r>
        <w:rPr/>
        <w:t>encadenamientos</w:t>
      </w:r>
      <w:r>
        <w:rPr>
          <w:spacing w:val="-7"/>
        </w:rPr>
        <w:t> </w:t>
      </w:r>
      <w:r>
        <w:rPr/>
        <w:t>con</w:t>
      </w:r>
      <w:r>
        <w:rPr>
          <w:spacing w:val="-9"/>
        </w:rPr>
        <w:t> </w:t>
      </w:r>
      <w:r>
        <w:rPr/>
        <w:t>otras</w:t>
      </w:r>
      <w:r>
        <w:rPr>
          <w:spacing w:val="-8"/>
        </w:rPr>
        <w:t> </w:t>
      </w:r>
      <w:r>
        <w:rPr/>
        <w:t>actividades</w:t>
      </w:r>
      <w:r>
        <w:rPr>
          <w:spacing w:val="-8"/>
        </w:rPr>
        <w:t> </w:t>
      </w:r>
      <w:r>
        <w:rPr/>
        <w:t>productivas.</w:t>
      </w:r>
      <w:r>
        <w:rPr>
          <w:spacing w:val="-8"/>
        </w:rPr>
        <w:t> </w:t>
      </w:r>
      <w:r>
        <w:rPr/>
        <w:t>En</w:t>
      </w:r>
      <w:r>
        <w:rPr>
          <w:spacing w:val="-9"/>
        </w:rPr>
        <w:t> </w:t>
      </w:r>
      <w:r>
        <w:rPr/>
        <w:t>este sentido,</w:t>
      </w:r>
      <w:r>
        <w:rPr>
          <w:spacing w:val="-9"/>
        </w:rPr>
        <w:t> </w:t>
      </w:r>
      <w:r>
        <w:rPr/>
        <w:t>su</w:t>
      </w:r>
      <w:r>
        <w:rPr>
          <w:spacing w:val="-8"/>
        </w:rPr>
        <w:t> </w:t>
      </w:r>
      <w:r>
        <w:rPr/>
        <w:t>localización</w:t>
      </w:r>
      <w:r>
        <w:rPr>
          <w:spacing w:val="-6"/>
        </w:rPr>
        <w:t> </w:t>
      </w:r>
      <w:r>
        <w:rPr/>
        <w:t>espacial</w:t>
      </w:r>
      <w:r>
        <w:rPr>
          <w:spacing w:val="-6"/>
        </w:rPr>
        <w:t> </w:t>
      </w:r>
      <w:r>
        <w:rPr/>
        <w:t>es</w:t>
      </w:r>
      <w:r>
        <w:rPr>
          <w:spacing w:val="-8"/>
        </w:rPr>
        <w:t> </w:t>
      </w:r>
      <w:r>
        <w:rPr/>
        <w:t>un</w:t>
      </w:r>
      <w:r>
        <w:rPr>
          <w:spacing w:val="-6"/>
        </w:rPr>
        <w:t> </w:t>
      </w:r>
      <w:r>
        <w:rPr/>
        <w:t>factor</w:t>
      </w:r>
      <w:r>
        <w:rPr>
          <w:spacing w:val="-9"/>
        </w:rPr>
        <w:t> </w:t>
      </w:r>
      <w:r>
        <w:rPr/>
        <w:t>importante</w:t>
      </w:r>
      <w:r>
        <w:rPr>
          <w:spacing w:val="-10"/>
        </w:rPr>
        <w:t> </w:t>
      </w:r>
      <w:r>
        <w:rPr/>
        <w:t>por</w:t>
      </w:r>
      <w:r>
        <w:rPr>
          <w:spacing w:val="-7"/>
        </w:rPr>
        <w:t> </w:t>
      </w:r>
      <w:r>
        <w:rPr/>
        <w:t>el</w:t>
      </w:r>
      <w:r>
        <w:rPr>
          <w:spacing w:val="-8"/>
        </w:rPr>
        <w:t> </w:t>
      </w:r>
      <w:r>
        <w:rPr/>
        <w:t>dinamismo</w:t>
      </w:r>
      <w:r>
        <w:rPr>
          <w:spacing w:val="-8"/>
        </w:rPr>
        <w:t> </w:t>
      </w:r>
      <w:r>
        <w:rPr/>
        <w:t>que</w:t>
      </w:r>
      <w:r>
        <w:rPr>
          <w:spacing w:val="-10"/>
        </w:rPr>
        <w:t> </w:t>
      </w:r>
      <w:r>
        <w:rPr/>
        <w:t>puede</w:t>
      </w:r>
      <w:r>
        <w:rPr>
          <w:spacing w:val="-5"/>
        </w:rPr>
        <w:t> </w:t>
      </w:r>
      <w:r>
        <w:rPr/>
        <w:t>generar en las regiones y entidades federativas donde se</w:t>
      </w:r>
      <w:r>
        <w:rPr>
          <w:spacing w:val="-10"/>
        </w:rPr>
        <w:t> </w:t>
      </w:r>
      <w:r>
        <w:rPr/>
        <w:t>localiza.</w:t>
      </w:r>
    </w:p>
    <w:p>
      <w:pPr>
        <w:pStyle w:val="BodyText"/>
        <w:spacing w:before="2"/>
        <w:rPr>
          <w:sz w:val="21"/>
        </w:rPr>
      </w:pPr>
    </w:p>
    <w:p>
      <w:pPr>
        <w:pStyle w:val="BodyText"/>
        <w:spacing w:line="360" w:lineRule="auto"/>
        <w:ind w:left="102" w:right="119"/>
        <w:jc w:val="both"/>
      </w:pPr>
      <w:r>
        <w:rPr/>
        <w:t>La industria automotriz de México cuenta con cuatro importantes ventajas: en primer lugar cuenta con salarios bajos en comparación con Estados Unidos, especialmente a partir de la crisis</w:t>
      </w:r>
      <w:r>
        <w:rPr>
          <w:spacing w:val="-8"/>
        </w:rPr>
        <w:t> </w:t>
      </w:r>
      <w:r>
        <w:rPr/>
        <w:t>de</w:t>
      </w:r>
      <w:r>
        <w:rPr>
          <w:spacing w:val="-10"/>
        </w:rPr>
        <w:t> </w:t>
      </w:r>
      <w:r>
        <w:rPr/>
        <w:t>1994-1995</w:t>
      </w:r>
      <w:r>
        <w:rPr>
          <w:spacing w:val="-9"/>
        </w:rPr>
        <w:t> </w:t>
      </w:r>
      <w:r>
        <w:rPr/>
        <w:t>en</w:t>
      </w:r>
      <w:r>
        <w:rPr>
          <w:spacing w:val="-9"/>
        </w:rPr>
        <w:t> </w:t>
      </w:r>
      <w:r>
        <w:rPr/>
        <w:t>que</w:t>
      </w:r>
      <w:r>
        <w:rPr>
          <w:spacing w:val="-10"/>
        </w:rPr>
        <w:t> </w:t>
      </w:r>
      <w:r>
        <w:rPr/>
        <w:t>se</w:t>
      </w:r>
      <w:r>
        <w:rPr>
          <w:spacing w:val="-9"/>
        </w:rPr>
        <w:t> </w:t>
      </w:r>
      <w:r>
        <w:rPr/>
        <w:t>produjeron</w:t>
      </w:r>
      <w:r>
        <w:rPr>
          <w:spacing w:val="-9"/>
        </w:rPr>
        <w:t> </w:t>
      </w:r>
      <w:r>
        <w:rPr/>
        <w:t>fuertes</w:t>
      </w:r>
      <w:r>
        <w:rPr>
          <w:spacing w:val="-8"/>
        </w:rPr>
        <w:t> </w:t>
      </w:r>
      <w:r>
        <w:rPr/>
        <w:t>devaluaciones</w:t>
      </w:r>
      <w:r>
        <w:rPr>
          <w:spacing w:val="-9"/>
        </w:rPr>
        <w:t> </w:t>
      </w:r>
      <w:r>
        <w:rPr/>
        <w:t>del</w:t>
      </w:r>
      <w:r>
        <w:rPr>
          <w:spacing w:val="-8"/>
        </w:rPr>
        <w:t> </w:t>
      </w:r>
      <w:r>
        <w:rPr/>
        <w:t>peso</w:t>
      </w:r>
      <w:r>
        <w:rPr>
          <w:spacing w:val="-8"/>
        </w:rPr>
        <w:t> </w:t>
      </w:r>
      <w:r>
        <w:rPr/>
        <w:t>mexicano;</w:t>
      </w:r>
      <w:r>
        <w:rPr>
          <w:spacing w:val="-8"/>
        </w:rPr>
        <w:t> </w:t>
      </w:r>
      <w:r>
        <w:rPr/>
        <w:t>segundo, México goza de una ubicación geográfica inmejorable con respecto al mercado norteamericano; tercero, acceso preferencial al mercado de Estados Unidos sobre todo a partir</w:t>
      </w:r>
      <w:r>
        <w:rPr>
          <w:spacing w:val="-4"/>
        </w:rPr>
        <w:t> </w:t>
      </w:r>
      <w:r>
        <w:rPr/>
        <w:t>de</w:t>
      </w:r>
      <w:r>
        <w:rPr>
          <w:spacing w:val="-5"/>
        </w:rPr>
        <w:t> </w:t>
      </w:r>
      <w:r>
        <w:rPr/>
        <w:t>1994</w:t>
      </w:r>
      <w:r>
        <w:rPr>
          <w:spacing w:val="-1"/>
        </w:rPr>
        <w:t> </w:t>
      </w:r>
      <w:r>
        <w:rPr/>
        <w:t>con</w:t>
      </w:r>
      <w:r>
        <w:rPr>
          <w:spacing w:val="-4"/>
        </w:rPr>
        <w:t> </w:t>
      </w:r>
      <w:r>
        <w:rPr/>
        <w:t>la</w:t>
      </w:r>
      <w:r>
        <w:rPr>
          <w:spacing w:val="-4"/>
        </w:rPr>
        <w:t> </w:t>
      </w:r>
      <w:r>
        <w:rPr/>
        <w:t>firma</w:t>
      </w:r>
      <w:r>
        <w:rPr>
          <w:spacing w:val="-5"/>
        </w:rPr>
        <w:t> </w:t>
      </w:r>
      <w:r>
        <w:rPr/>
        <w:t>del</w:t>
      </w:r>
      <w:r>
        <w:rPr>
          <w:spacing w:val="-3"/>
        </w:rPr>
        <w:t> </w:t>
      </w:r>
      <w:r>
        <w:rPr/>
        <w:t>Tratado</w:t>
      </w:r>
      <w:r>
        <w:rPr>
          <w:spacing w:val="-4"/>
        </w:rPr>
        <w:t> </w:t>
      </w:r>
      <w:r>
        <w:rPr/>
        <w:t>de</w:t>
      </w:r>
      <w:r>
        <w:rPr>
          <w:spacing w:val="-2"/>
        </w:rPr>
        <w:t> </w:t>
      </w:r>
      <w:r>
        <w:rPr/>
        <w:t>Libre</w:t>
      </w:r>
      <w:r>
        <w:rPr>
          <w:spacing w:val="-6"/>
        </w:rPr>
        <w:t> </w:t>
      </w:r>
      <w:r>
        <w:rPr/>
        <w:t>Comercio</w:t>
      </w:r>
      <w:r>
        <w:rPr>
          <w:spacing w:val="-3"/>
        </w:rPr>
        <w:t> </w:t>
      </w:r>
      <w:r>
        <w:rPr/>
        <w:t>con</w:t>
      </w:r>
      <w:r>
        <w:rPr>
          <w:spacing w:val="-1"/>
        </w:rPr>
        <w:t> </w:t>
      </w:r>
      <w:r>
        <w:rPr/>
        <w:t>América</w:t>
      </w:r>
      <w:r>
        <w:rPr>
          <w:spacing w:val="-5"/>
        </w:rPr>
        <w:t> </w:t>
      </w:r>
      <w:r>
        <w:rPr/>
        <w:t>del</w:t>
      </w:r>
      <w:r>
        <w:rPr>
          <w:spacing w:val="-1"/>
        </w:rPr>
        <w:t> </w:t>
      </w:r>
      <w:r>
        <w:rPr/>
        <w:t>Norte</w:t>
      </w:r>
      <w:r>
        <w:rPr>
          <w:spacing w:val="-4"/>
        </w:rPr>
        <w:t> </w:t>
      </w:r>
      <w:r>
        <w:rPr/>
        <w:t>(TLCAN) y cuatro que la demanda de automóviles es cada vez mayor en nuestro país (Mortimore y Barrón,</w:t>
      </w:r>
      <w:r>
        <w:rPr>
          <w:spacing w:val="-4"/>
        </w:rPr>
        <w:t> </w:t>
      </w:r>
      <w:r>
        <w:rPr/>
        <w:t>2005).</w:t>
      </w:r>
    </w:p>
    <w:p>
      <w:pPr>
        <w:pStyle w:val="BodyText"/>
        <w:spacing w:before="2"/>
        <w:rPr>
          <w:sz w:val="21"/>
        </w:rPr>
      </w:pPr>
    </w:p>
    <w:p>
      <w:pPr>
        <w:pStyle w:val="BodyText"/>
        <w:spacing w:line="360" w:lineRule="auto"/>
        <w:ind w:left="102" w:right="116"/>
        <w:jc w:val="both"/>
      </w:pPr>
      <w:r>
        <w:rPr/>
        <w:t>La evolución y la situación actual de la industria automotriz ha sido el resultado de distintos factores, desde la emisión de varios decretos para su fomento hasta la puesta en marcha de políticas y estrategias que se han dado sobre todo en materia de comercio. En esta dirección el</w:t>
      </w:r>
      <w:r>
        <w:rPr>
          <w:spacing w:val="-3"/>
        </w:rPr>
        <w:t> </w:t>
      </w:r>
      <w:r>
        <w:rPr/>
        <w:t>proceso</w:t>
      </w:r>
      <w:r>
        <w:rPr>
          <w:spacing w:val="-4"/>
        </w:rPr>
        <w:t> </w:t>
      </w:r>
      <w:r>
        <w:rPr/>
        <w:t>de</w:t>
      </w:r>
      <w:r>
        <w:rPr>
          <w:spacing w:val="-2"/>
        </w:rPr>
        <w:t> </w:t>
      </w:r>
      <w:r>
        <w:rPr/>
        <w:t>apertura</w:t>
      </w:r>
      <w:r>
        <w:rPr>
          <w:spacing w:val="-5"/>
        </w:rPr>
        <w:t> </w:t>
      </w:r>
      <w:r>
        <w:rPr/>
        <w:t>económica</w:t>
      </w:r>
      <w:r>
        <w:rPr>
          <w:spacing w:val="-5"/>
        </w:rPr>
        <w:t> </w:t>
      </w:r>
      <w:r>
        <w:rPr/>
        <w:t>que</w:t>
      </w:r>
      <w:r>
        <w:rPr>
          <w:spacing w:val="-5"/>
        </w:rPr>
        <w:t> </w:t>
      </w:r>
      <w:r>
        <w:rPr/>
        <w:t>ha</w:t>
      </w:r>
      <w:r>
        <w:rPr>
          <w:spacing w:val="-5"/>
        </w:rPr>
        <w:t> </w:t>
      </w:r>
      <w:r>
        <w:rPr/>
        <w:t>caracterizado</w:t>
      </w:r>
      <w:r>
        <w:rPr>
          <w:spacing w:val="-1"/>
        </w:rPr>
        <w:t> </w:t>
      </w:r>
      <w:r>
        <w:rPr/>
        <w:t>a</w:t>
      </w:r>
      <w:r>
        <w:rPr>
          <w:spacing w:val="-5"/>
        </w:rPr>
        <w:t> </w:t>
      </w:r>
      <w:r>
        <w:rPr/>
        <w:t>nuestro</w:t>
      </w:r>
      <w:r>
        <w:rPr>
          <w:spacing w:val="-4"/>
        </w:rPr>
        <w:t> </w:t>
      </w:r>
      <w:r>
        <w:rPr/>
        <w:t>país</w:t>
      </w:r>
      <w:r>
        <w:rPr>
          <w:spacing w:val="-3"/>
        </w:rPr>
        <w:t> </w:t>
      </w:r>
      <w:r>
        <w:rPr/>
        <w:t>desde</w:t>
      </w:r>
      <w:r>
        <w:rPr>
          <w:spacing w:val="-2"/>
        </w:rPr>
        <w:t> </w:t>
      </w:r>
      <w:r>
        <w:rPr/>
        <w:t>los</w:t>
      </w:r>
      <w:r>
        <w:rPr>
          <w:spacing w:val="-3"/>
        </w:rPr>
        <w:t> </w:t>
      </w:r>
      <w:r>
        <w:rPr/>
        <w:t>años</w:t>
      </w:r>
      <w:r>
        <w:rPr>
          <w:spacing w:val="-4"/>
        </w:rPr>
        <w:t> </w:t>
      </w:r>
      <w:r>
        <w:rPr/>
        <w:t>ochenta y en especial con la entrada en vigor del TLCAN han tenido efectos muy importantes sobre el sector automotriz, que lo han ubicado en una de las actividades más importantes del país y de los estados donde se</w:t>
      </w:r>
      <w:r>
        <w:rPr>
          <w:spacing w:val="-7"/>
        </w:rPr>
        <w:t> </w:t>
      </w:r>
      <w:r>
        <w:rPr/>
        <w:t>ubica.</w:t>
      </w:r>
    </w:p>
    <w:p>
      <w:pPr>
        <w:pStyle w:val="BodyText"/>
        <w:spacing w:before="4"/>
        <w:rPr>
          <w:sz w:val="21"/>
        </w:rPr>
      </w:pPr>
    </w:p>
    <w:p>
      <w:pPr>
        <w:pStyle w:val="BodyText"/>
        <w:spacing w:line="360" w:lineRule="auto" w:before="1"/>
        <w:ind w:left="102" w:right="118"/>
        <w:jc w:val="both"/>
      </w:pPr>
      <w:r>
        <w:rPr/>
        <w:t>Dichos</w:t>
      </w:r>
      <w:r>
        <w:rPr>
          <w:spacing w:val="-6"/>
        </w:rPr>
        <w:t> </w:t>
      </w:r>
      <w:r>
        <w:rPr/>
        <w:t>factores</w:t>
      </w:r>
      <w:r>
        <w:rPr>
          <w:spacing w:val="-6"/>
        </w:rPr>
        <w:t> </w:t>
      </w:r>
      <w:r>
        <w:rPr/>
        <w:t>han</w:t>
      </w:r>
      <w:r>
        <w:rPr>
          <w:spacing w:val="-6"/>
        </w:rPr>
        <w:t> </w:t>
      </w:r>
      <w:r>
        <w:rPr/>
        <w:t>sido</w:t>
      </w:r>
      <w:r>
        <w:rPr>
          <w:spacing w:val="-6"/>
        </w:rPr>
        <w:t> </w:t>
      </w:r>
      <w:r>
        <w:rPr/>
        <w:t>fundamentales</w:t>
      </w:r>
      <w:r>
        <w:rPr>
          <w:spacing w:val="-7"/>
        </w:rPr>
        <w:t> </w:t>
      </w:r>
      <w:r>
        <w:rPr/>
        <w:t>para</w:t>
      </w:r>
      <w:r>
        <w:rPr>
          <w:spacing w:val="-8"/>
        </w:rPr>
        <w:t> </w:t>
      </w:r>
      <w:r>
        <w:rPr/>
        <w:t>consolidar</w:t>
      </w:r>
      <w:r>
        <w:rPr>
          <w:spacing w:val="-7"/>
        </w:rPr>
        <w:t> </w:t>
      </w:r>
      <w:r>
        <w:rPr/>
        <w:t>la</w:t>
      </w:r>
      <w:r>
        <w:rPr>
          <w:spacing w:val="-7"/>
        </w:rPr>
        <w:t> </w:t>
      </w:r>
      <w:r>
        <w:rPr/>
        <w:t>etapa</w:t>
      </w:r>
      <w:r>
        <w:rPr>
          <w:spacing w:val="-8"/>
        </w:rPr>
        <w:t> </w:t>
      </w:r>
      <w:r>
        <w:rPr/>
        <w:t>exportadora</w:t>
      </w:r>
      <w:r>
        <w:rPr>
          <w:spacing w:val="-7"/>
        </w:rPr>
        <w:t> </w:t>
      </w:r>
      <w:r>
        <w:rPr/>
        <w:t>del</w:t>
      </w:r>
      <w:r>
        <w:rPr>
          <w:spacing w:val="-6"/>
        </w:rPr>
        <w:t> </w:t>
      </w:r>
      <w:r>
        <w:rPr/>
        <w:t>sector</w:t>
      </w:r>
      <w:r>
        <w:rPr>
          <w:spacing w:val="-4"/>
        </w:rPr>
        <w:t> </w:t>
      </w:r>
      <w:r>
        <w:rPr/>
        <w:t>y</w:t>
      </w:r>
      <w:r>
        <w:rPr>
          <w:spacing w:val="-11"/>
        </w:rPr>
        <w:t> </w:t>
      </w:r>
      <w:r>
        <w:rPr/>
        <w:t>por otro, ha propiciado que algunas regiones se hayan consolidado como polos de atracción de las grandes  trasnacionales  del  sector, con lo  que han desarrollado  importantes</w:t>
      </w:r>
      <w:r>
        <w:rPr>
          <w:spacing w:val="32"/>
        </w:rPr>
        <w:t> </w:t>
      </w:r>
      <w:r>
        <w:rPr/>
        <w:t>complejos</w:t>
      </w:r>
    </w:p>
    <w:p>
      <w:pPr>
        <w:spacing w:after="0" w:line="360" w:lineRule="auto"/>
        <w:jc w:val="both"/>
        <w:sectPr>
          <w:pgSz w:w="12240" w:h="15840"/>
          <w:pgMar w:header="0" w:footer="1035" w:top="1360" w:bottom="1220" w:left="1600" w:right="1580"/>
        </w:sectPr>
      </w:pPr>
    </w:p>
    <w:p>
      <w:pPr>
        <w:pStyle w:val="BodyText"/>
        <w:spacing w:line="360" w:lineRule="auto" w:before="55"/>
        <w:ind w:left="122" w:right="117"/>
        <w:jc w:val="both"/>
      </w:pPr>
      <w:r>
        <w:rPr/>
        <w:t>automotrices que han permitido conformar </w:t>
      </w:r>
      <w:r>
        <w:rPr>
          <w:i/>
        </w:rPr>
        <w:t>clusters</w:t>
      </w:r>
      <w:r>
        <w:rPr>
          <w:i/>
          <w:position w:val="9"/>
          <w:sz w:val="16"/>
        </w:rPr>
        <w:t>13 </w:t>
      </w:r>
      <w:r>
        <w:rPr/>
        <w:t>de esta industria (Carbajal y De Jesús, 2013).</w:t>
      </w:r>
    </w:p>
    <w:p>
      <w:pPr>
        <w:pStyle w:val="BodyText"/>
        <w:spacing w:before="2"/>
        <w:rPr>
          <w:sz w:val="21"/>
        </w:rPr>
      </w:pPr>
    </w:p>
    <w:p>
      <w:pPr>
        <w:pStyle w:val="BodyText"/>
        <w:spacing w:line="360" w:lineRule="auto"/>
        <w:ind w:left="122" w:right="118"/>
        <w:jc w:val="both"/>
      </w:pPr>
      <w:r>
        <w:rPr/>
        <w:t>La industria automotriz se instaló en México entre 1925 y 1950, seleccionando a la Ciudad de México y algunos municipios del Estado de México como Cuautitlán, Toluca y Lerma para localizarse, ya que de acuerdo al modelo económico que imperaba, la producción se dedicaba a abastecer al mercado interno especialmente del centro del país. Las políticas de industrialización seguidas en México en la etapa de sustitución de importaciones y los decretos de protección a la industria nacional, llevaron al desarrollo de un mayor número de plantas armadoras y de autopartes a que se instalaran en la ciudad de México y en algunas ciudades capitales de los estados vecinos (Villarreal y Villegas, 2007 y Vieyra, 1999).</w:t>
      </w:r>
    </w:p>
    <w:p>
      <w:pPr>
        <w:pStyle w:val="BodyText"/>
        <w:spacing w:before="2"/>
        <w:rPr>
          <w:sz w:val="21"/>
        </w:rPr>
      </w:pPr>
    </w:p>
    <w:p>
      <w:pPr>
        <w:pStyle w:val="BodyText"/>
        <w:spacing w:line="360" w:lineRule="auto"/>
        <w:ind w:left="122" w:right="120"/>
        <w:jc w:val="both"/>
      </w:pPr>
      <w:r>
        <w:rPr/>
        <w:t>Sin embargo, para enfrentar la crisis de los años ochenta, México cambió el modelo económico e inició un proceso de apertura comercial con la firma del Acuerdo General de Aranceles y Tarifas (GATT) en 1986 impulsándose las exportaciones e importaciones. En este sentido las empresas automotrices utilizaron el “Modelo Multinacional”, que llevó a la implantación de empresas terminales y de autopartes en la frontera norte de nuestro país en particular a partir de la entrada en vigor del TLCAN en 1994 (Villarreal y Villegas, 2007).</w:t>
      </w:r>
    </w:p>
    <w:p>
      <w:pPr>
        <w:pStyle w:val="BodyText"/>
        <w:spacing w:before="2"/>
        <w:rPr>
          <w:sz w:val="21"/>
        </w:rPr>
      </w:pPr>
    </w:p>
    <w:p>
      <w:pPr>
        <w:pStyle w:val="BodyText"/>
        <w:spacing w:line="360" w:lineRule="auto"/>
        <w:ind w:left="122" w:right="119"/>
        <w:jc w:val="both"/>
      </w:pPr>
      <w:r>
        <w:rPr/>
        <w:t>En este mismo sentido, Carrillo (2007) señala que fue con la entrada en vigor del TLCAN, cuando el sector automotriz inició una segunda etapa de adaptación y configuración, principalmente a partir de que los requerimientos de las empresas ensambladoras se</w:t>
      </w:r>
      <w:r>
        <w:rPr>
          <w:spacing w:val="-24"/>
        </w:rPr>
        <w:t> </w:t>
      </w:r>
      <w:r>
        <w:rPr/>
        <w:t>vuelven más estrictos y se hacen importantes inversiones en nuevas tecnologías. Por lo tanto las empresas de autopartes también desarrollan e instrumentan nuevos procesos de producción, con</w:t>
      </w:r>
      <w:r>
        <w:rPr>
          <w:spacing w:val="-9"/>
        </w:rPr>
        <w:t> </w:t>
      </w:r>
      <w:r>
        <w:rPr/>
        <w:t>lo</w:t>
      </w:r>
      <w:r>
        <w:rPr>
          <w:spacing w:val="-8"/>
        </w:rPr>
        <w:t> </w:t>
      </w:r>
      <w:r>
        <w:rPr/>
        <w:t>que</w:t>
      </w:r>
      <w:r>
        <w:rPr>
          <w:spacing w:val="-10"/>
        </w:rPr>
        <w:t> </w:t>
      </w:r>
      <w:r>
        <w:rPr/>
        <w:t>requieren</w:t>
      </w:r>
      <w:r>
        <w:rPr>
          <w:spacing w:val="-9"/>
        </w:rPr>
        <w:t> </w:t>
      </w:r>
      <w:r>
        <w:rPr/>
        <w:t>más</w:t>
      </w:r>
      <w:r>
        <w:rPr>
          <w:spacing w:val="-4"/>
        </w:rPr>
        <w:t> </w:t>
      </w:r>
      <w:r>
        <w:rPr/>
        <w:t>mano</w:t>
      </w:r>
      <w:r>
        <w:rPr>
          <w:spacing w:val="-9"/>
        </w:rPr>
        <w:t> </w:t>
      </w:r>
      <w:r>
        <w:rPr/>
        <w:t>de</w:t>
      </w:r>
      <w:r>
        <w:rPr>
          <w:spacing w:val="-7"/>
        </w:rPr>
        <w:t> </w:t>
      </w:r>
      <w:r>
        <w:rPr/>
        <w:t>obra</w:t>
      </w:r>
      <w:r>
        <w:rPr>
          <w:spacing w:val="-8"/>
        </w:rPr>
        <w:t> </w:t>
      </w:r>
      <w:r>
        <w:rPr/>
        <w:t>calificada</w:t>
      </w:r>
      <w:r>
        <w:rPr>
          <w:spacing w:val="-3"/>
        </w:rPr>
        <w:t> </w:t>
      </w:r>
      <w:r>
        <w:rPr/>
        <w:t>y</w:t>
      </w:r>
      <w:r>
        <w:rPr>
          <w:spacing w:val="42"/>
        </w:rPr>
        <w:t> </w:t>
      </w:r>
      <w:r>
        <w:rPr/>
        <w:t>una</w:t>
      </w:r>
      <w:r>
        <w:rPr>
          <w:spacing w:val="-7"/>
        </w:rPr>
        <w:t> </w:t>
      </w:r>
      <w:r>
        <w:rPr/>
        <w:t>constante</w:t>
      </w:r>
      <w:r>
        <w:rPr>
          <w:spacing w:val="-7"/>
        </w:rPr>
        <w:t> </w:t>
      </w:r>
      <w:r>
        <w:rPr/>
        <w:t>capacitación</w:t>
      </w:r>
      <w:r>
        <w:rPr>
          <w:spacing w:val="-9"/>
        </w:rPr>
        <w:t> </w:t>
      </w:r>
      <w:r>
        <w:rPr/>
        <w:t>del</w:t>
      </w:r>
      <w:r>
        <w:rPr>
          <w:spacing w:val="-8"/>
        </w:rPr>
        <w:t> </w:t>
      </w:r>
      <w:r>
        <w:rPr/>
        <w:t>personal, lo que propició la especialización de</w:t>
      </w:r>
      <w:r>
        <w:rPr>
          <w:spacing w:val="-10"/>
        </w:rPr>
        <w:t> </w:t>
      </w:r>
      <w:r>
        <w:rPr/>
        <w:t>proveedores.</w:t>
      </w:r>
    </w:p>
    <w:p>
      <w:pPr>
        <w:pStyle w:val="BodyText"/>
        <w:spacing w:before="4"/>
        <w:rPr>
          <w:sz w:val="21"/>
        </w:rPr>
      </w:pPr>
    </w:p>
    <w:p>
      <w:pPr>
        <w:pStyle w:val="BodyText"/>
        <w:spacing w:line="360" w:lineRule="auto" w:before="1"/>
        <w:ind w:left="122" w:right="119"/>
        <w:jc w:val="both"/>
      </w:pPr>
      <w:r>
        <w:rPr/>
        <w:t>Si bien aunque en casi cualquier parte del territorio nacional podemos localizar alguna actividad</w:t>
      </w:r>
      <w:r>
        <w:rPr>
          <w:spacing w:val="-9"/>
        </w:rPr>
        <w:t> </w:t>
      </w:r>
      <w:r>
        <w:rPr/>
        <w:t>relacionada</w:t>
      </w:r>
      <w:r>
        <w:rPr>
          <w:spacing w:val="-7"/>
        </w:rPr>
        <w:t> </w:t>
      </w:r>
      <w:r>
        <w:rPr/>
        <w:t>con</w:t>
      </w:r>
      <w:r>
        <w:rPr>
          <w:spacing w:val="-7"/>
        </w:rPr>
        <w:t> </w:t>
      </w:r>
      <w:r>
        <w:rPr/>
        <w:t>la</w:t>
      </w:r>
      <w:r>
        <w:rPr>
          <w:spacing w:val="-9"/>
        </w:rPr>
        <w:t> </w:t>
      </w:r>
      <w:r>
        <w:rPr/>
        <w:t>industria</w:t>
      </w:r>
      <w:r>
        <w:rPr>
          <w:spacing w:val="-7"/>
        </w:rPr>
        <w:t> </w:t>
      </w:r>
      <w:r>
        <w:rPr/>
        <w:t>automotriz</w:t>
      </w:r>
      <w:r>
        <w:rPr>
          <w:spacing w:val="-7"/>
        </w:rPr>
        <w:t> </w:t>
      </w:r>
      <w:r>
        <w:rPr/>
        <w:t>de</w:t>
      </w:r>
      <w:r>
        <w:rPr>
          <w:spacing w:val="-10"/>
        </w:rPr>
        <w:t> </w:t>
      </w:r>
      <w:r>
        <w:rPr/>
        <w:t>acuerdo</w:t>
      </w:r>
      <w:r>
        <w:rPr>
          <w:spacing w:val="-7"/>
        </w:rPr>
        <w:t> </w:t>
      </w:r>
      <w:r>
        <w:rPr/>
        <w:t>con</w:t>
      </w:r>
      <w:r>
        <w:rPr>
          <w:spacing w:val="-7"/>
        </w:rPr>
        <w:t> </w:t>
      </w:r>
      <w:r>
        <w:rPr/>
        <w:t>Carbajal</w:t>
      </w:r>
      <w:r>
        <w:rPr>
          <w:spacing w:val="-3"/>
        </w:rPr>
        <w:t> </w:t>
      </w:r>
      <w:r>
        <w:rPr/>
        <w:t>y</w:t>
      </w:r>
      <w:r>
        <w:rPr>
          <w:spacing w:val="-11"/>
        </w:rPr>
        <w:t> </w:t>
      </w:r>
      <w:r>
        <w:rPr/>
        <w:t>De</w:t>
      </w:r>
      <w:r>
        <w:rPr>
          <w:spacing w:val="-10"/>
        </w:rPr>
        <w:t> </w:t>
      </w:r>
      <w:r>
        <w:rPr/>
        <w:t>Jesús</w:t>
      </w:r>
      <w:r>
        <w:rPr>
          <w:spacing w:val="-8"/>
        </w:rPr>
        <w:t> </w:t>
      </w:r>
      <w:r>
        <w:rPr/>
        <w:t>(2013), identifican  cuatro  regiones  predominantes  donde  actualmente  se  concentra  la    </w:t>
      </w:r>
      <w:r>
        <w:rPr>
          <w:spacing w:val="49"/>
        </w:rPr>
        <w:t> </w:t>
      </w:r>
      <w:r>
        <w:rPr/>
        <w:t>mayor</w:t>
      </w:r>
    </w:p>
    <w:p>
      <w:pPr>
        <w:pStyle w:val="BodyText"/>
        <w:spacing w:before="4"/>
        <w:rPr>
          <w:sz w:val="18"/>
        </w:rPr>
      </w:pPr>
      <w:r>
        <w:rPr/>
        <w:pict>
          <v:line style="position:absolute;mso-position-horizontal-relative:page;mso-position-vertical-relative:paragraph;z-index:6208;mso-wrap-distance-left:0;mso-wrap-distance-right:0" from="85.103996pt,12.799741pt" to="229.123996pt,12.799741pt" stroked="true" strokeweight=".60004pt" strokecolor="#000000">
            <w10:wrap type="topAndBottom"/>
          </v:line>
        </w:pict>
      </w:r>
    </w:p>
    <w:p>
      <w:pPr>
        <w:spacing w:before="70"/>
        <w:ind w:left="122" w:right="97" w:firstLine="0"/>
        <w:jc w:val="left"/>
        <w:rPr>
          <w:sz w:val="20"/>
        </w:rPr>
      </w:pPr>
      <w:r>
        <w:rPr>
          <w:position w:val="7"/>
          <w:sz w:val="13"/>
        </w:rPr>
        <w:t>13 </w:t>
      </w:r>
      <w:r>
        <w:rPr>
          <w:sz w:val="20"/>
        </w:rPr>
        <w:t>Los clusters son concentraciones geográficas de compañías interconectadas, proveedores especializados, proveedores de servicios, firmas en industrias relacionadas e instituciones asociadas en un campo particular que compiten pero que también cooperan  (Porter, 1998).</w:t>
      </w:r>
    </w:p>
    <w:p>
      <w:pPr>
        <w:spacing w:after="0"/>
        <w:jc w:val="left"/>
        <w:rPr>
          <w:sz w:val="20"/>
        </w:rPr>
        <w:sectPr>
          <w:pgSz w:w="12240" w:h="15840"/>
          <w:pgMar w:header="0" w:footer="1035" w:top="1340" w:bottom="1220" w:left="1580" w:right="1580"/>
        </w:sectPr>
      </w:pPr>
    </w:p>
    <w:p>
      <w:pPr>
        <w:pStyle w:val="BodyText"/>
        <w:spacing w:line="360" w:lineRule="auto" w:before="50"/>
        <w:ind w:left="102" w:right="121"/>
        <w:jc w:val="both"/>
      </w:pPr>
      <w:r>
        <w:rPr/>
        <w:t>proporción de las armadoras y las productoras de partes y que es la regionalización que</w:t>
      </w:r>
      <w:r>
        <w:rPr>
          <w:spacing w:val="-21"/>
        </w:rPr>
        <w:t> </w:t>
      </w:r>
      <w:r>
        <w:rPr/>
        <w:t>para efectos de este trabajo se</w:t>
      </w:r>
      <w:r>
        <w:rPr>
          <w:spacing w:val="-6"/>
        </w:rPr>
        <w:t> </w:t>
      </w:r>
      <w:r>
        <w:rPr/>
        <w:t>utiliza.</w:t>
      </w:r>
    </w:p>
    <w:p>
      <w:pPr>
        <w:pStyle w:val="BodyText"/>
        <w:spacing w:before="2"/>
        <w:rPr>
          <w:sz w:val="21"/>
        </w:rPr>
      </w:pPr>
    </w:p>
    <w:p>
      <w:pPr>
        <w:pStyle w:val="BodyText"/>
        <w:spacing w:line="360" w:lineRule="auto"/>
        <w:ind w:left="102" w:right="117"/>
        <w:jc w:val="both"/>
      </w:pPr>
      <w:r>
        <w:rPr/>
        <w:t>Puntualmente estas cuatro regiones son: en primer término la región centro del país y los estados que la conforman son Puebla, Morelos, Estado de México y Distrito Federal; la región norte o fronteriza conformada por Baja California Norte, Sonora, Chihuahua, Coahuila, Nuevo León y Tamaulipas; la región centro-norte, integrada por San Luis Potosí, Querétaro y Guanajuato y finalmente la región Occidente, conformada por los estados de Jalisco y Aguascalientes (véase esquema 4.1.).</w:t>
      </w:r>
    </w:p>
    <w:p>
      <w:pPr>
        <w:pStyle w:val="BodyText"/>
        <w:spacing w:before="7"/>
        <w:rPr>
          <w:sz w:val="21"/>
        </w:rPr>
      </w:pPr>
    </w:p>
    <w:p>
      <w:pPr>
        <w:pStyle w:val="Heading1"/>
        <w:ind w:left="704" w:right="119"/>
      </w:pPr>
      <w:r>
        <w:rPr/>
        <w:t>Esquema 4.1. Regiones donde se concentra el sector automotriz en México.</w:t>
      </w:r>
    </w:p>
    <w:p>
      <w:pPr>
        <w:pStyle w:val="BodyText"/>
        <w:rPr>
          <w:b/>
          <w:sz w:val="12"/>
        </w:rPr>
      </w:pPr>
      <w:r>
        <w:rPr/>
        <w:pict>
          <v:group style="position:absolute;margin-left:119.760002pt;margin-top:8.874311pt;width:372.15pt;height:179.4pt;mso-position-horizontal-relative:page;mso-position-vertical-relative:paragraph;z-index:6232;mso-wrap-distance-left:0;mso-wrap-distance-right:0" coordorigin="2395,177" coordsize="7443,3588">
            <v:shape style="position:absolute;left:2395;top:177;width:7442;height:3588" type="#_x0000_t75" stroked="false">
              <v:imagedata r:id="rId60" o:title=""/>
            </v:shape>
            <v:shape style="position:absolute;left:2446;top:228;width:7255;height:3401" type="#_x0000_t75" stroked="false">
              <v:imagedata r:id="rId61" o:title=""/>
            </v:shape>
            <v:rect style="position:absolute;left:2441;top:223;width:7265;height:3410" filled="false" stroked="true" strokeweight=".48pt" strokecolor="#000000"/>
            <w10:wrap type="topAndBottom"/>
          </v:group>
        </w:pict>
      </w:r>
    </w:p>
    <w:p>
      <w:pPr>
        <w:spacing w:before="138"/>
        <w:ind w:left="102" w:right="0" w:firstLine="0"/>
        <w:jc w:val="both"/>
        <w:rPr>
          <w:sz w:val="18"/>
        </w:rPr>
      </w:pPr>
      <w:r>
        <w:rPr>
          <w:sz w:val="18"/>
        </w:rPr>
        <w:t>Fuente: Elaboración propia con base en Carbajal y De Jesús, 2013.</w:t>
      </w:r>
    </w:p>
    <w:p>
      <w:pPr>
        <w:pStyle w:val="BodyText"/>
        <w:rPr>
          <w:sz w:val="18"/>
        </w:rPr>
      </w:pPr>
    </w:p>
    <w:p>
      <w:pPr>
        <w:pStyle w:val="BodyText"/>
        <w:spacing w:line="360" w:lineRule="auto" w:before="137"/>
        <w:ind w:left="102" w:right="114"/>
        <w:jc w:val="both"/>
      </w:pPr>
      <w:r>
        <w:rPr/>
        <w:t>A partir de los años ochenta con el nuevo modelo económico, la industria localizada en la frontera</w:t>
      </w:r>
      <w:r>
        <w:rPr>
          <w:spacing w:val="-7"/>
        </w:rPr>
        <w:t> </w:t>
      </w:r>
      <w:r>
        <w:rPr/>
        <w:t>norte</w:t>
      </w:r>
      <w:r>
        <w:rPr>
          <w:spacing w:val="-7"/>
        </w:rPr>
        <w:t> </w:t>
      </w:r>
      <w:r>
        <w:rPr/>
        <w:t>resulta</w:t>
      </w:r>
      <w:r>
        <w:rPr>
          <w:spacing w:val="-7"/>
        </w:rPr>
        <w:t> </w:t>
      </w:r>
      <w:r>
        <w:rPr/>
        <w:t>fortalecida</w:t>
      </w:r>
      <w:r>
        <w:rPr>
          <w:spacing w:val="-7"/>
        </w:rPr>
        <w:t> </w:t>
      </w:r>
      <w:r>
        <w:rPr/>
        <w:t>a</w:t>
      </w:r>
      <w:r>
        <w:rPr>
          <w:spacing w:val="-7"/>
        </w:rPr>
        <w:t> </w:t>
      </w:r>
      <w:r>
        <w:rPr/>
        <w:t>diferencia</w:t>
      </w:r>
      <w:r>
        <w:rPr>
          <w:spacing w:val="-7"/>
        </w:rPr>
        <w:t> </w:t>
      </w:r>
      <w:r>
        <w:rPr/>
        <w:t>de</w:t>
      </w:r>
      <w:r>
        <w:rPr>
          <w:spacing w:val="-7"/>
        </w:rPr>
        <w:t> </w:t>
      </w:r>
      <w:r>
        <w:rPr/>
        <w:t>la</w:t>
      </w:r>
      <w:r>
        <w:rPr>
          <w:spacing w:val="-7"/>
        </w:rPr>
        <w:t> </w:t>
      </w:r>
      <w:r>
        <w:rPr/>
        <w:t>industria</w:t>
      </w:r>
      <w:r>
        <w:rPr>
          <w:spacing w:val="-7"/>
        </w:rPr>
        <w:t> </w:t>
      </w:r>
      <w:r>
        <w:rPr/>
        <w:t>del</w:t>
      </w:r>
      <w:r>
        <w:rPr>
          <w:spacing w:val="-6"/>
        </w:rPr>
        <w:t> </w:t>
      </w:r>
      <w:r>
        <w:rPr/>
        <w:t>centro</w:t>
      </w:r>
      <w:r>
        <w:rPr>
          <w:spacing w:val="-6"/>
        </w:rPr>
        <w:t> </w:t>
      </w:r>
      <w:r>
        <w:rPr/>
        <w:t>del</w:t>
      </w:r>
      <w:r>
        <w:rPr>
          <w:spacing w:val="-6"/>
        </w:rPr>
        <w:t> </w:t>
      </w:r>
      <w:r>
        <w:rPr/>
        <w:t>país,</w:t>
      </w:r>
      <w:r>
        <w:rPr>
          <w:spacing w:val="-6"/>
        </w:rPr>
        <w:t> </w:t>
      </w:r>
      <w:r>
        <w:rPr/>
        <w:t>que,</w:t>
      </w:r>
      <w:r>
        <w:rPr>
          <w:spacing w:val="-6"/>
        </w:rPr>
        <w:t> </w:t>
      </w:r>
      <w:r>
        <w:rPr/>
        <w:t>sin</w:t>
      </w:r>
      <w:r>
        <w:rPr>
          <w:spacing w:val="-6"/>
        </w:rPr>
        <w:t> </w:t>
      </w:r>
      <w:r>
        <w:rPr/>
        <w:t>dejar de</w:t>
      </w:r>
      <w:r>
        <w:rPr>
          <w:spacing w:val="-11"/>
        </w:rPr>
        <w:t> </w:t>
      </w:r>
      <w:r>
        <w:rPr/>
        <w:t>ser</w:t>
      </w:r>
      <w:r>
        <w:rPr>
          <w:spacing w:val="-11"/>
        </w:rPr>
        <w:t> </w:t>
      </w:r>
      <w:r>
        <w:rPr/>
        <w:t>una</w:t>
      </w:r>
      <w:r>
        <w:rPr>
          <w:spacing w:val="-9"/>
        </w:rPr>
        <w:t> </w:t>
      </w:r>
      <w:r>
        <w:rPr/>
        <w:t>actividad</w:t>
      </w:r>
      <w:r>
        <w:rPr>
          <w:spacing w:val="-10"/>
        </w:rPr>
        <w:t> </w:t>
      </w:r>
      <w:r>
        <w:rPr/>
        <w:t>representativa</w:t>
      </w:r>
      <w:r>
        <w:rPr>
          <w:spacing w:val="-10"/>
        </w:rPr>
        <w:t> </w:t>
      </w:r>
      <w:r>
        <w:rPr/>
        <w:t>para</w:t>
      </w:r>
      <w:r>
        <w:rPr>
          <w:spacing w:val="-10"/>
        </w:rPr>
        <w:t> </w:t>
      </w:r>
      <w:r>
        <w:rPr/>
        <w:t>la</w:t>
      </w:r>
      <w:r>
        <w:rPr>
          <w:spacing w:val="-11"/>
        </w:rPr>
        <w:t> </w:t>
      </w:r>
      <w:r>
        <w:rPr/>
        <w:t>zona</w:t>
      </w:r>
      <w:r>
        <w:rPr>
          <w:spacing w:val="-11"/>
        </w:rPr>
        <w:t> </w:t>
      </w:r>
      <w:r>
        <w:rPr/>
        <w:t>ha</w:t>
      </w:r>
      <w:r>
        <w:rPr>
          <w:spacing w:val="-9"/>
        </w:rPr>
        <w:t> </w:t>
      </w:r>
      <w:r>
        <w:rPr/>
        <w:t>perdido</w:t>
      </w:r>
      <w:r>
        <w:rPr>
          <w:spacing w:val="-10"/>
        </w:rPr>
        <w:t> </w:t>
      </w:r>
      <w:r>
        <w:rPr/>
        <w:t>el</w:t>
      </w:r>
      <w:r>
        <w:rPr>
          <w:spacing w:val="-7"/>
        </w:rPr>
        <w:t> </w:t>
      </w:r>
      <w:r>
        <w:rPr/>
        <w:t>dinamismo</w:t>
      </w:r>
      <w:r>
        <w:rPr>
          <w:spacing w:val="-10"/>
        </w:rPr>
        <w:t> </w:t>
      </w:r>
      <w:r>
        <w:rPr>
          <w:spacing w:val="2"/>
        </w:rPr>
        <w:t>que</w:t>
      </w:r>
      <w:r>
        <w:rPr>
          <w:spacing w:val="-11"/>
        </w:rPr>
        <w:t> </w:t>
      </w:r>
      <w:r>
        <w:rPr/>
        <w:t>lo</w:t>
      </w:r>
      <w:r>
        <w:rPr>
          <w:spacing w:val="-7"/>
        </w:rPr>
        <w:t> </w:t>
      </w:r>
      <w:r>
        <w:rPr/>
        <w:t>caracterizaba en</w:t>
      </w:r>
      <w:r>
        <w:rPr>
          <w:spacing w:val="-6"/>
        </w:rPr>
        <w:t> </w:t>
      </w:r>
      <w:r>
        <w:rPr/>
        <w:t>los</w:t>
      </w:r>
      <w:r>
        <w:rPr>
          <w:spacing w:val="-6"/>
        </w:rPr>
        <w:t> </w:t>
      </w:r>
      <w:r>
        <w:rPr/>
        <w:t>años</w:t>
      </w:r>
      <w:r>
        <w:rPr>
          <w:spacing w:val="-6"/>
        </w:rPr>
        <w:t> </w:t>
      </w:r>
      <w:r>
        <w:rPr/>
        <w:t>sesentas</w:t>
      </w:r>
      <w:r>
        <w:rPr>
          <w:spacing w:val="-1"/>
        </w:rPr>
        <w:t> </w:t>
      </w:r>
      <w:r>
        <w:rPr/>
        <w:t>y</w:t>
      </w:r>
      <w:r>
        <w:rPr>
          <w:spacing w:val="-11"/>
        </w:rPr>
        <w:t> </w:t>
      </w:r>
      <w:r>
        <w:rPr/>
        <w:t>setentas,</w:t>
      </w:r>
      <w:r>
        <w:rPr>
          <w:spacing w:val="-6"/>
        </w:rPr>
        <w:t> </w:t>
      </w:r>
      <w:r>
        <w:rPr/>
        <w:t>si</w:t>
      </w:r>
      <w:r>
        <w:rPr>
          <w:spacing w:val="-6"/>
        </w:rPr>
        <w:t> </w:t>
      </w:r>
      <w:r>
        <w:rPr/>
        <w:t>bien</w:t>
      </w:r>
      <w:r>
        <w:rPr>
          <w:spacing w:val="-7"/>
        </w:rPr>
        <w:t> </w:t>
      </w:r>
      <w:r>
        <w:rPr/>
        <w:t>en</w:t>
      </w:r>
      <w:r>
        <w:rPr>
          <w:spacing w:val="-6"/>
        </w:rPr>
        <w:t> </w:t>
      </w:r>
      <w:r>
        <w:rPr/>
        <w:t>el</w:t>
      </w:r>
      <w:r>
        <w:rPr>
          <w:spacing w:val="-6"/>
        </w:rPr>
        <w:t> </w:t>
      </w:r>
      <w:r>
        <w:rPr/>
        <w:t>Estado</w:t>
      </w:r>
      <w:r>
        <w:rPr>
          <w:spacing w:val="-5"/>
        </w:rPr>
        <w:t> </w:t>
      </w:r>
      <w:r>
        <w:rPr/>
        <w:t>de</w:t>
      </w:r>
      <w:r>
        <w:rPr>
          <w:spacing w:val="-7"/>
        </w:rPr>
        <w:t> </w:t>
      </w:r>
      <w:r>
        <w:rPr/>
        <w:t>México</w:t>
      </w:r>
      <w:r>
        <w:rPr>
          <w:spacing w:val="-7"/>
        </w:rPr>
        <w:t> </w:t>
      </w:r>
      <w:r>
        <w:rPr/>
        <w:t>aún</w:t>
      </w:r>
      <w:r>
        <w:rPr>
          <w:spacing w:val="-6"/>
        </w:rPr>
        <w:t> </w:t>
      </w:r>
      <w:r>
        <w:rPr/>
        <w:t>se</w:t>
      </w:r>
      <w:r>
        <w:rPr>
          <w:spacing w:val="-7"/>
        </w:rPr>
        <w:t> </w:t>
      </w:r>
      <w:r>
        <w:rPr/>
        <w:t>ubican</w:t>
      </w:r>
      <w:r>
        <w:rPr>
          <w:spacing w:val="-4"/>
        </w:rPr>
        <w:t> </w:t>
      </w:r>
      <w:r>
        <w:rPr/>
        <w:t>un</w:t>
      </w:r>
      <w:r>
        <w:rPr>
          <w:spacing w:val="-6"/>
        </w:rPr>
        <w:t> </w:t>
      </w:r>
      <w:r>
        <w:rPr/>
        <w:t>número</w:t>
      </w:r>
      <w:r>
        <w:rPr>
          <w:spacing w:val="-6"/>
        </w:rPr>
        <w:t> </w:t>
      </w:r>
      <w:r>
        <w:rPr/>
        <w:t>muy importante de empresas armadoras y productoras de autopartes y en el Distrito Federal se ubican los grandes corporativos del sector como es el caso de GM, Chrysler, Ford y Bosch, han sido desplazados como los principales destinos de flujos de inversión (Carbajal, </w:t>
      </w:r>
      <w:r>
        <w:rPr>
          <w:i/>
        </w:rPr>
        <w:t>et al</w:t>
      </w:r>
      <w:r>
        <w:rPr/>
        <w:t>., 2013).</w:t>
      </w:r>
    </w:p>
    <w:p>
      <w:pPr>
        <w:spacing w:after="0" w:line="360" w:lineRule="auto"/>
        <w:jc w:val="both"/>
        <w:sectPr>
          <w:pgSz w:w="12240" w:h="15840"/>
          <w:pgMar w:header="0" w:footer="1035" w:top="1360" w:bottom="1220" w:left="1600" w:right="1580"/>
        </w:sectPr>
      </w:pPr>
    </w:p>
    <w:p>
      <w:pPr>
        <w:pStyle w:val="Heading1"/>
        <w:numPr>
          <w:ilvl w:val="1"/>
          <w:numId w:val="28"/>
        </w:numPr>
        <w:tabs>
          <w:tab w:pos="523" w:val="left" w:leader="none"/>
        </w:tabs>
        <w:spacing w:line="360" w:lineRule="auto" w:before="55" w:after="0"/>
        <w:ind w:left="102" w:right="255" w:firstLine="0"/>
        <w:jc w:val="left"/>
      </w:pPr>
      <w:bookmarkStart w:name="_TOC_250011" w:id="24"/>
      <w:r>
        <w:rPr/>
        <w:t>La industria automotriz como motor de crecimiento de la manufactura en</w:t>
      </w:r>
      <w:r>
        <w:rPr>
          <w:spacing w:val="-20"/>
        </w:rPr>
        <w:t> </w:t>
      </w:r>
      <w:r>
        <w:rPr/>
        <w:t>cuatro regiones de</w:t>
      </w:r>
      <w:r>
        <w:rPr>
          <w:spacing w:val="-6"/>
        </w:rPr>
        <w:t> </w:t>
      </w:r>
      <w:bookmarkEnd w:id="24"/>
      <w:r>
        <w:rPr/>
        <w:t>México</w:t>
      </w:r>
    </w:p>
    <w:p>
      <w:pPr>
        <w:pStyle w:val="BodyText"/>
        <w:spacing w:before="9"/>
        <w:rPr>
          <w:b/>
          <w:sz w:val="20"/>
        </w:rPr>
      </w:pPr>
    </w:p>
    <w:p>
      <w:pPr>
        <w:pStyle w:val="BodyText"/>
        <w:spacing w:line="360" w:lineRule="auto"/>
        <w:ind w:left="102" w:right="117"/>
        <w:jc w:val="both"/>
      </w:pPr>
      <w:r>
        <w:rPr/>
        <w:t>En este apartado se analiza tanto al sector manufacturero como a la industria automotriz, así como el impacto que ésta última provoca sobre la dinámica productiva manufacturera en</w:t>
      </w:r>
      <w:r>
        <w:rPr>
          <w:spacing w:val="-18"/>
        </w:rPr>
        <w:t> </w:t>
      </w:r>
      <w:r>
        <w:rPr/>
        <w:t>las regiones donde se ubica. Para ello, se analizó la participación porcentual que tiene el sector automotriz</w:t>
      </w:r>
      <w:r>
        <w:rPr>
          <w:spacing w:val="-12"/>
        </w:rPr>
        <w:t> </w:t>
      </w:r>
      <w:r>
        <w:rPr/>
        <w:t>en</w:t>
      </w:r>
      <w:r>
        <w:rPr>
          <w:spacing w:val="-13"/>
        </w:rPr>
        <w:t> </w:t>
      </w:r>
      <w:r>
        <w:rPr/>
        <w:t>cada</w:t>
      </w:r>
      <w:r>
        <w:rPr>
          <w:spacing w:val="-14"/>
        </w:rPr>
        <w:t> </w:t>
      </w:r>
      <w:r>
        <w:rPr/>
        <w:t>región</w:t>
      </w:r>
      <w:r>
        <w:rPr>
          <w:spacing w:val="-12"/>
        </w:rPr>
        <w:t> </w:t>
      </w:r>
      <w:r>
        <w:rPr/>
        <w:t>y</w:t>
      </w:r>
      <w:r>
        <w:rPr>
          <w:spacing w:val="-18"/>
        </w:rPr>
        <w:t> </w:t>
      </w:r>
      <w:r>
        <w:rPr/>
        <w:t>entidad</w:t>
      </w:r>
      <w:r>
        <w:rPr>
          <w:spacing w:val="-13"/>
        </w:rPr>
        <w:t> </w:t>
      </w:r>
      <w:r>
        <w:rPr/>
        <w:t>en</w:t>
      </w:r>
      <w:r>
        <w:rPr>
          <w:spacing w:val="-13"/>
        </w:rPr>
        <w:t> </w:t>
      </w:r>
      <w:r>
        <w:rPr/>
        <w:t>la</w:t>
      </w:r>
      <w:r>
        <w:rPr>
          <w:spacing w:val="-14"/>
        </w:rPr>
        <w:t> </w:t>
      </w:r>
      <w:r>
        <w:rPr/>
        <w:t>industria</w:t>
      </w:r>
      <w:r>
        <w:rPr>
          <w:spacing w:val="-15"/>
        </w:rPr>
        <w:t> </w:t>
      </w:r>
      <w:r>
        <w:rPr/>
        <w:t>manufacturera</w:t>
      </w:r>
      <w:r>
        <w:rPr>
          <w:spacing w:val="-15"/>
        </w:rPr>
        <w:t> </w:t>
      </w:r>
      <w:r>
        <w:rPr/>
        <w:t>nacional,</w:t>
      </w:r>
      <w:r>
        <w:rPr>
          <w:spacing w:val="-14"/>
        </w:rPr>
        <w:t> </w:t>
      </w:r>
      <w:r>
        <w:rPr/>
        <w:t>regional</w:t>
      </w:r>
      <w:r>
        <w:rPr>
          <w:spacing w:val="-12"/>
        </w:rPr>
        <w:t> </w:t>
      </w:r>
      <w:r>
        <w:rPr/>
        <w:t>y</w:t>
      </w:r>
      <w:r>
        <w:rPr>
          <w:spacing w:val="-17"/>
        </w:rPr>
        <w:t> </w:t>
      </w:r>
      <w:r>
        <w:rPr/>
        <w:t>estatal. Además, para robustecer dicho análisis se realizó el cálculo de los cocientes de localización para las variables de personal ocupado y valor agregado censal</w:t>
      </w:r>
      <w:r>
        <w:rPr>
          <w:spacing w:val="-11"/>
        </w:rPr>
        <w:t> </w:t>
      </w:r>
      <w:r>
        <w:rPr/>
        <w:t>bruto.</w:t>
      </w:r>
    </w:p>
    <w:p>
      <w:pPr>
        <w:pStyle w:val="BodyText"/>
        <w:spacing w:before="2"/>
        <w:rPr>
          <w:sz w:val="21"/>
        </w:rPr>
      </w:pPr>
    </w:p>
    <w:p>
      <w:pPr>
        <w:pStyle w:val="BodyText"/>
        <w:spacing w:line="360" w:lineRule="auto"/>
        <w:ind w:left="102" w:right="118"/>
        <w:jc w:val="both"/>
      </w:pPr>
      <w:r>
        <w:rPr/>
        <w:t>Es</w:t>
      </w:r>
      <w:r>
        <w:rPr>
          <w:spacing w:val="-6"/>
        </w:rPr>
        <w:t> </w:t>
      </w:r>
      <w:r>
        <w:rPr/>
        <w:t>importante</w:t>
      </w:r>
      <w:r>
        <w:rPr>
          <w:spacing w:val="-7"/>
        </w:rPr>
        <w:t> </w:t>
      </w:r>
      <w:r>
        <w:rPr/>
        <w:t>mencionar</w:t>
      </w:r>
      <w:r>
        <w:rPr>
          <w:spacing w:val="-7"/>
        </w:rPr>
        <w:t> </w:t>
      </w:r>
      <w:r>
        <w:rPr/>
        <w:t>que,</w:t>
      </w:r>
      <w:r>
        <w:rPr>
          <w:spacing w:val="-6"/>
        </w:rPr>
        <w:t> </w:t>
      </w:r>
      <w:r>
        <w:rPr/>
        <w:t>el</w:t>
      </w:r>
      <w:r>
        <w:rPr>
          <w:spacing w:val="-6"/>
        </w:rPr>
        <w:t> </w:t>
      </w:r>
      <w:r>
        <w:rPr/>
        <w:t>cociente</w:t>
      </w:r>
      <w:r>
        <w:rPr>
          <w:spacing w:val="-7"/>
        </w:rPr>
        <w:t> </w:t>
      </w:r>
      <w:r>
        <w:rPr/>
        <w:t>de</w:t>
      </w:r>
      <w:r>
        <w:rPr>
          <w:spacing w:val="-7"/>
        </w:rPr>
        <w:t> </w:t>
      </w:r>
      <w:r>
        <w:rPr/>
        <w:t>localización,</w:t>
      </w:r>
      <w:r>
        <w:rPr>
          <w:spacing w:val="-6"/>
        </w:rPr>
        <w:t> </w:t>
      </w:r>
      <w:r>
        <w:rPr/>
        <w:t>es</w:t>
      </w:r>
      <w:r>
        <w:rPr>
          <w:spacing w:val="-6"/>
        </w:rPr>
        <w:t> </w:t>
      </w:r>
      <w:r>
        <w:rPr/>
        <w:t>un</w:t>
      </w:r>
      <w:r>
        <w:rPr>
          <w:spacing w:val="-6"/>
        </w:rPr>
        <w:t> </w:t>
      </w:r>
      <w:r>
        <w:rPr/>
        <w:t>índice</w:t>
      </w:r>
      <w:r>
        <w:rPr>
          <w:spacing w:val="-7"/>
        </w:rPr>
        <w:t> </w:t>
      </w:r>
      <w:r>
        <w:rPr/>
        <w:t>que</w:t>
      </w:r>
      <w:r>
        <w:rPr>
          <w:spacing w:val="-7"/>
        </w:rPr>
        <w:t> </w:t>
      </w:r>
      <w:r>
        <w:rPr/>
        <w:t>permite</w:t>
      </w:r>
      <w:r>
        <w:rPr>
          <w:spacing w:val="-6"/>
        </w:rPr>
        <w:t> </w:t>
      </w:r>
      <w:r>
        <w:rPr/>
        <w:t>comparar la participación relativa de las actividades regionales y las que se tienen a nivel nacional, lo que permite tener una medición de la concentración de las actividades económicas de la región, con respecto a las del país en su</w:t>
      </w:r>
      <w:r>
        <w:rPr>
          <w:spacing w:val="-7"/>
        </w:rPr>
        <w:t> </w:t>
      </w:r>
      <w:r>
        <w:rPr/>
        <w:t>conjunto.</w:t>
      </w:r>
    </w:p>
    <w:p>
      <w:pPr>
        <w:pStyle w:val="BodyText"/>
        <w:spacing w:before="11"/>
        <w:rPr>
          <w:sz w:val="20"/>
        </w:rPr>
      </w:pPr>
    </w:p>
    <w:p>
      <w:pPr>
        <w:pStyle w:val="BodyText"/>
        <w:ind w:left="102"/>
        <w:jc w:val="both"/>
      </w:pPr>
      <w:r>
        <w:rPr>
          <w:position w:val="2"/>
        </w:rPr>
        <w:t>Siguiendo a Boisier (1980), podemos definir el cociente de localización (</w:t>
      </w:r>
      <w:r>
        <w:rPr>
          <w:i/>
          <w:position w:val="2"/>
        </w:rPr>
        <w:t>Q</w:t>
      </w:r>
      <w:r>
        <w:rPr>
          <w:i/>
          <w:sz w:val="16"/>
        </w:rPr>
        <w:t>ij</w:t>
      </w:r>
      <w:r>
        <w:rPr>
          <w:position w:val="2"/>
        </w:rPr>
        <w:t>) como:</w:t>
      </w:r>
    </w:p>
    <w:p>
      <w:pPr>
        <w:pStyle w:val="BodyText"/>
        <w:spacing w:before="8"/>
        <w:rPr>
          <w:sz w:val="19"/>
        </w:rPr>
      </w:pPr>
    </w:p>
    <w:p>
      <w:pPr>
        <w:spacing w:after="0"/>
        <w:rPr>
          <w:sz w:val="19"/>
        </w:rPr>
        <w:sectPr>
          <w:pgSz w:w="12240" w:h="15840"/>
          <w:pgMar w:header="0" w:footer="1035" w:top="1360" w:bottom="1220" w:left="1600" w:right="1580"/>
        </w:sectPr>
      </w:pPr>
    </w:p>
    <w:p>
      <w:pPr>
        <w:pStyle w:val="BodyText"/>
        <w:rPr>
          <w:sz w:val="30"/>
        </w:rPr>
      </w:pPr>
    </w:p>
    <w:p>
      <w:pPr>
        <w:pStyle w:val="BodyText"/>
        <w:spacing w:before="8"/>
        <w:rPr>
          <w:sz w:val="25"/>
        </w:rPr>
      </w:pPr>
    </w:p>
    <w:p>
      <w:pPr>
        <w:spacing w:before="0"/>
        <w:ind w:left="0" w:right="0" w:firstLine="0"/>
        <w:jc w:val="right"/>
        <w:rPr>
          <w:rFonts w:ascii="Symbol" w:hAnsi="Symbol"/>
          <w:sz w:val="25"/>
        </w:rPr>
      </w:pPr>
      <w:r>
        <w:rPr>
          <w:i/>
          <w:sz w:val="25"/>
        </w:rPr>
        <w:t>Q</w:t>
      </w:r>
      <w:r>
        <w:rPr>
          <w:i/>
          <w:position w:val="-5"/>
          <w:sz w:val="14"/>
        </w:rPr>
        <w:t>ij </w:t>
      </w:r>
      <w:r>
        <w:rPr>
          <w:rFonts w:ascii="Symbol" w:hAnsi="Symbol"/>
          <w:sz w:val="25"/>
        </w:rPr>
        <w:t></w:t>
      </w:r>
    </w:p>
    <w:p>
      <w:pPr>
        <w:spacing w:line="290" w:lineRule="exact" w:before="91"/>
        <w:ind w:left="196" w:right="0" w:firstLine="0"/>
        <w:jc w:val="center"/>
        <w:rPr>
          <w:i/>
          <w:sz w:val="14"/>
        </w:rPr>
      </w:pPr>
      <w:r>
        <w:rPr/>
        <w:br w:type="column"/>
      </w:r>
      <w:r>
        <w:rPr>
          <w:i/>
          <w:position w:val="1"/>
          <w:sz w:val="25"/>
        </w:rPr>
        <w:t>V </w:t>
      </w:r>
      <w:r>
        <w:rPr>
          <w:i/>
          <w:position w:val="12"/>
          <w:sz w:val="14"/>
        </w:rPr>
        <w:t>e </w:t>
      </w:r>
      <w:r>
        <w:rPr>
          <w:i/>
          <w:sz w:val="14"/>
        </w:rPr>
        <w:t>ij</w:t>
      </w:r>
    </w:p>
    <w:p>
      <w:pPr>
        <w:spacing w:line="424" w:lineRule="exact" w:before="0"/>
        <w:ind w:left="217" w:right="0" w:firstLine="0"/>
        <w:jc w:val="center"/>
        <w:rPr>
          <w:i/>
          <w:sz w:val="14"/>
        </w:rPr>
      </w:pPr>
      <w:r>
        <w:rPr/>
        <w:pict>
          <v:line style="position:absolute;mso-position-horizontal-relative:page;mso-position-vertical-relative:paragraph;z-index:-496600" from="247.968384pt,2.517859pt" to="283.535375pt,2.517871pt" stroked="true" strokeweight=".145072pt" strokecolor="#000000">
            <w10:wrap type="none"/>
          </v:line>
        </w:pict>
      </w:r>
      <w:r>
        <w:rPr/>
        <w:pict>
          <v:shape style="position:absolute;margin-left:273.189178pt;margin-top:3.757872pt;width:3.05pt;height:7.3pt;mso-position-horizontal-relative:page;mso-position-vertical-relative:paragraph;z-index:-496456" type="#_x0000_t202" filled="false" stroked="false">
            <v:textbox inset="0,0,0,0">
              <w:txbxContent>
                <w:p>
                  <w:pPr>
                    <w:spacing w:line="145" w:lineRule="exact" w:before="0"/>
                    <w:ind w:left="0" w:right="0" w:firstLine="0"/>
                    <w:jc w:val="left"/>
                    <w:rPr>
                      <w:i/>
                      <w:sz w:val="14"/>
                    </w:rPr>
                  </w:pPr>
                  <w:r>
                    <w:rPr>
                      <w:i/>
                      <w:w w:val="97"/>
                      <w:sz w:val="14"/>
                    </w:rPr>
                    <w:t>e</w:t>
                  </w:r>
                </w:p>
              </w:txbxContent>
            </v:textbox>
            <w10:wrap type="none"/>
          </v:shape>
        </w:pict>
      </w:r>
      <w:r>
        <w:rPr>
          <w:rFonts w:ascii="Symbol" w:hAnsi="Symbol"/>
          <w:w w:val="95"/>
          <w:position w:val="-4"/>
          <w:sz w:val="37"/>
        </w:rPr>
        <w:t></w:t>
      </w:r>
      <w:r>
        <w:rPr>
          <w:i/>
          <w:w w:val="97"/>
          <w:position w:val="-8"/>
          <w:sz w:val="14"/>
        </w:rPr>
        <w:t>i</w:t>
      </w:r>
      <w:r>
        <w:rPr>
          <w:i/>
          <w:spacing w:val="-22"/>
          <w:position w:val="-8"/>
          <w:sz w:val="14"/>
        </w:rPr>
        <w:t> </w:t>
      </w:r>
      <w:r>
        <w:rPr>
          <w:i/>
          <w:w w:val="93"/>
          <w:position w:val="1"/>
          <w:sz w:val="25"/>
        </w:rPr>
        <w:t>V</w:t>
      </w:r>
      <w:r>
        <w:rPr>
          <w:i/>
          <w:position w:val="1"/>
          <w:sz w:val="25"/>
        </w:rPr>
        <w:t> </w:t>
      </w:r>
      <w:r>
        <w:rPr>
          <w:i/>
          <w:spacing w:val="1"/>
          <w:position w:val="1"/>
          <w:sz w:val="25"/>
        </w:rPr>
        <w:t> </w:t>
      </w:r>
      <w:r>
        <w:rPr>
          <w:i/>
          <w:spacing w:val="-3"/>
          <w:w w:val="97"/>
          <w:sz w:val="14"/>
        </w:rPr>
        <w:t>ij</w:t>
      </w:r>
    </w:p>
    <w:p>
      <w:pPr>
        <w:spacing w:line="429" w:lineRule="exact" w:before="0"/>
        <w:ind w:left="216" w:right="0" w:firstLine="0"/>
        <w:jc w:val="center"/>
        <w:rPr>
          <w:i/>
          <w:sz w:val="14"/>
        </w:rPr>
      </w:pPr>
      <w:r>
        <w:rPr/>
        <w:pict>
          <v:line style="position:absolute;mso-position-horizontal-relative:page;mso-position-vertical-relative:paragraph;z-index:-496576" from="239.62941pt,21.78521pt" to="291.875347pt,21.785227pt" stroked="true" strokeweight=".145072pt" strokecolor="#000000">
            <w10:wrap type="none"/>
          </v:line>
        </w:pict>
      </w:r>
      <w:r>
        <w:rPr/>
        <w:pict>
          <v:line style="position:absolute;mso-position-horizontal-relative:page;mso-position-vertical-relative:paragraph;z-index:-496552" from="238.631653pt,1.572498pt" to="292.873095pt,1.572515pt" stroked="true" strokeweight=".145072pt" strokecolor="#000000">
            <w10:wrap type="none"/>
          </v:line>
        </w:pict>
      </w:r>
      <w:r>
        <w:rPr/>
        <w:pict>
          <v:shape style="position:absolute;margin-left:273.0224pt;margin-top:2.812514pt;width:3.45pt;height:7.3pt;mso-position-horizontal-relative:page;mso-position-vertical-relative:paragraph;z-index:-496432" type="#_x0000_t202" filled="false" stroked="false">
            <v:textbox inset="0,0,0,0">
              <w:txbxContent>
                <w:p>
                  <w:pPr>
                    <w:spacing w:line="145" w:lineRule="exact" w:before="0"/>
                    <w:ind w:left="0" w:right="0" w:firstLine="0"/>
                    <w:jc w:val="left"/>
                    <w:rPr>
                      <w:i/>
                      <w:sz w:val="14"/>
                    </w:rPr>
                  </w:pPr>
                  <w:r>
                    <w:rPr>
                      <w:i/>
                      <w:w w:val="97"/>
                      <w:sz w:val="14"/>
                    </w:rPr>
                    <w:t>n</w:t>
                  </w:r>
                </w:p>
              </w:txbxContent>
            </v:textbox>
            <w10:wrap type="none"/>
          </v:shape>
        </w:pict>
      </w:r>
      <w:r>
        <w:rPr>
          <w:rFonts w:ascii="Symbol" w:hAnsi="Symbol"/>
          <w:w w:val="95"/>
          <w:position w:val="-4"/>
          <w:sz w:val="37"/>
        </w:rPr>
        <w:t></w:t>
      </w:r>
      <w:r>
        <w:rPr>
          <w:i/>
          <w:w w:val="97"/>
          <w:position w:val="-8"/>
          <w:sz w:val="14"/>
        </w:rPr>
        <w:t>i</w:t>
      </w:r>
      <w:r>
        <w:rPr>
          <w:i/>
          <w:spacing w:val="-22"/>
          <w:position w:val="-8"/>
          <w:sz w:val="14"/>
        </w:rPr>
        <w:t> </w:t>
      </w:r>
      <w:r>
        <w:rPr>
          <w:i/>
          <w:w w:val="93"/>
          <w:position w:val="1"/>
          <w:sz w:val="25"/>
        </w:rPr>
        <w:t>V</w:t>
      </w:r>
      <w:r>
        <w:rPr>
          <w:i/>
          <w:position w:val="1"/>
          <w:sz w:val="25"/>
        </w:rPr>
        <w:t> </w:t>
      </w:r>
      <w:r>
        <w:rPr>
          <w:i/>
          <w:spacing w:val="11"/>
          <w:position w:val="1"/>
          <w:sz w:val="25"/>
        </w:rPr>
        <w:t> </w:t>
      </w:r>
      <w:r>
        <w:rPr>
          <w:i/>
          <w:spacing w:val="-3"/>
          <w:w w:val="97"/>
          <w:sz w:val="14"/>
        </w:rPr>
        <w:t>ij</w:t>
      </w:r>
    </w:p>
    <w:p>
      <w:pPr>
        <w:pStyle w:val="BodyText"/>
        <w:rPr>
          <w:i/>
        </w:rPr>
      </w:pPr>
      <w:r>
        <w:rPr/>
        <w:br w:type="column"/>
      </w:r>
      <w:r>
        <w:rPr>
          <w:i/>
        </w:rPr>
      </w:r>
    </w:p>
    <w:p>
      <w:pPr>
        <w:pStyle w:val="BodyText"/>
        <w:rPr>
          <w:i/>
        </w:rPr>
      </w:pPr>
    </w:p>
    <w:p>
      <w:pPr>
        <w:pStyle w:val="BodyText"/>
        <w:spacing w:before="148"/>
        <w:ind w:left="2619" w:right="1900"/>
        <w:jc w:val="center"/>
      </w:pPr>
      <w:r>
        <w:rPr/>
        <w:t>(1)</w:t>
      </w:r>
    </w:p>
    <w:p>
      <w:pPr>
        <w:spacing w:after="0"/>
        <w:jc w:val="center"/>
        <w:sectPr>
          <w:type w:val="continuous"/>
          <w:pgSz w:w="12240" w:h="15840"/>
          <w:pgMar w:top="1060" w:bottom="280" w:left="1600" w:right="1580"/>
          <w:cols w:num="3" w:equalWidth="0">
            <w:col w:w="3106" w:space="40"/>
            <w:col w:w="872" w:space="203"/>
            <w:col w:w="4839"/>
          </w:cols>
        </w:sectPr>
      </w:pPr>
    </w:p>
    <w:p>
      <w:pPr>
        <w:spacing w:line="405" w:lineRule="exact" w:before="0"/>
        <w:ind w:left="383" w:right="2061" w:firstLine="0"/>
        <w:jc w:val="center"/>
        <w:rPr>
          <w:i/>
          <w:sz w:val="14"/>
        </w:rPr>
      </w:pPr>
      <w:r>
        <w:rPr/>
        <w:pict>
          <v:shape style="position:absolute;margin-left:281.12439pt;margin-top:1.586721pt;width:3.45pt;height:7.3pt;mso-position-horizontal-relative:page;mso-position-vertical-relative:paragraph;z-index:-496528" type="#_x0000_t202" filled="false" stroked="false">
            <v:textbox inset="0,0,0,0">
              <w:txbxContent>
                <w:p>
                  <w:pPr>
                    <w:spacing w:line="145" w:lineRule="exact" w:before="0"/>
                    <w:ind w:left="0" w:right="0" w:firstLine="0"/>
                    <w:jc w:val="left"/>
                    <w:rPr>
                      <w:i/>
                      <w:sz w:val="14"/>
                    </w:rPr>
                  </w:pPr>
                  <w:r>
                    <w:rPr>
                      <w:i/>
                      <w:w w:val="97"/>
                      <w:sz w:val="14"/>
                    </w:rPr>
                    <w:t>n</w:t>
                  </w:r>
                </w:p>
              </w:txbxContent>
            </v:textbox>
            <w10:wrap type="none"/>
          </v:shape>
        </w:pict>
      </w:r>
      <w:r>
        <w:rPr>
          <w:rFonts w:ascii="Symbol" w:hAnsi="Symbol"/>
          <w:w w:val="95"/>
          <w:position w:val="-4"/>
          <w:sz w:val="37"/>
        </w:rPr>
        <w:t></w:t>
      </w:r>
      <w:r>
        <w:rPr>
          <w:i/>
          <w:w w:val="97"/>
          <w:position w:val="-8"/>
          <w:sz w:val="14"/>
        </w:rPr>
        <w:t>i</w:t>
      </w:r>
      <w:r>
        <w:rPr>
          <w:i/>
          <w:spacing w:val="-2"/>
          <w:position w:val="-8"/>
          <w:sz w:val="14"/>
        </w:rPr>
        <w:t> </w:t>
      </w:r>
      <w:r>
        <w:rPr>
          <w:rFonts w:ascii="Symbol" w:hAnsi="Symbol"/>
          <w:w w:val="95"/>
          <w:position w:val="-4"/>
          <w:sz w:val="37"/>
        </w:rPr>
        <w:t></w:t>
      </w:r>
      <w:r>
        <w:rPr>
          <w:i/>
          <w:w w:val="97"/>
          <w:position w:val="-8"/>
          <w:sz w:val="14"/>
        </w:rPr>
        <w:t>i</w:t>
      </w:r>
      <w:r>
        <w:rPr>
          <w:i/>
          <w:spacing w:val="-22"/>
          <w:position w:val="-8"/>
          <w:sz w:val="14"/>
        </w:rPr>
        <w:t> </w:t>
      </w:r>
      <w:r>
        <w:rPr>
          <w:i/>
          <w:w w:val="93"/>
          <w:position w:val="1"/>
          <w:sz w:val="25"/>
        </w:rPr>
        <w:t>V</w:t>
      </w:r>
      <w:r>
        <w:rPr>
          <w:i/>
          <w:position w:val="1"/>
          <w:sz w:val="25"/>
        </w:rPr>
        <w:t> </w:t>
      </w:r>
      <w:r>
        <w:rPr>
          <w:i/>
          <w:spacing w:val="11"/>
          <w:position w:val="1"/>
          <w:sz w:val="25"/>
        </w:rPr>
        <w:t> </w:t>
      </w:r>
      <w:r>
        <w:rPr>
          <w:i/>
          <w:spacing w:val="-3"/>
          <w:w w:val="97"/>
          <w:sz w:val="14"/>
        </w:rPr>
        <w:t>ij</w:t>
      </w:r>
    </w:p>
    <w:p>
      <w:pPr>
        <w:tabs>
          <w:tab w:pos="7108" w:val="left" w:leader="none"/>
        </w:tabs>
        <w:spacing w:line="54" w:lineRule="exact" w:before="39"/>
        <w:ind w:left="994" w:right="119" w:firstLine="0"/>
        <w:jc w:val="left"/>
        <w:rPr>
          <w:i/>
          <w:sz w:val="15"/>
        </w:rPr>
      </w:pPr>
      <w:r>
        <w:rPr>
          <w:i/>
          <w:sz w:val="17"/>
        </w:rPr>
        <w:t>e</w:t>
        <w:tab/>
      </w:r>
      <w:r>
        <w:rPr>
          <w:i/>
          <w:position w:val="-14"/>
          <w:sz w:val="25"/>
        </w:rPr>
        <w:t>V</w:t>
      </w:r>
      <w:r>
        <w:rPr>
          <w:i/>
          <w:spacing w:val="-27"/>
          <w:position w:val="-14"/>
          <w:sz w:val="25"/>
        </w:rPr>
        <w:t> </w:t>
      </w:r>
      <w:r>
        <w:rPr>
          <w:i/>
          <w:position w:val="-2"/>
          <w:sz w:val="15"/>
        </w:rPr>
        <w:t>e</w:t>
      </w:r>
    </w:p>
    <w:p>
      <w:pPr>
        <w:spacing w:after="0" w:line="54" w:lineRule="exact"/>
        <w:jc w:val="left"/>
        <w:rPr>
          <w:sz w:val="15"/>
        </w:rPr>
        <w:sectPr>
          <w:type w:val="continuous"/>
          <w:pgSz w:w="12240" w:h="15840"/>
          <w:pgMar w:top="1060" w:bottom="280" w:left="1600" w:right="1580"/>
        </w:sectPr>
      </w:pPr>
    </w:p>
    <w:p>
      <w:pPr>
        <w:pStyle w:val="BodyText"/>
        <w:tabs>
          <w:tab w:pos="1361" w:val="left" w:leader="none"/>
          <w:tab w:pos="7375" w:val="left" w:leader="none"/>
        </w:tabs>
        <w:spacing w:line="400" w:lineRule="exact"/>
        <w:ind w:left="102"/>
        <w:rPr>
          <w:i/>
          <w:sz w:val="15"/>
        </w:rPr>
      </w:pPr>
      <w:r>
        <w:rPr/>
        <w:t>donde</w:t>
      </w:r>
      <w:r>
        <w:rPr>
          <w:spacing w:val="30"/>
        </w:rPr>
        <w:t> </w:t>
      </w:r>
      <w:r>
        <w:rPr>
          <w:i/>
          <w:w w:val="90"/>
          <w:position w:val="3"/>
          <w:sz w:val="29"/>
        </w:rPr>
        <w:t>V</w:t>
      </w:r>
      <w:r>
        <w:rPr>
          <w:i/>
          <w:position w:val="3"/>
          <w:sz w:val="29"/>
        </w:rPr>
        <w:t> </w:t>
      </w:r>
      <w:r>
        <w:rPr>
          <w:i/>
          <w:spacing w:val="-8"/>
          <w:position w:val="3"/>
          <w:sz w:val="29"/>
        </w:rPr>
        <w:t> </w:t>
      </w:r>
      <w:r>
        <w:rPr>
          <w:i/>
          <w:spacing w:val="-2"/>
          <w:w w:val="90"/>
          <w:position w:val="1"/>
          <w:sz w:val="17"/>
        </w:rPr>
        <w:t>i</w:t>
      </w:r>
      <w:r>
        <w:rPr>
          <w:i/>
          <w:w w:val="90"/>
          <w:position w:val="1"/>
          <w:sz w:val="17"/>
        </w:rPr>
        <w:t>j</w:t>
      </w:r>
      <w:r>
        <w:rPr>
          <w:i/>
          <w:position w:val="1"/>
          <w:sz w:val="17"/>
        </w:rPr>
        <w:tab/>
      </w:r>
      <w:r>
        <w:rPr>
          <w:spacing w:val="-1"/>
        </w:rPr>
        <w:t>e</w:t>
      </w:r>
      <w:r>
        <w:rPr>
          <w:w w:val="99"/>
        </w:rPr>
        <w:t>s</w:t>
      </w:r>
      <w:r>
        <w:rPr>
          <w:spacing w:val="14"/>
        </w:rPr>
        <w:t> </w:t>
      </w:r>
      <w:r>
        <w:rPr>
          <w:spacing w:val="-1"/>
        </w:rPr>
        <w:t>e</w:t>
      </w:r>
      <w:r>
        <w:rPr/>
        <w:t>l </w:t>
      </w:r>
      <w:r>
        <w:rPr>
          <w:spacing w:val="26"/>
        </w:rPr>
        <w:t> </w:t>
      </w:r>
      <w:r>
        <w:rPr/>
        <w:t>p</w:t>
      </w:r>
      <w:r>
        <w:rPr>
          <w:spacing w:val="-1"/>
        </w:rPr>
        <w:t>e</w:t>
      </w:r>
      <w:r>
        <w:rPr/>
        <w:t>rson</w:t>
      </w:r>
      <w:r>
        <w:rPr>
          <w:spacing w:val="-2"/>
        </w:rPr>
        <w:t>a</w:t>
      </w:r>
      <w:r>
        <w:rPr/>
        <w:t>l</w:t>
      </w:r>
      <w:r>
        <w:rPr>
          <w:spacing w:val="14"/>
        </w:rPr>
        <w:t> </w:t>
      </w:r>
      <w:r>
        <w:rPr>
          <w:spacing w:val="-3"/>
        </w:rPr>
        <w:t>o</w:t>
      </w:r>
      <w:r>
        <w:rPr>
          <w:spacing w:val="-1"/>
        </w:rPr>
        <w:t>c</w:t>
      </w:r>
      <w:r>
        <w:rPr/>
        <w:t>up</w:t>
      </w:r>
      <w:r>
        <w:rPr>
          <w:spacing w:val="-1"/>
        </w:rPr>
        <w:t>a</w:t>
      </w:r>
      <w:r>
        <w:rPr/>
        <w:t>do</w:t>
      </w:r>
      <w:r>
        <w:rPr>
          <w:spacing w:val="14"/>
        </w:rPr>
        <w:t> </w:t>
      </w:r>
      <w:r>
        <w:rPr>
          <w:spacing w:val="-1"/>
        </w:rPr>
        <w:t>e</w:t>
      </w:r>
      <w:r>
        <w:rPr/>
        <w:t>n</w:t>
      </w:r>
      <w:r>
        <w:rPr>
          <w:spacing w:val="14"/>
        </w:rPr>
        <w:t> </w:t>
      </w:r>
      <w:r>
        <w:rPr>
          <w:spacing w:val="2"/>
        </w:rPr>
        <w:t>l</w:t>
      </w:r>
      <w:r>
        <w:rPr/>
        <w:t>a</w:t>
      </w:r>
      <w:r>
        <w:rPr>
          <w:spacing w:val="13"/>
        </w:rPr>
        <w:t> </w:t>
      </w:r>
      <w:r>
        <w:rPr>
          <w:spacing w:val="-1"/>
        </w:rPr>
        <w:t>ac</w:t>
      </w:r>
      <w:r>
        <w:rPr/>
        <w:t>tividad</w:t>
      </w:r>
      <w:r>
        <w:rPr>
          <w:spacing w:val="13"/>
        </w:rPr>
        <w:t> </w:t>
      </w:r>
      <w:r>
        <w:rPr/>
        <w:t>i</w:t>
      </w:r>
      <w:r>
        <w:rPr>
          <w:spacing w:val="12"/>
        </w:rPr>
        <w:t> </w:t>
      </w:r>
      <w:r>
        <w:rPr/>
        <w:t>de</w:t>
      </w:r>
      <w:r>
        <w:rPr>
          <w:spacing w:val="13"/>
        </w:rPr>
        <w:t> </w:t>
      </w:r>
      <w:r>
        <w:rPr/>
        <w:t>la</w:t>
      </w:r>
      <w:r>
        <w:rPr>
          <w:spacing w:val="13"/>
        </w:rPr>
        <w:t> </w:t>
      </w:r>
      <w:r>
        <w:rPr/>
        <w:t>r</w:t>
      </w:r>
      <w:r>
        <w:rPr>
          <w:spacing w:val="-2"/>
        </w:rPr>
        <w:t>e</w:t>
      </w:r>
      <w:r>
        <w:rPr/>
        <w:t>gión</w:t>
      </w:r>
      <w:r>
        <w:rPr>
          <w:spacing w:val="14"/>
        </w:rPr>
        <w:t> </w:t>
      </w:r>
      <w:r>
        <w:rPr/>
        <w:t>j; </w:t>
      </w:r>
      <w:r>
        <w:rPr>
          <w:spacing w:val="-11"/>
        </w:rPr>
        <w:t> </w:t>
      </w:r>
      <w:r>
        <w:rPr>
          <w:rFonts w:ascii="Symbol" w:hAnsi="Symbol"/>
          <w:spacing w:val="-4"/>
          <w:w w:val="95"/>
          <w:position w:val="-4"/>
          <w:sz w:val="38"/>
        </w:rPr>
        <w:t></w:t>
      </w:r>
      <w:r>
        <w:rPr>
          <w:i/>
          <w:w w:val="94"/>
          <w:position w:val="-8"/>
          <w:sz w:val="15"/>
        </w:rPr>
        <w:t>i</w:t>
      </w:r>
      <w:r>
        <w:rPr>
          <w:i/>
          <w:position w:val="-8"/>
          <w:sz w:val="15"/>
        </w:rPr>
        <w:tab/>
      </w:r>
      <w:r>
        <w:rPr>
          <w:i/>
          <w:spacing w:val="-2"/>
          <w:w w:val="94"/>
          <w:sz w:val="15"/>
        </w:rPr>
        <w:t>ij</w:t>
      </w:r>
    </w:p>
    <w:p>
      <w:pPr>
        <w:pStyle w:val="BodyText"/>
        <w:spacing w:before="42"/>
        <w:ind w:left="102"/>
      </w:pPr>
      <w:r>
        <w:rPr/>
        <w:br w:type="column"/>
      </w:r>
      <w:r>
        <w:rPr/>
        <w:t>es el personal</w:t>
      </w:r>
    </w:p>
    <w:p>
      <w:pPr>
        <w:spacing w:after="0"/>
        <w:sectPr>
          <w:type w:val="continuous"/>
          <w:pgSz w:w="12240" w:h="15840"/>
          <w:pgMar w:top="1060" w:bottom="280" w:left="1600" w:right="1580"/>
          <w:cols w:num="2" w:equalWidth="0">
            <w:col w:w="7451" w:space="58"/>
            <w:col w:w="1551"/>
          </w:cols>
        </w:sectPr>
      </w:pPr>
    </w:p>
    <w:p>
      <w:pPr>
        <w:pStyle w:val="BodyText"/>
        <w:tabs>
          <w:tab w:pos="6021" w:val="left" w:leader="none"/>
        </w:tabs>
        <w:spacing w:before="122"/>
        <w:ind w:left="102"/>
        <w:rPr>
          <w:i/>
          <w:sz w:val="15"/>
        </w:rPr>
      </w:pPr>
      <w:r>
        <w:rPr/>
        <w:pict>
          <v:shape style="position:absolute;margin-left:367.301147pt;margin-top:10.342402pt;width:13.1pt;height:14.2pt;mso-position-horizontal-relative:page;mso-position-vertical-relative:paragraph;z-index:-496504" type="#_x0000_t202" filled="false" stroked="false">
            <v:textbox inset="0,0,0,0">
              <w:txbxContent>
                <w:p>
                  <w:pPr>
                    <w:spacing w:line="283" w:lineRule="exact" w:before="0"/>
                    <w:ind w:left="0" w:right="-20" w:firstLine="0"/>
                    <w:jc w:val="left"/>
                    <w:rPr>
                      <w:i/>
                      <w:sz w:val="15"/>
                    </w:rPr>
                  </w:pPr>
                  <w:r>
                    <w:rPr>
                      <w:i/>
                      <w:position w:val="-10"/>
                      <w:sz w:val="25"/>
                    </w:rPr>
                    <w:t>V</w:t>
                  </w:r>
                  <w:r>
                    <w:rPr>
                      <w:i/>
                      <w:spacing w:val="-29"/>
                      <w:position w:val="-10"/>
                      <w:sz w:val="25"/>
                    </w:rPr>
                    <w:t> </w:t>
                  </w:r>
                  <w:r>
                    <w:rPr>
                      <w:i/>
                      <w:sz w:val="15"/>
                    </w:rPr>
                    <w:t>n</w:t>
                  </w:r>
                </w:p>
              </w:txbxContent>
            </v:textbox>
            <w10:wrap type="none"/>
          </v:shape>
        </w:pict>
      </w:r>
      <w:r>
        <w:rPr/>
        <w:t>tot</w:t>
      </w:r>
      <w:r>
        <w:rPr>
          <w:spacing w:val="-1"/>
        </w:rPr>
        <w:t>a</w:t>
      </w:r>
      <w:r>
        <w:rPr/>
        <w:t>l</w:t>
      </w:r>
      <w:r>
        <w:rPr>
          <w:spacing w:val="7"/>
        </w:rPr>
        <w:t> </w:t>
      </w:r>
      <w:r>
        <w:rPr/>
        <w:t>o</w:t>
      </w:r>
      <w:r>
        <w:rPr>
          <w:spacing w:val="-1"/>
        </w:rPr>
        <w:t>c</w:t>
      </w:r>
      <w:r>
        <w:rPr/>
        <w:t>up</w:t>
      </w:r>
      <w:r>
        <w:rPr>
          <w:spacing w:val="-1"/>
        </w:rPr>
        <w:t>a</w:t>
      </w:r>
      <w:r>
        <w:rPr/>
        <w:t>do</w:t>
      </w:r>
      <w:r>
        <w:rPr>
          <w:spacing w:val="6"/>
        </w:rPr>
        <w:t> </w:t>
      </w:r>
      <w:r>
        <w:rPr>
          <w:spacing w:val="-1"/>
        </w:rPr>
        <w:t>e</w:t>
      </w:r>
      <w:r>
        <w:rPr/>
        <w:t>n</w:t>
      </w:r>
      <w:r>
        <w:rPr>
          <w:spacing w:val="9"/>
        </w:rPr>
        <w:t> </w:t>
      </w:r>
      <w:r>
        <w:rPr/>
        <w:t>la</w:t>
      </w:r>
      <w:r>
        <w:rPr>
          <w:spacing w:val="6"/>
        </w:rPr>
        <w:t> </w:t>
      </w:r>
      <w:r>
        <w:rPr/>
        <w:t>indu</w:t>
      </w:r>
      <w:r>
        <w:rPr>
          <w:spacing w:val="2"/>
        </w:rPr>
        <w:t>s</w:t>
      </w:r>
      <w:r>
        <w:rPr/>
        <w:t>tria</w:t>
      </w:r>
      <w:r>
        <w:rPr>
          <w:spacing w:val="6"/>
        </w:rPr>
        <w:t> </w:t>
      </w:r>
      <w:r>
        <w:rPr>
          <w:spacing w:val="-1"/>
        </w:rPr>
        <w:t>a</w:t>
      </w:r>
      <w:r>
        <w:rPr/>
        <w:t>utomotriz</w:t>
      </w:r>
      <w:r>
        <w:rPr>
          <w:spacing w:val="8"/>
        </w:rPr>
        <w:t> </w:t>
      </w:r>
      <w:r>
        <w:rPr/>
        <w:t>de</w:t>
      </w:r>
      <w:r>
        <w:rPr>
          <w:spacing w:val="6"/>
        </w:rPr>
        <w:t> </w:t>
      </w:r>
      <w:r>
        <w:rPr/>
        <w:t>la</w:t>
      </w:r>
      <w:r>
        <w:rPr>
          <w:spacing w:val="6"/>
        </w:rPr>
        <w:t> </w:t>
      </w:r>
      <w:r>
        <w:rPr>
          <w:spacing w:val="1"/>
        </w:rPr>
        <w:t>r</w:t>
      </w:r>
      <w:r>
        <w:rPr>
          <w:spacing w:val="-1"/>
        </w:rPr>
        <w:t>e</w:t>
      </w:r>
      <w:r>
        <w:rPr/>
        <w:t>gión</w:t>
      </w:r>
      <w:r>
        <w:rPr>
          <w:spacing w:val="7"/>
        </w:rPr>
        <w:t> </w:t>
      </w:r>
      <w:r>
        <w:rPr/>
        <w:t>j; </w:t>
      </w:r>
      <w:r>
        <w:rPr>
          <w:spacing w:val="-14"/>
        </w:rPr>
        <w:t> </w:t>
      </w:r>
      <w:r>
        <w:rPr>
          <w:rFonts w:ascii="Symbol" w:hAnsi="Symbol"/>
          <w:spacing w:val="-1"/>
          <w:w w:val="92"/>
          <w:position w:val="-4"/>
          <w:sz w:val="38"/>
        </w:rPr>
        <w:t></w:t>
      </w:r>
      <w:r>
        <w:rPr>
          <w:i/>
          <w:w w:val="91"/>
          <w:position w:val="-8"/>
          <w:sz w:val="15"/>
        </w:rPr>
        <w:t>i</w:t>
      </w:r>
      <w:r>
        <w:rPr>
          <w:i/>
          <w:position w:val="-8"/>
          <w:sz w:val="15"/>
        </w:rPr>
        <w:tab/>
      </w:r>
      <w:r>
        <w:rPr>
          <w:i/>
          <w:spacing w:val="-3"/>
          <w:w w:val="91"/>
          <w:sz w:val="15"/>
        </w:rPr>
        <w:t>ij</w:t>
      </w:r>
    </w:p>
    <w:p>
      <w:pPr>
        <w:pStyle w:val="BodyText"/>
        <w:rPr>
          <w:i/>
          <w:sz w:val="20"/>
        </w:rPr>
      </w:pPr>
      <w:r>
        <w:rPr/>
        <w:br w:type="column"/>
      </w:r>
      <w:r>
        <w:rPr>
          <w:i/>
          <w:sz w:val="20"/>
        </w:rPr>
      </w:r>
    </w:p>
    <w:p>
      <w:pPr>
        <w:pStyle w:val="BodyText"/>
        <w:ind w:left="102"/>
      </w:pPr>
      <w:r>
        <w:rPr/>
        <w:t>es el personal total ocupado</w:t>
      </w:r>
    </w:p>
    <w:p>
      <w:pPr>
        <w:spacing w:after="0"/>
        <w:sectPr>
          <w:type w:val="continuous"/>
          <w:pgSz w:w="12240" w:h="15840"/>
          <w:pgMar w:top="1060" w:bottom="280" w:left="1600" w:right="1580"/>
          <w:cols w:num="2" w:equalWidth="0">
            <w:col w:w="6094" w:space="48"/>
            <w:col w:w="2918"/>
          </w:cols>
        </w:sectPr>
      </w:pPr>
    </w:p>
    <w:p>
      <w:pPr>
        <w:pStyle w:val="BodyText"/>
        <w:spacing w:before="131"/>
        <w:ind w:left="102" w:right="-7"/>
        <w:rPr>
          <w:i/>
          <w:sz w:val="14"/>
        </w:rPr>
      </w:pPr>
      <w:r>
        <w:rPr/>
        <w:pict>
          <v:shape style="position:absolute;margin-left:403.192627pt;margin-top:10.270119pt;width:3.95pt;height:7.2pt;mso-position-horizontal-relative:page;mso-position-vertical-relative:paragraph;z-index:-496480" type="#_x0000_t202" filled="false" stroked="false">
            <v:textbox inset="0,0,0,0">
              <w:txbxContent>
                <w:p>
                  <w:pPr>
                    <w:spacing w:line="143" w:lineRule="exact" w:before="0"/>
                    <w:ind w:left="0" w:right="0" w:firstLine="0"/>
                    <w:jc w:val="left"/>
                    <w:rPr>
                      <w:i/>
                      <w:sz w:val="14"/>
                    </w:rPr>
                  </w:pPr>
                  <w:r>
                    <w:rPr>
                      <w:i/>
                      <w:w w:val="111"/>
                      <w:sz w:val="14"/>
                    </w:rPr>
                    <w:t>n</w:t>
                  </w:r>
                </w:p>
              </w:txbxContent>
            </v:textbox>
            <w10:wrap type="none"/>
          </v:shape>
        </w:pict>
      </w:r>
      <w:r>
        <w:rPr>
          <w:spacing w:val="-1"/>
          <w:position w:val="1"/>
        </w:rPr>
        <w:t>e</w:t>
      </w:r>
      <w:r>
        <w:rPr>
          <w:position w:val="1"/>
        </w:rPr>
        <w:t>n</w:t>
      </w:r>
      <w:r>
        <w:rPr>
          <w:spacing w:val="18"/>
          <w:position w:val="1"/>
        </w:rPr>
        <w:t> </w:t>
      </w:r>
      <w:r>
        <w:rPr>
          <w:position w:val="1"/>
        </w:rPr>
        <w:t>la</w:t>
      </w:r>
      <w:r>
        <w:rPr>
          <w:spacing w:val="20"/>
          <w:position w:val="1"/>
        </w:rPr>
        <w:t> </w:t>
      </w:r>
      <w:r>
        <w:rPr>
          <w:spacing w:val="-1"/>
          <w:position w:val="1"/>
        </w:rPr>
        <w:t>ac</w:t>
      </w:r>
      <w:r>
        <w:rPr>
          <w:position w:val="1"/>
        </w:rPr>
        <w:t>tividad</w:t>
      </w:r>
      <w:r>
        <w:rPr>
          <w:spacing w:val="18"/>
          <w:position w:val="1"/>
        </w:rPr>
        <w:t> </w:t>
      </w:r>
      <w:r>
        <w:rPr>
          <w:position w:val="1"/>
        </w:rPr>
        <w:t>i</w:t>
      </w:r>
      <w:r>
        <w:rPr>
          <w:spacing w:val="21"/>
          <w:position w:val="1"/>
        </w:rPr>
        <w:t> </w:t>
      </w:r>
      <w:r>
        <w:rPr>
          <w:position w:val="1"/>
        </w:rPr>
        <w:t>de</w:t>
      </w:r>
      <w:r>
        <w:rPr>
          <w:spacing w:val="20"/>
          <w:position w:val="1"/>
        </w:rPr>
        <w:t> </w:t>
      </w:r>
      <w:r>
        <w:rPr>
          <w:position w:val="1"/>
        </w:rPr>
        <w:t>la</w:t>
      </w:r>
      <w:r>
        <w:rPr>
          <w:spacing w:val="18"/>
          <w:position w:val="1"/>
        </w:rPr>
        <w:t> </w:t>
      </w:r>
      <w:r>
        <w:rPr>
          <w:position w:val="1"/>
        </w:rPr>
        <w:t>i</w:t>
      </w:r>
      <w:r>
        <w:rPr>
          <w:spacing w:val="2"/>
          <w:position w:val="1"/>
        </w:rPr>
        <w:t>n</w:t>
      </w:r>
      <w:r>
        <w:rPr>
          <w:position w:val="1"/>
        </w:rPr>
        <w:t>dustria</w:t>
      </w:r>
      <w:r>
        <w:rPr>
          <w:spacing w:val="17"/>
          <w:position w:val="1"/>
        </w:rPr>
        <w:t> </w:t>
      </w:r>
      <w:r>
        <w:rPr>
          <w:spacing w:val="-1"/>
          <w:position w:val="1"/>
        </w:rPr>
        <w:t>a</w:t>
      </w:r>
      <w:r>
        <w:rPr>
          <w:position w:val="1"/>
        </w:rPr>
        <w:t>utomotriz</w:t>
      </w:r>
      <w:r>
        <w:rPr>
          <w:spacing w:val="20"/>
          <w:position w:val="1"/>
        </w:rPr>
        <w:t> </w:t>
      </w:r>
      <w:r>
        <w:rPr>
          <w:position w:val="1"/>
        </w:rPr>
        <w:t>n</w:t>
      </w:r>
      <w:r>
        <w:rPr>
          <w:spacing w:val="-1"/>
          <w:position w:val="1"/>
        </w:rPr>
        <w:t>ac</w:t>
      </w:r>
      <w:r>
        <w:rPr>
          <w:position w:val="1"/>
        </w:rPr>
        <w:t>i</w:t>
      </w:r>
      <w:r>
        <w:rPr>
          <w:spacing w:val="2"/>
          <w:position w:val="1"/>
        </w:rPr>
        <w:t>o</w:t>
      </w:r>
      <w:r>
        <w:rPr>
          <w:position w:val="1"/>
        </w:rPr>
        <w:t>n</w:t>
      </w:r>
      <w:r>
        <w:rPr>
          <w:spacing w:val="-1"/>
          <w:position w:val="1"/>
        </w:rPr>
        <w:t>a</w:t>
      </w:r>
      <w:r>
        <w:rPr>
          <w:position w:val="1"/>
        </w:rPr>
        <w:t>l,</w:t>
      </w:r>
      <w:r>
        <w:rPr>
          <w:spacing w:val="24"/>
          <w:position w:val="1"/>
        </w:rPr>
        <w:t> </w:t>
      </w:r>
      <w:r>
        <w:rPr>
          <w:position w:val="1"/>
        </w:rPr>
        <w:t>y </w:t>
      </w:r>
      <w:r>
        <w:rPr>
          <w:spacing w:val="-1"/>
          <w:position w:val="1"/>
        </w:rPr>
        <w:t> </w:t>
      </w:r>
      <w:r>
        <w:rPr>
          <w:rFonts w:ascii="Symbol" w:hAnsi="Symbol"/>
          <w:spacing w:val="-12"/>
          <w:w w:val="111"/>
          <w:position w:val="-4"/>
          <w:sz w:val="36"/>
        </w:rPr>
        <w:t></w:t>
      </w:r>
      <w:r>
        <w:rPr>
          <w:i/>
          <w:spacing w:val="-4"/>
          <w:w w:val="111"/>
          <w:position w:val="-8"/>
          <w:sz w:val="14"/>
        </w:rPr>
        <w:t>i</w:t>
      </w:r>
      <w:r>
        <w:rPr>
          <w:rFonts w:ascii="Symbol" w:hAnsi="Symbol"/>
          <w:spacing w:val="20"/>
          <w:w w:val="111"/>
          <w:position w:val="-4"/>
          <w:sz w:val="36"/>
        </w:rPr>
        <w:t></w:t>
      </w:r>
      <w:r>
        <w:rPr>
          <w:i/>
          <w:w w:val="111"/>
          <w:position w:val="-8"/>
          <w:sz w:val="14"/>
        </w:rPr>
        <w:t>j</w:t>
      </w:r>
      <w:r>
        <w:rPr>
          <w:i/>
          <w:spacing w:val="-13"/>
          <w:position w:val="-8"/>
          <w:sz w:val="14"/>
        </w:rPr>
        <w:t> </w:t>
      </w:r>
      <w:r>
        <w:rPr>
          <w:i/>
          <w:w w:val="111"/>
          <w:position w:val="1"/>
        </w:rPr>
        <w:t>V</w:t>
      </w:r>
      <w:r>
        <w:rPr>
          <w:i/>
          <w:position w:val="1"/>
        </w:rPr>
        <w:t> </w:t>
      </w:r>
      <w:r>
        <w:rPr>
          <w:i/>
          <w:spacing w:val="18"/>
          <w:position w:val="1"/>
        </w:rPr>
        <w:t> </w:t>
      </w:r>
      <w:r>
        <w:rPr>
          <w:i/>
          <w:spacing w:val="-4"/>
          <w:w w:val="111"/>
          <w:sz w:val="14"/>
        </w:rPr>
        <w:t>ij</w:t>
      </w:r>
    </w:p>
    <w:p>
      <w:pPr>
        <w:pStyle w:val="BodyText"/>
        <w:spacing w:before="212"/>
        <w:ind w:left="102"/>
      </w:pPr>
      <w:r>
        <w:rPr/>
        <w:br w:type="column"/>
      </w:r>
      <w:r>
        <w:rPr/>
        <w:t>representa al personal</w:t>
      </w:r>
    </w:p>
    <w:p>
      <w:pPr>
        <w:spacing w:after="0"/>
        <w:sectPr>
          <w:type w:val="continuous"/>
          <w:pgSz w:w="12240" w:h="15840"/>
          <w:pgMar w:top="1060" w:bottom="280" w:left="1600" w:right="1580"/>
          <w:cols w:num="2" w:equalWidth="0">
            <w:col w:w="6635" w:space="72"/>
            <w:col w:w="2353"/>
          </w:cols>
        </w:sectPr>
      </w:pPr>
    </w:p>
    <w:p>
      <w:pPr>
        <w:pStyle w:val="BodyText"/>
        <w:spacing w:before="4"/>
        <w:rPr>
          <w:sz w:val="9"/>
        </w:rPr>
      </w:pPr>
    </w:p>
    <w:p>
      <w:pPr>
        <w:pStyle w:val="BodyText"/>
        <w:spacing w:line="360" w:lineRule="auto" w:before="69"/>
        <w:ind w:left="102" w:right="118"/>
        <w:jc w:val="both"/>
      </w:pPr>
      <w:r>
        <w:rPr/>
        <w:t>total ocupado en la industria automotriz nacional. Para el cálculo del cociente con el valor agregado</w:t>
      </w:r>
      <w:r>
        <w:rPr>
          <w:spacing w:val="-7"/>
        </w:rPr>
        <w:t> </w:t>
      </w:r>
      <w:r>
        <w:rPr/>
        <w:t>censal</w:t>
      </w:r>
      <w:r>
        <w:rPr>
          <w:spacing w:val="-9"/>
        </w:rPr>
        <w:t> </w:t>
      </w:r>
      <w:r>
        <w:rPr/>
        <w:t>bruto,</w:t>
      </w:r>
      <w:r>
        <w:rPr>
          <w:spacing w:val="41"/>
        </w:rPr>
        <w:t> </w:t>
      </w:r>
      <w:r>
        <w:rPr/>
        <w:t>se</w:t>
      </w:r>
      <w:r>
        <w:rPr>
          <w:spacing w:val="-8"/>
        </w:rPr>
        <w:t> </w:t>
      </w:r>
      <w:r>
        <w:rPr/>
        <w:t>sustituyen</w:t>
      </w:r>
      <w:r>
        <w:rPr>
          <w:spacing w:val="-10"/>
        </w:rPr>
        <w:t> </w:t>
      </w:r>
      <w:r>
        <w:rPr/>
        <w:t>los</w:t>
      </w:r>
      <w:r>
        <w:rPr>
          <w:spacing w:val="-9"/>
        </w:rPr>
        <w:t> </w:t>
      </w:r>
      <w:r>
        <w:rPr/>
        <w:t>datos</w:t>
      </w:r>
      <w:r>
        <w:rPr>
          <w:spacing w:val="-9"/>
        </w:rPr>
        <w:t> </w:t>
      </w:r>
      <w:r>
        <w:rPr/>
        <w:t>de</w:t>
      </w:r>
      <w:r>
        <w:rPr>
          <w:spacing w:val="-11"/>
        </w:rPr>
        <w:t> </w:t>
      </w:r>
      <w:r>
        <w:rPr/>
        <w:t>personal</w:t>
      </w:r>
      <w:r>
        <w:rPr>
          <w:spacing w:val="-9"/>
        </w:rPr>
        <w:t> </w:t>
      </w:r>
      <w:r>
        <w:rPr/>
        <w:t>ocupado</w:t>
      </w:r>
      <w:r>
        <w:rPr>
          <w:spacing w:val="-10"/>
        </w:rPr>
        <w:t> </w:t>
      </w:r>
      <w:r>
        <w:rPr/>
        <w:t>por</w:t>
      </w:r>
      <w:r>
        <w:rPr>
          <w:spacing w:val="-10"/>
        </w:rPr>
        <w:t> </w:t>
      </w:r>
      <w:r>
        <w:rPr/>
        <w:t>los</w:t>
      </w:r>
      <w:r>
        <w:rPr>
          <w:spacing w:val="-9"/>
        </w:rPr>
        <w:t> </w:t>
      </w:r>
      <w:r>
        <w:rPr/>
        <w:t>de</w:t>
      </w:r>
      <w:r>
        <w:rPr>
          <w:spacing w:val="-11"/>
        </w:rPr>
        <w:t> </w:t>
      </w:r>
      <w:r>
        <w:rPr/>
        <w:t>valor</w:t>
      </w:r>
      <w:r>
        <w:rPr>
          <w:spacing w:val="-10"/>
        </w:rPr>
        <w:t> </w:t>
      </w:r>
      <w:r>
        <w:rPr/>
        <w:t>agregado y también es el mismo caso para la producción total del sector (Carbajal, Mejía y Rojas, 2009).</w:t>
      </w:r>
    </w:p>
    <w:p>
      <w:pPr>
        <w:pStyle w:val="BodyText"/>
        <w:spacing w:line="384" w:lineRule="auto" w:before="126"/>
        <w:ind w:left="102" w:right="117"/>
        <w:jc w:val="both"/>
      </w:pPr>
      <w:r>
        <w:rPr/>
        <w:t>Así,</w:t>
      </w:r>
      <w:r>
        <w:rPr>
          <w:spacing w:val="-9"/>
        </w:rPr>
        <w:t> </w:t>
      </w:r>
      <w:r>
        <w:rPr/>
        <w:t>podemos</w:t>
      </w:r>
      <w:r>
        <w:rPr>
          <w:spacing w:val="-9"/>
        </w:rPr>
        <w:t> </w:t>
      </w:r>
      <w:r>
        <w:rPr/>
        <w:t>determinar</w:t>
      </w:r>
      <w:r>
        <w:rPr>
          <w:spacing w:val="-8"/>
        </w:rPr>
        <w:t> </w:t>
      </w:r>
      <w:r>
        <w:rPr/>
        <w:t>la</w:t>
      </w:r>
      <w:r>
        <w:rPr>
          <w:spacing w:val="-10"/>
        </w:rPr>
        <w:t> </w:t>
      </w:r>
      <w:r>
        <w:rPr/>
        <w:t>especialización</w:t>
      </w:r>
      <w:r>
        <w:rPr>
          <w:spacing w:val="-9"/>
        </w:rPr>
        <w:t> </w:t>
      </w:r>
      <w:r>
        <w:rPr/>
        <w:t>interregional</w:t>
      </w:r>
      <w:r>
        <w:rPr>
          <w:spacing w:val="-10"/>
        </w:rPr>
        <w:t> </w:t>
      </w:r>
      <w:r>
        <w:rPr/>
        <w:t>con</w:t>
      </w:r>
      <w:r>
        <w:rPr>
          <w:spacing w:val="-10"/>
        </w:rPr>
        <w:t> </w:t>
      </w:r>
      <w:r>
        <w:rPr/>
        <w:t>base</w:t>
      </w:r>
      <w:r>
        <w:rPr>
          <w:spacing w:val="-10"/>
        </w:rPr>
        <w:t> </w:t>
      </w:r>
      <w:r>
        <w:rPr/>
        <w:t>en</w:t>
      </w:r>
      <w:r>
        <w:rPr>
          <w:spacing w:val="-10"/>
        </w:rPr>
        <w:t> </w:t>
      </w:r>
      <w:r>
        <w:rPr/>
        <w:t>los</w:t>
      </w:r>
      <w:r>
        <w:rPr>
          <w:spacing w:val="-9"/>
        </w:rPr>
        <w:t> </w:t>
      </w:r>
      <w:r>
        <w:rPr/>
        <w:t>siguientes</w:t>
      </w:r>
      <w:r>
        <w:rPr>
          <w:spacing w:val="-9"/>
        </w:rPr>
        <w:t> </w:t>
      </w:r>
      <w:r>
        <w:rPr/>
        <w:t>criterios: si</w:t>
      </w:r>
      <w:r>
        <w:rPr>
          <w:spacing w:val="15"/>
        </w:rPr>
        <w:t> </w:t>
      </w:r>
      <w:r>
        <w:rPr>
          <w:i/>
          <w:spacing w:val="-3"/>
          <w:position w:val="3"/>
          <w:sz w:val="28"/>
        </w:rPr>
        <w:t>Q</w:t>
      </w:r>
      <w:r>
        <w:rPr>
          <w:i/>
          <w:spacing w:val="-3"/>
          <w:position w:val="-3"/>
          <w:sz w:val="16"/>
        </w:rPr>
        <w:t>ij</w:t>
      </w:r>
      <w:r>
        <w:rPr>
          <w:i/>
          <w:spacing w:val="12"/>
          <w:position w:val="-3"/>
          <w:sz w:val="16"/>
        </w:rPr>
        <w:t> </w:t>
      </w:r>
      <w:r>
        <w:rPr/>
        <w:t>=</w:t>
      </w:r>
      <w:r>
        <w:rPr>
          <w:spacing w:val="-6"/>
        </w:rPr>
        <w:t> </w:t>
      </w:r>
      <w:r>
        <w:rPr/>
        <w:t>1,</w:t>
      </w:r>
      <w:r>
        <w:rPr>
          <w:spacing w:val="-5"/>
        </w:rPr>
        <w:t> </w:t>
      </w:r>
      <w:r>
        <w:rPr/>
        <w:t>el</w:t>
      </w:r>
      <w:r>
        <w:rPr>
          <w:spacing w:val="-5"/>
        </w:rPr>
        <w:t> </w:t>
      </w:r>
      <w:r>
        <w:rPr/>
        <w:t>tamaño</w:t>
      </w:r>
      <w:r>
        <w:rPr>
          <w:spacing w:val="-5"/>
        </w:rPr>
        <w:t> </w:t>
      </w:r>
      <w:r>
        <w:rPr/>
        <w:t>relativo</w:t>
      </w:r>
      <w:r>
        <w:rPr>
          <w:spacing w:val="-6"/>
        </w:rPr>
        <w:t> </w:t>
      </w:r>
      <w:r>
        <w:rPr/>
        <w:t>de</w:t>
      </w:r>
      <w:r>
        <w:rPr>
          <w:spacing w:val="-5"/>
        </w:rPr>
        <w:t> </w:t>
      </w:r>
      <w:r>
        <w:rPr/>
        <w:t>la</w:t>
      </w:r>
      <w:r>
        <w:rPr>
          <w:spacing w:val="-5"/>
        </w:rPr>
        <w:t> </w:t>
      </w:r>
      <w:r>
        <w:rPr/>
        <w:t>actividad</w:t>
      </w:r>
      <w:r>
        <w:rPr>
          <w:spacing w:val="-5"/>
        </w:rPr>
        <w:t> </w:t>
      </w:r>
      <w:r>
        <w:rPr/>
        <w:t>i</w:t>
      </w:r>
      <w:r>
        <w:rPr>
          <w:spacing w:val="-5"/>
        </w:rPr>
        <w:t> </w:t>
      </w:r>
      <w:r>
        <w:rPr/>
        <w:t>en</w:t>
      </w:r>
      <w:r>
        <w:rPr>
          <w:spacing w:val="-5"/>
        </w:rPr>
        <w:t> </w:t>
      </w:r>
      <w:r>
        <w:rPr/>
        <w:t>la</w:t>
      </w:r>
      <w:r>
        <w:rPr>
          <w:spacing w:val="-6"/>
        </w:rPr>
        <w:t> </w:t>
      </w:r>
      <w:r>
        <w:rPr/>
        <w:t>región</w:t>
      </w:r>
      <w:r>
        <w:rPr>
          <w:spacing w:val="-5"/>
        </w:rPr>
        <w:t> </w:t>
      </w:r>
      <w:r>
        <w:rPr/>
        <w:t>j</w:t>
      </w:r>
      <w:r>
        <w:rPr>
          <w:spacing w:val="-5"/>
        </w:rPr>
        <w:t> </w:t>
      </w:r>
      <w:r>
        <w:rPr/>
        <w:t>es</w:t>
      </w:r>
      <w:r>
        <w:rPr>
          <w:spacing w:val="-5"/>
        </w:rPr>
        <w:t> </w:t>
      </w:r>
      <w:r>
        <w:rPr/>
        <w:t>idéntico</w:t>
      </w:r>
      <w:r>
        <w:rPr>
          <w:spacing w:val="-5"/>
        </w:rPr>
        <w:t> </w:t>
      </w:r>
      <w:r>
        <w:rPr/>
        <w:t>al</w:t>
      </w:r>
      <w:r>
        <w:rPr>
          <w:spacing w:val="-5"/>
        </w:rPr>
        <w:t> </w:t>
      </w:r>
      <w:r>
        <w:rPr/>
        <w:t>tamaño</w:t>
      </w:r>
      <w:r>
        <w:rPr>
          <w:spacing w:val="-5"/>
        </w:rPr>
        <w:t> </w:t>
      </w:r>
      <w:r>
        <w:rPr/>
        <w:t>relativo</w:t>
      </w:r>
      <w:r>
        <w:rPr>
          <w:spacing w:val="-6"/>
        </w:rPr>
        <w:t> </w:t>
      </w:r>
      <w:r>
        <w:rPr/>
        <w:t>del mismo sector en todo el país. En tal caso no se puede afirmar que exista una</w:t>
      </w:r>
      <w:r>
        <w:rPr>
          <w:spacing w:val="-10"/>
        </w:rPr>
        <w:t> </w:t>
      </w:r>
      <w:r>
        <w:rPr/>
        <w:t>especialización</w:t>
      </w:r>
    </w:p>
    <w:p>
      <w:pPr>
        <w:spacing w:after="0" w:line="384" w:lineRule="auto"/>
        <w:jc w:val="both"/>
        <w:sectPr>
          <w:type w:val="continuous"/>
          <w:pgSz w:w="12240" w:h="15840"/>
          <w:pgMar w:top="1060" w:bottom="280" w:left="1600" w:right="1580"/>
        </w:sectPr>
      </w:pPr>
    </w:p>
    <w:p>
      <w:pPr>
        <w:pStyle w:val="BodyText"/>
        <w:spacing w:before="37"/>
        <w:ind w:left="102"/>
      </w:pPr>
      <w:r>
        <w:rPr/>
        <w:t>regional</w:t>
      </w:r>
      <w:r>
        <w:rPr>
          <w:spacing w:val="-18"/>
        </w:rPr>
        <w:t> </w:t>
      </w:r>
      <w:r>
        <w:rPr/>
        <w:t>en</w:t>
      </w:r>
      <w:r>
        <w:rPr>
          <w:spacing w:val="-16"/>
        </w:rPr>
        <w:t> </w:t>
      </w:r>
      <w:r>
        <w:rPr/>
        <w:t>esa</w:t>
      </w:r>
      <w:r>
        <w:rPr>
          <w:spacing w:val="-17"/>
        </w:rPr>
        <w:t> </w:t>
      </w:r>
      <w:r>
        <w:rPr/>
        <w:t>actividad.</w:t>
      </w:r>
      <w:r>
        <w:rPr>
          <w:spacing w:val="-16"/>
        </w:rPr>
        <w:t> </w:t>
      </w:r>
      <w:r>
        <w:rPr/>
        <w:t>Si</w:t>
      </w:r>
      <w:r>
        <w:rPr>
          <w:spacing w:val="3"/>
        </w:rPr>
        <w:t> </w:t>
      </w:r>
      <w:r>
        <w:rPr>
          <w:i/>
          <w:spacing w:val="-3"/>
          <w:position w:val="3"/>
          <w:sz w:val="28"/>
        </w:rPr>
        <w:t>Q</w:t>
      </w:r>
      <w:r>
        <w:rPr>
          <w:i/>
          <w:spacing w:val="-3"/>
          <w:position w:val="-4"/>
          <w:sz w:val="16"/>
        </w:rPr>
        <w:t>ij </w:t>
      </w:r>
      <w:r>
        <w:rPr>
          <w:i/>
          <w:spacing w:val="-2"/>
          <w:position w:val="-4"/>
          <w:sz w:val="16"/>
        </w:rPr>
        <w:t> </w:t>
      </w:r>
      <w:r>
        <w:rPr/>
        <w:t>&lt;</w:t>
      </w:r>
      <w:r>
        <w:rPr>
          <w:spacing w:val="-19"/>
        </w:rPr>
        <w:t> </w:t>
      </w:r>
      <w:r>
        <w:rPr/>
        <w:t>1</w:t>
      </w:r>
      <w:r>
        <w:rPr>
          <w:spacing w:val="-16"/>
        </w:rPr>
        <w:t> </w:t>
      </w:r>
      <w:r>
        <w:rPr/>
        <w:t>en</w:t>
      </w:r>
      <w:r>
        <w:rPr>
          <w:spacing w:val="-18"/>
        </w:rPr>
        <w:t> </w:t>
      </w:r>
      <w:r>
        <w:rPr/>
        <w:t>la</w:t>
      </w:r>
      <w:r>
        <w:rPr>
          <w:spacing w:val="-17"/>
        </w:rPr>
        <w:t> </w:t>
      </w:r>
      <w:r>
        <w:rPr/>
        <w:t>región</w:t>
      </w:r>
      <w:r>
        <w:rPr>
          <w:spacing w:val="-18"/>
        </w:rPr>
        <w:t> </w:t>
      </w:r>
      <w:r>
        <w:rPr/>
        <w:t>j,</w:t>
      </w:r>
      <w:r>
        <w:rPr>
          <w:spacing w:val="-16"/>
        </w:rPr>
        <w:t> </w:t>
      </w:r>
      <w:r>
        <w:rPr/>
        <w:t>el</w:t>
      </w:r>
      <w:r>
        <w:rPr>
          <w:spacing w:val="-18"/>
        </w:rPr>
        <w:t> </w:t>
      </w:r>
      <w:r>
        <w:rPr/>
        <w:t>tamaño</w:t>
      </w:r>
      <w:r>
        <w:rPr>
          <w:spacing w:val="-19"/>
        </w:rPr>
        <w:t> </w:t>
      </w:r>
      <w:r>
        <w:rPr/>
        <w:t>relativo</w:t>
      </w:r>
      <w:r>
        <w:rPr>
          <w:spacing w:val="-18"/>
        </w:rPr>
        <w:t> </w:t>
      </w:r>
      <w:r>
        <w:rPr/>
        <w:t>de</w:t>
      </w:r>
      <w:r>
        <w:rPr>
          <w:spacing w:val="-19"/>
        </w:rPr>
        <w:t> </w:t>
      </w:r>
      <w:r>
        <w:rPr/>
        <w:t>la</w:t>
      </w:r>
      <w:r>
        <w:rPr>
          <w:spacing w:val="-17"/>
        </w:rPr>
        <w:t> </w:t>
      </w:r>
      <w:r>
        <w:rPr/>
        <w:t>actividad</w:t>
      </w:r>
      <w:r>
        <w:rPr>
          <w:spacing w:val="-18"/>
        </w:rPr>
        <w:t> </w:t>
      </w:r>
      <w:r>
        <w:rPr/>
        <w:t>i</w:t>
      </w:r>
      <w:r>
        <w:rPr>
          <w:spacing w:val="-18"/>
        </w:rPr>
        <w:t> </w:t>
      </w:r>
      <w:r>
        <w:rPr/>
        <w:t>es</w:t>
      </w:r>
      <w:r>
        <w:rPr>
          <w:spacing w:val="-16"/>
        </w:rPr>
        <w:t> </w:t>
      </w:r>
      <w:r>
        <w:rPr/>
        <w:t>menor</w:t>
      </w:r>
    </w:p>
    <w:p>
      <w:pPr>
        <w:pStyle w:val="BodyText"/>
        <w:spacing w:before="2"/>
        <w:rPr>
          <w:sz w:val="13"/>
        </w:rPr>
      </w:pPr>
    </w:p>
    <w:p>
      <w:pPr>
        <w:pStyle w:val="BodyText"/>
        <w:spacing w:before="63"/>
        <w:ind w:left="102"/>
      </w:pPr>
      <w:r>
        <w:rPr/>
        <w:t>que en el país; tampoco podría hablarse en tal caso de especialización. Finalmente, si </w:t>
      </w:r>
      <w:r>
        <w:rPr>
          <w:i/>
          <w:position w:val="3"/>
          <w:sz w:val="28"/>
        </w:rPr>
        <w:t>Q</w:t>
      </w:r>
      <w:r>
        <w:rPr>
          <w:i/>
          <w:position w:val="-4"/>
          <w:sz w:val="16"/>
        </w:rPr>
        <w:t>ij  </w:t>
      </w:r>
      <w:r>
        <w:rPr/>
        <w:t>&gt; 1</w:t>
      </w:r>
    </w:p>
    <w:p>
      <w:pPr>
        <w:pStyle w:val="BodyText"/>
        <w:spacing w:before="1"/>
        <w:rPr>
          <w:sz w:val="10"/>
        </w:rPr>
      </w:pPr>
    </w:p>
    <w:p>
      <w:pPr>
        <w:pStyle w:val="BodyText"/>
        <w:spacing w:line="360" w:lineRule="auto" w:before="69"/>
        <w:ind w:left="102" w:right="118"/>
        <w:jc w:val="both"/>
      </w:pPr>
      <w:r>
        <w:rPr/>
        <w:t>en la región j, el tamaño relativo de la actividad i es mayor que en el país en su conjunto; se trata de una situación de especialización regional en esa actividad (Carbajal, Mejía y Rojas, 2009).</w:t>
      </w:r>
    </w:p>
    <w:p>
      <w:pPr>
        <w:pStyle w:val="BodyText"/>
        <w:spacing w:before="9"/>
        <w:rPr>
          <w:sz w:val="21"/>
        </w:rPr>
      </w:pPr>
    </w:p>
    <w:p>
      <w:pPr>
        <w:pStyle w:val="Heading1"/>
        <w:numPr>
          <w:ilvl w:val="2"/>
          <w:numId w:val="28"/>
        </w:numPr>
        <w:tabs>
          <w:tab w:pos="729" w:val="left" w:leader="none"/>
        </w:tabs>
        <w:spacing w:line="360" w:lineRule="auto" w:before="0" w:after="0"/>
        <w:ind w:left="102" w:right="117" w:firstLine="0"/>
        <w:jc w:val="both"/>
      </w:pPr>
      <w:r>
        <w:rPr/>
        <w:t>Desempeño de la industria automotriz y el sector manufacturero de la Región Centro</w:t>
      </w:r>
    </w:p>
    <w:p>
      <w:pPr>
        <w:pStyle w:val="BodyText"/>
        <w:rPr>
          <w:b/>
          <w:sz w:val="21"/>
        </w:rPr>
      </w:pPr>
    </w:p>
    <w:p>
      <w:pPr>
        <w:pStyle w:val="BodyText"/>
        <w:spacing w:line="360" w:lineRule="auto"/>
        <w:ind w:left="102" w:right="118"/>
        <w:jc w:val="both"/>
      </w:pPr>
      <w:r>
        <w:rPr/>
        <w:t>Como sabemos, el modelo de sustitución de importaciones originó que la industria manufacturera se concentrara en el centro del país, con el propósito de abastecer el mercado interno, además de que la región contaba con la infraestructura necesaria y mano de obra calificada. El Distrito Federal y el Estado de México fueron los lugares donde se asentaron las primeras armadoras de autos de nuestro país, lo que les permitió constituirse como el principal centro manufacturero de la región.</w:t>
      </w:r>
    </w:p>
    <w:p>
      <w:pPr>
        <w:pStyle w:val="BodyText"/>
        <w:spacing w:before="2"/>
        <w:rPr>
          <w:sz w:val="21"/>
        </w:rPr>
      </w:pPr>
    </w:p>
    <w:p>
      <w:pPr>
        <w:pStyle w:val="BodyText"/>
        <w:spacing w:line="360" w:lineRule="auto"/>
        <w:ind w:left="102" w:right="116"/>
        <w:jc w:val="both"/>
      </w:pPr>
      <w:r>
        <w:rPr/>
        <w:t>Al</w:t>
      </w:r>
      <w:r>
        <w:rPr>
          <w:spacing w:val="-6"/>
        </w:rPr>
        <w:t> </w:t>
      </w:r>
      <w:r>
        <w:rPr/>
        <w:t>respecto,</w:t>
      </w:r>
      <w:r>
        <w:rPr>
          <w:spacing w:val="-6"/>
        </w:rPr>
        <w:t> </w:t>
      </w:r>
      <w:r>
        <w:rPr/>
        <w:t>el</w:t>
      </w:r>
      <w:r>
        <w:rPr>
          <w:spacing w:val="-6"/>
        </w:rPr>
        <w:t> </w:t>
      </w:r>
      <w:r>
        <w:rPr/>
        <w:t>sector</w:t>
      </w:r>
      <w:r>
        <w:rPr>
          <w:spacing w:val="-4"/>
        </w:rPr>
        <w:t> </w:t>
      </w:r>
      <w:r>
        <w:rPr/>
        <w:t>manufacturero</w:t>
      </w:r>
      <w:r>
        <w:rPr>
          <w:spacing w:val="-7"/>
        </w:rPr>
        <w:t> </w:t>
      </w:r>
      <w:r>
        <w:rPr/>
        <w:t>de</w:t>
      </w:r>
      <w:r>
        <w:rPr>
          <w:spacing w:val="-7"/>
        </w:rPr>
        <w:t> </w:t>
      </w:r>
      <w:r>
        <w:rPr/>
        <w:t>la</w:t>
      </w:r>
      <w:r>
        <w:rPr>
          <w:spacing w:val="-4"/>
        </w:rPr>
        <w:t> </w:t>
      </w:r>
      <w:r>
        <w:rPr/>
        <w:t>región</w:t>
      </w:r>
      <w:r>
        <w:rPr>
          <w:spacing w:val="-3"/>
        </w:rPr>
        <w:t> </w:t>
      </w:r>
      <w:r>
        <w:rPr/>
        <w:t>centro</w:t>
      </w:r>
      <w:r>
        <w:rPr>
          <w:spacing w:val="-5"/>
        </w:rPr>
        <w:t> </w:t>
      </w:r>
      <w:r>
        <w:rPr/>
        <w:t>ha</w:t>
      </w:r>
      <w:r>
        <w:rPr>
          <w:spacing w:val="-5"/>
        </w:rPr>
        <w:t> </w:t>
      </w:r>
      <w:r>
        <w:rPr/>
        <w:t>ido</w:t>
      </w:r>
      <w:r>
        <w:rPr>
          <w:spacing w:val="-6"/>
        </w:rPr>
        <w:t> </w:t>
      </w:r>
      <w:r>
        <w:rPr/>
        <w:t>perdiendo</w:t>
      </w:r>
      <w:r>
        <w:rPr>
          <w:spacing w:val="-6"/>
        </w:rPr>
        <w:t> </w:t>
      </w:r>
      <w:r>
        <w:rPr/>
        <w:t>importancia</w:t>
      </w:r>
      <w:r>
        <w:rPr>
          <w:spacing w:val="-7"/>
        </w:rPr>
        <w:t> </w:t>
      </w:r>
      <w:r>
        <w:rPr/>
        <w:t>dentro de la industria manufacturera nacional, si observamos el cuadro 4.3, en 1980, en la región centro se ubicaban más del 40% de la unidades económicas del sector, generaba casi el</w:t>
      </w:r>
      <w:r>
        <w:rPr>
          <w:spacing w:val="-20"/>
        </w:rPr>
        <w:t> </w:t>
      </w:r>
      <w:r>
        <w:rPr/>
        <w:t>50% del empleo y su producción bruta total y valor agregado censal bruto era del 52.3 y 57.3%. Sin</w:t>
      </w:r>
      <w:r>
        <w:rPr>
          <w:spacing w:val="-6"/>
        </w:rPr>
        <w:t> </w:t>
      </w:r>
      <w:r>
        <w:rPr/>
        <w:t>embargo,</w:t>
      </w:r>
      <w:r>
        <w:rPr>
          <w:spacing w:val="-6"/>
        </w:rPr>
        <w:t> </w:t>
      </w:r>
      <w:r>
        <w:rPr/>
        <w:t>para</w:t>
      </w:r>
      <w:r>
        <w:rPr>
          <w:spacing w:val="-7"/>
        </w:rPr>
        <w:t> </w:t>
      </w:r>
      <w:r>
        <w:rPr/>
        <w:t>el</w:t>
      </w:r>
      <w:r>
        <w:rPr>
          <w:spacing w:val="-6"/>
        </w:rPr>
        <w:t> </w:t>
      </w:r>
      <w:r>
        <w:rPr/>
        <w:t>año</w:t>
      </w:r>
      <w:r>
        <w:rPr>
          <w:spacing w:val="-4"/>
        </w:rPr>
        <w:t> </w:t>
      </w:r>
      <w:r>
        <w:rPr/>
        <w:t>2009,</w:t>
      </w:r>
      <w:r>
        <w:rPr>
          <w:spacing w:val="-6"/>
        </w:rPr>
        <w:t> </w:t>
      </w:r>
      <w:r>
        <w:rPr/>
        <w:t>las</w:t>
      </w:r>
      <w:r>
        <w:rPr>
          <w:spacing w:val="-7"/>
        </w:rPr>
        <w:t> </w:t>
      </w:r>
      <w:r>
        <w:rPr/>
        <w:t>unidades</w:t>
      </w:r>
      <w:r>
        <w:rPr>
          <w:spacing w:val="-6"/>
        </w:rPr>
        <w:t> </w:t>
      </w:r>
      <w:r>
        <w:rPr/>
        <w:t>económicas</w:t>
      </w:r>
      <w:r>
        <w:rPr>
          <w:spacing w:val="-6"/>
        </w:rPr>
        <w:t> </w:t>
      </w:r>
      <w:r>
        <w:rPr/>
        <w:t>ubicadas</w:t>
      </w:r>
      <w:r>
        <w:rPr>
          <w:spacing w:val="-4"/>
        </w:rPr>
        <w:t> </w:t>
      </w:r>
      <w:r>
        <w:rPr/>
        <w:t>en</w:t>
      </w:r>
      <w:r>
        <w:rPr>
          <w:spacing w:val="-6"/>
        </w:rPr>
        <w:t> </w:t>
      </w:r>
      <w:r>
        <w:rPr/>
        <w:t>la</w:t>
      </w:r>
      <w:r>
        <w:rPr>
          <w:spacing w:val="-7"/>
        </w:rPr>
        <w:t> </w:t>
      </w:r>
      <w:r>
        <w:rPr/>
        <w:t>región</w:t>
      </w:r>
      <w:r>
        <w:rPr>
          <w:spacing w:val="-6"/>
        </w:rPr>
        <w:t> </w:t>
      </w:r>
      <w:r>
        <w:rPr/>
        <w:t>disminuyeron en un 12.2%, lo que generó que el empleo disminuyera en 23.1%, así, la producción bruta total</w:t>
      </w:r>
      <w:r>
        <w:rPr>
          <w:spacing w:val="-8"/>
        </w:rPr>
        <w:t> </w:t>
      </w:r>
      <w:r>
        <w:rPr/>
        <w:t>y</w:t>
      </w:r>
      <w:r>
        <w:rPr>
          <w:spacing w:val="-16"/>
        </w:rPr>
        <w:t> </w:t>
      </w:r>
      <w:r>
        <w:rPr/>
        <w:t>el</w:t>
      </w:r>
      <w:r>
        <w:rPr>
          <w:spacing w:val="-11"/>
        </w:rPr>
        <w:t> </w:t>
      </w:r>
      <w:r>
        <w:rPr/>
        <w:t>valor</w:t>
      </w:r>
      <w:r>
        <w:rPr>
          <w:spacing w:val="-11"/>
        </w:rPr>
        <w:t> </w:t>
      </w:r>
      <w:r>
        <w:rPr/>
        <w:t>agregado</w:t>
      </w:r>
      <w:r>
        <w:rPr>
          <w:spacing w:val="-11"/>
        </w:rPr>
        <w:t> </w:t>
      </w:r>
      <w:r>
        <w:rPr/>
        <w:t>censal</w:t>
      </w:r>
      <w:r>
        <w:rPr>
          <w:spacing w:val="-11"/>
        </w:rPr>
        <w:t> </w:t>
      </w:r>
      <w:r>
        <w:rPr/>
        <w:t>bruto</w:t>
      </w:r>
      <w:r>
        <w:rPr>
          <w:spacing w:val="-11"/>
        </w:rPr>
        <w:t> </w:t>
      </w:r>
      <w:r>
        <w:rPr/>
        <w:t>se</w:t>
      </w:r>
      <w:r>
        <w:rPr>
          <w:spacing w:val="-9"/>
        </w:rPr>
        <w:t> </w:t>
      </w:r>
      <w:r>
        <w:rPr/>
        <w:t>redujeron</w:t>
      </w:r>
      <w:r>
        <w:rPr>
          <w:spacing w:val="-12"/>
        </w:rPr>
        <w:t> </w:t>
      </w:r>
      <w:r>
        <w:rPr/>
        <w:t>a</w:t>
      </w:r>
      <w:r>
        <w:rPr>
          <w:spacing w:val="-10"/>
        </w:rPr>
        <w:t> </w:t>
      </w:r>
      <w:r>
        <w:rPr/>
        <w:t>prácticamente</w:t>
      </w:r>
      <w:r>
        <w:rPr>
          <w:spacing w:val="-10"/>
        </w:rPr>
        <w:t> </w:t>
      </w:r>
      <w:r>
        <w:rPr/>
        <w:t>a</w:t>
      </w:r>
      <w:r>
        <w:rPr>
          <w:spacing w:val="-12"/>
        </w:rPr>
        <w:t> </w:t>
      </w:r>
      <w:r>
        <w:rPr/>
        <w:t>la</w:t>
      </w:r>
      <w:r>
        <w:rPr>
          <w:spacing w:val="-12"/>
        </w:rPr>
        <w:t> </w:t>
      </w:r>
      <w:r>
        <w:rPr/>
        <w:t>mitad</w:t>
      </w:r>
      <w:r>
        <w:rPr>
          <w:spacing w:val="-9"/>
        </w:rPr>
        <w:t> </w:t>
      </w:r>
      <w:r>
        <w:rPr/>
        <w:t>de</w:t>
      </w:r>
      <w:r>
        <w:rPr>
          <w:spacing w:val="-12"/>
        </w:rPr>
        <w:t> </w:t>
      </w:r>
      <w:r>
        <w:rPr/>
        <w:t>participación en el sector manufacturero, con porcentajes de 25.3 y</w:t>
      </w:r>
      <w:r>
        <w:rPr>
          <w:spacing w:val="-12"/>
        </w:rPr>
        <w:t> </w:t>
      </w:r>
      <w:r>
        <w:rPr/>
        <w:t>27.9%.</w:t>
      </w:r>
    </w:p>
    <w:p>
      <w:pPr>
        <w:pStyle w:val="BodyText"/>
        <w:spacing w:before="7"/>
        <w:rPr>
          <w:sz w:val="21"/>
        </w:rPr>
      </w:pPr>
    </w:p>
    <w:p>
      <w:pPr>
        <w:pStyle w:val="Heading1"/>
        <w:spacing w:line="360" w:lineRule="auto" w:after="6"/>
        <w:ind w:left="450" w:right="240" w:hanging="209"/>
      </w:pPr>
      <w:r>
        <w:rPr/>
        <w:t>Cuadro 4.3. Participación porcentual del sector manufacturero de la Región Centro en el total de la manufactura nacional, 1980 y 2008 (principales características).</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9"/>
        <w:gridCol w:w="1037"/>
        <w:gridCol w:w="890"/>
        <w:gridCol w:w="890"/>
        <w:gridCol w:w="1116"/>
        <w:gridCol w:w="1116"/>
        <w:gridCol w:w="1371"/>
        <w:gridCol w:w="1368"/>
      </w:tblGrid>
      <w:tr>
        <w:trPr>
          <w:trHeight w:val="469" w:hRule="exact"/>
        </w:trPr>
        <w:tc>
          <w:tcPr>
            <w:tcW w:w="2077" w:type="dxa"/>
            <w:gridSpan w:val="2"/>
            <w:shd w:val="clear" w:color="auto" w:fill="A6A6A6"/>
          </w:tcPr>
          <w:p>
            <w:pPr>
              <w:pStyle w:val="TableParagraph"/>
              <w:ind w:left="520" w:firstLine="112"/>
              <w:jc w:val="left"/>
              <w:rPr>
                <w:b/>
                <w:sz w:val="20"/>
              </w:rPr>
            </w:pPr>
            <w:r>
              <w:rPr>
                <w:b/>
                <w:sz w:val="20"/>
              </w:rPr>
              <w:t>Unidades </w:t>
            </w:r>
            <w:r>
              <w:rPr>
                <w:b/>
                <w:w w:val="95"/>
                <w:sz w:val="20"/>
              </w:rPr>
              <w:t>Económicas</w:t>
            </w:r>
          </w:p>
        </w:tc>
        <w:tc>
          <w:tcPr>
            <w:tcW w:w="1781" w:type="dxa"/>
            <w:gridSpan w:val="2"/>
            <w:shd w:val="clear" w:color="auto" w:fill="A6A6A6"/>
          </w:tcPr>
          <w:p>
            <w:pPr>
              <w:pStyle w:val="TableParagraph"/>
              <w:ind w:left="496" w:right="477" w:firstLine="16"/>
              <w:jc w:val="left"/>
              <w:rPr>
                <w:b/>
                <w:sz w:val="20"/>
              </w:rPr>
            </w:pPr>
            <w:r>
              <w:rPr>
                <w:b/>
                <w:sz w:val="20"/>
              </w:rPr>
              <w:t>Personal Ocupado</w:t>
            </w:r>
          </w:p>
        </w:tc>
        <w:tc>
          <w:tcPr>
            <w:tcW w:w="2232" w:type="dxa"/>
            <w:gridSpan w:val="2"/>
            <w:shd w:val="clear" w:color="auto" w:fill="A6A6A6"/>
          </w:tcPr>
          <w:p>
            <w:pPr>
              <w:pStyle w:val="TableParagraph"/>
              <w:ind w:left="883" w:right="328" w:hanging="536"/>
              <w:jc w:val="left"/>
              <w:rPr>
                <w:b/>
                <w:sz w:val="20"/>
              </w:rPr>
            </w:pPr>
            <w:r>
              <w:rPr>
                <w:b/>
                <w:sz w:val="20"/>
              </w:rPr>
              <w:t>Producción Bruta Total</w:t>
            </w:r>
          </w:p>
        </w:tc>
        <w:tc>
          <w:tcPr>
            <w:tcW w:w="2739" w:type="dxa"/>
            <w:gridSpan w:val="2"/>
            <w:shd w:val="clear" w:color="auto" w:fill="A6A6A6"/>
          </w:tcPr>
          <w:p>
            <w:pPr>
              <w:pStyle w:val="TableParagraph"/>
              <w:ind w:left="1114" w:right="348" w:hanging="752"/>
              <w:jc w:val="left"/>
              <w:rPr>
                <w:b/>
                <w:sz w:val="20"/>
              </w:rPr>
            </w:pPr>
            <w:r>
              <w:rPr>
                <w:b/>
                <w:sz w:val="20"/>
              </w:rPr>
              <w:t>Valor Agregado Censal Bruto</w:t>
            </w:r>
          </w:p>
        </w:tc>
      </w:tr>
      <w:tr>
        <w:trPr>
          <w:trHeight w:val="240" w:hRule="exact"/>
        </w:trPr>
        <w:tc>
          <w:tcPr>
            <w:tcW w:w="1039" w:type="dxa"/>
            <w:shd w:val="clear" w:color="auto" w:fill="E1EED9"/>
          </w:tcPr>
          <w:p>
            <w:pPr>
              <w:pStyle w:val="TableParagraph"/>
              <w:spacing w:line="228" w:lineRule="exact"/>
              <w:ind w:left="295" w:right="293"/>
              <w:rPr>
                <w:b/>
                <w:sz w:val="20"/>
              </w:rPr>
            </w:pPr>
            <w:r>
              <w:rPr>
                <w:b/>
                <w:sz w:val="20"/>
              </w:rPr>
              <w:t>1980</w:t>
            </w:r>
          </w:p>
        </w:tc>
        <w:tc>
          <w:tcPr>
            <w:tcW w:w="1037" w:type="dxa"/>
            <w:shd w:val="clear" w:color="auto" w:fill="E1EED9"/>
          </w:tcPr>
          <w:p>
            <w:pPr>
              <w:pStyle w:val="TableParagraph"/>
              <w:spacing w:line="228" w:lineRule="exact"/>
              <w:ind w:left="293" w:right="293"/>
              <w:rPr>
                <w:b/>
                <w:sz w:val="20"/>
              </w:rPr>
            </w:pPr>
            <w:r>
              <w:rPr>
                <w:b/>
                <w:sz w:val="20"/>
              </w:rPr>
              <w:t>2008</w:t>
            </w:r>
          </w:p>
        </w:tc>
        <w:tc>
          <w:tcPr>
            <w:tcW w:w="890" w:type="dxa"/>
            <w:shd w:val="clear" w:color="auto" w:fill="E1EED9"/>
          </w:tcPr>
          <w:p>
            <w:pPr>
              <w:pStyle w:val="TableParagraph"/>
              <w:spacing w:line="228" w:lineRule="exact"/>
              <w:ind w:left="220" w:right="218"/>
              <w:rPr>
                <w:b/>
                <w:sz w:val="20"/>
              </w:rPr>
            </w:pPr>
            <w:r>
              <w:rPr>
                <w:b/>
                <w:sz w:val="20"/>
              </w:rPr>
              <w:t>1980</w:t>
            </w:r>
          </w:p>
        </w:tc>
        <w:tc>
          <w:tcPr>
            <w:tcW w:w="890" w:type="dxa"/>
            <w:shd w:val="clear" w:color="auto" w:fill="E1EED9"/>
          </w:tcPr>
          <w:p>
            <w:pPr>
              <w:pStyle w:val="TableParagraph"/>
              <w:spacing w:line="228" w:lineRule="exact"/>
              <w:ind w:left="239"/>
              <w:jc w:val="left"/>
              <w:rPr>
                <w:b/>
                <w:sz w:val="20"/>
              </w:rPr>
            </w:pPr>
            <w:r>
              <w:rPr>
                <w:b/>
                <w:sz w:val="20"/>
              </w:rPr>
              <w:t>2008</w:t>
            </w:r>
          </w:p>
        </w:tc>
        <w:tc>
          <w:tcPr>
            <w:tcW w:w="1116" w:type="dxa"/>
            <w:shd w:val="clear" w:color="auto" w:fill="E1EED9"/>
          </w:tcPr>
          <w:p>
            <w:pPr>
              <w:pStyle w:val="TableParagraph"/>
              <w:spacing w:line="228" w:lineRule="exact"/>
              <w:ind w:left="353"/>
              <w:jc w:val="left"/>
              <w:rPr>
                <w:b/>
                <w:sz w:val="20"/>
              </w:rPr>
            </w:pPr>
            <w:r>
              <w:rPr>
                <w:b/>
                <w:sz w:val="20"/>
              </w:rPr>
              <w:t>1980</w:t>
            </w:r>
          </w:p>
        </w:tc>
        <w:tc>
          <w:tcPr>
            <w:tcW w:w="1116" w:type="dxa"/>
            <w:shd w:val="clear" w:color="auto" w:fill="E1EED9"/>
          </w:tcPr>
          <w:p>
            <w:pPr>
              <w:pStyle w:val="TableParagraph"/>
              <w:spacing w:line="228" w:lineRule="exact"/>
              <w:ind w:left="81" w:right="79"/>
              <w:rPr>
                <w:b/>
                <w:sz w:val="20"/>
              </w:rPr>
            </w:pPr>
            <w:r>
              <w:rPr>
                <w:b/>
                <w:sz w:val="20"/>
              </w:rPr>
              <w:t>2008</w:t>
            </w:r>
          </w:p>
        </w:tc>
        <w:tc>
          <w:tcPr>
            <w:tcW w:w="1371" w:type="dxa"/>
            <w:shd w:val="clear" w:color="auto" w:fill="E1EED9"/>
          </w:tcPr>
          <w:p>
            <w:pPr>
              <w:pStyle w:val="TableParagraph"/>
              <w:spacing w:line="228" w:lineRule="exact"/>
              <w:ind w:left="478"/>
              <w:jc w:val="left"/>
              <w:rPr>
                <w:b/>
                <w:sz w:val="20"/>
              </w:rPr>
            </w:pPr>
            <w:r>
              <w:rPr>
                <w:b/>
                <w:sz w:val="20"/>
              </w:rPr>
              <w:t>1980</w:t>
            </w:r>
          </w:p>
        </w:tc>
        <w:tc>
          <w:tcPr>
            <w:tcW w:w="1368" w:type="dxa"/>
            <w:shd w:val="clear" w:color="auto" w:fill="E1EED9"/>
          </w:tcPr>
          <w:p>
            <w:pPr>
              <w:pStyle w:val="TableParagraph"/>
              <w:spacing w:line="228" w:lineRule="exact"/>
              <w:ind w:left="477"/>
              <w:jc w:val="left"/>
              <w:rPr>
                <w:b/>
                <w:sz w:val="20"/>
              </w:rPr>
            </w:pPr>
            <w:r>
              <w:rPr>
                <w:b/>
                <w:sz w:val="20"/>
              </w:rPr>
              <w:t>2008</w:t>
            </w:r>
          </w:p>
        </w:tc>
      </w:tr>
      <w:tr>
        <w:trPr>
          <w:trHeight w:val="334" w:hRule="exact"/>
        </w:trPr>
        <w:tc>
          <w:tcPr>
            <w:tcW w:w="1039" w:type="dxa"/>
          </w:tcPr>
          <w:p>
            <w:pPr>
              <w:pStyle w:val="TableParagraph"/>
              <w:spacing w:before="39"/>
              <w:ind w:left="292" w:right="293"/>
              <w:rPr>
                <w:sz w:val="20"/>
              </w:rPr>
            </w:pPr>
            <w:r>
              <w:rPr>
                <w:sz w:val="20"/>
              </w:rPr>
              <w:t>40.6</w:t>
            </w:r>
          </w:p>
        </w:tc>
        <w:tc>
          <w:tcPr>
            <w:tcW w:w="1037" w:type="dxa"/>
          </w:tcPr>
          <w:p>
            <w:pPr>
              <w:pStyle w:val="TableParagraph"/>
              <w:spacing w:before="39"/>
              <w:ind w:left="291" w:right="293"/>
              <w:rPr>
                <w:sz w:val="20"/>
              </w:rPr>
            </w:pPr>
            <w:r>
              <w:rPr>
                <w:sz w:val="20"/>
              </w:rPr>
              <w:t>28.4</w:t>
            </w:r>
          </w:p>
        </w:tc>
        <w:tc>
          <w:tcPr>
            <w:tcW w:w="890" w:type="dxa"/>
          </w:tcPr>
          <w:p>
            <w:pPr>
              <w:pStyle w:val="TableParagraph"/>
              <w:spacing w:before="39"/>
              <w:ind w:left="218" w:right="219"/>
              <w:rPr>
                <w:sz w:val="20"/>
              </w:rPr>
            </w:pPr>
            <w:r>
              <w:rPr>
                <w:sz w:val="20"/>
              </w:rPr>
              <w:t>49.3</w:t>
            </w:r>
          </w:p>
        </w:tc>
        <w:tc>
          <w:tcPr>
            <w:tcW w:w="890" w:type="dxa"/>
          </w:tcPr>
          <w:p>
            <w:pPr>
              <w:pStyle w:val="TableParagraph"/>
              <w:spacing w:before="39"/>
              <w:ind w:left="263"/>
              <w:jc w:val="left"/>
              <w:rPr>
                <w:sz w:val="20"/>
              </w:rPr>
            </w:pPr>
            <w:r>
              <w:rPr>
                <w:sz w:val="20"/>
              </w:rPr>
              <w:t>26.2</w:t>
            </w:r>
          </w:p>
        </w:tc>
        <w:tc>
          <w:tcPr>
            <w:tcW w:w="1116" w:type="dxa"/>
          </w:tcPr>
          <w:p>
            <w:pPr>
              <w:pStyle w:val="TableParagraph"/>
              <w:spacing w:before="39"/>
              <w:ind w:left="377"/>
              <w:jc w:val="left"/>
              <w:rPr>
                <w:sz w:val="20"/>
              </w:rPr>
            </w:pPr>
            <w:r>
              <w:rPr>
                <w:sz w:val="20"/>
              </w:rPr>
              <w:t>52.3</w:t>
            </w:r>
          </w:p>
        </w:tc>
        <w:tc>
          <w:tcPr>
            <w:tcW w:w="1116" w:type="dxa"/>
          </w:tcPr>
          <w:p>
            <w:pPr>
              <w:pStyle w:val="TableParagraph"/>
              <w:spacing w:before="39"/>
              <w:ind w:left="81" w:right="82"/>
              <w:rPr>
                <w:sz w:val="20"/>
              </w:rPr>
            </w:pPr>
            <w:r>
              <w:rPr>
                <w:sz w:val="20"/>
              </w:rPr>
              <w:t>25.3</w:t>
            </w:r>
          </w:p>
        </w:tc>
        <w:tc>
          <w:tcPr>
            <w:tcW w:w="1371" w:type="dxa"/>
          </w:tcPr>
          <w:p>
            <w:pPr>
              <w:pStyle w:val="TableParagraph"/>
              <w:spacing w:before="39"/>
              <w:ind w:left="502"/>
              <w:jc w:val="left"/>
              <w:rPr>
                <w:sz w:val="20"/>
              </w:rPr>
            </w:pPr>
            <w:r>
              <w:rPr>
                <w:sz w:val="20"/>
              </w:rPr>
              <w:t>57.3</w:t>
            </w:r>
          </w:p>
        </w:tc>
        <w:tc>
          <w:tcPr>
            <w:tcW w:w="1368" w:type="dxa"/>
          </w:tcPr>
          <w:p>
            <w:pPr>
              <w:pStyle w:val="TableParagraph"/>
              <w:spacing w:before="39"/>
              <w:ind w:left="501"/>
              <w:jc w:val="left"/>
              <w:rPr>
                <w:sz w:val="20"/>
              </w:rPr>
            </w:pPr>
            <w:r>
              <w:rPr>
                <w:sz w:val="20"/>
              </w:rPr>
              <w:t>27.9</w:t>
            </w:r>
          </w:p>
        </w:tc>
      </w:tr>
    </w:tbl>
    <w:p>
      <w:pPr>
        <w:spacing w:line="202" w:lineRule="exact" w:before="0"/>
        <w:ind w:left="102" w:right="119" w:firstLine="0"/>
        <w:jc w:val="left"/>
        <w:rPr>
          <w:sz w:val="18"/>
        </w:rPr>
      </w:pPr>
      <w:r>
        <w:rPr>
          <w:sz w:val="18"/>
        </w:rPr>
        <w:t>Fuente: Elaboración propia con datos de INEGI (1980 y 2009).</w:t>
      </w:r>
    </w:p>
    <w:p>
      <w:pPr>
        <w:spacing w:after="0" w:line="202" w:lineRule="exact"/>
        <w:jc w:val="left"/>
        <w:rPr>
          <w:sz w:val="18"/>
        </w:rPr>
        <w:sectPr>
          <w:pgSz w:w="12240" w:h="15840"/>
          <w:pgMar w:header="0" w:footer="1035" w:top="1400" w:bottom="1220" w:left="1600" w:right="1580"/>
        </w:sectPr>
      </w:pPr>
    </w:p>
    <w:p>
      <w:pPr>
        <w:pStyle w:val="BodyText"/>
        <w:spacing w:line="360" w:lineRule="auto" w:before="50"/>
        <w:ind w:left="102" w:right="118"/>
        <w:jc w:val="both"/>
      </w:pPr>
      <w:r>
        <w:rPr/>
        <w:t>Asimismo,</w:t>
      </w:r>
      <w:r>
        <w:rPr>
          <w:spacing w:val="-6"/>
        </w:rPr>
        <w:t> </w:t>
      </w:r>
      <w:r>
        <w:rPr/>
        <w:t>el</w:t>
      </w:r>
      <w:r>
        <w:rPr>
          <w:spacing w:val="-6"/>
        </w:rPr>
        <w:t> </w:t>
      </w:r>
      <w:r>
        <w:rPr/>
        <w:t>sector</w:t>
      </w:r>
      <w:r>
        <w:rPr>
          <w:spacing w:val="-7"/>
        </w:rPr>
        <w:t> </w:t>
      </w:r>
      <w:r>
        <w:rPr/>
        <w:t>automotriz</w:t>
      </w:r>
      <w:r>
        <w:rPr>
          <w:spacing w:val="-5"/>
        </w:rPr>
        <w:t> </w:t>
      </w:r>
      <w:r>
        <w:rPr/>
        <w:t>de</w:t>
      </w:r>
      <w:r>
        <w:rPr>
          <w:spacing w:val="-7"/>
        </w:rPr>
        <w:t> </w:t>
      </w:r>
      <w:r>
        <w:rPr/>
        <w:t>la</w:t>
      </w:r>
      <w:r>
        <w:rPr>
          <w:spacing w:val="-7"/>
        </w:rPr>
        <w:t> </w:t>
      </w:r>
      <w:r>
        <w:rPr/>
        <w:t>región</w:t>
      </w:r>
      <w:r>
        <w:rPr>
          <w:spacing w:val="-6"/>
        </w:rPr>
        <w:t> </w:t>
      </w:r>
      <w:r>
        <w:rPr/>
        <w:t>centro</w:t>
      </w:r>
      <w:r>
        <w:rPr>
          <w:spacing w:val="-6"/>
        </w:rPr>
        <w:t> </w:t>
      </w:r>
      <w:r>
        <w:rPr/>
        <w:t>ha</w:t>
      </w:r>
      <w:r>
        <w:rPr>
          <w:spacing w:val="-7"/>
        </w:rPr>
        <w:t> </w:t>
      </w:r>
      <w:r>
        <w:rPr/>
        <w:t>tenido</w:t>
      </w:r>
      <w:r>
        <w:rPr>
          <w:spacing w:val="-6"/>
        </w:rPr>
        <w:t> </w:t>
      </w:r>
      <w:r>
        <w:rPr/>
        <w:t>cambios</w:t>
      </w:r>
      <w:r>
        <w:rPr>
          <w:spacing w:val="-6"/>
        </w:rPr>
        <w:t> </w:t>
      </w:r>
      <w:r>
        <w:rPr/>
        <w:t>muy</w:t>
      </w:r>
      <w:r>
        <w:rPr>
          <w:spacing w:val="-9"/>
        </w:rPr>
        <w:t> </w:t>
      </w:r>
      <w:r>
        <w:rPr/>
        <w:t>importantes</w:t>
      </w:r>
      <w:r>
        <w:rPr>
          <w:spacing w:val="-6"/>
        </w:rPr>
        <w:t> </w:t>
      </w:r>
      <w:r>
        <w:rPr/>
        <w:t>en</w:t>
      </w:r>
      <w:r>
        <w:rPr>
          <w:spacing w:val="-6"/>
        </w:rPr>
        <w:t> </w:t>
      </w:r>
      <w:r>
        <w:rPr/>
        <w:t>su participación dentro de la industria automotriz a nivel nacional, de acuerdo al cuadro 4.4, la región centro ha ido perdiendo poco a poco el dinamismo que lo caracterizaba, pues se observa</w:t>
      </w:r>
      <w:r>
        <w:rPr>
          <w:spacing w:val="-9"/>
        </w:rPr>
        <w:t> </w:t>
      </w:r>
      <w:r>
        <w:rPr/>
        <w:t>que</w:t>
      </w:r>
      <w:r>
        <w:rPr>
          <w:spacing w:val="-9"/>
        </w:rPr>
        <w:t> </w:t>
      </w:r>
      <w:r>
        <w:rPr/>
        <w:t>las</w:t>
      </w:r>
      <w:r>
        <w:rPr>
          <w:spacing w:val="-8"/>
        </w:rPr>
        <w:t> </w:t>
      </w:r>
      <w:r>
        <w:rPr/>
        <w:t>unidades</w:t>
      </w:r>
      <w:r>
        <w:rPr>
          <w:spacing w:val="-5"/>
        </w:rPr>
        <w:t> </w:t>
      </w:r>
      <w:r>
        <w:rPr/>
        <w:t>económicas</w:t>
      </w:r>
      <w:r>
        <w:rPr>
          <w:spacing w:val="-7"/>
        </w:rPr>
        <w:t> </w:t>
      </w:r>
      <w:r>
        <w:rPr/>
        <w:t>han</w:t>
      </w:r>
      <w:r>
        <w:rPr>
          <w:spacing w:val="-8"/>
        </w:rPr>
        <w:t> </w:t>
      </w:r>
      <w:r>
        <w:rPr/>
        <w:t>tenido</w:t>
      </w:r>
      <w:r>
        <w:rPr>
          <w:spacing w:val="-8"/>
        </w:rPr>
        <w:t> </w:t>
      </w:r>
      <w:r>
        <w:rPr/>
        <w:t>una</w:t>
      </w:r>
      <w:r>
        <w:rPr>
          <w:spacing w:val="-9"/>
        </w:rPr>
        <w:t> </w:t>
      </w:r>
      <w:r>
        <w:rPr/>
        <w:t>disminución</w:t>
      </w:r>
      <w:r>
        <w:rPr>
          <w:spacing w:val="-8"/>
        </w:rPr>
        <w:t> </w:t>
      </w:r>
      <w:r>
        <w:rPr/>
        <w:t>importante </w:t>
      </w:r>
      <w:r>
        <w:rPr>
          <w:spacing w:val="-3"/>
        </w:rPr>
        <w:t>ya</w:t>
      </w:r>
      <w:r>
        <w:rPr>
          <w:spacing w:val="-9"/>
        </w:rPr>
        <w:t> </w:t>
      </w:r>
      <w:r>
        <w:rPr/>
        <w:t>que</w:t>
      </w:r>
      <w:r>
        <w:rPr>
          <w:spacing w:val="-9"/>
        </w:rPr>
        <w:t> </w:t>
      </w:r>
      <w:r>
        <w:rPr/>
        <w:t>en</w:t>
      </w:r>
      <w:r>
        <w:rPr>
          <w:spacing w:val="-6"/>
        </w:rPr>
        <w:t> </w:t>
      </w:r>
      <w:r>
        <w:rPr/>
        <w:t>1980 representaban del 48.6% del total nacional automotriz, y en 2008 solo el 24.9%, lo que a su vez generó una reducción en el empleo, pues el personal ocupado cayó en 44.7 % y por lo tanto</w:t>
      </w:r>
      <w:r>
        <w:rPr>
          <w:spacing w:val="-14"/>
        </w:rPr>
        <w:t> </w:t>
      </w:r>
      <w:r>
        <w:rPr/>
        <w:t>el</w:t>
      </w:r>
      <w:r>
        <w:rPr>
          <w:spacing w:val="34"/>
        </w:rPr>
        <w:t> </w:t>
      </w:r>
      <w:r>
        <w:rPr/>
        <w:t>valor</w:t>
      </w:r>
      <w:r>
        <w:rPr>
          <w:spacing w:val="-14"/>
        </w:rPr>
        <w:t> </w:t>
      </w:r>
      <w:r>
        <w:rPr/>
        <w:t>agregado</w:t>
      </w:r>
      <w:r>
        <w:rPr>
          <w:spacing w:val="-13"/>
        </w:rPr>
        <w:t> </w:t>
      </w:r>
      <w:r>
        <w:rPr/>
        <w:t>censal</w:t>
      </w:r>
      <w:r>
        <w:rPr>
          <w:spacing w:val="-13"/>
        </w:rPr>
        <w:t> </w:t>
      </w:r>
      <w:r>
        <w:rPr/>
        <w:t>bruto</w:t>
      </w:r>
      <w:r>
        <w:rPr>
          <w:spacing w:val="-11"/>
        </w:rPr>
        <w:t> </w:t>
      </w:r>
      <w:r>
        <w:rPr/>
        <w:t>y</w:t>
      </w:r>
      <w:r>
        <w:rPr>
          <w:spacing w:val="26"/>
        </w:rPr>
        <w:t> </w:t>
      </w:r>
      <w:r>
        <w:rPr/>
        <w:t>la</w:t>
      </w:r>
      <w:r>
        <w:rPr>
          <w:spacing w:val="-14"/>
        </w:rPr>
        <w:t> </w:t>
      </w:r>
      <w:r>
        <w:rPr/>
        <w:t>producción</w:t>
      </w:r>
      <w:r>
        <w:rPr>
          <w:spacing w:val="-13"/>
        </w:rPr>
        <w:t> </w:t>
      </w:r>
      <w:r>
        <w:rPr/>
        <w:t>bruta</w:t>
      </w:r>
      <w:r>
        <w:rPr>
          <w:spacing w:val="-13"/>
        </w:rPr>
        <w:t> </w:t>
      </w:r>
      <w:r>
        <w:rPr/>
        <w:t>total</w:t>
      </w:r>
      <w:r>
        <w:rPr>
          <w:spacing w:val="-13"/>
        </w:rPr>
        <w:t> </w:t>
      </w:r>
      <w:r>
        <w:rPr/>
        <w:t>se</w:t>
      </w:r>
      <w:r>
        <w:rPr>
          <w:spacing w:val="-14"/>
        </w:rPr>
        <w:t> </w:t>
      </w:r>
      <w:r>
        <w:rPr/>
        <w:t>redujeron</w:t>
      </w:r>
      <w:r>
        <w:rPr>
          <w:spacing w:val="-13"/>
        </w:rPr>
        <w:t> </w:t>
      </w:r>
      <w:r>
        <w:rPr/>
        <w:t>en</w:t>
      </w:r>
      <w:r>
        <w:rPr>
          <w:spacing w:val="-13"/>
        </w:rPr>
        <w:t> </w:t>
      </w:r>
      <w:r>
        <w:rPr/>
        <w:t>51.4</w:t>
      </w:r>
      <w:r>
        <w:rPr>
          <w:spacing w:val="-11"/>
        </w:rPr>
        <w:t> </w:t>
      </w:r>
      <w:r>
        <w:rPr/>
        <w:t>y</w:t>
      </w:r>
      <w:r>
        <w:rPr>
          <w:spacing w:val="-21"/>
        </w:rPr>
        <w:t> </w:t>
      </w:r>
      <w:r>
        <w:rPr/>
        <w:t>45.5%, respectivamente.</w:t>
      </w:r>
    </w:p>
    <w:p>
      <w:pPr>
        <w:pStyle w:val="BodyText"/>
        <w:spacing w:before="2"/>
        <w:rPr>
          <w:sz w:val="21"/>
        </w:rPr>
      </w:pPr>
    </w:p>
    <w:p>
      <w:pPr>
        <w:pStyle w:val="BodyText"/>
        <w:spacing w:line="360" w:lineRule="auto"/>
        <w:ind w:left="102" w:right="117"/>
        <w:jc w:val="both"/>
      </w:pPr>
      <w:r>
        <w:rPr/>
        <w:t>Al</w:t>
      </w:r>
      <w:r>
        <w:rPr>
          <w:spacing w:val="-13"/>
        </w:rPr>
        <w:t> </w:t>
      </w:r>
      <w:r>
        <w:rPr/>
        <w:t>realizar</w:t>
      </w:r>
      <w:r>
        <w:rPr>
          <w:spacing w:val="-14"/>
        </w:rPr>
        <w:t> </w:t>
      </w:r>
      <w:r>
        <w:rPr/>
        <w:t>el</w:t>
      </w:r>
      <w:r>
        <w:rPr>
          <w:spacing w:val="-13"/>
        </w:rPr>
        <w:t> </w:t>
      </w:r>
      <w:r>
        <w:rPr/>
        <w:t>mismo</w:t>
      </w:r>
      <w:r>
        <w:rPr>
          <w:spacing w:val="-13"/>
        </w:rPr>
        <w:t> </w:t>
      </w:r>
      <w:r>
        <w:rPr/>
        <w:t>ejercicio,</w:t>
      </w:r>
      <w:r>
        <w:rPr>
          <w:spacing w:val="-14"/>
        </w:rPr>
        <w:t> </w:t>
      </w:r>
      <w:r>
        <w:rPr/>
        <w:t>pero</w:t>
      </w:r>
      <w:r>
        <w:rPr>
          <w:spacing w:val="-14"/>
        </w:rPr>
        <w:t> </w:t>
      </w:r>
      <w:r>
        <w:rPr/>
        <w:t>a</w:t>
      </w:r>
      <w:r>
        <w:rPr>
          <w:spacing w:val="-12"/>
        </w:rPr>
        <w:t> </w:t>
      </w:r>
      <w:r>
        <w:rPr/>
        <w:t>nivel</w:t>
      </w:r>
      <w:r>
        <w:rPr>
          <w:spacing w:val="-13"/>
        </w:rPr>
        <w:t> </w:t>
      </w:r>
      <w:r>
        <w:rPr/>
        <w:t>de</w:t>
      </w:r>
      <w:r>
        <w:rPr>
          <w:spacing w:val="-12"/>
        </w:rPr>
        <w:t> </w:t>
      </w:r>
      <w:r>
        <w:rPr/>
        <w:t>entidad</w:t>
      </w:r>
      <w:r>
        <w:rPr>
          <w:spacing w:val="-13"/>
        </w:rPr>
        <w:t> </w:t>
      </w:r>
      <w:r>
        <w:rPr/>
        <w:t>federativa,</w:t>
      </w:r>
      <w:r>
        <w:rPr>
          <w:spacing w:val="-11"/>
        </w:rPr>
        <w:t> </w:t>
      </w:r>
      <w:r>
        <w:rPr/>
        <w:t>se</w:t>
      </w:r>
      <w:r>
        <w:rPr>
          <w:spacing w:val="-14"/>
        </w:rPr>
        <w:t> </w:t>
      </w:r>
      <w:r>
        <w:rPr/>
        <w:t>observa</w:t>
      </w:r>
      <w:r>
        <w:rPr>
          <w:spacing w:val="-9"/>
        </w:rPr>
        <w:t> </w:t>
      </w:r>
      <w:r>
        <w:rPr/>
        <w:t>que</w:t>
      </w:r>
      <w:r>
        <w:rPr>
          <w:spacing w:val="-14"/>
        </w:rPr>
        <w:t> </w:t>
      </w:r>
      <w:r>
        <w:rPr/>
        <w:t>en</w:t>
      </w:r>
      <w:r>
        <w:rPr>
          <w:spacing w:val="-11"/>
        </w:rPr>
        <w:t> </w:t>
      </w:r>
      <w:r>
        <w:rPr/>
        <w:t>el</w:t>
      </w:r>
      <w:r>
        <w:rPr>
          <w:spacing w:val="-13"/>
        </w:rPr>
        <w:t> </w:t>
      </w:r>
      <w:r>
        <w:rPr/>
        <w:t>Distrito Federal</w:t>
      </w:r>
      <w:r>
        <w:rPr>
          <w:spacing w:val="-6"/>
        </w:rPr>
        <w:t> </w:t>
      </w:r>
      <w:r>
        <w:rPr/>
        <w:t>las</w:t>
      </w:r>
      <w:r>
        <w:rPr>
          <w:spacing w:val="-7"/>
        </w:rPr>
        <w:t> </w:t>
      </w:r>
      <w:r>
        <w:rPr/>
        <w:t>unidades</w:t>
      </w:r>
      <w:r>
        <w:rPr>
          <w:spacing w:val="-4"/>
        </w:rPr>
        <w:t> </w:t>
      </w:r>
      <w:r>
        <w:rPr/>
        <w:t>económicas</w:t>
      </w:r>
      <w:r>
        <w:rPr>
          <w:spacing w:val="-5"/>
        </w:rPr>
        <w:t> </w:t>
      </w:r>
      <w:r>
        <w:rPr/>
        <w:t>del</w:t>
      </w:r>
      <w:r>
        <w:rPr>
          <w:spacing w:val="-6"/>
        </w:rPr>
        <w:t> </w:t>
      </w:r>
      <w:r>
        <w:rPr/>
        <w:t>sector</w:t>
      </w:r>
      <w:r>
        <w:rPr>
          <w:spacing w:val="-7"/>
        </w:rPr>
        <w:t> </w:t>
      </w:r>
      <w:r>
        <w:rPr/>
        <w:t>automotriz</w:t>
      </w:r>
      <w:r>
        <w:rPr>
          <w:spacing w:val="-4"/>
        </w:rPr>
        <w:t> </w:t>
      </w:r>
      <w:r>
        <w:rPr/>
        <w:t>han</w:t>
      </w:r>
      <w:r>
        <w:rPr>
          <w:spacing w:val="-6"/>
        </w:rPr>
        <w:t> </w:t>
      </w:r>
      <w:r>
        <w:rPr/>
        <w:t>visto</w:t>
      </w:r>
      <w:r>
        <w:rPr>
          <w:spacing w:val="-6"/>
        </w:rPr>
        <w:t> </w:t>
      </w:r>
      <w:r>
        <w:rPr/>
        <w:t>disminuida</w:t>
      </w:r>
      <w:r>
        <w:rPr>
          <w:spacing w:val="-7"/>
        </w:rPr>
        <w:t> </w:t>
      </w:r>
      <w:r>
        <w:rPr/>
        <w:t>su</w:t>
      </w:r>
      <w:r>
        <w:rPr>
          <w:spacing w:val="-6"/>
        </w:rPr>
        <w:t> </w:t>
      </w:r>
      <w:r>
        <w:rPr/>
        <w:t>participación dentro de la industria automotriz de la región pues pasaron de representar el 31.9% en 1980 a representar solo el 8.9%, generando que la producción bruta y el valor agregado censal bruto también cayeran en 25.8 y 28.8 %, respectivamente. Este comportamiento se debe principalmente a que actualmente, solo se ubican los corporativos de las empresas automotrices establecidas en nuestro país (véase cuadro</w:t>
      </w:r>
      <w:r>
        <w:rPr>
          <w:spacing w:val="-7"/>
        </w:rPr>
        <w:t> </w:t>
      </w:r>
      <w:r>
        <w:rPr/>
        <w:t>4.4).</w:t>
      </w:r>
    </w:p>
    <w:p>
      <w:pPr>
        <w:pStyle w:val="BodyText"/>
        <w:spacing w:before="4"/>
        <w:rPr>
          <w:sz w:val="21"/>
        </w:rPr>
      </w:pPr>
    </w:p>
    <w:p>
      <w:pPr>
        <w:pStyle w:val="BodyText"/>
        <w:spacing w:line="360" w:lineRule="auto" w:before="1"/>
        <w:ind w:left="102" w:right="116"/>
        <w:jc w:val="both"/>
      </w:pPr>
      <w:r>
        <w:rPr/>
        <w:t>La industria automotriz del Estado de México ha sido la mayor generadora de empleos en</w:t>
      </w:r>
      <w:r>
        <w:rPr>
          <w:spacing w:val="-17"/>
        </w:rPr>
        <w:t> </w:t>
      </w:r>
      <w:r>
        <w:rPr/>
        <w:t>la industria automotriz de la región pese a que su participación se ha reducido, </w:t>
      </w:r>
      <w:r>
        <w:rPr>
          <w:spacing w:val="-3"/>
        </w:rPr>
        <w:t>ya </w:t>
      </w:r>
      <w:r>
        <w:rPr/>
        <w:t>que en 1980 aportaba el 28.2% y en 2008 su participación representó el 8.7%, provocando que la producción bruta total y el valor agregado censal bruto también disminuyeran, pues pasaron de concentrar el 32.9 y 32.8% de dichas variables en 1980 a concentrar solo el 12.1 y</w:t>
      </w:r>
      <w:r>
        <w:rPr>
          <w:spacing w:val="-30"/>
        </w:rPr>
        <w:t> </w:t>
      </w:r>
      <w:r>
        <w:rPr/>
        <w:t>10.3% en 2008 respectivamente (véase cuadro 4.4). Es importante resaltar el hecho de que actualmente la industria automotriz de la entidad ocupa el tercer lugar en generación de empleos dentro de la manufactura a nivel nacional, teniendo a más 44 mil personas contratadas (INEGI,</w:t>
      </w:r>
      <w:r>
        <w:rPr>
          <w:spacing w:val="-7"/>
        </w:rPr>
        <w:t> </w:t>
      </w:r>
      <w:r>
        <w:rPr/>
        <w:t>2008).</w:t>
      </w:r>
    </w:p>
    <w:p>
      <w:pPr>
        <w:pStyle w:val="BodyText"/>
        <w:spacing w:before="2"/>
        <w:rPr>
          <w:sz w:val="21"/>
        </w:rPr>
      </w:pPr>
    </w:p>
    <w:p>
      <w:pPr>
        <w:pStyle w:val="BodyText"/>
        <w:spacing w:line="360" w:lineRule="auto"/>
        <w:ind w:left="102" w:right="117"/>
        <w:jc w:val="both"/>
      </w:pPr>
      <w:r>
        <w:rPr/>
        <w:t>Si bien en general la región centro ha mostrado un detrimento en las distintas variables de análisis,</w:t>
      </w:r>
      <w:r>
        <w:rPr>
          <w:spacing w:val="-11"/>
        </w:rPr>
        <w:t> </w:t>
      </w:r>
      <w:r>
        <w:rPr/>
        <w:t>es</w:t>
      </w:r>
      <w:r>
        <w:rPr>
          <w:spacing w:val="-11"/>
        </w:rPr>
        <w:t> </w:t>
      </w:r>
      <w:r>
        <w:rPr/>
        <w:t>importante</w:t>
      </w:r>
      <w:r>
        <w:rPr>
          <w:spacing w:val="-11"/>
        </w:rPr>
        <w:t> </w:t>
      </w:r>
      <w:r>
        <w:rPr/>
        <w:t>resaltar</w:t>
      </w:r>
      <w:r>
        <w:rPr>
          <w:spacing w:val="-12"/>
        </w:rPr>
        <w:t> </w:t>
      </w:r>
      <w:r>
        <w:rPr/>
        <w:t>el</w:t>
      </w:r>
      <w:r>
        <w:rPr>
          <w:spacing w:val="-11"/>
        </w:rPr>
        <w:t> </w:t>
      </w:r>
      <w:r>
        <w:rPr/>
        <w:t>hecho</w:t>
      </w:r>
      <w:r>
        <w:rPr>
          <w:spacing w:val="-11"/>
        </w:rPr>
        <w:t> </w:t>
      </w:r>
      <w:r>
        <w:rPr/>
        <w:t>de</w:t>
      </w:r>
      <w:r>
        <w:rPr>
          <w:spacing w:val="-12"/>
        </w:rPr>
        <w:t> </w:t>
      </w:r>
      <w:r>
        <w:rPr/>
        <w:t>que,</w:t>
      </w:r>
      <w:r>
        <w:rPr>
          <w:spacing w:val="-11"/>
        </w:rPr>
        <w:t> </w:t>
      </w:r>
      <w:r>
        <w:rPr/>
        <w:t>el</w:t>
      </w:r>
      <w:r>
        <w:rPr>
          <w:spacing w:val="-11"/>
        </w:rPr>
        <w:t> </w:t>
      </w:r>
      <w:r>
        <w:rPr/>
        <w:t>caso</w:t>
      </w:r>
      <w:r>
        <w:rPr>
          <w:spacing w:val="-11"/>
        </w:rPr>
        <w:t> </w:t>
      </w:r>
      <w:r>
        <w:rPr/>
        <w:t>del</w:t>
      </w:r>
      <w:r>
        <w:rPr>
          <w:spacing w:val="-11"/>
        </w:rPr>
        <w:t> </w:t>
      </w:r>
      <w:r>
        <w:rPr/>
        <w:t>estado</w:t>
      </w:r>
      <w:r>
        <w:rPr>
          <w:spacing w:val="-11"/>
        </w:rPr>
        <w:t> </w:t>
      </w:r>
      <w:r>
        <w:rPr/>
        <w:t>de</w:t>
      </w:r>
      <w:r>
        <w:rPr>
          <w:spacing w:val="-10"/>
        </w:rPr>
        <w:t> </w:t>
      </w:r>
      <w:r>
        <w:rPr/>
        <w:t>Puebla</w:t>
      </w:r>
      <w:r>
        <w:rPr>
          <w:spacing w:val="-9"/>
        </w:rPr>
        <w:t> </w:t>
      </w:r>
      <w:r>
        <w:rPr/>
        <w:t>ha</w:t>
      </w:r>
      <w:r>
        <w:rPr>
          <w:spacing w:val="-12"/>
        </w:rPr>
        <w:t> </w:t>
      </w:r>
      <w:r>
        <w:rPr/>
        <w:t>sido</w:t>
      </w:r>
      <w:r>
        <w:rPr>
          <w:spacing w:val="-10"/>
        </w:rPr>
        <w:t> </w:t>
      </w:r>
      <w:r>
        <w:rPr/>
        <w:t>diferente, pues excepto en el personal ocupado, en las demás características presenta crecimiento, lo que ha servido para dinamizar de manera importante la actividad económica de la región, esto</w:t>
      </w:r>
      <w:r>
        <w:rPr>
          <w:spacing w:val="-6"/>
        </w:rPr>
        <w:t> </w:t>
      </w:r>
      <w:r>
        <w:rPr/>
        <w:t>se</w:t>
      </w:r>
      <w:r>
        <w:rPr>
          <w:spacing w:val="-7"/>
        </w:rPr>
        <w:t> </w:t>
      </w:r>
      <w:r>
        <w:rPr/>
        <w:t>debe</w:t>
      </w:r>
      <w:r>
        <w:rPr>
          <w:spacing w:val="-7"/>
        </w:rPr>
        <w:t> </w:t>
      </w:r>
      <w:r>
        <w:rPr/>
        <w:t>en</w:t>
      </w:r>
      <w:r>
        <w:rPr>
          <w:spacing w:val="-6"/>
        </w:rPr>
        <w:t> </w:t>
      </w:r>
      <w:r>
        <w:rPr/>
        <w:t>gran</w:t>
      </w:r>
      <w:r>
        <w:rPr>
          <w:spacing w:val="-6"/>
        </w:rPr>
        <w:t> </w:t>
      </w:r>
      <w:r>
        <w:rPr/>
        <w:t>medida</w:t>
      </w:r>
      <w:r>
        <w:rPr>
          <w:spacing w:val="-7"/>
        </w:rPr>
        <w:t> </w:t>
      </w:r>
      <w:r>
        <w:rPr/>
        <w:t>a</w:t>
      </w:r>
      <w:r>
        <w:rPr>
          <w:spacing w:val="-7"/>
        </w:rPr>
        <w:t> </w:t>
      </w:r>
      <w:r>
        <w:rPr/>
        <w:t>que</w:t>
      </w:r>
      <w:r>
        <w:rPr>
          <w:spacing w:val="-7"/>
        </w:rPr>
        <w:t> </w:t>
      </w:r>
      <w:r>
        <w:rPr/>
        <w:t>en</w:t>
      </w:r>
      <w:r>
        <w:rPr>
          <w:spacing w:val="-6"/>
        </w:rPr>
        <w:t> </w:t>
      </w:r>
      <w:r>
        <w:rPr/>
        <w:t>dicho</w:t>
      </w:r>
      <w:r>
        <w:rPr>
          <w:spacing w:val="-4"/>
        </w:rPr>
        <w:t> </w:t>
      </w:r>
      <w:r>
        <w:rPr/>
        <w:t>estado</w:t>
      </w:r>
      <w:r>
        <w:rPr>
          <w:spacing w:val="-4"/>
        </w:rPr>
        <w:t> </w:t>
      </w:r>
      <w:r>
        <w:rPr/>
        <w:t>se</w:t>
      </w:r>
      <w:r>
        <w:rPr>
          <w:spacing w:val="-7"/>
        </w:rPr>
        <w:t> </w:t>
      </w:r>
      <w:r>
        <w:rPr/>
        <w:t>ubican</w:t>
      </w:r>
      <w:r>
        <w:rPr>
          <w:spacing w:val="-6"/>
        </w:rPr>
        <w:t> </w:t>
      </w:r>
      <w:r>
        <w:rPr/>
        <w:t>más</w:t>
      </w:r>
      <w:r>
        <w:rPr>
          <w:spacing w:val="-7"/>
        </w:rPr>
        <w:t> </w:t>
      </w:r>
      <w:r>
        <w:rPr/>
        <w:t>de</w:t>
      </w:r>
      <w:r>
        <w:rPr>
          <w:spacing w:val="-7"/>
        </w:rPr>
        <w:t> </w:t>
      </w:r>
      <w:r>
        <w:rPr/>
        <w:t>90</w:t>
      </w:r>
      <w:r>
        <w:rPr>
          <w:spacing w:val="-6"/>
        </w:rPr>
        <w:t> </w:t>
      </w:r>
      <w:r>
        <w:rPr/>
        <w:t>unidades</w:t>
      </w:r>
      <w:r>
        <w:rPr>
          <w:spacing w:val="-6"/>
        </w:rPr>
        <w:t> </w:t>
      </w:r>
      <w:r>
        <w:rPr/>
        <w:t>económicas dedicadas</w:t>
      </w:r>
      <w:r>
        <w:rPr>
          <w:spacing w:val="25"/>
        </w:rPr>
        <w:t> </w:t>
      </w:r>
      <w:r>
        <w:rPr/>
        <w:t>al</w:t>
      </w:r>
      <w:r>
        <w:rPr>
          <w:spacing w:val="23"/>
        </w:rPr>
        <w:t> </w:t>
      </w:r>
      <w:r>
        <w:rPr/>
        <w:t>ramo</w:t>
      </w:r>
      <w:r>
        <w:rPr>
          <w:spacing w:val="23"/>
        </w:rPr>
        <w:t> </w:t>
      </w:r>
      <w:r>
        <w:rPr/>
        <w:t>automotriz,</w:t>
      </w:r>
      <w:r>
        <w:rPr>
          <w:spacing w:val="23"/>
        </w:rPr>
        <w:t> </w:t>
      </w:r>
      <w:r>
        <w:rPr/>
        <w:t>siendo</w:t>
      </w:r>
      <w:r>
        <w:rPr>
          <w:spacing w:val="22"/>
        </w:rPr>
        <w:t> </w:t>
      </w:r>
      <w:r>
        <w:rPr/>
        <w:t>una</w:t>
      </w:r>
      <w:r>
        <w:rPr>
          <w:spacing w:val="22"/>
        </w:rPr>
        <w:t> </w:t>
      </w:r>
      <w:r>
        <w:rPr/>
        <w:t>de</w:t>
      </w:r>
      <w:r>
        <w:rPr>
          <w:spacing w:val="24"/>
        </w:rPr>
        <w:t> </w:t>
      </w:r>
      <w:r>
        <w:rPr/>
        <w:t>ellas</w:t>
      </w:r>
      <w:r>
        <w:rPr>
          <w:spacing w:val="23"/>
        </w:rPr>
        <w:t> </w:t>
      </w:r>
      <w:r>
        <w:rPr/>
        <w:t>la</w:t>
      </w:r>
      <w:r>
        <w:rPr>
          <w:spacing w:val="22"/>
        </w:rPr>
        <w:t> </w:t>
      </w:r>
      <w:r>
        <w:rPr/>
        <w:t>segunda</w:t>
      </w:r>
      <w:r>
        <w:rPr>
          <w:spacing w:val="21"/>
        </w:rPr>
        <w:t> </w:t>
      </w:r>
      <w:r>
        <w:rPr/>
        <w:t>planta</w:t>
      </w:r>
      <w:r>
        <w:rPr>
          <w:spacing w:val="24"/>
        </w:rPr>
        <w:t> </w:t>
      </w:r>
      <w:r>
        <w:rPr/>
        <w:t>más</w:t>
      </w:r>
      <w:r>
        <w:rPr>
          <w:spacing w:val="23"/>
        </w:rPr>
        <w:t> </w:t>
      </w:r>
      <w:r>
        <w:rPr/>
        <w:t>importante</w:t>
      </w:r>
      <w:r>
        <w:rPr>
          <w:spacing w:val="22"/>
        </w:rPr>
        <w:t> </w:t>
      </w:r>
      <w:r>
        <w:rPr/>
        <w:t>para</w:t>
      </w:r>
    </w:p>
    <w:p>
      <w:pPr>
        <w:spacing w:after="0" w:line="360" w:lineRule="auto"/>
        <w:jc w:val="both"/>
        <w:sectPr>
          <w:pgSz w:w="12240" w:h="15840"/>
          <w:pgMar w:header="0" w:footer="1035" w:top="1360" w:bottom="1220" w:left="1600" w:right="1580"/>
        </w:sectPr>
      </w:pPr>
    </w:p>
    <w:p>
      <w:pPr>
        <w:pStyle w:val="BodyText"/>
        <w:spacing w:line="360" w:lineRule="auto" w:before="50"/>
        <w:ind w:left="102" w:right="121"/>
        <w:jc w:val="both"/>
      </w:pPr>
      <w:r>
        <w:rPr/>
        <w:t>Volkswagen. Actualmente el sector automotriz de Puebla aporta 25% del PIB de la entidad y es la segunda con mayor valor del país, con una producción bruta anual de 115 mil 324.7 millones de pesos (INEGI, 2014).</w:t>
      </w:r>
    </w:p>
    <w:p>
      <w:pPr>
        <w:pStyle w:val="BodyText"/>
        <w:spacing w:before="9"/>
        <w:rPr>
          <w:sz w:val="21"/>
        </w:rPr>
      </w:pPr>
    </w:p>
    <w:p>
      <w:pPr>
        <w:pStyle w:val="Heading1"/>
        <w:spacing w:line="360" w:lineRule="auto" w:after="7"/>
        <w:ind w:left="1450" w:right="196" w:hanging="1253"/>
      </w:pPr>
      <w:r>
        <w:rPr/>
        <w:t>Cuadro 4.4. Participación porcentual de la industria automotriz de la Región Centro en el total nacional, 1980 y 2008 (principales características)</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63"/>
        <w:gridCol w:w="860"/>
        <w:gridCol w:w="857"/>
        <w:gridCol w:w="905"/>
        <w:gridCol w:w="902"/>
        <w:gridCol w:w="1049"/>
        <w:gridCol w:w="1047"/>
        <w:gridCol w:w="773"/>
        <w:gridCol w:w="773"/>
      </w:tblGrid>
      <w:tr>
        <w:trPr>
          <w:trHeight w:val="470" w:hRule="exact"/>
        </w:trPr>
        <w:tc>
          <w:tcPr>
            <w:tcW w:w="1663" w:type="dxa"/>
            <w:shd w:val="clear" w:color="auto" w:fill="A6A6A6"/>
          </w:tcPr>
          <w:p>
            <w:pPr/>
          </w:p>
        </w:tc>
        <w:tc>
          <w:tcPr>
            <w:tcW w:w="1717" w:type="dxa"/>
            <w:gridSpan w:val="2"/>
            <w:shd w:val="clear" w:color="auto" w:fill="A6A6A6"/>
          </w:tcPr>
          <w:p>
            <w:pPr>
              <w:pStyle w:val="TableParagraph"/>
              <w:ind w:left="341" w:firstLine="112"/>
              <w:jc w:val="left"/>
              <w:rPr>
                <w:b/>
                <w:sz w:val="20"/>
              </w:rPr>
            </w:pPr>
            <w:r>
              <w:rPr>
                <w:b/>
                <w:sz w:val="20"/>
              </w:rPr>
              <w:t>Unidades </w:t>
            </w:r>
            <w:r>
              <w:rPr>
                <w:b/>
                <w:w w:val="95"/>
                <w:sz w:val="20"/>
              </w:rPr>
              <w:t>Económicas</w:t>
            </w:r>
          </w:p>
        </w:tc>
        <w:tc>
          <w:tcPr>
            <w:tcW w:w="1808" w:type="dxa"/>
            <w:gridSpan w:val="2"/>
            <w:shd w:val="clear" w:color="auto" w:fill="A6A6A6"/>
          </w:tcPr>
          <w:p>
            <w:pPr>
              <w:pStyle w:val="TableParagraph"/>
              <w:ind w:left="669" w:right="117" w:hanging="536"/>
              <w:jc w:val="left"/>
              <w:rPr>
                <w:b/>
                <w:sz w:val="20"/>
              </w:rPr>
            </w:pPr>
            <w:r>
              <w:rPr>
                <w:b/>
                <w:sz w:val="20"/>
              </w:rPr>
              <w:t>Producción Bruta Total</w:t>
            </w:r>
          </w:p>
        </w:tc>
        <w:tc>
          <w:tcPr>
            <w:tcW w:w="2096" w:type="dxa"/>
            <w:gridSpan w:val="2"/>
            <w:shd w:val="clear" w:color="auto" w:fill="A6A6A6"/>
          </w:tcPr>
          <w:p>
            <w:pPr>
              <w:pStyle w:val="TableParagraph"/>
              <w:ind w:left="477" w:right="340" w:hanging="123"/>
              <w:jc w:val="left"/>
              <w:rPr>
                <w:b/>
                <w:sz w:val="20"/>
              </w:rPr>
            </w:pPr>
            <w:r>
              <w:rPr>
                <w:b/>
                <w:sz w:val="20"/>
              </w:rPr>
              <w:t>Valor Agregado Censal Bruto</w:t>
            </w:r>
          </w:p>
        </w:tc>
        <w:tc>
          <w:tcPr>
            <w:tcW w:w="1546" w:type="dxa"/>
            <w:gridSpan w:val="2"/>
            <w:shd w:val="clear" w:color="auto" w:fill="A6A6A6"/>
          </w:tcPr>
          <w:p>
            <w:pPr>
              <w:pStyle w:val="TableParagraph"/>
              <w:ind w:left="379" w:right="377" w:firstLine="16"/>
              <w:jc w:val="left"/>
              <w:rPr>
                <w:b/>
                <w:sz w:val="20"/>
              </w:rPr>
            </w:pPr>
            <w:r>
              <w:rPr>
                <w:b/>
                <w:sz w:val="20"/>
              </w:rPr>
              <w:t>Personal </w:t>
            </w:r>
            <w:r>
              <w:rPr>
                <w:b/>
                <w:w w:val="95"/>
                <w:sz w:val="20"/>
              </w:rPr>
              <w:t>Ocupado</w:t>
            </w:r>
          </w:p>
        </w:tc>
      </w:tr>
      <w:tr>
        <w:trPr>
          <w:trHeight w:val="325" w:hRule="exact"/>
        </w:trPr>
        <w:tc>
          <w:tcPr>
            <w:tcW w:w="1663" w:type="dxa"/>
            <w:tcBorders>
              <w:bottom w:val="single" w:sz="21" w:space="0" w:color="D9D9D9"/>
            </w:tcBorders>
          </w:tcPr>
          <w:p>
            <w:pPr/>
          </w:p>
        </w:tc>
        <w:tc>
          <w:tcPr>
            <w:tcW w:w="860" w:type="dxa"/>
            <w:tcBorders>
              <w:bottom w:val="single" w:sz="21" w:space="0" w:color="D9D9D9"/>
            </w:tcBorders>
          </w:tcPr>
          <w:p>
            <w:pPr>
              <w:pStyle w:val="TableParagraph"/>
              <w:spacing w:before="42"/>
              <w:ind w:left="221"/>
              <w:jc w:val="left"/>
              <w:rPr>
                <w:b/>
                <w:sz w:val="20"/>
              </w:rPr>
            </w:pPr>
            <w:r>
              <w:rPr>
                <w:b/>
                <w:sz w:val="20"/>
              </w:rPr>
              <w:t>1980</w:t>
            </w:r>
          </w:p>
        </w:tc>
        <w:tc>
          <w:tcPr>
            <w:tcW w:w="857" w:type="dxa"/>
            <w:tcBorders>
              <w:bottom w:val="single" w:sz="21" w:space="0" w:color="D9D9D9"/>
            </w:tcBorders>
          </w:tcPr>
          <w:p>
            <w:pPr>
              <w:pStyle w:val="TableParagraph"/>
              <w:spacing w:before="42"/>
              <w:ind w:left="203" w:right="203"/>
              <w:rPr>
                <w:b/>
                <w:sz w:val="20"/>
              </w:rPr>
            </w:pPr>
            <w:r>
              <w:rPr>
                <w:b/>
                <w:sz w:val="20"/>
              </w:rPr>
              <w:t>2008</w:t>
            </w:r>
          </w:p>
        </w:tc>
        <w:tc>
          <w:tcPr>
            <w:tcW w:w="905" w:type="dxa"/>
            <w:tcBorders>
              <w:bottom w:val="single" w:sz="21" w:space="0" w:color="D9D9D9"/>
            </w:tcBorders>
          </w:tcPr>
          <w:p>
            <w:pPr>
              <w:pStyle w:val="TableParagraph"/>
              <w:spacing w:before="42"/>
              <w:ind w:left="244"/>
              <w:jc w:val="left"/>
              <w:rPr>
                <w:b/>
                <w:sz w:val="20"/>
              </w:rPr>
            </w:pPr>
            <w:r>
              <w:rPr>
                <w:b/>
                <w:sz w:val="20"/>
              </w:rPr>
              <w:t>1980</w:t>
            </w:r>
          </w:p>
        </w:tc>
        <w:tc>
          <w:tcPr>
            <w:tcW w:w="902" w:type="dxa"/>
            <w:tcBorders>
              <w:bottom w:val="single" w:sz="21" w:space="0" w:color="D9D9D9"/>
            </w:tcBorders>
          </w:tcPr>
          <w:p>
            <w:pPr>
              <w:pStyle w:val="TableParagraph"/>
              <w:spacing w:before="42"/>
              <w:ind w:left="225" w:right="227"/>
              <w:rPr>
                <w:b/>
                <w:sz w:val="20"/>
              </w:rPr>
            </w:pPr>
            <w:r>
              <w:rPr>
                <w:b/>
                <w:sz w:val="20"/>
              </w:rPr>
              <w:t>2008</w:t>
            </w:r>
          </w:p>
        </w:tc>
        <w:tc>
          <w:tcPr>
            <w:tcW w:w="1049" w:type="dxa"/>
            <w:tcBorders>
              <w:bottom w:val="single" w:sz="21" w:space="0" w:color="D9D9D9"/>
            </w:tcBorders>
          </w:tcPr>
          <w:p>
            <w:pPr>
              <w:pStyle w:val="TableParagraph"/>
              <w:spacing w:before="42"/>
              <w:ind w:left="300" w:right="298"/>
              <w:rPr>
                <w:b/>
                <w:sz w:val="20"/>
              </w:rPr>
            </w:pPr>
            <w:r>
              <w:rPr>
                <w:b/>
                <w:sz w:val="20"/>
              </w:rPr>
              <w:t>1980</w:t>
            </w:r>
          </w:p>
        </w:tc>
        <w:tc>
          <w:tcPr>
            <w:tcW w:w="1047" w:type="dxa"/>
            <w:tcBorders>
              <w:bottom w:val="single" w:sz="21" w:space="0" w:color="D9D9D9"/>
            </w:tcBorders>
          </w:tcPr>
          <w:p>
            <w:pPr>
              <w:pStyle w:val="TableParagraph"/>
              <w:spacing w:before="42"/>
              <w:ind w:left="298" w:right="298"/>
              <w:rPr>
                <w:b/>
                <w:sz w:val="20"/>
              </w:rPr>
            </w:pPr>
            <w:r>
              <w:rPr>
                <w:b/>
                <w:sz w:val="20"/>
              </w:rPr>
              <w:t>2008</w:t>
            </w:r>
          </w:p>
        </w:tc>
        <w:tc>
          <w:tcPr>
            <w:tcW w:w="773" w:type="dxa"/>
            <w:tcBorders>
              <w:bottom w:val="single" w:sz="21" w:space="0" w:color="D9D9D9"/>
            </w:tcBorders>
          </w:tcPr>
          <w:p>
            <w:pPr>
              <w:pStyle w:val="TableParagraph"/>
              <w:spacing w:before="42"/>
              <w:ind w:left="98" w:right="98"/>
              <w:rPr>
                <w:b/>
                <w:sz w:val="20"/>
              </w:rPr>
            </w:pPr>
            <w:r>
              <w:rPr>
                <w:b/>
                <w:sz w:val="20"/>
              </w:rPr>
              <w:t>1980</w:t>
            </w:r>
          </w:p>
        </w:tc>
        <w:tc>
          <w:tcPr>
            <w:tcW w:w="773" w:type="dxa"/>
            <w:tcBorders>
              <w:bottom w:val="single" w:sz="21" w:space="0" w:color="D9D9D9"/>
            </w:tcBorders>
          </w:tcPr>
          <w:p>
            <w:pPr>
              <w:pStyle w:val="TableParagraph"/>
              <w:spacing w:before="42"/>
              <w:ind w:right="178"/>
              <w:jc w:val="right"/>
              <w:rPr>
                <w:b/>
                <w:sz w:val="20"/>
              </w:rPr>
            </w:pPr>
            <w:r>
              <w:rPr>
                <w:b/>
                <w:sz w:val="20"/>
              </w:rPr>
              <w:t>2008</w:t>
            </w:r>
          </w:p>
        </w:tc>
      </w:tr>
      <w:tr>
        <w:trPr>
          <w:trHeight w:val="324" w:hRule="exact"/>
        </w:trPr>
        <w:tc>
          <w:tcPr>
            <w:tcW w:w="1663" w:type="dxa"/>
            <w:shd w:val="clear" w:color="auto" w:fill="D9D9D9"/>
          </w:tcPr>
          <w:p>
            <w:pPr>
              <w:pStyle w:val="TableParagraph"/>
              <w:spacing w:before="41"/>
              <w:ind w:left="103"/>
              <w:jc w:val="left"/>
              <w:rPr>
                <w:b/>
                <w:sz w:val="20"/>
              </w:rPr>
            </w:pPr>
            <w:r>
              <w:rPr>
                <w:b/>
                <w:sz w:val="20"/>
              </w:rPr>
              <w:t>Región Centro</w:t>
            </w:r>
          </w:p>
        </w:tc>
        <w:tc>
          <w:tcPr>
            <w:tcW w:w="860" w:type="dxa"/>
            <w:shd w:val="clear" w:color="auto" w:fill="D9D9D9"/>
          </w:tcPr>
          <w:p>
            <w:pPr>
              <w:pStyle w:val="TableParagraph"/>
              <w:spacing w:before="36"/>
              <w:ind w:left="247"/>
              <w:jc w:val="left"/>
              <w:rPr>
                <w:sz w:val="20"/>
              </w:rPr>
            </w:pPr>
            <w:r>
              <w:rPr>
                <w:sz w:val="20"/>
              </w:rPr>
              <w:t>48.6</w:t>
            </w:r>
          </w:p>
        </w:tc>
        <w:tc>
          <w:tcPr>
            <w:tcW w:w="857" w:type="dxa"/>
            <w:shd w:val="clear" w:color="auto" w:fill="D9D9D9"/>
          </w:tcPr>
          <w:p>
            <w:pPr>
              <w:pStyle w:val="TableParagraph"/>
              <w:spacing w:before="36"/>
              <w:ind w:left="202" w:right="203"/>
              <w:rPr>
                <w:sz w:val="20"/>
              </w:rPr>
            </w:pPr>
            <w:r>
              <w:rPr>
                <w:sz w:val="20"/>
              </w:rPr>
              <w:t>24.9</w:t>
            </w:r>
          </w:p>
        </w:tc>
        <w:tc>
          <w:tcPr>
            <w:tcW w:w="905" w:type="dxa"/>
            <w:shd w:val="clear" w:color="auto" w:fill="D9D9D9"/>
          </w:tcPr>
          <w:p>
            <w:pPr>
              <w:pStyle w:val="TableParagraph"/>
              <w:spacing w:before="36"/>
              <w:ind w:left="271"/>
              <w:jc w:val="left"/>
              <w:rPr>
                <w:sz w:val="20"/>
              </w:rPr>
            </w:pPr>
            <w:r>
              <w:rPr>
                <w:sz w:val="20"/>
              </w:rPr>
              <w:t>77.7</w:t>
            </w:r>
          </w:p>
        </w:tc>
        <w:tc>
          <w:tcPr>
            <w:tcW w:w="902" w:type="dxa"/>
            <w:shd w:val="clear" w:color="auto" w:fill="D9D9D9"/>
          </w:tcPr>
          <w:p>
            <w:pPr>
              <w:pStyle w:val="TableParagraph"/>
              <w:spacing w:before="36"/>
              <w:ind w:left="225" w:right="227"/>
              <w:rPr>
                <w:sz w:val="20"/>
              </w:rPr>
            </w:pPr>
            <w:r>
              <w:rPr>
                <w:sz w:val="20"/>
              </w:rPr>
              <w:t>32.2</w:t>
            </w:r>
          </w:p>
        </w:tc>
        <w:tc>
          <w:tcPr>
            <w:tcW w:w="1049" w:type="dxa"/>
            <w:shd w:val="clear" w:color="auto" w:fill="D9D9D9"/>
          </w:tcPr>
          <w:p>
            <w:pPr>
              <w:pStyle w:val="TableParagraph"/>
              <w:spacing w:before="36"/>
              <w:ind w:left="297" w:right="298"/>
              <w:rPr>
                <w:sz w:val="20"/>
              </w:rPr>
            </w:pPr>
            <w:r>
              <w:rPr>
                <w:sz w:val="20"/>
              </w:rPr>
              <w:t>78.7</w:t>
            </w:r>
          </w:p>
        </w:tc>
        <w:tc>
          <w:tcPr>
            <w:tcW w:w="1047" w:type="dxa"/>
            <w:shd w:val="clear" w:color="auto" w:fill="D9D9D9"/>
          </w:tcPr>
          <w:p>
            <w:pPr>
              <w:pStyle w:val="TableParagraph"/>
              <w:spacing w:before="36"/>
              <w:ind w:left="297" w:right="298"/>
              <w:rPr>
                <w:sz w:val="20"/>
              </w:rPr>
            </w:pPr>
            <w:r>
              <w:rPr>
                <w:sz w:val="20"/>
              </w:rPr>
              <w:t>27.4</w:t>
            </w:r>
          </w:p>
        </w:tc>
        <w:tc>
          <w:tcPr>
            <w:tcW w:w="773" w:type="dxa"/>
            <w:shd w:val="clear" w:color="auto" w:fill="D9D9D9"/>
          </w:tcPr>
          <w:p>
            <w:pPr>
              <w:pStyle w:val="TableParagraph"/>
              <w:spacing w:before="36"/>
              <w:ind w:left="98" w:right="98"/>
              <w:rPr>
                <w:sz w:val="20"/>
              </w:rPr>
            </w:pPr>
            <w:r>
              <w:rPr>
                <w:sz w:val="20"/>
              </w:rPr>
              <w:t>63.8</w:t>
            </w:r>
          </w:p>
        </w:tc>
        <w:tc>
          <w:tcPr>
            <w:tcW w:w="773" w:type="dxa"/>
            <w:shd w:val="clear" w:color="auto" w:fill="D9D9D9"/>
          </w:tcPr>
          <w:p>
            <w:pPr>
              <w:pStyle w:val="TableParagraph"/>
              <w:spacing w:before="36"/>
              <w:ind w:right="204"/>
              <w:jc w:val="right"/>
              <w:rPr>
                <w:sz w:val="20"/>
              </w:rPr>
            </w:pPr>
            <w:r>
              <w:rPr>
                <w:sz w:val="20"/>
              </w:rPr>
              <w:t>19.1</w:t>
            </w:r>
          </w:p>
        </w:tc>
      </w:tr>
      <w:tr>
        <w:trPr>
          <w:trHeight w:val="326" w:hRule="exact"/>
        </w:trPr>
        <w:tc>
          <w:tcPr>
            <w:tcW w:w="1663" w:type="dxa"/>
            <w:tcBorders>
              <w:top w:val="single" w:sz="16" w:space="0" w:color="D9D9D9"/>
            </w:tcBorders>
          </w:tcPr>
          <w:p>
            <w:pPr>
              <w:pStyle w:val="TableParagraph"/>
              <w:spacing w:before="21"/>
              <w:ind w:left="103"/>
              <w:jc w:val="left"/>
              <w:rPr>
                <w:sz w:val="20"/>
              </w:rPr>
            </w:pPr>
            <w:r>
              <w:rPr>
                <w:sz w:val="20"/>
              </w:rPr>
              <w:t>Distrito Federal</w:t>
            </w:r>
          </w:p>
        </w:tc>
        <w:tc>
          <w:tcPr>
            <w:tcW w:w="860" w:type="dxa"/>
            <w:tcBorders>
              <w:top w:val="single" w:sz="16" w:space="0" w:color="D9D9D9"/>
            </w:tcBorders>
          </w:tcPr>
          <w:p>
            <w:pPr>
              <w:pStyle w:val="TableParagraph"/>
              <w:spacing w:before="21"/>
              <w:ind w:left="247"/>
              <w:jc w:val="left"/>
              <w:rPr>
                <w:sz w:val="20"/>
              </w:rPr>
            </w:pPr>
            <w:r>
              <w:rPr>
                <w:sz w:val="20"/>
              </w:rPr>
              <w:t>31.9</w:t>
            </w:r>
          </w:p>
        </w:tc>
        <w:tc>
          <w:tcPr>
            <w:tcW w:w="857" w:type="dxa"/>
            <w:tcBorders>
              <w:top w:val="single" w:sz="16" w:space="0" w:color="D9D9D9"/>
            </w:tcBorders>
          </w:tcPr>
          <w:p>
            <w:pPr>
              <w:pStyle w:val="TableParagraph"/>
              <w:spacing w:before="21"/>
              <w:ind w:left="202" w:right="203"/>
              <w:rPr>
                <w:sz w:val="20"/>
              </w:rPr>
            </w:pPr>
            <w:r>
              <w:rPr>
                <w:sz w:val="20"/>
              </w:rPr>
              <w:t>8.9</w:t>
            </w:r>
          </w:p>
        </w:tc>
        <w:tc>
          <w:tcPr>
            <w:tcW w:w="905" w:type="dxa"/>
            <w:tcBorders>
              <w:top w:val="single" w:sz="16" w:space="0" w:color="D9D9D9"/>
            </w:tcBorders>
          </w:tcPr>
          <w:p>
            <w:pPr>
              <w:pStyle w:val="TableParagraph"/>
              <w:spacing w:before="21"/>
              <w:ind w:left="271"/>
              <w:jc w:val="left"/>
              <w:rPr>
                <w:sz w:val="20"/>
              </w:rPr>
            </w:pPr>
            <w:r>
              <w:rPr>
                <w:sz w:val="20"/>
              </w:rPr>
              <w:t>28.2</w:t>
            </w:r>
          </w:p>
        </w:tc>
        <w:tc>
          <w:tcPr>
            <w:tcW w:w="902" w:type="dxa"/>
            <w:tcBorders>
              <w:top w:val="single" w:sz="16" w:space="0" w:color="D9D9D9"/>
            </w:tcBorders>
          </w:tcPr>
          <w:p>
            <w:pPr>
              <w:pStyle w:val="TableParagraph"/>
              <w:spacing w:before="21"/>
              <w:ind w:left="225" w:right="227"/>
              <w:rPr>
                <w:sz w:val="20"/>
              </w:rPr>
            </w:pPr>
            <w:r>
              <w:rPr>
                <w:sz w:val="20"/>
              </w:rPr>
              <w:t>2.4</w:t>
            </w:r>
          </w:p>
        </w:tc>
        <w:tc>
          <w:tcPr>
            <w:tcW w:w="1049" w:type="dxa"/>
            <w:tcBorders>
              <w:top w:val="single" w:sz="16" w:space="0" w:color="D9D9D9"/>
            </w:tcBorders>
          </w:tcPr>
          <w:p>
            <w:pPr>
              <w:pStyle w:val="TableParagraph"/>
              <w:spacing w:before="21"/>
              <w:ind w:left="297" w:right="298"/>
              <w:rPr>
                <w:sz w:val="20"/>
              </w:rPr>
            </w:pPr>
            <w:r>
              <w:rPr>
                <w:sz w:val="20"/>
              </w:rPr>
              <w:t>29.7</w:t>
            </w:r>
          </w:p>
        </w:tc>
        <w:tc>
          <w:tcPr>
            <w:tcW w:w="1047" w:type="dxa"/>
            <w:tcBorders>
              <w:top w:val="single" w:sz="16" w:space="0" w:color="D9D9D9"/>
            </w:tcBorders>
          </w:tcPr>
          <w:p>
            <w:pPr>
              <w:pStyle w:val="TableParagraph"/>
              <w:spacing w:before="21"/>
              <w:ind w:left="297" w:right="298"/>
              <w:rPr>
                <w:sz w:val="20"/>
              </w:rPr>
            </w:pPr>
            <w:r>
              <w:rPr>
                <w:sz w:val="20"/>
              </w:rPr>
              <w:t>0.9</w:t>
            </w:r>
          </w:p>
        </w:tc>
        <w:tc>
          <w:tcPr>
            <w:tcW w:w="773" w:type="dxa"/>
            <w:tcBorders>
              <w:top w:val="single" w:sz="16" w:space="0" w:color="D9D9D9"/>
            </w:tcBorders>
          </w:tcPr>
          <w:p>
            <w:pPr>
              <w:pStyle w:val="TableParagraph"/>
              <w:spacing w:before="21"/>
              <w:ind w:left="98" w:right="98"/>
              <w:rPr>
                <w:sz w:val="20"/>
              </w:rPr>
            </w:pPr>
            <w:r>
              <w:rPr>
                <w:sz w:val="20"/>
              </w:rPr>
              <w:t>23.2</w:t>
            </w:r>
          </w:p>
        </w:tc>
        <w:tc>
          <w:tcPr>
            <w:tcW w:w="773" w:type="dxa"/>
            <w:tcBorders>
              <w:top w:val="single" w:sz="16" w:space="0" w:color="D9D9D9"/>
            </w:tcBorders>
          </w:tcPr>
          <w:p>
            <w:pPr>
              <w:pStyle w:val="TableParagraph"/>
              <w:spacing w:before="21"/>
              <w:ind w:left="236" w:right="236"/>
              <w:rPr>
                <w:sz w:val="20"/>
              </w:rPr>
            </w:pPr>
            <w:r>
              <w:rPr>
                <w:sz w:val="20"/>
              </w:rPr>
              <w:t>2.4</w:t>
            </w:r>
          </w:p>
        </w:tc>
      </w:tr>
      <w:tr>
        <w:trPr>
          <w:trHeight w:val="324" w:hRule="exact"/>
        </w:trPr>
        <w:tc>
          <w:tcPr>
            <w:tcW w:w="1663" w:type="dxa"/>
          </w:tcPr>
          <w:p>
            <w:pPr>
              <w:pStyle w:val="TableParagraph"/>
              <w:spacing w:before="36"/>
              <w:ind w:left="103"/>
              <w:jc w:val="left"/>
              <w:rPr>
                <w:sz w:val="20"/>
              </w:rPr>
            </w:pPr>
            <w:r>
              <w:rPr>
                <w:sz w:val="20"/>
              </w:rPr>
              <w:t>Estado de México</w:t>
            </w:r>
          </w:p>
        </w:tc>
        <w:tc>
          <w:tcPr>
            <w:tcW w:w="860" w:type="dxa"/>
          </w:tcPr>
          <w:p>
            <w:pPr>
              <w:pStyle w:val="TableParagraph"/>
              <w:spacing w:before="36"/>
              <w:ind w:left="247"/>
              <w:jc w:val="left"/>
              <w:rPr>
                <w:sz w:val="20"/>
              </w:rPr>
            </w:pPr>
            <w:r>
              <w:rPr>
                <w:sz w:val="20"/>
              </w:rPr>
              <w:t>12.2</w:t>
            </w:r>
          </w:p>
        </w:tc>
        <w:tc>
          <w:tcPr>
            <w:tcW w:w="857" w:type="dxa"/>
          </w:tcPr>
          <w:p>
            <w:pPr>
              <w:pStyle w:val="TableParagraph"/>
              <w:spacing w:before="36"/>
              <w:ind w:left="202" w:right="203"/>
              <w:rPr>
                <w:sz w:val="20"/>
              </w:rPr>
            </w:pPr>
            <w:r>
              <w:rPr>
                <w:sz w:val="20"/>
              </w:rPr>
              <w:t>11.5</w:t>
            </w:r>
          </w:p>
        </w:tc>
        <w:tc>
          <w:tcPr>
            <w:tcW w:w="905" w:type="dxa"/>
          </w:tcPr>
          <w:p>
            <w:pPr>
              <w:pStyle w:val="TableParagraph"/>
              <w:spacing w:before="36"/>
              <w:ind w:left="271"/>
              <w:jc w:val="left"/>
              <w:rPr>
                <w:sz w:val="20"/>
              </w:rPr>
            </w:pPr>
            <w:r>
              <w:rPr>
                <w:sz w:val="20"/>
              </w:rPr>
              <w:t>32.9</w:t>
            </w:r>
          </w:p>
        </w:tc>
        <w:tc>
          <w:tcPr>
            <w:tcW w:w="902" w:type="dxa"/>
          </w:tcPr>
          <w:p>
            <w:pPr>
              <w:pStyle w:val="TableParagraph"/>
              <w:spacing w:before="36"/>
              <w:ind w:left="225" w:right="227"/>
              <w:rPr>
                <w:sz w:val="20"/>
              </w:rPr>
            </w:pPr>
            <w:r>
              <w:rPr>
                <w:sz w:val="20"/>
              </w:rPr>
              <w:t>12.1</w:t>
            </w:r>
          </w:p>
        </w:tc>
        <w:tc>
          <w:tcPr>
            <w:tcW w:w="1049" w:type="dxa"/>
          </w:tcPr>
          <w:p>
            <w:pPr>
              <w:pStyle w:val="TableParagraph"/>
              <w:spacing w:before="36"/>
              <w:ind w:left="297" w:right="298"/>
              <w:rPr>
                <w:sz w:val="20"/>
              </w:rPr>
            </w:pPr>
            <w:r>
              <w:rPr>
                <w:sz w:val="20"/>
              </w:rPr>
              <w:t>32.9</w:t>
            </w:r>
          </w:p>
        </w:tc>
        <w:tc>
          <w:tcPr>
            <w:tcW w:w="1047" w:type="dxa"/>
          </w:tcPr>
          <w:p>
            <w:pPr>
              <w:pStyle w:val="TableParagraph"/>
              <w:spacing w:before="36"/>
              <w:ind w:left="297" w:right="298"/>
              <w:rPr>
                <w:sz w:val="20"/>
              </w:rPr>
            </w:pPr>
            <w:r>
              <w:rPr>
                <w:sz w:val="20"/>
              </w:rPr>
              <w:t>10.3</w:t>
            </w:r>
          </w:p>
        </w:tc>
        <w:tc>
          <w:tcPr>
            <w:tcW w:w="773" w:type="dxa"/>
          </w:tcPr>
          <w:p>
            <w:pPr>
              <w:pStyle w:val="TableParagraph"/>
              <w:spacing w:before="36"/>
              <w:ind w:left="98" w:right="98"/>
              <w:rPr>
                <w:sz w:val="20"/>
              </w:rPr>
            </w:pPr>
            <w:r>
              <w:rPr>
                <w:sz w:val="20"/>
              </w:rPr>
              <w:t>28.2</w:t>
            </w:r>
          </w:p>
        </w:tc>
        <w:tc>
          <w:tcPr>
            <w:tcW w:w="773" w:type="dxa"/>
          </w:tcPr>
          <w:p>
            <w:pPr>
              <w:pStyle w:val="TableParagraph"/>
              <w:spacing w:before="36"/>
              <w:ind w:left="236" w:right="236"/>
              <w:rPr>
                <w:sz w:val="20"/>
              </w:rPr>
            </w:pPr>
            <w:r>
              <w:rPr>
                <w:sz w:val="20"/>
              </w:rPr>
              <w:t>8.7</w:t>
            </w:r>
          </w:p>
        </w:tc>
      </w:tr>
      <w:tr>
        <w:trPr>
          <w:trHeight w:val="326" w:hRule="exact"/>
        </w:trPr>
        <w:tc>
          <w:tcPr>
            <w:tcW w:w="1663" w:type="dxa"/>
          </w:tcPr>
          <w:p>
            <w:pPr>
              <w:pStyle w:val="TableParagraph"/>
              <w:spacing w:before="36"/>
              <w:ind w:left="103"/>
              <w:jc w:val="left"/>
              <w:rPr>
                <w:sz w:val="20"/>
              </w:rPr>
            </w:pPr>
            <w:r>
              <w:rPr>
                <w:sz w:val="20"/>
              </w:rPr>
              <w:t>Morelos</w:t>
            </w:r>
          </w:p>
        </w:tc>
        <w:tc>
          <w:tcPr>
            <w:tcW w:w="860" w:type="dxa"/>
          </w:tcPr>
          <w:p>
            <w:pPr>
              <w:pStyle w:val="TableParagraph"/>
              <w:spacing w:before="36"/>
              <w:ind w:left="298"/>
              <w:jc w:val="left"/>
              <w:rPr>
                <w:sz w:val="20"/>
              </w:rPr>
            </w:pPr>
            <w:r>
              <w:rPr>
                <w:sz w:val="20"/>
              </w:rPr>
              <w:t>0.9</w:t>
            </w:r>
          </w:p>
        </w:tc>
        <w:tc>
          <w:tcPr>
            <w:tcW w:w="857" w:type="dxa"/>
          </w:tcPr>
          <w:p>
            <w:pPr>
              <w:pStyle w:val="TableParagraph"/>
              <w:spacing w:before="36"/>
              <w:ind w:right="1"/>
              <w:rPr>
                <w:sz w:val="20"/>
              </w:rPr>
            </w:pPr>
            <w:r>
              <w:rPr>
                <w:w w:val="99"/>
                <w:sz w:val="20"/>
              </w:rPr>
              <w:t>0</w:t>
            </w:r>
          </w:p>
        </w:tc>
        <w:tc>
          <w:tcPr>
            <w:tcW w:w="905" w:type="dxa"/>
          </w:tcPr>
          <w:p>
            <w:pPr>
              <w:pStyle w:val="TableParagraph"/>
              <w:spacing w:before="36"/>
              <w:ind w:left="321"/>
              <w:jc w:val="left"/>
              <w:rPr>
                <w:sz w:val="20"/>
              </w:rPr>
            </w:pPr>
            <w:r>
              <w:rPr>
                <w:sz w:val="20"/>
              </w:rPr>
              <w:t>4.6</w:t>
            </w:r>
          </w:p>
        </w:tc>
        <w:tc>
          <w:tcPr>
            <w:tcW w:w="902" w:type="dxa"/>
          </w:tcPr>
          <w:p>
            <w:pPr>
              <w:pStyle w:val="TableParagraph"/>
              <w:spacing w:before="36"/>
              <w:ind w:left="225" w:right="227"/>
              <w:rPr>
                <w:sz w:val="20"/>
              </w:rPr>
            </w:pPr>
            <w:r>
              <w:rPr>
                <w:sz w:val="20"/>
              </w:rPr>
              <w:t>2.4</w:t>
            </w:r>
          </w:p>
        </w:tc>
        <w:tc>
          <w:tcPr>
            <w:tcW w:w="1049" w:type="dxa"/>
          </w:tcPr>
          <w:p>
            <w:pPr>
              <w:pStyle w:val="TableParagraph"/>
              <w:spacing w:before="36"/>
              <w:ind w:left="297" w:right="298"/>
              <w:rPr>
                <w:sz w:val="20"/>
              </w:rPr>
            </w:pPr>
            <w:r>
              <w:rPr>
                <w:sz w:val="20"/>
              </w:rPr>
              <w:t>3.6</w:t>
            </w:r>
          </w:p>
        </w:tc>
        <w:tc>
          <w:tcPr>
            <w:tcW w:w="1047" w:type="dxa"/>
          </w:tcPr>
          <w:p>
            <w:pPr>
              <w:pStyle w:val="TableParagraph"/>
              <w:spacing w:before="36"/>
              <w:ind w:left="297" w:right="298"/>
              <w:rPr>
                <w:sz w:val="20"/>
              </w:rPr>
            </w:pPr>
            <w:r>
              <w:rPr>
                <w:sz w:val="20"/>
              </w:rPr>
              <w:t>1.5</w:t>
            </w:r>
          </w:p>
        </w:tc>
        <w:tc>
          <w:tcPr>
            <w:tcW w:w="773" w:type="dxa"/>
          </w:tcPr>
          <w:p>
            <w:pPr>
              <w:pStyle w:val="TableParagraph"/>
              <w:spacing w:before="36"/>
              <w:ind w:left="98" w:right="98"/>
              <w:rPr>
                <w:sz w:val="20"/>
              </w:rPr>
            </w:pPr>
            <w:r>
              <w:rPr>
                <w:sz w:val="20"/>
              </w:rPr>
              <w:t>2.5</w:t>
            </w:r>
          </w:p>
        </w:tc>
        <w:tc>
          <w:tcPr>
            <w:tcW w:w="773" w:type="dxa"/>
          </w:tcPr>
          <w:p>
            <w:pPr>
              <w:pStyle w:val="TableParagraph"/>
              <w:spacing w:before="36"/>
              <w:ind w:left="236" w:right="236"/>
              <w:rPr>
                <w:sz w:val="20"/>
              </w:rPr>
            </w:pPr>
            <w:r>
              <w:rPr>
                <w:sz w:val="20"/>
              </w:rPr>
              <w:t>0.8</w:t>
            </w:r>
          </w:p>
        </w:tc>
      </w:tr>
      <w:tr>
        <w:trPr>
          <w:trHeight w:val="324" w:hRule="exact"/>
        </w:trPr>
        <w:tc>
          <w:tcPr>
            <w:tcW w:w="1663" w:type="dxa"/>
          </w:tcPr>
          <w:p>
            <w:pPr>
              <w:pStyle w:val="TableParagraph"/>
              <w:spacing w:before="36"/>
              <w:ind w:left="103"/>
              <w:jc w:val="left"/>
              <w:rPr>
                <w:sz w:val="20"/>
              </w:rPr>
            </w:pPr>
            <w:r>
              <w:rPr>
                <w:sz w:val="20"/>
              </w:rPr>
              <w:t>Puebla</w:t>
            </w:r>
          </w:p>
        </w:tc>
        <w:tc>
          <w:tcPr>
            <w:tcW w:w="860" w:type="dxa"/>
          </w:tcPr>
          <w:p>
            <w:pPr>
              <w:pStyle w:val="TableParagraph"/>
              <w:spacing w:before="36"/>
              <w:ind w:left="298"/>
              <w:jc w:val="left"/>
              <w:rPr>
                <w:sz w:val="20"/>
              </w:rPr>
            </w:pPr>
            <w:r>
              <w:rPr>
                <w:sz w:val="20"/>
              </w:rPr>
              <w:t>3.6</w:t>
            </w:r>
          </w:p>
        </w:tc>
        <w:tc>
          <w:tcPr>
            <w:tcW w:w="857" w:type="dxa"/>
          </w:tcPr>
          <w:p>
            <w:pPr>
              <w:pStyle w:val="TableParagraph"/>
              <w:spacing w:before="36"/>
              <w:ind w:left="202" w:right="203"/>
              <w:rPr>
                <w:sz w:val="20"/>
              </w:rPr>
            </w:pPr>
            <w:r>
              <w:rPr>
                <w:sz w:val="20"/>
              </w:rPr>
              <w:t>4.6</w:t>
            </w:r>
          </w:p>
        </w:tc>
        <w:tc>
          <w:tcPr>
            <w:tcW w:w="905" w:type="dxa"/>
          </w:tcPr>
          <w:p>
            <w:pPr>
              <w:pStyle w:val="TableParagraph"/>
              <w:spacing w:before="36"/>
              <w:ind w:left="345"/>
              <w:jc w:val="left"/>
              <w:rPr>
                <w:sz w:val="20"/>
              </w:rPr>
            </w:pPr>
            <w:r>
              <w:rPr>
                <w:sz w:val="20"/>
              </w:rPr>
              <w:t>12</w:t>
            </w:r>
          </w:p>
        </w:tc>
        <w:tc>
          <w:tcPr>
            <w:tcW w:w="902" w:type="dxa"/>
          </w:tcPr>
          <w:p>
            <w:pPr>
              <w:pStyle w:val="TableParagraph"/>
              <w:spacing w:before="36"/>
              <w:ind w:left="225" w:right="227"/>
              <w:rPr>
                <w:sz w:val="20"/>
              </w:rPr>
            </w:pPr>
            <w:r>
              <w:rPr>
                <w:sz w:val="20"/>
              </w:rPr>
              <w:t>15.3</w:t>
            </w:r>
          </w:p>
        </w:tc>
        <w:tc>
          <w:tcPr>
            <w:tcW w:w="1049" w:type="dxa"/>
            <w:tcBorders>
              <w:right w:val="single" w:sz="4" w:space="0" w:color="92D07B"/>
            </w:tcBorders>
          </w:tcPr>
          <w:p>
            <w:pPr>
              <w:pStyle w:val="TableParagraph"/>
              <w:spacing w:before="36"/>
              <w:ind w:left="297" w:right="298"/>
              <w:rPr>
                <w:sz w:val="20"/>
              </w:rPr>
            </w:pPr>
            <w:r>
              <w:rPr>
                <w:sz w:val="20"/>
              </w:rPr>
              <w:t>12.5</w:t>
            </w:r>
          </w:p>
        </w:tc>
        <w:tc>
          <w:tcPr>
            <w:tcW w:w="1047" w:type="dxa"/>
            <w:tcBorders>
              <w:left w:val="single" w:sz="4" w:space="0" w:color="92D07B"/>
            </w:tcBorders>
          </w:tcPr>
          <w:p>
            <w:pPr>
              <w:pStyle w:val="TableParagraph"/>
              <w:spacing w:before="36"/>
              <w:ind w:left="297" w:right="298"/>
              <w:rPr>
                <w:sz w:val="20"/>
              </w:rPr>
            </w:pPr>
            <w:r>
              <w:rPr>
                <w:sz w:val="20"/>
              </w:rPr>
              <w:t>14.7</w:t>
            </w:r>
          </w:p>
        </w:tc>
        <w:tc>
          <w:tcPr>
            <w:tcW w:w="773" w:type="dxa"/>
          </w:tcPr>
          <w:p>
            <w:pPr>
              <w:pStyle w:val="TableParagraph"/>
              <w:spacing w:before="36"/>
              <w:ind w:left="98" w:right="98"/>
              <w:rPr>
                <w:sz w:val="20"/>
              </w:rPr>
            </w:pPr>
            <w:r>
              <w:rPr>
                <w:sz w:val="20"/>
              </w:rPr>
              <w:t>9.9</w:t>
            </w:r>
          </w:p>
        </w:tc>
        <w:tc>
          <w:tcPr>
            <w:tcW w:w="773" w:type="dxa"/>
          </w:tcPr>
          <w:p>
            <w:pPr>
              <w:pStyle w:val="TableParagraph"/>
              <w:spacing w:before="36"/>
              <w:ind w:left="236" w:right="236"/>
              <w:rPr>
                <w:sz w:val="20"/>
              </w:rPr>
            </w:pPr>
            <w:r>
              <w:rPr>
                <w:sz w:val="20"/>
              </w:rPr>
              <w:t>7.2</w:t>
            </w:r>
          </w:p>
        </w:tc>
      </w:tr>
    </w:tbl>
    <w:p>
      <w:pPr>
        <w:spacing w:line="202" w:lineRule="exact" w:before="0"/>
        <w:ind w:left="102" w:right="0" w:firstLine="0"/>
        <w:jc w:val="both"/>
        <w:rPr>
          <w:sz w:val="18"/>
        </w:rPr>
      </w:pPr>
      <w:r>
        <w:rPr>
          <w:sz w:val="18"/>
        </w:rPr>
        <w:t>Fuente: Elaboración propia con datos del INEGI (1980 y 2009).</w:t>
      </w:r>
    </w:p>
    <w:p>
      <w:pPr>
        <w:pStyle w:val="BodyText"/>
        <w:rPr>
          <w:sz w:val="18"/>
        </w:rPr>
      </w:pPr>
    </w:p>
    <w:p>
      <w:pPr>
        <w:pStyle w:val="BodyText"/>
        <w:spacing w:line="360" w:lineRule="auto" w:before="137"/>
        <w:ind w:left="102" w:right="116"/>
        <w:jc w:val="both"/>
      </w:pPr>
      <w:r>
        <w:rPr/>
        <w:t>La</w:t>
      </w:r>
      <w:r>
        <w:rPr>
          <w:spacing w:val="-10"/>
        </w:rPr>
        <w:t> </w:t>
      </w:r>
      <w:r>
        <w:rPr/>
        <w:t>evidente</w:t>
      </w:r>
      <w:r>
        <w:rPr>
          <w:spacing w:val="-10"/>
        </w:rPr>
        <w:t> </w:t>
      </w:r>
      <w:r>
        <w:rPr/>
        <w:t>pérdida</w:t>
      </w:r>
      <w:r>
        <w:rPr>
          <w:spacing w:val="-10"/>
        </w:rPr>
        <w:t> </w:t>
      </w:r>
      <w:r>
        <w:rPr/>
        <w:t>de</w:t>
      </w:r>
      <w:r>
        <w:rPr>
          <w:spacing w:val="-10"/>
        </w:rPr>
        <w:t> </w:t>
      </w:r>
      <w:r>
        <w:rPr/>
        <w:t>dinamismo</w:t>
      </w:r>
      <w:r>
        <w:rPr>
          <w:spacing w:val="-9"/>
        </w:rPr>
        <w:t> </w:t>
      </w:r>
      <w:r>
        <w:rPr/>
        <w:t>de</w:t>
      </w:r>
      <w:r>
        <w:rPr>
          <w:spacing w:val="-10"/>
        </w:rPr>
        <w:t> </w:t>
      </w:r>
      <w:r>
        <w:rPr/>
        <w:t>la</w:t>
      </w:r>
      <w:r>
        <w:rPr>
          <w:spacing w:val="-10"/>
        </w:rPr>
        <w:t> </w:t>
      </w:r>
      <w:r>
        <w:rPr/>
        <w:t>región</w:t>
      </w:r>
      <w:r>
        <w:rPr>
          <w:spacing w:val="-9"/>
        </w:rPr>
        <w:t> </w:t>
      </w:r>
      <w:r>
        <w:rPr/>
        <w:t>centro</w:t>
      </w:r>
      <w:r>
        <w:rPr>
          <w:spacing w:val="-10"/>
        </w:rPr>
        <w:t> </w:t>
      </w:r>
      <w:r>
        <w:rPr/>
        <w:t>en</w:t>
      </w:r>
      <w:r>
        <w:rPr>
          <w:spacing w:val="-10"/>
        </w:rPr>
        <w:t> </w:t>
      </w:r>
      <w:r>
        <w:rPr/>
        <w:t>las</w:t>
      </w:r>
      <w:r>
        <w:rPr>
          <w:spacing w:val="-10"/>
        </w:rPr>
        <w:t> </w:t>
      </w:r>
      <w:r>
        <w:rPr/>
        <w:t>últimas</w:t>
      </w:r>
      <w:r>
        <w:rPr>
          <w:spacing w:val="-10"/>
        </w:rPr>
        <w:t> </w:t>
      </w:r>
      <w:r>
        <w:rPr/>
        <w:t>décadas</w:t>
      </w:r>
      <w:r>
        <w:rPr>
          <w:spacing w:val="-7"/>
        </w:rPr>
        <w:t> </w:t>
      </w:r>
      <w:r>
        <w:rPr/>
        <w:t>se</w:t>
      </w:r>
      <w:r>
        <w:rPr>
          <w:spacing w:val="-10"/>
        </w:rPr>
        <w:t> </w:t>
      </w:r>
      <w:r>
        <w:rPr/>
        <w:t>debe</w:t>
      </w:r>
      <w:r>
        <w:rPr>
          <w:spacing w:val="-10"/>
        </w:rPr>
        <w:t> </w:t>
      </w:r>
      <w:r>
        <w:rPr/>
        <w:t>en</w:t>
      </w:r>
      <w:r>
        <w:rPr>
          <w:spacing w:val="-10"/>
        </w:rPr>
        <w:t> </w:t>
      </w:r>
      <w:r>
        <w:rPr/>
        <w:t>parte a</w:t>
      </w:r>
      <w:r>
        <w:rPr>
          <w:spacing w:val="-10"/>
        </w:rPr>
        <w:t> </w:t>
      </w:r>
      <w:r>
        <w:rPr/>
        <w:t>que</w:t>
      </w:r>
      <w:r>
        <w:rPr>
          <w:spacing w:val="-10"/>
        </w:rPr>
        <w:t> </w:t>
      </w:r>
      <w:r>
        <w:rPr/>
        <w:t>el</w:t>
      </w:r>
      <w:r>
        <w:rPr>
          <w:spacing w:val="-8"/>
        </w:rPr>
        <w:t> </w:t>
      </w:r>
      <w:r>
        <w:rPr/>
        <w:t>Estado</w:t>
      </w:r>
      <w:r>
        <w:rPr>
          <w:spacing w:val="-9"/>
        </w:rPr>
        <w:t> </w:t>
      </w:r>
      <w:r>
        <w:rPr/>
        <w:t>de</w:t>
      </w:r>
      <w:r>
        <w:rPr>
          <w:spacing w:val="-10"/>
        </w:rPr>
        <w:t> </w:t>
      </w:r>
      <w:r>
        <w:rPr/>
        <w:t>México</w:t>
      </w:r>
      <w:r>
        <w:rPr>
          <w:spacing w:val="-8"/>
        </w:rPr>
        <w:t> </w:t>
      </w:r>
      <w:r>
        <w:rPr/>
        <w:t>y</w:t>
      </w:r>
      <w:r>
        <w:rPr>
          <w:spacing w:val="-16"/>
        </w:rPr>
        <w:t> </w:t>
      </w:r>
      <w:r>
        <w:rPr/>
        <w:t>el</w:t>
      </w:r>
      <w:r>
        <w:rPr>
          <w:spacing w:val="-8"/>
        </w:rPr>
        <w:t> </w:t>
      </w:r>
      <w:r>
        <w:rPr/>
        <w:t>Distrito</w:t>
      </w:r>
      <w:r>
        <w:rPr>
          <w:spacing w:val="-8"/>
        </w:rPr>
        <w:t> </w:t>
      </w:r>
      <w:r>
        <w:rPr/>
        <w:t>Federal</w:t>
      </w:r>
      <w:r>
        <w:rPr>
          <w:spacing w:val="-8"/>
        </w:rPr>
        <w:t> </w:t>
      </w:r>
      <w:r>
        <w:rPr/>
        <w:t>se</w:t>
      </w:r>
      <w:r>
        <w:rPr>
          <w:spacing w:val="-9"/>
        </w:rPr>
        <w:t> </w:t>
      </w:r>
      <w:r>
        <w:rPr/>
        <w:t>han</w:t>
      </w:r>
      <w:r>
        <w:rPr>
          <w:spacing w:val="-9"/>
        </w:rPr>
        <w:t> </w:t>
      </w:r>
      <w:r>
        <w:rPr/>
        <w:t>visto</w:t>
      </w:r>
      <w:r>
        <w:rPr>
          <w:spacing w:val="-9"/>
        </w:rPr>
        <w:t> </w:t>
      </w:r>
      <w:r>
        <w:rPr/>
        <w:t>desplazadas</w:t>
      </w:r>
      <w:r>
        <w:rPr>
          <w:spacing w:val="-8"/>
        </w:rPr>
        <w:t> </w:t>
      </w:r>
      <w:r>
        <w:rPr/>
        <w:t>como</w:t>
      </w:r>
      <w:r>
        <w:rPr>
          <w:spacing w:val="-8"/>
        </w:rPr>
        <w:t> </w:t>
      </w:r>
      <w:r>
        <w:rPr/>
        <w:t>los</w:t>
      </w:r>
      <w:r>
        <w:rPr>
          <w:spacing w:val="-8"/>
        </w:rPr>
        <w:t> </w:t>
      </w:r>
      <w:r>
        <w:rPr/>
        <w:t>principales destinos de inversión ante el proceso de apertura comercial, que no solo se observa en el sector automotriz, sino en general en la manufactura regional. Al respecto, a partir de la entrada en vigor del TLCAN, las grandes empresas transnacionales, entre ellas las tres grandes empresas automotrices norteamericanas, fijaron sus perspectivas de crecimiento en los</w:t>
      </w:r>
      <w:r>
        <w:rPr>
          <w:spacing w:val="-6"/>
        </w:rPr>
        <w:t> </w:t>
      </w:r>
      <w:r>
        <w:rPr/>
        <w:t>mercados</w:t>
      </w:r>
      <w:r>
        <w:rPr>
          <w:spacing w:val="-4"/>
        </w:rPr>
        <w:t> </w:t>
      </w:r>
      <w:r>
        <w:rPr/>
        <w:t>externos,</w:t>
      </w:r>
      <w:r>
        <w:rPr>
          <w:spacing w:val="-7"/>
        </w:rPr>
        <w:t> </w:t>
      </w:r>
      <w:r>
        <w:rPr/>
        <w:t>por</w:t>
      </w:r>
      <w:r>
        <w:rPr>
          <w:spacing w:val="-7"/>
        </w:rPr>
        <w:t> </w:t>
      </w:r>
      <w:r>
        <w:rPr/>
        <w:t>lo</w:t>
      </w:r>
      <w:r>
        <w:rPr>
          <w:spacing w:val="-6"/>
        </w:rPr>
        <w:t> </w:t>
      </w:r>
      <w:r>
        <w:rPr/>
        <w:t>que</w:t>
      </w:r>
      <w:r>
        <w:rPr>
          <w:spacing w:val="-5"/>
        </w:rPr>
        <w:t> </w:t>
      </w:r>
      <w:r>
        <w:rPr/>
        <w:t>ubicarse</w:t>
      </w:r>
      <w:r>
        <w:rPr>
          <w:spacing w:val="-5"/>
        </w:rPr>
        <w:t> </w:t>
      </w:r>
      <w:r>
        <w:rPr/>
        <w:t>cerca</w:t>
      </w:r>
      <w:r>
        <w:rPr>
          <w:spacing w:val="-5"/>
        </w:rPr>
        <w:t> </w:t>
      </w:r>
      <w:r>
        <w:rPr/>
        <w:t>del</w:t>
      </w:r>
      <w:r>
        <w:rPr>
          <w:spacing w:val="-6"/>
        </w:rPr>
        <w:t> </w:t>
      </w:r>
      <w:r>
        <w:rPr/>
        <w:t>mercado</w:t>
      </w:r>
      <w:r>
        <w:rPr>
          <w:spacing w:val="-4"/>
        </w:rPr>
        <w:t> </w:t>
      </w:r>
      <w:r>
        <w:rPr/>
        <w:t>estadounidense</w:t>
      </w:r>
      <w:r>
        <w:rPr>
          <w:spacing w:val="-7"/>
        </w:rPr>
        <w:t> </w:t>
      </w:r>
      <w:r>
        <w:rPr/>
        <w:t>constituyó</w:t>
      </w:r>
      <w:r>
        <w:rPr>
          <w:spacing w:val="-4"/>
        </w:rPr>
        <w:t> </w:t>
      </w:r>
      <w:r>
        <w:rPr/>
        <w:t>una gran ventaja, debido a la reducción en los costos de</w:t>
      </w:r>
      <w:r>
        <w:rPr>
          <w:spacing w:val="-11"/>
        </w:rPr>
        <w:t> </w:t>
      </w:r>
      <w:r>
        <w:rPr/>
        <w:t>transporte.</w:t>
      </w:r>
    </w:p>
    <w:p>
      <w:pPr>
        <w:pStyle w:val="BodyText"/>
        <w:spacing w:before="5"/>
        <w:rPr>
          <w:sz w:val="21"/>
        </w:rPr>
      </w:pPr>
    </w:p>
    <w:p>
      <w:pPr>
        <w:pStyle w:val="BodyText"/>
        <w:spacing w:line="360" w:lineRule="auto"/>
        <w:ind w:left="102" w:right="116"/>
        <w:jc w:val="both"/>
      </w:pPr>
      <w:r>
        <w:rPr/>
        <w:t>Por</w:t>
      </w:r>
      <w:r>
        <w:rPr>
          <w:spacing w:val="-17"/>
        </w:rPr>
        <w:t> </w:t>
      </w:r>
      <w:r>
        <w:rPr/>
        <w:t>otra</w:t>
      </w:r>
      <w:r>
        <w:rPr>
          <w:spacing w:val="-17"/>
        </w:rPr>
        <w:t> </w:t>
      </w:r>
      <w:r>
        <w:rPr/>
        <w:t>parte,</w:t>
      </w:r>
      <w:r>
        <w:rPr>
          <w:spacing w:val="-16"/>
        </w:rPr>
        <w:t> </w:t>
      </w:r>
      <w:r>
        <w:rPr/>
        <w:t>es</w:t>
      </w:r>
      <w:r>
        <w:rPr>
          <w:spacing w:val="-16"/>
        </w:rPr>
        <w:t> </w:t>
      </w:r>
      <w:r>
        <w:rPr/>
        <w:t>importante</w:t>
      </w:r>
      <w:r>
        <w:rPr>
          <w:spacing w:val="-16"/>
        </w:rPr>
        <w:t> </w:t>
      </w:r>
      <w:r>
        <w:rPr/>
        <w:t>conocer</w:t>
      </w:r>
      <w:r>
        <w:rPr>
          <w:spacing w:val="-17"/>
        </w:rPr>
        <w:t> </w:t>
      </w:r>
      <w:r>
        <w:rPr/>
        <w:t>la</w:t>
      </w:r>
      <w:r>
        <w:rPr>
          <w:spacing w:val="-16"/>
        </w:rPr>
        <w:t> </w:t>
      </w:r>
      <w:r>
        <w:rPr/>
        <w:t>evolución</w:t>
      </w:r>
      <w:r>
        <w:rPr>
          <w:spacing w:val="-13"/>
        </w:rPr>
        <w:t> </w:t>
      </w:r>
      <w:r>
        <w:rPr/>
        <w:t>que</w:t>
      </w:r>
      <w:r>
        <w:rPr>
          <w:spacing w:val="-17"/>
        </w:rPr>
        <w:t> </w:t>
      </w:r>
      <w:r>
        <w:rPr/>
        <w:t>ha</w:t>
      </w:r>
      <w:r>
        <w:rPr>
          <w:spacing w:val="-17"/>
        </w:rPr>
        <w:t> </w:t>
      </w:r>
      <w:r>
        <w:rPr/>
        <w:t>tenido</w:t>
      </w:r>
      <w:r>
        <w:rPr>
          <w:spacing w:val="-16"/>
        </w:rPr>
        <w:t> </w:t>
      </w:r>
      <w:r>
        <w:rPr/>
        <w:t>la</w:t>
      </w:r>
      <w:r>
        <w:rPr>
          <w:spacing w:val="-16"/>
        </w:rPr>
        <w:t> </w:t>
      </w:r>
      <w:r>
        <w:rPr/>
        <w:t>industria</w:t>
      </w:r>
      <w:r>
        <w:rPr>
          <w:spacing w:val="-17"/>
        </w:rPr>
        <w:t> </w:t>
      </w:r>
      <w:r>
        <w:rPr/>
        <w:t>automotriz</w:t>
      </w:r>
      <w:r>
        <w:rPr>
          <w:spacing w:val="-14"/>
        </w:rPr>
        <w:t> </w:t>
      </w:r>
      <w:r>
        <w:rPr/>
        <w:t>dentro del</w:t>
      </w:r>
      <w:r>
        <w:rPr>
          <w:spacing w:val="-8"/>
        </w:rPr>
        <w:t> </w:t>
      </w:r>
      <w:r>
        <w:rPr/>
        <w:t>sector</w:t>
      </w:r>
      <w:r>
        <w:rPr>
          <w:spacing w:val="-9"/>
        </w:rPr>
        <w:t> </w:t>
      </w:r>
      <w:r>
        <w:rPr/>
        <w:t>manufacturero</w:t>
      </w:r>
      <w:r>
        <w:rPr>
          <w:spacing w:val="-7"/>
        </w:rPr>
        <w:t> </w:t>
      </w:r>
      <w:r>
        <w:rPr/>
        <w:t>de</w:t>
      </w:r>
      <w:r>
        <w:rPr>
          <w:spacing w:val="-10"/>
        </w:rPr>
        <w:t> </w:t>
      </w:r>
      <w:r>
        <w:rPr/>
        <w:t>la</w:t>
      </w:r>
      <w:r>
        <w:rPr>
          <w:spacing w:val="-9"/>
        </w:rPr>
        <w:t> </w:t>
      </w:r>
      <w:r>
        <w:rPr/>
        <w:t>región</w:t>
      </w:r>
      <w:r>
        <w:rPr>
          <w:spacing w:val="-8"/>
        </w:rPr>
        <w:t> </w:t>
      </w:r>
      <w:r>
        <w:rPr/>
        <w:t>centro,</w:t>
      </w:r>
      <w:r>
        <w:rPr>
          <w:spacing w:val="-7"/>
        </w:rPr>
        <w:t> </w:t>
      </w:r>
      <w:r>
        <w:rPr/>
        <w:t>tanto</w:t>
      </w:r>
      <w:r>
        <w:rPr>
          <w:spacing w:val="-9"/>
        </w:rPr>
        <w:t> </w:t>
      </w:r>
      <w:r>
        <w:rPr/>
        <w:t>a</w:t>
      </w:r>
      <w:r>
        <w:rPr>
          <w:spacing w:val="-10"/>
        </w:rPr>
        <w:t> </w:t>
      </w:r>
      <w:r>
        <w:rPr/>
        <w:t>nivel</w:t>
      </w:r>
      <w:r>
        <w:rPr>
          <w:spacing w:val="-9"/>
        </w:rPr>
        <w:t> </w:t>
      </w:r>
      <w:r>
        <w:rPr/>
        <w:t>regional</w:t>
      </w:r>
      <w:r>
        <w:rPr>
          <w:spacing w:val="-9"/>
        </w:rPr>
        <w:t> </w:t>
      </w:r>
      <w:r>
        <w:rPr/>
        <w:t>como</w:t>
      </w:r>
      <w:r>
        <w:rPr>
          <w:spacing w:val="-8"/>
        </w:rPr>
        <w:t> </w:t>
      </w:r>
      <w:r>
        <w:rPr/>
        <w:t>por</w:t>
      </w:r>
      <w:r>
        <w:rPr>
          <w:spacing w:val="-7"/>
        </w:rPr>
        <w:t> </w:t>
      </w:r>
      <w:r>
        <w:rPr/>
        <w:t>entidad.</w:t>
      </w:r>
      <w:r>
        <w:rPr>
          <w:spacing w:val="-9"/>
        </w:rPr>
        <w:t> </w:t>
      </w:r>
      <w:r>
        <w:rPr/>
        <w:t>En</w:t>
      </w:r>
      <w:r>
        <w:rPr>
          <w:spacing w:val="-9"/>
        </w:rPr>
        <w:t> </w:t>
      </w:r>
      <w:r>
        <w:rPr/>
        <w:t>este sentido,</w:t>
      </w:r>
      <w:r>
        <w:rPr>
          <w:spacing w:val="-17"/>
        </w:rPr>
        <w:t> </w:t>
      </w:r>
      <w:r>
        <w:rPr/>
        <w:t>se</w:t>
      </w:r>
      <w:r>
        <w:rPr>
          <w:spacing w:val="-18"/>
        </w:rPr>
        <w:t> </w:t>
      </w:r>
      <w:r>
        <w:rPr/>
        <w:t>observó</w:t>
      </w:r>
      <w:r>
        <w:rPr>
          <w:spacing w:val="-18"/>
        </w:rPr>
        <w:t> </w:t>
      </w:r>
      <w:r>
        <w:rPr/>
        <w:t>que</w:t>
      </w:r>
      <w:r>
        <w:rPr>
          <w:spacing w:val="-18"/>
        </w:rPr>
        <w:t> </w:t>
      </w:r>
      <w:r>
        <w:rPr/>
        <w:t>las</w:t>
      </w:r>
      <w:r>
        <w:rPr>
          <w:spacing w:val="-17"/>
        </w:rPr>
        <w:t> </w:t>
      </w:r>
      <w:r>
        <w:rPr/>
        <w:t>unidades</w:t>
      </w:r>
      <w:r>
        <w:rPr>
          <w:spacing w:val="-17"/>
        </w:rPr>
        <w:t> </w:t>
      </w:r>
      <w:r>
        <w:rPr/>
        <w:t>económicas</w:t>
      </w:r>
      <w:r>
        <w:rPr>
          <w:spacing w:val="-17"/>
        </w:rPr>
        <w:t> </w:t>
      </w:r>
      <w:r>
        <w:rPr/>
        <w:t>de</w:t>
      </w:r>
      <w:r>
        <w:rPr>
          <w:spacing w:val="-16"/>
        </w:rPr>
        <w:t> </w:t>
      </w:r>
      <w:r>
        <w:rPr/>
        <w:t>la</w:t>
      </w:r>
      <w:r>
        <w:rPr>
          <w:spacing w:val="-17"/>
        </w:rPr>
        <w:t> </w:t>
      </w:r>
      <w:r>
        <w:rPr/>
        <w:t>industria</w:t>
      </w:r>
      <w:r>
        <w:rPr>
          <w:spacing w:val="-18"/>
        </w:rPr>
        <w:t> </w:t>
      </w:r>
      <w:r>
        <w:rPr/>
        <w:t>automotriz</w:t>
      </w:r>
      <w:r>
        <w:rPr>
          <w:spacing w:val="-15"/>
        </w:rPr>
        <w:t> </w:t>
      </w:r>
      <w:r>
        <w:rPr/>
        <w:t>en</w:t>
      </w:r>
      <w:r>
        <w:rPr>
          <w:spacing w:val="-17"/>
        </w:rPr>
        <w:t> </w:t>
      </w:r>
      <w:r>
        <w:rPr/>
        <w:t>la</w:t>
      </w:r>
      <w:r>
        <w:rPr>
          <w:spacing w:val="-17"/>
        </w:rPr>
        <w:t> </w:t>
      </w:r>
      <w:r>
        <w:rPr/>
        <w:t>región</w:t>
      </w:r>
      <w:r>
        <w:rPr>
          <w:spacing w:val="-16"/>
        </w:rPr>
        <w:t> </w:t>
      </w:r>
      <w:r>
        <w:rPr/>
        <w:t>centro disminuyeron</w:t>
      </w:r>
      <w:r>
        <w:rPr>
          <w:spacing w:val="-15"/>
        </w:rPr>
        <w:t> </w:t>
      </w:r>
      <w:r>
        <w:rPr/>
        <w:t>en</w:t>
      </w:r>
      <w:r>
        <w:rPr>
          <w:spacing w:val="-14"/>
        </w:rPr>
        <w:t> </w:t>
      </w:r>
      <w:r>
        <w:rPr/>
        <w:t>0.5%,</w:t>
      </w:r>
      <w:r>
        <w:rPr>
          <w:spacing w:val="-14"/>
        </w:rPr>
        <w:t> </w:t>
      </w:r>
      <w:r>
        <w:rPr/>
        <w:t>no</w:t>
      </w:r>
      <w:r>
        <w:rPr>
          <w:spacing w:val="-14"/>
        </w:rPr>
        <w:t> </w:t>
      </w:r>
      <w:r>
        <w:rPr/>
        <w:t>obstante,</w:t>
      </w:r>
      <w:r>
        <w:rPr>
          <w:spacing w:val="-15"/>
        </w:rPr>
        <w:t> </w:t>
      </w:r>
      <w:r>
        <w:rPr/>
        <w:t>en</w:t>
      </w:r>
      <w:r>
        <w:rPr>
          <w:spacing w:val="-14"/>
        </w:rPr>
        <w:t> </w:t>
      </w:r>
      <w:r>
        <w:rPr/>
        <w:t>las</w:t>
      </w:r>
      <w:r>
        <w:rPr>
          <w:spacing w:val="-15"/>
        </w:rPr>
        <w:t> </w:t>
      </w:r>
      <w:r>
        <w:rPr/>
        <w:t>variables</w:t>
      </w:r>
      <w:r>
        <w:rPr>
          <w:spacing w:val="-14"/>
        </w:rPr>
        <w:t> </w:t>
      </w:r>
      <w:r>
        <w:rPr/>
        <w:t>de</w:t>
      </w:r>
      <w:r>
        <w:rPr>
          <w:spacing w:val="-15"/>
        </w:rPr>
        <w:t> </w:t>
      </w:r>
      <w:r>
        <w:rPr/>
        <w:t>producción</w:t>
      </w:r>
      <w:r>
        <w:rPr>
          <w:spacing w:val="-14"/>
        </w:rPr>
        <w:t> </w:t>
      </w:r>
      <w:r>
        <w:rPr/>
        <w:t>bruta</w:t>
      </w:r>
      <w:r>
        <w:rPr>
          <w:spacing w:val="-16"/>
        </w:rPr>
        <w:t> </w:t>
      </w:r>
      <w:r>
        <w:rPr/>
        <w:t>total,</w:t>
      </w:r>
      <w:r>
        <w:rPr>
          <w:spacing w:val="-14"/>
        </w:rPr>
        <w:t> </w:t>
      </w:r>
      <w:r>
        <w:rPr/>
        <w:t>valor</w:t>
      </w:r>
      <w:r>
        <w:rPr>
          <w:spacing w:val="-15"/>
        </w:rPr>
        <w:t> </w:t>
      </w:r>
      <w:r>
        <w:rPr/>
        <w:t>agregado censal bruto y personal ocupado han ganado importancia dentro del sector manufacturero. En este sentido, la producción bruta total, que en 1980 representaba 14.1%, en 2009 representó el 19.6% de la producción bruta total del sector manufacturero, es decir aumentó su participación en 5.5%.En cuanto al valor agregado censal bruto, éste mostró un ligero crecimiento de 1.1%. Por el lado del personal ocupado también mostró un incremento del 0.8% (véase cuadro</w:t>
      </w:r>
      <w:r>
        <w:rPr>
          <w:spacing w:val="-6"/>
        </w:rPr>
        <w:t> </w:t>
      </w:r>
      <w:r>
        <w:rPr/>
        <w:t>4.5).</w:t>
      </w:r>
    </w:p>
    <w:p>
      <w:pPr>
        <w:pStyle w:val="BodyText"/>
        <w:spacing w:before="11"/>
        <w:rPr>
          <w:sz w:val="9"/>
        </w:rPr>
      </w:pPr>
    </w:p>
    <w:p>
      <w:pPr>
        <w:pStyle w:val="BodyText"/>
        <w:spacing w:before="69"/>
        <w:ind w:right="117"/>
        <w:jc w:val="right"/>
      </w:pPr>
      <w:r>
        <w:rPr/>
        <w:t>96</w:t>
      </w:r>
    </w:p>
    <w:p>
      <w:pPr>
        <w:spacing w:after="0"/>
        <w:jc w:val="right"/>
        <w:sectPr>
          <w:footerReference w:type="default" r:id="rId62"/>
          <w:pgSz w:w="12240" w:h="15840"/>
          <w:pgMar w:footer="0" w:header="0" w:top="1360" w:bottom="280" w:left="1600" w:right="1580"/>
        </w:sectPr>
      </w:pPr>
    </w:p>
    <w:p>
      <w:pPr>
        <w:pStyle w:val="BodyText"/>
        <w:spacing w:line="360" w:lineRule="auto" w:before="50"/>
        <w:ind w:left="102" w:right="115"/>
        <w:jc w:val="both"/>
      </w:pPr>
      <w:r>
        <w:rPr/>
        <w:t>En cuanto al análisis por entidad federativa, se encuentra que el Distrito Federal ha disminuido</w:t>
      </w:r>
      <w:r>
        <w:rPr>
          <w:spacing w:val="-7"/>
        </w:rPr>
        <w:t> </w:t>
      </w:r>
      <w:r>
        <w:rPr/>
        <w:t>dramáticamente</w:t>
      </w:r>
      <w:r>
        <w:rPr>
          <w:spacing w:val="-8"/>
        </w:rPr>
        <w:t> </w:t>
      </w:r>
      <w:r>
        <w:rPr/>
        <w:t>sus</w:t>
      </w:r>
      <w:r>
        <w:rPr>
          <w:spacing w:val="-7"/>
        </w:rPr>
        <w:t> </w:t>
      </w:r>
      <w:r>
        <w:rPr/>
        <w:t>aportaciones</w:t>
      </w:r>
      <w:r>
        <w:rPr>
          <w:spacing w:val="-8"/>
        </w:rPr>
        <w:t> </w:t>
      </w:r>
      <w:r>
        <w:rPr/>
        <w:t>al</w:t>
      </w:r>
      <w:r>
        <w:rPr>
          <w:spacing w:val="-7"/>
        </w:rPr>
        <w:t> </w:t>
      </w:r>
      <w:r>
        <w:rPr/>
        <w:t>sector</w:t>
      </w:r>
      <w:r>
        <w:rPr>
          <w:spacing w:val="-8"/>
        </w:rPr>
        <w:t> </w:t>
      </w:r>
      <w:r>
        <w:rPr/>
        <w:t>manufacturero</w:t>
      </w:r>
      <w:r>
        <w:rPr>
          <w:spacing w:val="-6"/>
        </w:rPr>
        <w:t> </w:t>
      </w:r>
      <w:r>
        <w:rPr/>
        <w:t>local,</w:t>
      </w:r>
      <w:r>
        <w:rPr>
          <w:spacing w:val="-5"/>
        </w:rPr>
        <w:t> </w:t>
      </w:r>
      <w:r>
        <w:rPr/>
        <w:t>pues</w:t>
      </w:r>
      <w:r>
        <w:rPr>
          <w:spacing w:val="-7"/>
        </w:rPr>
        <w:t> </w:t>
      </w:r>
      <w:r>
        <w:rPr/>
        <w:t>en</w:t>
      </w:r>
      <w:r>
        <w:rPr>
          <w:spacing w:val="-7"/>
        </w:rPr>
        <w:t> </w:t>
      </w:r>
      <w:r>
        <w:rPr/>
        <w:t>todas</w:t>
      </w:r>
      <w:r>
        <w:rPr>
          <w:spacing w:val="-8"/>
        </w:rPr>
        <w:t> </w:t>
      </w:r>
      <w:r>
        <w:rPr/>
        <w:t>las variables de análisis presentan importantes disminuciones, puntualmente, si bien sus unidades</w:t>
      </w:r>
      <w:r>
        <w:rPr>
          <w:spacing w:val="-9"/>
        </w:rPr>
        <w:t> </w:t>
      </w:r>
      <w:r>
        <w:rPr/>
        <w:t>económicas</w:t>
      </w:r>
      <w:r>
        <w:rPr>
          <w:spacing w:val="-9"/>
        </w:rPr>
        <w:t> </w:t>
      </w:r>
      <w:r>
        <w:rPr/>
        <w:t>se</w:t>
      </w:r>
      <w:r>
        <w:rPr>
          <w:spacing w:val="-10"/>
        </w:rPr>
        <w:t> </w:t>
      </w:r>
      <w:r>
        <w:rPr/>
        <w:t>redujeron</w:t>
      </w:r>
      <w:r>
        <w:rPr>
          <w:spacing w:val="-10"/>
        </w:rPr>
        <w:t> </w:t>
      </w:r>
      <w:r>
        <w:rPr/>
        <w:t>sólo</w:t>
      </w:r>
      <w:r>
        <w:rPr>
          <w:spacing w:val="-9"/>
        </w:rPr>
        <w:t> </w:t>
      </w:r>
      <w:r>
        <w:rPr/>
        <w:t>en</w:t>
      </w:r>
      <w:r>
        <w:rPr>
          <w:spacing w:val="-10"/>
        </w:rPr>
        <w:t> </w:t>
      </w:r>
      <w:r>
        <w:rPr/>
        <w:t>0.5%</w:t>
      </w:r>
      <w:r>
        <w:rPr>
          <w:spacing w:val="-8"/>
        </w:rPr>
        <w:t> </w:t>
      </w:r>
      <w:r>
        <w:rPr/>
        <w:t>y</w:t>
      </w:r>
      <w:r>
        <w:rPr>
          <w:spacing w:val="-14"/>
        </w:rPr>
        <w:t> </w:t>
      </w:r>
      <w:r>
        <w:rPr/>
        <w:t>el</w:t>
      </w:r>
      <w:r>
        <w:rPr>
          <w:spacing w:val="-9"/>
        </w:rPr>
        <w:t> </w:t>
      </w:r>
      <w:r>
        <w:rPr/>
        <w:t>personal</w:t>
      </w:r>
      <w:r>
        <w:rPr>
          <w:spacing w:val="-9"/>
        </w:rPr>
        <w:t> </w:t>
      </w:r>
      <w:r>
        <w:rPr/>
        <w:t>ocupado</w:t>
      </w:r>
      <w:r>
        <w:rPr>
          <w:spacing w:val="-10"/>
        </w:rPr>
        <w:t> </w:t>
      </w:r>
      <w:r>
        <w:rPr/>
        <w:t>en</w:t>
      </w:r>
      <w:r>
        <w:rPr>
          <w:spacing w:val="-10"/>
        </w:rPr>
        <w:t> </w:t>
      </w:r>
      <w:r>
        <w:rPr/>
        <w:t>1.7%,</w:t>
      </w:r>
      <w:r>
        <w:rPr>
          <w:spacing w:val="-10"/>
        </w:rPr>
        <w:t> </w:t>
      </w:r>
      <w:r>
        <w:rPr/>
        <w:t>esto</w:t>
      </w:r>
      <w:r>
        <w:rPr>
          <w:spacing w:val="-9"/>
        </w:rPr>
        <w:t> </w:t>
      </w:r>
      <w:r>
        <w:rPr/>
        <w:t>provocó que la producción bruta total cayera 5.1% y el valor agregado censal bruto en 8.11%. Como </w:t>
      </w:r>
      <w:r>
        <w:rPr>
          <w:spacing w:val="-3"/>
        </w:rPr>
        <w:t>ya </w:t>
      </w:r>
      <w:r>
        <w:rPr/>
        <w:t>se mencionó, este comportamiento se explica porque actualmente en el Distrito Federal se ubican las oficinas corporativas, los centros financieros de empresas automotrices, y en algunos casos cuentan con áreas de investigación y desarrollo (I+D), como es el caso de Chrysler y Ford, así como algunas empresas de autopartes (Carbajal </w:t>
      </w:r>
      <w:r>
        <w:rPr>
          <w:i/>
        </w:rPr>
        <w:t>et al.</w:t>
      </w:r>
      <w:r>
        <w:rPr/>
        <w:t>,</w:t>
      </w:r>
      <w:r>
        <w:rPr>
          <w:spacing w:val="-10"/>
        </w:rPr>
        <w:t> </w:t>
      </w:r>
      <w:r>
        <w:rPr/>
        <w:t>2013).</w:t>
      </w:r>
    </w:p>
    <w:p>
      <w:pPr>
        <w:pStyle w:val="BodyText"/>
        <w:spacing w:before="4"/>
        <w:rPr>
          <w:sz w:val="21"/>
        </w:rPr>
      </w:pPr>
    </w:p>
    <w:p>
      <w:pPr>
        <w:pStyle w:val="BodyText"/>
        <w:spacing w:line="360" w:lineRule="auto" w:before="1"/>
        <w:ind w:left="102" w:right="117"/>
        <w:jc w:val="both"/>
      </w:pPr>
      <w:r>
        <w:rPr/>
        <w:t>El estado de Morelos también ha disminuido su participación, sobretodo en cuanto al valor agregado censal bruto, pues en 1980 la industria automotriz del estado representaba el 28% del total del sector manufacturero de la región, mientras que en 2009 sólo representó el 17.9%,</w:t>
      </w:r>
      <w:r>
        <w:rPr>
          <w:spacing w:val="-4"/>
        </w:rPr>
        <w:t> </w:t>
      </w:r>
      <w:r>
        <w:rPr/>
        <w:t>actualmente</w:t>
      </w:r>
      <w:r>
        <w:rPr>
          <w:spacing w:val="-3"/>
        </w:rPr>
        <w:t> </w:t>
      </w:r>
      <w:r>
        <w:rPr/>
        <w:t>se</w:t>
      </w:r>
      <w:r>
        <w:rPr>
          <w:spacing w:val="-5"/>
        </w:rPr>
        <w:t> </w:t>
      </w:r>
      <w:r>
        <w:rPr/>
        <w:t>ubica</w:t>
      </w:r>
      <w:r>
        <w:rPr>
          <w:spacing w:val="-4"/>
        </w:rPr>
        <w:t> </w:t>
      </w:r>
      <w:r>
        <w:rPr/>
        <w:t>en</w:t>
      </w:r>
      <w:r>
        <w:rPr>
          <w:spacing w:val="-4"/>
        </w:rPr>
        <w:t> </w:t>
      </w:r>
      <w:r>
        <w:rPr/>
        <w:t>el</w:t>
      </w:r>
      <w:r>
        <w:rPr>
          <w:spacing w:val="-1"/>
        </w:rPr>
        <w:t> </w:t>
      </w:r>
      <w:r>
        <w:rPr/>
        <w:t>estado</w:t>
      </w:r>
      <w:r>
        <w:rPr>
          <w:spacing w:val="-4"/>
        </w:rPr>
        <w:t> </w:t>
      </w:r>
      <w:r>
        <w:rPr/>
        <w:t>una</w:t>
      </w:r>
      <w:r>
        <w:rPr>
          <w:spacing w:val="-5"/>
        </w:rPr>
        <w:t> </w:t>
      </w:r>
      <w:r>
        <w:rPr/>
        <w:t>planta</w:t>
      </w:r>
      <w:r>
        <w:rPr>
          <w:spacing w:val="-5"/>
        </w:rPr>
        <w:t> </w:t>
      </w:r>
      <w:r>
        <w:rPr/>
        <w:t>armadora</w:t>
      </w:r>
      <w:r>
        <w:rPr>
          <w:spacing w:val="-6"/>
        </w:rPr>
        <w:t> </w:t>
      </w:r>
      <w:r>
        <w:rPr/>
        <w:t>de</w:t>
      </w:r>
      <w:r>
        <w:rPr>
          <w:spacing w:val="-2"/>
        </w:rPr>
        <w:t> </w:t>
      </w:r>
      <w:r>
        <w:rPr/>
        <w:t>Nissan,</w:t>
      </w:r>
      <w:r>
        <w:rPr>
          <w:spacing w:val="-4"/>
        </w:rPr>
        <w:t> </w:t>
      </w:r>
      <w:r>
        <w:rPr/>
        <w:t>donde</w:t>
      </w:r>
      <w:r>
        <w:rPr>
          <w:spacing w:val="-5"/>
        </w:rPr>
        <w:t> </w:t>
      </w:r>
      <w:r>
        <w:rPr/>
        <w:t>se</w:t>
      </w:r>
      <w:r>
        <w:rPr>
          <w:spacing w:val="-5"/>
        </w:rPr>
        <w:t> </w:t>
      </w:r>
      <w:r>
        <w:rPr/>
        <w:t>producen vehículos como Tsuru, Tiida, Versa, Frontier L4, etc. (véase cuadro</w:t>
      </w:r>
      <w:r>
        <w:rPr>
          <w:spacing w:val="-12"/>
        </w:rPr>
        <w:t> </w:t>
      </w:r>
      <w:r>
        <w:rPr/>
        <w:t>4.5).</w:t>
      </w:r>
    </w:p>
    <w:p>
      <w:pPr>
        <w:pStyle w:val="BodyText"/>
        <w:spacing w:before="2"/>
        <w:rPr>
          <w:sz w:val="21"/>
        </w:rPr>
      </w:pPr>
    </w:p>
    <w:p>
      <w:pPr>
        <w:pStyle w:val="BodyText"/>
        <w:spacing w:line="360" w:lineRule="auto" w:before="1"/>
        <w:ind w:left="102" w:right="114"/>
        <w:jc w:val="both"/>
      </w:pPr>
      <w:r>
        <w:rPr/>
        <w:t>La pérdida de dinamismo que ha mostrado el Estado de México, ha sido menor que la observada en el D.F. y Morelos, pues si bien, en prácticamente todas la variables analizadas presenta una reducción, en la variable de valor agregado censal bruto, presenta un ligero avance, creciendo apenas un 0.4% (véase cuadro 4.5). En este sentido, es importante mencionar que en el Estado de México, hoy en día la entidad alberga en su territorio 9 armadoras</w:t>
      </w:r>
      <w:r>
        <w:rPr>
          <w:spacing w:val="-8"/>
        </w:rPr>
        <w:t> </w:t>
      </w:r>
      <w:r>
        <w:rPr/>
        <w:t>(GM,</w:t>
      </w:r>
      <w:r>
        <w:rPr>
          <w:spacing w:val="-8"/>
        </w:rPr>
        <w:t> </w:t>
      </w:r>
      <w:r>
        <w:rPr/>
        <w:t>Chrysler,</w:t>
      </w:r>
      <w:r>
        <w:rPr>
          <w:spacing w:val="-9"/>
        </w:rPr>
        <w:t> </w:t>
      </w:r>
      <w:r>
        <w:rPr/>
        <w:t>Volvo,</w:t>
      </w:r>
      <w:r>
        <w:rPr>
          <w:spacing w:val="-9"/>
        </w:rPr>
        <w:t> </w:t>
      </w:r>
      <w:r>
        <w:rPr/>
        <w:t>Daimler,</w:t>
      </w:r>
      <w:r>
        <w:rPr>
          <w:spacing w:val="-9"/>
        </w:rPr>
        <w:t> </w:t>
      </w:r>
      <w:r>
        <w:rPr/>
        <w:t>Nissan,</w:t>
      </w:r>
      <w:r>
        <w:rPr>
          <w:spacing w:val="-9"/>
        </w:rPr>
        <w:t> </w:t>
      </w:r>
      <w:r>
        <w:rPr/>
        <w:t>BMW,</w:t>
      </w:r>
      <w:r>
        <w:rPr>
          <w:spacing w:val="-9"/>
        </w:rPr>
        <w:t> </w:t>
      </w:r>
      <w:r>
        <w:rPr/>
        <w:t>Ford,</w:t>
      </w:r>
      <w:r>
        <w:rPr>
          <w:spacing w:val="-12"/>
        </w:rPr>
        <w:t> </w:t>
      </w:r>
      <w:r>
        <w:rPr/>
        <w:t>Peugeot</w:t>
      </w:r>
      <w:r>
        <w:rPr>
          <w:spacing w:val="-8"/>
        </w:rPr>
        <w:t> </w:t>
      </w:r>
      <w:r>
        <w:rPr/>
        <w:t>y</w:t>
      </w:r>
      <w:r>
        <w:rPr>
          <w:spacing w:val="-11"/>
        </w:rPr>
        <w:t> </w:t>
      </w:r>
      <w:r>
        <w:rPr/>
        <w:t>Autos</w:t>
      </w:r>
      <w:r>
        <w:rPr>
          <w:spacing w:val="-8"/>
        </w:rPr>
        <w:t> </w:t>
      </w:r>
      <w:r>
        <w:rPr/>
        <w:t>Mastretta) siendo uno de los estados con mayor concentración de ensambladoras a nivel nacional y cuenta con 243 empresas proveedoras fabricantes de carrocerías y remolques, partes y componentes; y productos de hule, distribuidas en los principales municipios (AMIA, 2015 e INEGI,</w:t>
      </w:r>
      <w:r>
        <w:rPr>
          <w:spacing w:val="-6"/>
        </w:rPr>
        <w:t> </w:t>
      </w:r>
      <w:r>
        <w:rPr/>
        <w:t>2009).</w:t>
      </w:r>
    </w:p>
    <w:p>
      <w:pPr>
        <w:pStyle w:val="BodyText"/>
        <w:spacing w:before="2"/>
        <w:rPr>
          <w:sz w:val="21"/>
        </w:rPr>
      </w:pPr>
    </w:p>
    <w:p>
      <w:pPr>
        <w:pStyle w:val="BodyText"/>
        <w:spacing w:line="360" w:lineRule="auto"/>
        <w:ind w:left="102" w:right="117"/>
        <w:jc w:val="both"/>
      </w:pPr>
      <w:r>
        <w:rPr/>
        <w:t>El caso más destacado de la región es el del estado de Puebla, </w:t>
      </w:r>
      <w:r>
        <w:rPr>
          <w:spacing w:val="-3"/>
        </w:rPr>
        <w:t>ya </w:t>
      </w:r>
      <w:r>
        <w:rPr/>
        <w:t>que al igual que en</w:t>
      </w:r>
      <w:r>
        <w:rPr>
          <w:spacing w:val="-38"/>
        </w:rPr>
        <w:t> </w:t>
      </w:r>
      <w:r>
        <w:rPr/>
        <w:t>análisis anteriores es el que muestra una mayor importancia dentro del sector manufacturero a nivel local, pues su participación porcentual, pese a que sus unidades económicas se han visto reducidas, muestran incrementos muy importantes. Al respecto la producción total bruta creció en un 21.2%, el valor agregado censal bruto lo hizo en 18.5%, y el personal ocupado en</w:t>
      </w:r>
      <w:r>
        <w:rPr>
          <w:spacing w:val="37"/>
        </w:rPr>
        <w:t> </w:t>
      </w:r>
      <w:r>
        <w:rPr/>
        <w:t>1.9%</w:t>
      </w:r>
      <w:r>
        <w:rPr>
          <w:spacing w:val="36"/>
        </w:rPr>
        <w:t> </w:t>
      </w:r>
      <w:r>
        <w:rPr/>
        <w:t>(véase</w:t>
      </w:r>
      <w:r>
        <w:rPr>
          <w:spacing w:val="38"/>
        </w:rPr>
        <w:t> </w:t>
      </w:r>
      <w:r>
        <w:rPr/>
        <w:t>cuadro</w:t>
      </w:r>
      <w:r>
        <w:rPr>
          <w:spacing w:val="38"/>
        </w:rPr>
        <w:t> </w:t>
      </w:r>
      <w:r>
        <w:rPr/>
        <w:t>4.5).</w:t>
      </w:r>
      <w:r>
        <w:rPr>
          <w:spacing w:val="39"/>
        </w:rPr>
        <w:t> </w:t>
      </w:r>
      <w:r>
        <w:rPr/>
        <w:t>La</w:t>
      </w:r>
      <w:r>
        <w:rPr>
          <w:spacing w:val="36"/>
        </w:rPr>
        <w:t> </w:t>
      </w:r>
      <w:r>
        <w:rPr/>
        <w:t>presencia</w:t>
      </w:r>
      <w:r>
        <w:rPr>
          <w:spacing w:val="36"/>
        </w:rPr>
        <w:t> </w:t>
      </w:r>
      <w:r>
        <w:rPr/>
        <w:t>de</w:t>
      </w:r>
      <w:r>
        <w:rPr>
          <w:spacing w:val="36"/>
        </w:rPr>
        <w:t> </w:t>
      </w:r>
      <w:r>
        <w:rPr/>
        <w:t>la</w:t>
      </w:r>
      <w:r>
        <w:rPr>
          <w:spacing w:val="38"/>
        </w:rPr>
        <w:t> </w:t>
      </w:r>
      <w:r>
        <w:rPr/>
        <w:t>planta</w:t>
      </w:r>
      <w:r>
        <w:rPr>
          <w:spacing w:val="36"/>
        </w:rPr>
        <w:t> </w:t>
      </w:r>
      <w:r>
        <w:rPr/>
        <w:t>de</w:t>
      </w:r>
      <w:r>
        <w:rPr>
          <w:spacing w:val="36"/>
        </w:rPr>
        <w:t> </w:t>
      </w:r>
      <w:r>
        <w:rPr/>
        <w:t>Volkswagen</w:t>
      </w:r>
      <w:r>
        <w:rPr>
          <w:spacing w:val="39"/>
        </w:rPr>
        <w:t> </w:t>
      </w:r>
      <w:r>
        <w:rPr/>
        <w:t>ha</w:t>
      </w:r>
      <w:r>
        <w:rPr>
          <w:spacing w:val="36"/>
        </w:rPr>
        <w:t> </w:t>
      </w:r>
      <w:r>
        <w:rPr/>
        <w:t>generado</w:t>
      </w:r>
      <w:r>
        <w:rPr>
          <w:spacing w:val="37"/>
        </w:rPr>
        <w:t> </w:t>
      </w:r>
      <w:r>
        <w:rPr/>
        <w:t>una</w:t>
      </w:r>
    </w:p>
    <w:p>
      <w:pPr>
        <w:spacing w:after="0" w:line="360" w:lineRule="auto"/>
        <w:jc w:val="both"/>
        <w:sectPr>
          <w:footerReference w:type="default" r:id="rId63"/>
          <w:pgSz w:w="12240" w:h="15840"/>
          <w:pgMar w:footer="1035" w:header="0" w:top="1360" w:bottom="1220" w:left="1600" w:right="1580"/>
          <w:pgNumType w:start="97"/>
        </w:sectPr>
      </w:pPr>
    </w:p>
    <w:p>
      <w:pPr>
        <w:pStyle w:val="BodyText"/>
        <w:spacing w:line="360" w:lineRule="auto" w:before="50"/>
        <w:ind w:left="102" w:right="121"/>
        <w:jc w:val="both"/>
      </w:pPr>
      <w:r>
        <w:rPr/>
        <w:t>dinámica</w:t>
      </w:r>
      <w:r>
        <w:rPr>
          <w:spacing w:val="-6"/>
        </w:rPr>
        <w:t> </w:t>
      </w:r>
      <w:r>
        <w:rPr/>
        <w:t>positiva</w:t>
      </w:r>
      <w:r>
        <w:rPr>
          <w:spacing w:val="-6"/>
        </w:rPr>
        <w:t> </w:t>
      </w:r>
      <w:r>
        <w:rPr/>
        <w:t>en</w:t>
      </w:r>
      <w:r>
        <w:rPr>
          <w:spacing w:val="-5"/>
        </w:rPr>
        <w:t> </w:t>
      </w:r>
      <w:r>
        <w:rPr/>
        <w:t>la</w:t>
      </w:r>
      <w:r>
        <w:rPr>
          <w:spacing w:val="-5"/>
        </w:rPr>
        <w:t> </w:t>
      </w:r>
      <w:r>
        <w:rPr/>
        <w:t>actividad</w:t>
      </w:r>
      <w:r>
        <w:rPr>
          <w:spacing w:val="-5"/>
        </w:rPr>
        <w:t> </w:t>
      </w:r>
      <w:r>
        <w:rPr/>
        <w:t>económica</w:t>
      </w:r>
      <w:r>
        <w:rPr>
          <w:spacing w:val="-6"/>
        </w:rPr>
        <w:t> </w:t>
      </w:r>
      <w:r>
        <w:rPr/>
        <w:t>de</w:t>
      </w:r>
      <w:r>
        <w:rPr>
          <w:spacing w:val="-6"/>
        </w:rPr>
        <w:t> </w:t>
      </w:r>
      <w:r>
        <w:rPr/>
        <w:t>la</w:t>
      </w:r>
      <w:r>
        <w:rPr>
          <w:spacing w:val="-2"/>
        </w:rPr>
        <w:t> </w:t>
      </w:r>
      <w:r>
        <w:rPr/>
        <w:t>región,</w:t>
      </w:r>
      <w:r>
        <w:rPr>
          <w:spacing w:val="-4"/>
        </w:rPr>
        <w:t> </w:t>
      </w:r>
      <w:r>
        <w:rPr/>
        <w:t>de</w:t>
      </w:r>
      <w:r>
        <w:rPr>
          <w:spacing w:val="-6"/>
        </w:rPr>
        <w:t> </w:t>
      </w:r>
      <w:r>
        <w:rPr/>
        <w:t>acuerdo</w:t>
      </w:r>
      <w:r>
        <w:rPr>
          <w:spacing w:val="-6"/>
        </w:rPr>
        <w:t> </w:t>
      </w:r>
      <w:r>
        <w:rPr/>
        <w:t>con</w:t>
      </w:r>
      <w:r>
        <w:rPr>
          <w:spacing w:val="-5"/>
        </w:rPr>
        <w:t> </w:t>
      </w:r>
      <w:r>
        <w:rPr/>
        <w:t>datos</w:t>
      </w:r>
      <w:r>
        <w:rPr>
          <w:spacing w:val="-4"/>
        </w:rPr>
        <w:t> </w:t>
      </w:r>
      <w:r>
        <w:rPr/>
        <w:t>de</w:t>
      </w:r>
      <w:r>
        <w:rPr>
          <w:spacing w:val="-3"/>
        </w:rPr>
        <w:t> </w:t>
      </w:r>
      <w:r>
        <w:rPr/>
        <w:t>INEGI,</w:t>
      </w:r>
      <w:r>
        <w:rPr>
          <w:spacing w:val="-5"/>
        </w:rPr>
        <w:t> </w:t>
      </w:r>
      <w:r>
        <w:rPr/>
        <w:t>al 2013, el sector automotriz de Puebla aportaba el 27% del PIB total de la</w:t>
      </w:r>
      <w:r>
        <w:rPr>
          <w:spacing w:val="-15"/>
        </w:rPr>
        <w:t> </w:t>
      </w:r>
      <w:r>
        <w:rPr/>
        <w:t>entidad.</w:t>
      </w:r>
    </w:p>
    <w:p>
      <w:pPr>
        <w:pStyle w:val="BodyText"/>
        <w:spacing w:before="2"/>
        <w:rPr>
          <w:sz w:val="21"/>
        </w:rPr>
      </w:pPr>
    </w:p>
    <w:p>
      <w:pPr>
        <w:pStyle w:val="BodyText"/>
        <w:spacing w:line="360" w:lineRule="auto"/>
        <w:ind w:left="102" w:right="117"/>
        <w:jc w:val="both"/>
      </w:pPr>
      <w:r>
        <w:rPr/>
        <w:t>Además, dicha planta es, de acuerdo con su volumen de producción, el complejo</w:t>
      </w:r>
      <w:r>
        <w:rPr>
          <w:spacing w:val="-21"/>
        </w:rPr>
        <w:t> </w:t>
      </w:r>
      <w:r>
        <w:rPr/>
        <w:t>automotriz más grande en Norteamérica, </w:t>
      </w:r>
      <w:r>
        <w:rPr>
          <w:spacing w:val="-3"/>
        </w:rPr>
        <w:t>y, </w:t>
      </w:r>
      <w:r>
        <w:rPr/>
        <w:t>es la segunda más grande para la empresa Volkswagen, actualmente en ella se producen autos como el Beetle, Clásico, Clásico TDI, Jetta y</w:t>
      </w:r>
      <w:r>
        <w:rPr>
          <w:spacing w:val="-19"/>
        </w:rPr>
        <w:t> </w:t>
      </w:r>
      <w:r>
        <w:rPr/>
        <w:t>Golf.</w:t>
      </w:r>
    </w:p>
    <w:p>
      <w:pPr>
        <w:pStyle w:val="BodyText"/>
        <w:spacing w:before="9"/>
        <w:rPr>
          <w:sz w:val="21"/>
        </w:rPr>
      </w:pPr>
    </w:p>
    <w:p>
      <w:pPr>
        <w:pStyle w:val="Heading1"/>
        <w:spacing w:line="360" w:lineRule="auto" w:after="5"/>
        <w:ind w:left="117" w:right="132"/>
        <w:jc w:val="center"/>
      </w:pPr>
      <w:r>
        <w:rPr/>
        <w:t>Cuadro 4.5.Participación porcentual de la industria automotriz de la Región Centro, en el total de la manufactura regional y por entidad federativa, 1980 y 2008 (principales características)</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63"/>
        <w:gridCol w:w="860"/>
        <w:gridCol w:w="857"/>
        <w:gridCol w:w="905"/>
        <w:gridCol w:w="902"/>
        <w:gridCol w:w="1049"/>
        <w:gridCol w:w="1047"/>
        <w:gridCol w:w="773"/>
        <w:gridCol w:w="773"/>
      </w:tblGrid>
      <w:tr>
        <w:trPr>
          <w:trHeight w:val="539" w:hRule="exact"/>
        </w:trPr>
        <w:tc>
          <w:tcPr>
            <w:tcW w:w="1663" w:type="dxa"/>
            <w:tcBorders>
              <w:bottom w:val="single" w:sz="17" w:space="0" w:color="E1EED9"/>
            </w:tcBorders>
            <w:shd w:val="clear" w:color="auto" w:fill="A6A6A6"/>
          </w:tcPr>
          <w:p>
            <w:pPr/>
          </w:p>
        </w:tc>
        <w:tc>
          <w:tcPr>
            <w:tcW w:w="1717" w:type="dxa"/>
            <w:gridSpan w:val="2"/>
            <w:tcBorders>
              <w:bottom w:val="single" w:sz="18" w:space="0" w:color="E1EED9"/>
            </w:tcBorders>
            <w:shd w:val="clear" w:color="auto" w:fill="A6A6A6"/>
          </w:tcPr>
          <w:p>
            <w:pPr>
              <w:pStyle w:val="TableParagraph"/>
              <w:spacing w:line="254" w:lineRule="auto" w:before="10"/>
              <w:ind w:left="341" w:firstLine="112"/>
              <w:jc w:val="left"/>
              <w:rPr>
                <w:b/>
                <w:sz w:val="20"/>
              </w:rPr>
            </w:pPr>
            <w:r>
              <w:rPr>
                <w:b/>
                <w:sz w:val="20"/>
              </w:rPr>
              <w:t>Unidades </w:t>
            </w:r>
            <w:r>
              <w:rPr>
                <w:b/>
                <w:w w:val="95"/>
                <w:sz w:val="20"/>
              </w:rPr>
              <w:t>Económicas</w:t>
            </w:r>
          </w:p>
        </w:tc>
        <w:tc>
          <w:tcPr>
            <w:tcW w:w="1808" w:type="dxa"/>
            <w:gridSpan w:val="2"/>
            <w:tcBorders>
              <w:bottom w:val="single" w:sz="18" w:space="0" w:color="E1EED9"/>
            </w:tcBorders>
            <w:shd w:val="clear" w:color="auto" w:fill="A6A6A6"/>
          </w:tcPr>
          <w:p>
            <w:pPr>
              <w:pStyle w:val="TableParagraph"/>
              <w:spacing w:line="254" w:lineRule="auto" w:before="10"/>
              <w:ind w:left="669" w:right="117" w:hanging="536"/>
              <w:jc w:val="left"/>
              <w:rPr>
                <w:b/>
                <w:sz w:val="20"/>
              </w:rPr>
            </w:pPr>
            <w:r>
              <w:rPr>
                <w:b/>
                <w:sz w:val="20"/>
              </w:rPr>
              <w:t>Producción Bruta Total</w:t>
            </w:r>
          </w:p>
        </w:tc>
        <w:tc>
          <w:tcPr>
            <w:tcW w:w="2096" w:type="dxa"/>
            <w:gridSpan w:val="2"/>
            <w:tcBorders>
              <w:bottom w:val="single" w:sz="18" w:space="0" w:color="E1EED9"/>
            </w:tcBorders>
            <w:shd w:val="clear" w:color="auto" w:fill="A6A6A6"/>
          </w:tcPr>
          <w:p>
            <w:pPr>
              <w:pStyle w:val="TableParagraph"/>
              <w:spacing w:line="254" w:lineRule="auto" w:before="10"/>
              <w:ind w:left="477" w:right="340" w:hanging="123"/>
              <w:jc w:val="left"/>
              <w:rPr>
                <w:b/>
                <w:sz w:val="20"/>
              </w:rPr>
            </w:pPr>
            <w:r>
              <w:rPr>
                <w:b/>
                <w:sz w:val="20"/>
              </w:rPr>
              <w:t>Valor Agregado Censal Bruto</w:t>
            </w:r>
          </w:p>
        </w:tc>
        <w:tc>
          <w:tcPr>
            <w:tcW w:w="1546" w:type="dxa"/>
            <w:gridSpan w:val="2"/>
            <w:tcBorders>
              <w:bottom w:val="single" w:sz="18" w:space="0" w:color="E1EED9"/>
            </w:tcBorders>
            <w:shd w:val="clear" w:color="auto" w:fill="A6A6A6"/>
          </w:tcPr>
          <w:p>
            <w:pPr>
              <w:pStyle w:val="TableParagraph"/>
              <w:spacing w:line="254" w:lineRule="auto" w:before="10"/>
              <w:ind w:left="379" w:right="377" w:firstLine="16"/>
              <w:jc w:val="left"/>
              <w:rPr>
                <w:b/>
                <w:sz w:val="20"/>
              </w:rPr>
            </w:pPr>
            <w:r>
              <w:rPr>
                <w:b/>
                <w:sz w:val="20"/>
              </w:rPr>
              <w:t>Personal </w:t>
            </w:r>
            <w:r>
              <w:rPr>
                <w:b/>
                <w:w w:val="95"/>
                <w:sz w:val="20"/>
              </w:rPr>
              <w:t>Ocupado</w:t>
            </w:r>
          </w:p>
        </w:tc>
      </w:tr>
      <w:tr>
        <w:trPr>
          <w:trHeight w:val="289" w:hRule="exact"/>
        </w:trPr>
        <w:tc>
          <w:tcPr>
            <w:tcW w:w="1663" w:type="dxa"/>
            <w:shd w:val="clear" w:color="auto" w:fill="E1EED9"/>
          </w:tcPr>
          <w:p>
            <w:pPr/>
          </w:p>
        </w:tc>
        <w:tc>
          <w:tcPr>
            <w:tcW w:w="860" w:type="dxa"/>
            <w:shd w:val="clear" w:color="auto" w:fill="E1EED9"/>
          </w:tcPr>
          <w:p>
            <w:pPr>
              <w:pStyle w:val="TableParagraph"/>
              <w:spacing w:before="16"/>
              <w:ind w:right="223"/>
              <w:jc w:val="right"/>
              <w:rPr>
                <w:b/>
                <w:sz w:val="20"/>
              </w:rPr>
            </w:pPr>
            <w:r>
              <w:rPr>
                <w:b/>
                <w:sz w:val="20"/>
              </w:rPr>
              <w:t>1980</w:t>
            </w:r>
          </w:p>
        </w:tc>
        <w:tc>
          <w:tcPr>
            <w:tcW w:w="857" w:type="dxa"/>
            <w:shd w:val="clear" w:color="auto" w:fill="E1EED9"/>
          </w:tcPr>
          <w:p>
            <w:pPr>
              <w:pStyle w:val="TableParagraph"/>
              <w:spacing w:before="16"/>
              <w:ind w:left="203" w:right="203"/>
              <w:rPr>
                <w:b/>
                <w:sz w:val="20"/>
              </w:rPr>
            </w:pPr>
            <w:r>
              <w:rPr>
                <w:b/>
                <w:sz w:val="20"/>
              </w:rPr>
              <w:t>2008</w:t>
            </w:r>
          </w:p>
        </w:tc>
        <w:tc>
          <w:tcPr>
            <w:tcW w:w="905" w:type="dxa"/>
            <w:shd w:val="clear" w:color="auto" w:fill="E1EED9"/>
          </w:tcPr>
          <w:p>
            <w:pPr>
              <w:pStyle w:val="TableParagraph"/>
              <w:spacing w:before="16"/>
              <w:ind w:left="244"/>
              <w:jc w:val="left"/>
              <w:rPr>
                <w:b/>
                <w:sz w:val="20"/>
              </w:rPr>
            </w:pPr>
            <w:r>
              <w:rPr>
                <w:b/>
                <w:sz w:val="20"/>
              </w:rPr>
              <w:t>1980</w:t>
            </w:r>
          </w:p>
        </w:tc>
        <w:tc>
          <w:tcPr>
            <w:tcW w:w="902" w:type="dxa"/>
            <w:shd w:val="clear" w:color="auto" w:fill="E1EED9"/>
          </w:tcPr>
          <w:p>
            <w:pPr>
              <w:pStyle w:val="TableParagraph"/>
              <w:spacing w:before="16"/>
              <w:ind w:left="225" w:right="227"/>
              <w:rPr>
                <w:b/>
                <w:sz w:val="20"/>
              </w:rPr>
            </w:pPr>
            <w:r>
              <w:rPr>
                <w:b/>
                <w:sz w:val="20"/>
              </w:rPr>
              <w:t>2008</w:t>
            </w:r>
          </w:p>
        </w:tc>
        <w:tc>
          <w:tcPr>
            <w:tcW w:w="1049" w:type="dxa"/>
            <w:shd w:val="clear" w:color="auto" w:fill="E1EED9"/>
          </w:tcPr>
          <w:p>
            <w:pPr>
              <w:pStyle w:val="TableParagraph"/>
              <w:spacing w:before="16"/>
              <w:ind w:left="300" w:right="298"/>
              <w:rPr>
                <w:b/>
                <w:sz w:val="20"/>
              </w:rPr>
            </w:pPr>
            <w:r>
              <w:rPr>
                <w:b/>
                <w:sz w:val="20"/>
              </w:rPr>
              <w:t>1980</w:t>
            </w:r>
          </w:p>
        </w:tc>
        <w:tc>
          <w:tcPr>
            <w:tcW w:w="1047" w:type="dxa"/>
            <w:shd w:val="clear" w:color="auto" w:fill="E1EED9"/>
          </w:tcPr>
          <w:p>
            <w:pPr>
              <w:pStyle w:val="TableParagraph"/>
              <w:spacing w:before="16"/>
              <w:ind w:left="298" w:right="298"/>
              <w:rPr>
                <w:b/>
                <w:sz w:val="20"/>
              </w:rPr>
            </w:pPr>
            <w:r>
              <w:rPr>
                <w:b/>
                <w:sz w:val="20"/>
              </w:rPr>
              <w:t>2008</w:t>
            </w:r>
          </w:p>
        </w:tc>
        <w:tc>
          <w:tcPr>
            <w:tcW w:w="773" w:type="dxa"/>
            <w:shd w:val="clear" w:color="auto" w:fill="E1EED9"/>
          </w:tcPr>
          <w:p>
            <w:pPr>
              <w:pStyle w:val="TableParagraph"/>
              <w:spacing w:before="16"/>
              <w:ind w:left="98" w:right="98"/>
              <w:rPr>
                <w:b/>
                <w:sz w:val="20"/>
              </w:rPr>
            </w:pPr>
            <w:r>
              <w:rPr>
                <w:b/>
                <w:sz w:val="20"/>
              </w:rPr>
              <w:t>1980</w:t>
            </w:r>
          </w:p>
        </w:tc>
        <w:tc>
          <w:tcPr>
            <w:tcW w:w="773" w:type="dxa"/>
            <w:shd w:val="clear" w:color="auto" w:fill="E1EED9"/>
          </w:tcPr>
          <w:p>
            <w:pPr>
              <w:pStyle w:val="TableParagraph"/>
              <w:spacing w:before="16"/>
              <w:ind w:right="178"/>
              <w:jc w:val="right"/>
              <w:rPr>
                <w:b/>
                <w:sz w:val="20"/>
              </w:rPr>
            </w:pPr>
            <w:r>
              <w:rPr>
                <w:b/>
                <w:sz w:val="20"/>
              </w:rPr>
              <w:t>2008</w:t>
            </w:r>
          </w:p>
        </w:tc>
      </w:tr>
      <w:tr>
        <w:trPr>
          <w:trHeight w:val="325" w:hRule="exact"/>
        </w:trPr>
        <w:tc>
          <w:tcPr>
            <w:tcW w:w="1663" w:type="dxa"/>
            <w:tcBorders>
              <w:top w:val="single" w:sz="16" w:space="0" w:color="E1EED9"/>
            </w:tcBorders>
            <w:shd w:val="clear" w:color="auto" w:fill="D9D9D9"/>
          </w:tcPr>
          <w:p>
            <w:pPr>
              <w:pStyle w:val="TableParagraph"/>
              <w:spacing w:before="35"/>
              <w:ind w:left="103"/>
              <w:jc w:val="left"/>
              <w:rPr>
                <w:b/>
                <w:sz w:val="20"/>
              </w:rPr>
            </w:pPr>
            <w:r>
              <w:rPr>
                <w:b/>
                <w:sz w:val="20"/>
              </w:rPr>
              <w:t>Región Centro</w:t>
            </w:r>
          </w:p>
        </w:tc>
        <w:tc>
          <w:tcPr>
            <w:tcW w:w="860" w:type="dxa"/>
            <w:tcBorders>
              <w:top w:val="single" w:sz="14" w:space="0" w:color="E1EED9"/>
            </w:tcBorders>
            <w:shd w:val="clear" w:color="auto" w:fill="D9D9D9"/>
          </w:tcPr>
          <w:p>
            <w:pPr>
              <w:pStyle w:val="TableParagraph"/>
              <w:spacing w:before="33"/>
              <w:ind w:right="299"/>
              <w:jc w:val="right"/>
              <w:rPr>
                <w:sz w:val="20"/>
              </w:rPr>
            </w:pPr>
            <w:r>
              <w:rPr>
                <w:sz w:val="20"/>
              </w:rPr>
              <w:t>0.9</w:t>
            </w:r>
          </w:p>
        </w:tc>
        <w:tc>
          <w:tcPr>
            <w:tcW w:w="857" w:type="dxa"/>
            <w:tcBorders>
              <w:top w:val="single" w:sz="14" w:space="0" w:color="E1EED9"/>
            </w:tcBorders>
            <w:shd w:val="clear" w:color="auto" w:fill="D9D9D9"/>
          </w:tcPr>
          <w:p>
            <w:pPr>
              <w:pStyle w:val="TableParagraph"/>
              <w:spacing w:before="33"/>
              <w:ind w:left="202" w:right="203"/>
              <w:rPr>
                <w:sz w:val="20"/>
              </w:rPr>
            </w:pPr>
            <w:r>
              <w:rPr>
                <w:sz w:val="20"/>
              </w:rPr>
              <w:t>0.4</w:t>
            </w:r>
          </w:p>
        </w:tc>
        <w:tc>
          <w:tcPr>
            <w:tcW w:w="905" w:type="dxa"/>
            <w:tcBorders>
              <w:top w:val="single" w:sz="14" w:space="0" w:color="E1EED9"/>
            </w:tcBorders>
            <w:shd w:val="clear" w:color="auto" w:fill="D9D9D9"/>
          </w:tcPr>
          <w:p>
            <w:pPr>
              <w:pStyle w:val="TableParagraph"/>
              <w:spacing w:before="33"/>
              <w:ind w:left="271"/>
              <w:jc w:val="left"/>
              <w:rPr>
                <w:sz w:val="20"/>
              </w:rPr>
            </w:pPr>
            <w:r>
              <w:rPr>
                <w:sz w:val="20"/>
              </w:rPr>
              <w:t>14.1</w:t>
            </w:r>
          </w:p>
        </w:tc>
        <w:tc>
          <w:tcPr>
            <w:tcW w:w="902" w:type="dxa"/>
            <w:tcBorders>
              <w:top w:val="single" w:sz="14" w:space="0" w:color="E1EED9"/>
            </w:tcBorders>
            <w:shd w:val="clear" w:color="auto" w:fill="D9D9D9"/>
          </w:tcPr>
          <w:p>
            <w:pPr>
              <w:pStyle w:val="TableParagraph"/>
              <w:spacing w:before="33"/>
              <w:ind w:left="225" w:right="227"/>
              <w:rPr>
                <w:sz w:val="20"/>
              </w:rPr>
            </w:pPr>
            <w:r>
              <w:rPr>
                <w:sz w:val="20"/>
              </w:rPr>
              <w:t>19.6</w:t>
            </w:r>
          </w:p>
        </w:tc>
        <w:tc>
          <w:tcPr>
            <w:tcW w:w="1049" w:type="dxa"/>
            <w:tcBorders>
              <w:top w:val="single" w:sz="14" w:space="0" w:color="E1EED9"/>
            </w:tcBorders>
            <w:shd w:val="clear" w:color="auto" w:fill="D9D9D9"/>
          </w:tcPr>
          <w:p>
            <w:pPr>
              <w:pStyle w:val="TableParagraph"/>
              <w:spacing w:before="33"/>
              <w:ind w:left="300" w:right="298"/>
              <w:rPr>
                <w:sz w:val="20"/>
              </w:rPr>
            </w:pPr>
            <w:r>
              <w:rPr>
                <w:sz w:val="20"/>
              </w:rPr>
              <w:t>13</w:t>
            </w:r>
          </w:p>
        </w:tc>
        <w:tc>
          <w:tcPr>
            <w:tcW w:w="1047" w:type="dxa"/>
            <w:tcBorders>
              <w:top w:val="single" w:sz="14" w:space="0" w:color="E1EED9"/>
            </w:tcBorders>
            <w:shd w:val="clear" w:color="auto" w:fill="D9D9D9"/>
          </w:tcPr>
          <w:p>
            <w:pPr>
              <w:pStyle w:val="TableParagraph"/>
              <w:spacing w:before="33"/>
              <w:ind w:left="297" w:right="298"/>
              <w:rPr>
                <w:sz w:val="20"/>
              </w:rPr>
            </w:pPr>
            <w:r>
              <w:rPr>
                <w:sz w:val="20"/>
              </w:rPr>
              <w:t>14.1</w:t>
            </w:r>
          </w:p>
        </w:tc>
        <w:tc>
          <w:tcPr>
            <w:tcW w:w="773" w:type="dxa"/>
            <w:tcBorders>
              <w:top w:val="single" w:sz="14" w:space="0" w:color="E1EED9"/>
            </w:tcBorders>
            <w:shd w:val="clear" w:color="auto" w:fill="D9D9D9"/>
          </w:tcPr>
          <w:p>
            <w:pPr>
              <w:pStyle w:val="TableParagraph"/>
              <w:spacing w:before="33"/>
              <w:ind w:left="98" w:right="98"/>
              <w:rPr>
                <w:sz w:val="20"/>
              </w:rPr>
            </w:pPr>
            <w:r>
              <w:rPr>
                <w:sz w:val="20"/>
              </w:rPr>
              <w:t>7.2</w:t>
            </w:r>
          </w:p>
        </w:tc>
        <w:tc>
          <w:tcPr>
            <w:tcW w:w="773" w:type="dxa"/>
            <w:tcBorders>
              <w:top w:val="single" w:sz="14" w:space="0" w:color="E1EED9"/>
            </w:tcBorders>
            <w:shd w:val="clear" w:color="auto" w:fill="D9D9D9"/>
          </w:tcPr>
          <w:p>
            <w:pPr>
              <w:pStyle w:val="TableParagraph"/>
              <w:spacing w:before="33"/>
              <w:ind w:right="1"/>
              <w:rPr>
                <w:sz w:val="20"/>
              </w:rPr>
            </w:pPr>
            <w:r>
              <w:rPr>
                <w:w w:val="99"/>
                <w:sz w:val="20"/>
              </w:rPr>
              <w:t>8</w:t>
            </w:r>
          </w:p>
        </w:tc>
      </w:tr>
      <w:tr>
        <w:trPr>
          <w:trHeight w:val="342" w:hRule="exact"/>
        </w:trPr>
        <w:tc>
          <w:tcPr>
            <w:tcW w:w="1663" w:type="dxa"/>
            <w:tcBorders>
              <w:top w:val="single" w:sz="14" w:space="0" w:color="D9D9D9"/>
            </w:tcBorders>
          </w:tcPr>
          <w:p>
            <w:pPr>
              <w:pStyle w:val="TableParagraph"/>
              <w:spacing w:before="34"/>
              <w:ind w:left="103"/>
              <w:jc w:val="left"/>
              <w:rPr>
                <w:sz w:val="20"/>
              </w:rPr>
            </w:pPr>
            <w:r>
              <w:rPr>
                <w:sz w:val="20"/>
              </w:rPr>
              <w:t>Distrito Federal</w:t>
            </w:r>
          </w:p>
        </w:tc>
        <w:tc>
          <w:tcPr>
            <w:tcW w:w="860" w:type="dxa"/>
            <w:tcBorders>
              <w:top w:val="single" w:sz="14" w:space="0" w:color="D9D9D9"/>
            </w:tcBorders>
          </w:tcPr>
          <w:p>
            <w:pPr>
              <w:pStyle w:val="TableParagraph"/>
              <w:spacing w:before="34"/>
              <w:ind w:right="299"/>
              <w:jc w:val="right"/>
              <w:rPr>
                <w:sz w:val="20"/>
              </w:rPr>
            </w:pPr>
            <w:r>
              <w:rPr>
                <w:sz w:val="20"/>
              </w:rPr>
              <w:t>1.1</w:t>
            </w:r>
          </w:p>
        </w:tc>
        <w:tc>
          <w:tcPr>
            <w:tcW w:w="857" w:type="dxa"/>
            <w:tcBorders>
              <w:top w:val="single" w:sz="14" w:space="0" w:color="D9D9D9"/>
            </w:tcBorders>
          </w:tcPr>
          <w:p>
            <w:pPr>
              <w:pStyle w:val="TableParagraph"/>
              <w:spacing w:before="34"/>
              <w:ind w:left="202" w:right="203"/>
              <w:rPr>
                <w:sz w:val="20"/>
              </w:rPr>
            </w:pPr>
            <w:r>
              <w:rPr>
                <w:sz w:val="20"/>
              </w:rPr>
              <w:t>0.6</w:t>
            </w:r>
          </w:p>
        </w:tc>
        <w:tc>
          <w:tcPr>
            <w:tcW w:w="905" w:type="dxa"/>
            <w:tcBorders>
              <w:top w:val="single" w:sz="14" w:space="0" w:color="D9D9D9"/>
            </w:tcBorders>
          </w:tcPr>
          <w:p>
            <w:pPr>
              <w:pStyle w:val="TableParagraph"/>
              <w:spacing w:before="34"/>
              <w:ind w:left="345"/>
              <w:jc w:val="left"/>
              <w:rPr>
                <w:sz w:val="20"/>
              </w:rPr>
            </w:pPr>
            <w:r>
              <w:rPr>
                <w:sz w:val="20"/>
              </w:rPr>
              <w:t>10</w:t>
            </w:r>
          </w:p>
        </w:tc>
        <w:tc>
          <w:tcPr>
            <w:tcW w:w="902" w:type="dxa"/>
            <w:tcBorders>
              <w:top w:val="single" w:sz="14" w:space="0" w:color="D9D9D9"/>
            </w:tcBorders>
          </w:tcPr>
          <w:p>
            <w:pPr>
              <w:pStyle w:val="TableParagraph"/>
              <w:spacing w:before="34"/>
              <w:ind w:left="225" w:right="227"/>
              <w:rPr>
                <w:sz w:val="20"/>
              </w:rPr>
            </w:pPr>
            <w:r>
              <w:rPr>
                <w:sz w:val="20"/>
              </w:rPr>
              <w:t>4.9</w:t>
            </w:r>
          </w:p>
        </w:tc>
        <w:tc>
          <w:tcPr>
            <w:tcW w:w="1049" w:type="dxa"/>
            <w:tcBorders>
              <w:top w:val="single" w:sz="14" w:space="0" w:color="D9D9D9"/>
            </w:tcBorders>
          </w:tcPr>
          <w:p>
            <w:pPr>
              <w:pStyle w:val="TableParagraph"/>
              <w:spacing w:before="34"/>
              <w:ind w:left="297" w:right="298"/>
              <w:rPr>
                <w:sz w:val="20"/>
              </w:rPr>
            </w:pPr>
            <w:r>
              <w:rPr>
                <w:sz w:val="20"/>
              </w:rPr>
              <w:t>9.6</w:t>
            </w:r>
          </w:p>
        </w:tc>
        <w:tc>
          <w:tcPr>
            <w:tcW w:w="1047" w:type="dxa"/>
            <w:tcBorders>
              <w:top w:val="single" w:sz="14" w:space="0" w:color="D9D9D9"/>
            </w:tcBorders>
          </w:tcPr>
          <w:p>
            <w:pPr>
              <w:pStyle w:val="TableParagraph"/>
              <w:spacing w:before="34"/>
              <w:ind w:left="297" w:right="298"/>
              <w:rPr>
                <w:sz w:val="20"/>
              </w:rPr>
            </w:pPr>
            <w:r>
              <w:rPr>
                <w:sz w:val="20"/>
              </w:rPr>
              <w:t>1.5</w:t>
            </w:r>
          </w:p>
        </w:tc>
        <w:tc>
          <w:tcPr>
            <w:tcW w:w="773" w:type="dxa"/>
            <w:tcBorders>
              <w:top w:val="single" w:sz="14" w:space="0" w:color="D9D9D9"/>
            </w:tcBorders>
          </w:tcPr>
          <w:p>
            <w:pPr>
              <w:pStyle w:val="TableParagraph"/>
              <w:spacing w:before="34"/>
              <w:ind w:left="98" w:right="98"/>
              <w:rPr>
                <w:sz w:val="20"/>
              </w:rPr>
            </w:pPr>
            <w:r>
              <w:rPr>
                <w:sz w:val="20"/>
              </w:rPr>
              <w:t>4.7</w:t>
            </w:r>
          </w:p>
        </w:tc>
        <w:tc>
          <w:tcPr>
            <w:tcW w:w="773" w:type="dxa"/>
            <w:tcBorders>
              <w:top w:val="single" w:sz="14" w:space="0" w:color="D9D9D9"/>
            </w:tcBorders>
          </w:tcPr>
          <w:p>
            <w:pPr>
              <w:pStyle w:val="TableParagraph"/>
              <w:spacing w:before="34"/>
              <w:ind w:right="1"/>
              <w:rPr>
                <w:sz w:val="20"/>
              </w:rPr>
            </w:pPr>
            <w:r>
              <w:rPr>
                <w:w w:val="99"/>
                <w:sz w:val="20"/>
              </w:rPr>
              <w:t>3</w:t>
            </w:r>
          </w:p>
        </w:tc>
      </w:tr>
      <w:tr>
        <w:trPr>
          <w:trHeight w:val="326" w:hRule="exact"/>
        </w:trPr>
        <w:tc>
          <w:tcPr>
            <w:tcW w:w="1663" w:type="dxa"/>
          </w:tcPr>
          <w:p>
            <w:pPr>
              <w:pStyle w:val="TableParagraph"/>
              <w:spacing w:before="29"/>
              <w:ind w:left="103"/>
              <w:jc w:val="left"/>
              <w:rPr>
                <w:sz w:val="20"/>
              </w:rPr>
            </w:pPr>
            <w:r>
              <w:rPr>
                <w:sz w:val="20"/>
              </w:rPr>
              <w:t>Estado de México</w:t>
            </w:r>
          </w:p>
        </w:tc>
        <w:tc>
          <w:tcPr>
            <w:tcW w:w="860" w:type="dxa"/>
          </w:tcPr>
          <w:p>
            <w:pPr>
              <w:pStyle w:val="TableParagraph"/>
              <w:spacing w:before="29"/>
              <w:ind w:right="299"/>
              <w:jc w:val="right"/>
              <w:rPr>
                <w:sz w:val="20"/>
              </w:rPr>
            </w:pPr>
            <w:r>
              <w:rPr>
                <w:sz w:val="20"/>
              </w:rPr>
              <w:t>1.1</w:t>
            </w:r>
          </w:p>
        </w:tc>
        <w:tc>
          <w:tcPr>
            <w:tcW w:w="857" w:type="dxa"/>
          </w:tcPr>
          <w:p>
            <w:pPr>
              <w:pStyle w:val="TableParagraph"/>
              <w:spacing w:before="29"/>
              <w:ind w:left="202" w:right="203"/>
              <w:rPr>
                <w:sz w:val="20"/>
              </w:rPr>
            </w:pPr>
            <w:r>
              <w:rPr>
                <w:sz w:val="20"/>
              </w:rPr>
              <w:t>0.5</w:t>
            </w:r>
          </w:p>
        </w:tc>
        <w:tc>
          <w:tcPr>
            <w:tcW w:w="905" w:type="dxa"/>
          </w:tcPr>
          <w:p>
            <w:pPr>
              <w:pStyle w:val="TableParagraph"/>
              <w:spacing w:before="29"/>
              <w:ind w:left="271"/>
              <w:jc w:val="left"/>
              <w:rPr>
                <w:sz w:val="20"/>
              </w:rPr>
            </w:pPr>
            <w:r>
              <w:rPr>
                <w:sz w:val="20"/>
              </w:rPr>
              <w:t>15.2</w:t>
            </w:r>
          </w:p>
        </w:tc>
        <w:tc>
          <w:tcPr>
            <w:tcW w:w="902" w:type="dxa"/>
          </w:tcPr>
          <w:p>
            <w:pPr>
              <w:pStyle w:val="TableParagraph"/>
              <w:spacing w:before="29"/>
              <w:ind w:left="225" w:right="227"/>
              <w:rPr>
                <w:sz w:val="20"/>
              </w:rPr>
            </w:pPr>
            <w:r>
              <w:rPr>
                <w:sz w:val="20"/>
              </w:rPr>
              <w:t>15.6</w:t>
            </w:r>
          </w:p>
        </w:tc>
        <w:tc>
          <w:tcPr>
            <w:tcW w:w="1049" w:type="dxa"/>
          </w:tcPr>
          <w:p>
            <w:pPr>
              <w:pStyle w:val="TableParagraph"/>
              <w:spacing w:before="29"/>
              <w:ind w:left="297" w:right="298"/>
              <w:rPr>
                <w:sz w:val="20"/>
              </w:rPr>
            </w:pPr>
            <w:r>
              <w:rPr>
                <w:sz w:val="20"/>
              </w:rPr>
              <w:t>13.7</w:t>
            </w:r>
          </w:p>
        </w:tc>
        <w:tc>
          <w:tcPr>
            <w:tcW w:w="1047" w:type="dxa"/>
          </w:tcPr>
          <w:p>
            <w:pPr>
              <w:pStyle w:val="TableParagraph"/>
              <w:spacing w:before="29"/>
              <w:ind w:left="298" w:right="298"/>
              <w:rPr>
                <w:sz w:val="20"/>
              </w:rPr>
            </w:pPr>
            <w:r>
              <w:rPr>
                <w:sz w:val="20"/>
              </w:rPr>
              <w:t>11</w:t>
            </w:r>
          </w:p>
        </w:tc>
        <w:tc>
          <w:tcPr>
            <w:tcW w:w="773" w:type="dxa"/>
          </w:tcPr>
          <w:p>
            <w:pPr>
              <w:pStyle w:val="TableParagraph"/>
              <w:spacing w:before="29"/>
              <w:ind w:left="98" w:right="98"/>
              <w:rPr>
                <w:sz w:val="20"/>
              </w:rPr>
            </w:pPr>
            <w:r>
              <w:rPr>
                <w:sz w:val="20"/>
              </w:rPr>
              <w:t>9.5</w:t>
            </w:r>
          </w:p>
        </w:tc>
        <w:tc>
          <w:tcPr>
            <w:tcW w:w="773" w:type="dxa"/>
          </w:tcPr>
          <w:p>
            <w:pPr>
              <w:pStyle w:val="TableParagraph"/>
              <w:spacing w:before="29"/>
              <w:ind w:left="236" w:right="236"/>
              <w:rPr>
                <w:sz w:val="20"/>
              </w:rPr>
            </w:pPr>
            <w:r>
              <w:rPr>
                <w:sz w:val="20"/>
              </w:rPr>
              <w:t>8.4</w:t>
            </w:r>
          </w:p>
        </w:tc>
      </w:tr>
      <w:tr>
        <w:trPr>
          <w:trHeight w:val="324" w:hRule="exact"/>
        </w:trPr>
        <w:tc>
          <w:tcPr>
            <w:tcW w:w="1663" w:type="dxa"/>
          </w:tcPr>
          <w:p>
            <w:pPr>
              <w:pStyle w:val="TableParagraph"/>
              <w:spacing w:before="29"/>
              <w:ind w:left="103"/>
              <w:jc w:val="left"/>
              <w:rPr>
                <w:sz w:val="20"/>
              </w:rPr>
            </w:pPr>
            <w:r>
              <w:rPr>
                <w:sz w:val="20"/>
              </w:rPr>
              <w:t>Morelos</w:t>
            </w:r>
          </w:p>
        </w:tc>
        <w:tc>
          <w:tcPr>
            <w:tcW w:w="860" w:type="dxa"/>
          </w:tcPr>
          <w:p>
            <w:pPr>
              <w:pStyle w:val="TableParagraph"/>
              <w:spacing w:before="29"/>
              <w:ind w:right="299"/>
              <w:jc w:val="right"/>
              <w:rPr>
                <w:sz w:val="20"/>
              </w:rPr>
            </w:pPr>
            <w:r>
              <w:rPr>
                <w:sz w:val="20"/>
              </w:rPr>
              <w:t>0.5</w:t>
            </w:r>
          </w:p>
        </w:tc>
        <w:tc>
          <w:tcPr>
            <w:tcW w:w="857" w:type="dxa"/>
          </w:tcPr>
          <w:p>
            <w:pPr>
              <w:pStyle w:val="TableParagraph"/>
              <w:spacing w:before="29"/>
              <w:ind w:right="1"/>
              <w:rPr>
                <w:sz w:val="20"/>
              </w:rPr>
            </w:pPr>
            <w:r>
              <w:rPr>
                <w:w w:val="99"/>
                <w:sz w:val="20"/>
              </w:rPr>
              <w:t>0</w:t>
            </w:r>
          </w:p>
        </w:tc>
        <w:tc>
          <w:tcPr>
            <w:tcW w:w="905" w:type="dxa"/>
          </w:tcPr>
          <w:p>
            <w:pPr>
              <w:pStyle w:val="TableParagraph"/>
              <w:spacing w:before="29"/>
              <w:ind w:left="271"/>
              <w:jc w:val="left"/>
              <w:rPr>
                <w:sz w:val="20"/>
              </w:rPr>
            </w:pPr>
            <w:r>
              <w:rPr>
                <w:sz w:val="20"/>
              </w:rPr>
              <w:t>37.3</w:t>
            </w:r>
          </w:p>
        </w:tc>
        <w:tc>
          <w:tcPr>
            <w:tcW w:w="902" w:type="dxa"/>
          </w:tcPr>
          <w:p>
            <w:pPr>
              <w:pStyle w:val="TableParagraph"/>
              <w:spacing w:before="29"/>
              <w:ind w:left="225" w:right="227"/>
              <w:rPr>
                <w:sz w:val="20"/>
              </w:rPr>
            </w:pPr>
            <w:r>
              <w:rPr>
                <w:sz w:val="20"/>
              </w:rPr>
              <w:t>33.2</w:t>
            </w:r>
          </w:p>
        </w:tc>
        <w:tc>
          <w:tcPr>
            <w:tcW w:w="1049" w:type="dxa"/>
          </w:tcPr>
          <w:p>
            <w:pPr>
              <w:pStyle w:val="TableParagraph"/>
              <w:spacing w:before="29"/>
              <w:ind w:left="300" w:right="298"/>
              <w:rPr>
                <w:sz w:val="20"/>
              </w:rPr>
            </w:pPr>
            <w:r>
              <w:rPr>
                <w:sz w:val="20"/>
              </w:rPr>
              <w:t>28</w:t>
            </w:r>
          </w:p>
        </w:tc>
        <w:tc>
          <w:tcPr>
            <w:tcW w:w="1047" w:type="dxa"/>
          </w:tcPr>
          <w:p>
            <w:pPr>
              <w:pStyle w:val="TableParagraph"/>
              <w:spacing w:before="29"/>
              <w:ind w:left="297" w:right="298"/>
              <w:rPr>
                <w:sz w:val="20"/>
              </w:rPr>
            </w:pPr>
            <w:r>
              <w:rPr>
                <w:sz w:val="20"/>
              </w:rPr>
              <w:t>17.9</w:t>
            </w:r>
          </w:p>
        </w:tc>
        <w:tc>
          <w:tcPr>
            <w:tcW w:w="773" w:type="dxa"/>
          </w:tcPr>
          <w:p>
            <w:pPr>
              <w:pStyle w:val="TableParagraph"/>
              <w:spacing w:before="29"/>
              <w:ind w:left="98" w:right="98"/>
              <w:rPr>
                <w:sz w:val="20"/>
              </w:rPr>
            </w:pPr>
            <w:r>
              <w:rPr>
                <w:sz w:val="20"/>
              </w:rPr>
              <w:t>14</w:t>
            </w:r>
          </w:p>
        </w:tc>
        <w:tc>
          <w:tcPr>
            <w:tcW w:w="773" w:type="dxa"/>
          </w:tcPr>
          <w:p>
            <w:pPr>
              <w:pStyle w:val="TableParagraph"/>
              <w:spacing w:before="29"/>
              <w:ind w:left="236" w:right="236"/>
              <w:rPr>
                <w:sz w:val="20"/>
              </w:rPr>
            </w:pPr>
            <w:r>
              <w:rPr>
                <w:sz w:val="20"/>
              </w:rPr>
              <w:t>7.8</w:t>
            </w:r>
          </w:p>
        </w:tc>
      </w:tr>
      <w:tr>
        <w:trPr>
          <w:trHeight w:val="326" w:hRule="exact"/>
        </w:trPr>
        <w:tc>
          <w:tcPr>
            <w:tcW w:w="1663" w:type="dxa"/>
          </w:tcPr>
          <w:p>
            <w:pPr>
              <w:pStyle w:val="TableParagraph"/>
              <w:spacing w:before="29"/>
              <w:ind w:left="103"/>
              <w:jc w:val="left"/>
              <w:rPr>
                <w:sz w:val="20"/>
              </w:rPr>
            </w:pPr>
            <w:r>
              <w:rPr>
                <w:sz w:val="20"/>
              </w:rPr>
              <w:t>Puebla</w:t>
            </w:r>
          </w:p>
        </w:tc>
        <w:tc>
          <w:tcPr>
            <w:tcW w:w="860" w:type="dxa"/>
          </w:tcPr>
          <w:p>
            <w:pPr>
              <w:pStyle w:val="TableParagraph"/>
              <w:spacing w:before="29"/>
              <w:ind w:right="299"/>
              <w:jc w:val="right"/>
              <w:rPr>
                <w:sz w:val="20"/>
              </w:rPr>
            </w:pPr>
            <w:r>
              <w:rPr>
                <w:sz w:val="20"/>
              </w:rPr>
              <w:t>0.4</w:t>
            </w:r>
          </w:p>
        </w:tc>
        <w:tc>
          <w:tcPr>
            <w:tcW w:w="857" w:type="dxa"/>
          </w:tcPr>
          <w:p>
            <w:pPr>
              <w:pStyle w:val="TableParagraph"/>
              <w:spacing w:before="29"/>
              <w:ind w:left="202" w:right="203"/>
              <w:rPr>
                <w:sz w:val="20"/>
              </w:rPr>
            </w:pPr>
            <w:r>
              <w:rPr>
                <w:sz w:val="20"/>
              </w:rPr>
              <w:t>0.2</w:t>
            </w:r>
          </w:p>
        </w:tc>
        <w:tc>
          <w:tcPr>
            <w:tcW w:w="905" w:type="dxa"/>
          </w:tcPr>
          <w:p>
            <w:pPr>
              <w:pStyle w:val="TableParagraph"/>
              <w:spacing w:before="29"/>
              <w:ind w:left="271"/>
              <w:jc w:val="left"/>
              <w:rPr>
                <w:sz w:val="20"/>
              </w:rPr>
            </w:pPr>
            <w:r>
              <w:rPr>
                <w:sz w:val="20"/>
              </w:rPr>
              <w:t>30.5</w:t>
            </w:r>
          </w:p>
        </w:tc>
        <w:tc>
          <w:tcPr>
            <w:tcW w:w="902" w:type="dxa"/>
          </w:tcPr>
          <w:p>
            <w:pPr>
              <w:pStyle w:val="TableParagraph"/>
              <w:spacing w:before="29"/>
              <w:ind w:left="225" w:right="227"/>
              <w:rPr>
                <w:sz w:val="20"/>
              </w:rPr>
            </w:pPr>
            <w:r>
              <w:rPr>
                <w:sz w:val="20"/>
              </w:rPr>
              <w:t>51.7</w:t>
            </w:r>
          </w:p>
        </w:tc>
        <w:tc>
          <w:tcPr>
            <w:tcW w:w="1049" w:type="dxa"/>
          </w:tcPr>
          <w:p>
            <w:pPr>
              <w:pStyle w:val="TableParagraph"/>
              <w:spacing w:before="29"/>
              <w:ind w:left="297" w:right="298"/>
              <w:rPr>
                <w:sz w:val="20"/>
              </w:rPr>
            </w:pPr>
            <w:r>
              <w:rPr>
                <w:sz w:val="20"/>
              </w:rPr>
              <w:t>29.2</w:t>
            </w:r>
          </w:p>
        </w:tc>
        <w:tc>
          <w:tcPr>
            <w:tcW w:w="1047" w:type="dxa"/>
          </w:tcPr>
          <w:p>
            <w:pPr>
              <w:pStyle w:val="TableParagraph"/>
              <w:spacing w:before="29"/>
              <w:ind w:left="297" w:right="298"/>
              <w:rPr>
                <w:sz w:val="20"/>
              </w:rPr>
            </w:pPr>
            <w:r>
              <w:rPr>
                <w:sz w:val="20"/>
              </w:rPr>
              <w:t>47.7</w:t>
            </w:r>
          </w:p>
        </w:tc>
        <w:tc>
          <w:tcPr>
            <w:tcW w:w="773" w:type="dxa"/>
          </w:tcPr>
          <w:p>
            <w:pPr>
              <w:pStyle w:val="TableParagraph"/>
              <w:spacing w:before="29"/>
              <w:ind w:left="98" w:right="98"/>
              <w:rPr>
                <w:sz w:val="20"/>
              </w:rPr>
            </w:pPr>
            <w:r>
              <w:rPr>
                <w:sz w:val="20"/>
              </w:rPr>
              <w:t>13.7</w:t>
            </w:r>
          </w:p>
        </w:tc>
        <w:tc>
          <w:tcPr>
            <w:tcW w:w="773" w:type="dxa"/>
          </w:tcPr>
          <w:p>
            <w:pPr>
              <w:pStyle w:val="TableParagraph"/>
              <w:spacing w:before="29"/>
              <w:ind w:right="204"/>
              <w:jc w:val="right"/>
              <w:rPr>
                <w:sz w:val="20"/>
              </w:rPr>
            </w:pPr>
            <w:r>
              <w:rPr>
                <w:sz w:val="20"/>
              </w:rPr>
              <w:t>15.6</w:t>
            </w:r>
          </w:p>
        </w:tc>
      </w:tr>
    </w:tbl>
    <w:p>
      <w:pPr>
        <w:spacing w:line="202" w:lineRule="exact" w:before="0"/>
        <w:ind w:left="102" w:right="0" w:firstLine="0"/>
        <w:jc w:val="both"/>
        <w:rPr>
          <w:sz w:val="18"/>
        </w:rPr>
      </w:pPr>
      <w:r>
        <w:rPr>
          <w:sz w:val="18"/>
        </w:rPr>
        <w:t>Fuente: Elaboración propia con datos del INEGI (1980 y 2009).</w:t>
      </w:r>
    </w:p>
    <w:p>
      <w:pPr>
        <w:pStyle w:val="BodyText"/>
        <w:rPr>
          <w:sz w:val="18"/>
        </w:rPr>
      </w:pPr>
    </w:p>
    <w:p>
      <w:pPr>
        <w:pStyle w:val="BodyText"/>
        <w:spacing w:line="360" w:lineRule="auto" w:before="135"/>
        <w:ind w:left="102" w:right="116"/>
        <w:jc w:val="both"/>
      </w:pPr>
      <w:r>
        <w:rPr/>
        <w:t>Lo anterior, muestra la importancia que aún tiene la industria automotriz de la región centro dentro del sector manufacturero de la región y de entidades federativas como Morelos y Puebla, las cuales destacan por sus aportaciones a la producción bruta y al valor agregado censal bruto local.</w:t>
      </w:r>
    </w:p>
    <w:p>
      <w:pPr>
        <w:pStyle w:val="BodyText"/>
        <w:spacing w:before="5"/>
        <w:rPr>
          <w:sz w:val="21"/>
        </w:rPr>
      </w:pPr>
    </w:p>
    <w:p>
      <w:pPr>
        <w:pStyle w:val="BodyText"/>
        <w:spacing w:line="360" w:lineRule="auto"/>
        <w:ind w:left="102" w:right="118"/>
        <w:jc w:val="both"/>
      </w:pPr>
      <w:r>
        <w:rPr/>
        <w:t>Puntualmente</w:t>
      </w:r>
      <w:r>
        <w:rPr>
          <w:spacing w:val="-13"/>
        </w:rPr>
        <w:t> </w:t>
      </w:r>
      <w:r>
        <w:rPr/>
        <w:t>si</w:t>
      </w:r>
      <w:r>
        <w:rPr>
          <w:spacing w:val="-11"/>
        </w:rPr>
        <w:t> </w:t>
      </w:r>
      <w:r>
        <w:rPr/>
        <w:t>analizamos</w:t>
      </w:r>
      <w:r>
        <w:rPr>
          <w:spacing w:val="-12"/>
        </w:rPr>
        <w:t> </w:t>
      </w:r>
      <w:r>
        <w:rPr/>
        <w:t>a</w:t>
      </w:r>
      <w:r>
        <w:rPr>
          <w:spacing w:val="-13"/>
        </w:rPr>
        <w:t> </w:t>
      </w:r>
      <w:r>
        <w:rPr/>
        <w:t>la</w:t>
      </w:r>
      <w:r>
        <w:rPr>
          <w:spacing w:val="-13"/>
        </w:rPr>
        <w:t> </w:t>
      </w:r>
      <w:r>
        <w:rPr/>
        <w:t>industria</w:t>
      </w:r>
      <w:r>
        <w:rPr>
          <w:spacing w:val="-13"/>
        </w:rPr>
        <w:t> </w:t>
      </w:r>
      <w:r>
        <w:rPr/>
        <w:t>automotriz</w:t>
      </w:r>
      <w:r>
        <w:rPr>
          <w:spacing w:val="-10"/>
        </w:rPr>
        <w:t> </w:t>
      </w:r>
      <w:r>
        <w:rPr/>
        <w:t>de</w:t>
      </w:r>
      <w:r>
        <w:rPr>
          <w:spacing w:val="-13"/>
        </w:rPr>
        <w:t> </w:t>
      </w:r>
      <w:r>
        <w:rPr/>
        <w:t>Morelos,</w:t>
      </w:r>
      <w:r>
        <w:rPr>
          <w:spacing w:val="-11"/>
        </w:rPr>
        <w:t> </w:t>
      </w:r>
      <w:r>
        <w:rPr/>
        <w:t>encontramos</w:t>
      </w:r>
      <w:r>
        <w:rPr>
          <w:spacing w:val="-11"/>
        </w:rPr>
        <w:t> </w:t>
      </w:r>
      <w:r>
        <w:rPr/>
        <w:t>que</w:t>
      </w:r>
      <w:r>
        <w:rPr>
          <w:spacing w:val="-13"/>
        </w:rPr>
        <w:t> </w:t>
      </w:r>
      <w:r>
        <w:rPr/>
        <w:t>en</w:t>
      </w:r>
      <w:r>
        <w:rPr>
          <w:spacing w:val="-12"/>
        </w:rPr>
        <w:t> </w:t>
      </w:r>
      <w:r>
        <w:rPr/>
        <w:t>cuanto al valor agregado censal bruto tanto la industria manufacturera como automotriz del estado, tuvieron una participación importante a nivel nacional durante 1988, pues representó el 3.2 y</w:t>
      </w:r>
      <w:r>
        <w:rPr>
          <w:spacing w:val="-16"/>
        </w:rPr>
        <w:t> </w:t>
      </w:r>
      <w:r>
        <w:rPr/>
        <w:t>el</w:t>
      </w:r>
      <w:r>
        <w:rPr>
          <w:spacing w:val="-13"/>
        </w:rPr>
        <w:t> </w:t>
      </w:r>
      <w:r>
        <w:rPr/>
        <w:t>2.2%</w:t>
      </w:r>
      <w:r>
        <w:rPr>
          <w:spacing w:val="-14"/>
        </w:rPr>
        <w:t> </w:t>
      </w:r>
      <w:r>
        <w:rPr/>
        <w:t>del</w:t>
      </w:r>
      <w:r>
        <w:rPr>
          <w:spacing w:val="-13"/>
        </w:rPr>
        <w:t> </w:t>
      </w:r>
      <w:r>
        <w:rPr/>
        <w:t>VACB</w:t>
      </w:r>
      <w:r>
        <w:rPr>
          <w:spacing w:val="-13"/>
        </w:rPr>
        <w:t> </w:t>
      </w:r>
      <w:r>
        <w:rPr/>
        <w:t>de</w:t>
      </w:r>
      <w:r>
        <w:rPr>
          <w:spacing w:val="-14"/>
        </w:rPr>
        <w:t> </w:t>
      </w:r>
      <w:r>
        <w:rPr/>
        <w:t>la</w:t>
      </w:r>
      <w:r>
        <w:rPr>
          <w:spacing w:val="-14"/>
        </w:rPr>
        <w:t> </w:t>
      </w:r>
      <w:r>
        <w:rPr/>
        <w:t>manufactura</w:t>
      </w:r>
      <w:r>
        <w:rPr>
          <w:spacing w:val="-15"/>
        </w:rPr>
        <w:t> </w:t>
      </w:r>
      <w:r>
        <w:rPr/>
        <w:t>nacional.</w:t>
      </w:r>
      <w:r>
        <w:rPr>
          <w:spacing w:val="-14"/>
        </w:rPr>
        <w:t> </w:t>
      </w:r>
      <w:r>
        <w:rPr/>
        <w:t>Sin</w:t>
      </w:r>
      <w:r>
        <w:rPr>
          <w:spacing w:val="-13"/>
        </w:rPr>
        <w:t> </w:t>
      </w:r>
      <w:r>
        <w:rPr/>
        <w:t>embargo,</w:t>
      </w:r>
      <w:r>
        <w:rPr>
          <w:spacing w:val="-13"/>
        </w:rPr>
        <w:t> </w:t>
      </w:r>
      <w:r>
        <w:rPr/>
        <w:t>a</w:t>
      </w:r>
      <w:r>
        <w:rPr>
          <w:spacing w:val="-14"/>
        </w:rPr>
        <w:t> </w:t>
      </w:r>
      <w:r>
        <w:rPr/>
        <w:t>partir</w:t>
      </w:r>
      <w:r>
        <w:rPr>
          <w:spacing w:val="-14"/>
        </w:rPr>
        <w:t> </w:t>
      </w:r>
      <w:r>
        <w:rPr/>
        <w:t>de</w:t>
      </w:r>
      <w:r>
        <w:rPr>
          <w:spacing w:val="-14"/>
        </w:rPr>
        <w:t> </w:t>
      </w:r>
      <w:r>
        <w:rPr/>
        <w:t>entonces</w:t>
      </w:r>
      <w:r>
        <w:rPr>
          <w:spacing w:val="-13"/>
        </w:rPr>
        <w:t> </w:t>
      </w:r>
      <w:r>
        <w:rPr/>
        <w:t>se</w:t>
      </w:r>
      <w:r>
        <w:rPr>
          <w:spacing w:val="-14"/>
        </w:rPr>
        <w:t> </w:t>
      </w:r>
      <w:r>
        <w:rPr/>
        <w:t>observa un</w:t>
      </w:r>
      <w:r>
        <w:rPr>
          <w:spacing w:val="-13"/>
        </w:rPr>
        <w:t> </w:t>
      </w:r>
      <w:r>
        <w:rPr/>
        <w:t>detrimento</w:t>
      </w:r>
      <w:r>
        <w:rPr>
          <w:spacing w:val="-13"/>
        </w:rPr>
        <w:t> </w:t>
      </w:r>
      <w:r>
        <w:rPr/>
        <w:t>de</w:t>
      </w:r>
      <w:r>
        <w:rPr>
          <w:spacing w:val="-12"/>
        </w:rPr>
        <w:t> </w:t>
      </w:r>
      <w:r>
        <w:rPr/>
        <w:t>su</w:t>
      </w:r>
      <w:r>
        <w:rPr>
          <w:spacing w:val="-13"/>
        </w:rPr>
        <w:t> </w:t>
      </w:r>
      <w:r>
        <w:rPr/>
        <w:t>participación</w:t>
      </w:r>
      <w:r>
        <w:rPr>
          <w:spacing w:val="-13"/>
        </w:rPr>
        <w:t> </w:t>
      </w:r>
      <w:r>
        <w:rPr/>
        <w:t>en</w:t>
      </w:r>
      <w:r>
        <w:rPr>
          <w:spacing w:val="-11"/>
        </w:rPr>
        <w:t> </w:t>
      </w:r>
      <w:r>
        <w:rPr/>
        <w:t>dicha</w:t>
      </w:r>
      <w:r>
        <w:rPr>
          <w:spacing w:val="-13"/>
        </w:rPr>
        <w:t> </w:t>
      </w:r>
      <w:r>
        <w:rPr/>
        <w:t>variable,</w:t>
      </w:r>
      <w:r>
        <w:rPr>
          <w:spacing w:val="-14"/>
        </w:rPr>
        <w:t> </w:t>
      </w:r>
      <w:r>
        <w:rPr/>
        <w:t>llegando</w:t>
      </w:r>
      <w:r>
        <w:rPr>
          <w:spacing w:val="-11"/>
        </w:rPr>
        <w:t> </w:t>
      </w:r>
      <w:r>
        <w:rPr/>
        <w:t>a</w:t>
      </w:r>
      <w:r>
        <w:rPr>
          <w:spacing w:val="-14"/>
        </w:rPr>
        <w:t> </w:t>
      </w:r>
      <w:r>
        <w:rPr/>
        <w:t>niveles</w:t>
      </w:r>
      <w:r>
        <w:rPr>
          <w:spacing w:val="-13"/>
        </w:rPr>
        <w:t> </w:t>
      </w:r>
      <w:r>
        <w:rPr/>
        <w:t>tanto</w:t>
      </w:r>
      <w:r>
        <w:rPr>
          <w:spacing w:val="-11"/>
        </w:rPr>
        <w:t> </w:t>
      </w:r>
      <w:r>
        <w:rPr/>
        <w:t>la</w:t>
      </w:r>
      <w:r>
        <w:rPr>
          <w:spacing w:val="-14"/>
        </w:rPr>
        <w:t> </w:t>
      </w:r>
      <w:r>
        <w:rPr/>
        <w:t>manufacturera como automotriz durante el 2008, del 1.2 y 0.2% respectivamente (véase, gráfica</w:t>
      </w:r>
      <w:r>
        <w:rPr>
          <w:spacing w:val="-12"/>
        </w:rPr>
        <w:t> </w:t>
      </w:r>
      <w:r>
        <w:rPr/>
        <w:t>4.6).</w:t>
      </w:r>
    </w:p>
    <w:p>
      <w:pPr>
        <w:spacing w:after="0" w:line="360" w:lineRule="auto"/>
        <w:jc w:val="both"/>
        <w:sectPr>
          <w:pgSz w:w="12240" w:h="15840"/>
          <w:pgMar w:header="0" w:footer="1035" w:top="1360" w:bottom="1220" w:left="1600" w:right="1580"/>
        </w:sectPr>
      </w:pPr>
    </w:p>
    <w:p>
      <w:pPr>
        <w:pStyle w:val="Heading1"/>
        <w:spacing w:line="360" w:lineRule="auto" w:before="55"/>
        <w:ind w:left="109" w:right="132"/>
        <w:jc w:val="center"/>
      </w:pPr>
      <w:r>
        <w:rPr/>
        <w:t>Gráfica 4.6. Participación porcentual de la industria manufacturera y automotriz de Morelos en la manufactura nacional, 1980-2008 (Valor Agregado Censal Bruto)</w:t>
      </w:r>
    </w:p>
    <w:p>
      <w:pPr>
        <w:pStyle w:val="BodyText"/>
        <w:ind w:left="538"/>
        <w:rPr>
          <w:sz w:val="20"/>
        </w:rPr>
      </w:pPr>
      <w:r>
        <w:rPr>
          <w:sz w:val="20"/>
        </w:rPr>
        <w:pict>
          <v:group style="width:397.6pt;height:170.8pt;mso-position-horizontal-relative:char;mso-position-vertical-relative:line" coordorigin="0,0" coordsize="7952,3416">
            <v:shape style="position:absolute;left:514;top:228;width:7210;height:2280" type="#_x0000_t75" stroked="false">
              <v:imagedata r:id="rId64" o:title=""/>
            </v:shape>
            <v:line style="position:absolute" from="7167,2182" to="7723,2182" stroked="true" strokeweight=".72pt" strokecolor="#d9d9d9"/>
            <v:line style="position:absolute" from="6135,2182" to="6963,2182" stroked="true" strokeweight=".72pt" strokecolor="#d9d9d9"/>
            <v:line style="position:absolute" from="5105,2182" to="5933,2182" stroked="true" strokeweight=".72pt" strokecolor="#d9d9d9"/>
            <v:line style="position:absolute" from="4366,2182" to="4903,2182" stroked="true" strokeweight=".72pt" strokecolor="#d9d9d9"/>
            <v:line style="position:absolute" from="4075,2182" to="4162,2182" stroked="true" strokeweight=".72pt" strokecolor="#d9d9d9"/>
            <v:line style="position:absolute" from="3334,2182" to="3874,2182" stroked="true" strokeweight=".72pt" strokecolor="#d9d9d9"/>
            <v:line style="position:absolute" from="3046,2182" to="3132,2182" stroked="true" strokeweight=".72pt" strokecolor="#d9d9d9"/>
            <v:line style="position:absolute" from="2016,2182" to="2844,2182" stroked="true" strokeweight=".72pt" strokecolor="#d9d9d9"/>
            <v:line style="position:absolute" from="987,2182" to="1815,2182" stroked="true" strokeweight=".72pt" strokecolor="#d9d9d9"/>
            <v:line style="position:absolute" from="514,2182" to="785,2182" stroked="true" strokeweight=".72pt" strokecolor="#d9d9d9"/>
            <v:line style="position:absolute" from="7167,1858" to="7723,1858" stroked="true" strokeweight=".72pt" strokecolor="#d9d9d9"/>
            <v:line style="position:absolute" from="6135,1858" to="6963,1858" stroked="true" strokeweight=".72pt" strokecolor="#d9d9d9"/>
            <v:line style="position:absolute" from="5105,1858" to="5933,1858" stroked="true" strokeweight=".72pt" strokecolor="#d9d9d9"/>
            <v:line style="position:absolute" from="4366,1858" to="4903,1858" stroked="true" strokeweight=".72pt" strokecolor="#d9d9d9"/>
            <v:line style="position:absolute" from="4075,1858" to="4162,1858" stroked="true" strokeweight=".72pt" strokecolor="#d9d9d9"/>
            <v:line style="position:absolute" from="3334,1858" to="3874,1858" stroked="true" strokeweight=".72pt" strokecolor="#d9d9d9"/>
            <v:line style="position:absolute" from="3046,1858" to="3132,1858" stroked="true" strokeweight=".72pt" strokecolor="#d9d9d9"/>
            <v:line style="position:absolute" from="2016,1858" to="2844,1858" stroked="true" strokeweight=".72pt" strokecolor="#d9d9d9"/>
            <v:line style="position:absolute" from="987,1858" to="1815,1858" stroked="true" strokeweight=".72pt" strokecolor="#d9d9d9"/>
            <v:line style="position:absolute" from="514,1858" to="785,1858" stroked="true" strokeweight=".72pt" strokecolor="#d9d9d9"/>
            <v:line style="position:absolute" from="6135,1531" to="7723,1531" stroked="true" strokeweight=".72pt" strokecolor="#d9d9d9"/>
            <v:line style="position:absolute" from="5105,1531" to="5933,1531" stroked="true" strokeweight=".72pt" strokecolor="#d9d9d9"/>
            <v:line style="position:absolute" from="4075,1531" to="4903,1531" stroked="true" strokeweight=".72pt" strokecolor="#d9d9d9"/>
            <v:line style="position:absolute" from="3334,1531" to="3874,1531" stroked="true" strokeweight=".72pt" strokecolor="#d9d9d9"/>
            <v:line style="position:absolute" from="3046,1531" to="3132,1531" stroked="true" strokeweight=".72pt" strokecolor="#d9d9d9"/>
            <v:line style="position:absolute" from="514,1531" to="2844,1531" stroked="true" strokeweight=".72pt" strokecolor="#d9d9d9"/>
            <v:line style="position:absolute" from="4075,1205" to="7723,1205" stroked="true" strokeweight=".72pt" strokecolor="#d9d9d9"/>
            <v:line style="position:absolute" from="3334,1205" to="3874,1205" stroked="true" strokeweight=".72pt" strokecolor="#d9d9d9"/>
            <v:line style="position:absolute" from="3046,1205" to="3132,1205" stroked="true" strokeweight=".72pt" strokecolor="#d9d9d9"/>
            <v:line style="position:absolute" from="514,1205" to="2844,1205" stroked="true" strokeweight=".72pt" strokecolor="#d9d9d9"/>
            <v:line style="position:absolute" from="3046,879" to="7723,879" stroked="true" strokeweight=".72pt" strokecolor="#d9d9d9"/>
            <v:line style="position:absolute" from="514,879" to="2844,879" stroked="true" strokeweight=".72pt" strokecolor="#d9d9d9"/>
            <v:line style="position:absolute" from="3046,555" to="7723,555" stroked="true" strokeweight=".72pt" strokecolor="#d9d9d9"/>
            <v:line style="position:absolute" from="514,555" to="2844,555" stroked="true" strokeweight=".72pt" strokecolor="#d9d9d9"/>
            <v:line style="position:absolute" from="514,228" to="7723,228" stroked="true" strokeweight=".72pt" strokecolor="#d9d9d9"/>
            <v:line style="position:absolute" from="514,228" to="514,2508" stroked="true" strokeweight=".72pt" strokecolor="#d9d9d9"/>
            <v:line style="position:absolute" from="1546,228" to="1546,2508" stroked="true" strokeweight=".72pt" strokecolor="#d9d9d9"/>
            <v:line style="position:absolute" from="2575,228" to="2575,2508" stroked="true" strokeweight=".72pt" strokecolor="#d9d9d9"/>
            <v:line style="position:absolute" from="3605,228" to="3605,2508" stroked="true" strokeweight=".72pt" strokecolor="#d9d9d9"/>
            <v:line style="position:absolute" from="4635,228" to="4635,2508" stroked="true" strokeweight=".72pt" strokecolor="#d9d9d9"/>
            <v:line style="position:absolute" from="5664,228" to="5664,2508" stroked="true" strokeweight=".72pt" strokecolor="#d9d9d9"/>
            <v:line style="position:absolute" from="6694,228" to="6694,2508" stroked="true" strokeweight=".72pt" strokecolor="#d9d9d9"/>
            <v:line style="position:absolute" from="7723,228" to="7723,2508" stroked="true" strokeweight=".72pt" strokecolor="#d9d9d9"/>
            <v:rect style="position:absolute;left:785;top:1726;width:202;height:782" filled="true" fillcolor="#539e39" stroked="false">
              <v:fill type="solid"/>
            </v:rect>
            <v:rect style="position:absolute;left:1815;top:1613;width:202;height:895" filled="true" fillcolor="#539e39" stroked="false">
              <v:fill type="solid"/>
            </v:rect>
            <v:rect style="position:absolute;left:2844;top:444;width:202;height:2064" filled="true" fillcolor="#539e39" stroked="false">
              <v:fill type="solid"/>
            </v:rect>
            <v:rect style="position:absolute;left:3874;top:1039;width:202;height:1469" filled="true" fillcolor="#539e39" stroked="false">
              <v:fill type="solid"/>
            </v:rect>
            <v:rect style="position:absolute;left:4904;top:1498;width:202;height:1010" filled="true" fillcolor="#539e39" stroked="false">
              <v:fill type="solid"/>
            </v:rect>
            <v:rect style="position:absolute;left:5933;top:1205;width:202;height:1303" filled="true" fillcolor="#539e39" stroked="false">
              <v:fill type="solid"/>
            </v:rect>
            <v:rect style="position:absolute;left:6963;top:1745;width:204;height:763" filled="true" fillcolor="#539e39" stroked="false">
              <v:fill type="solid"/>
            </v:rect>
            <v:rect style="position:absolute;left:1073;top:2290;width:202;height:218" filled="true" fillcolor="#89b833" stroked="false">
              <v:fill type="solid"/>
            </v:rect>
            <v:rect style="position:absolute;left:2103;top:2175;width:202;height:334" filled="true" fillcolor="#89b833" stroked="false">
              <v:fill type="solid"/>
            </v:rect>
            <v:rect style="position:absolute;left:3132;top:1068;width:202;height:1440" filled="true" fillcolor="#89b833" stroked="false">
              <v:fill type="solid"/>
            </v:rect>
            <v:rect style="position:absolute;left:4162;top:1738;width:204;height:770" filled="true" fillcolor="#89b833" stroked="false">
              <v:fill type="solid"/>
            </v:rect>
            <v:rect style="position:absolute;left:5194;top:2256;width:202;height:252" filled="true" fillcolor="#89b833" stroked="false">
              <v:fill type="solid"/>
            </v:rect>
            <v:rect style="position:absolute;left:6223;top:2345;width:202;height:163" filled="true" fillcolor="#89b833" stroked="false">
              <v:fill type="solid"/>
            </v:rect>
            <v:rect style="position:absolute;left:7253;top:2371;width:202;height:137" filled="true" fillcolor="#89b833" stroked="false">
              <v:fill type="solid"/>
            </v:rect>
            <v:line style="position:absolute" from="514,2508" to="7723,2508" stroked="true" strokeweight=".72pt" strokecolor="#d9d9d9"/>
            <v:line style="position:absolute" from="2144,3131" to="2232,3131" stroked="true" strokeweight="4.440pt" strokecolor="#539e39"/>
            <v:line style="position:absolute" from="4284,3131" to="4373,3131" stroked="true" strokeweight="4.440pt" strokecolor="#89b833"/>
            <v:rect style="position:absolute;left:8;top:8;width:7937;height:3401" filled="false" stroked="true" strokeweight=".72pt" strokecolor="#d9d9d9"/>
            <v:shape style="position:absolute;left:138;top:141;width:225;height:2460" type="#_x0000_t202" filled="false" stroked="false">
              <v:textbox inset="0,0,0,0">
                <w:txbxContent>
                  <w:p>
                    <w:pPr>
                      <w:spacing w:line="184" w:lineRule="exact" w:before="0"/>
                      <w:ind w:left="0" w:right="-20" w:firstLine="0"/>
                      <w:jc w:val="left"/>
                      <w:rPr>
                        <w:sz w:val="18"/>
                      </w:rPr>
                    </w:pPr>
                    <w:r>
                      <w:rPr>
                        <w:color w:val="585858"/>
                        <w:sz w:val="18"/>
                      </w:rPr>
                      <w:t>3.5</w:t>
                    </w:r>
                  </w:p>
                  <w:p>
                    <w:pPr>
                      <w:spacing w:before="118"/>
                      <w:ind w:left="0" w:right="-20" w:firstLine="0"/>
                      <w:jc w:val="left"/>
                      <w:rPr>
                        <w:sz w:val="18"/>
                      </w:rPr>
                    </w:pPr>
                    <w:r>
                      <w:rPr>
                        <w:color w:val="585858"/>
                        <w:sz w:val="18"/>
                      </w:rPr>
                      <w:t>3.0</w:t>
                    </w:r>
                  </w:p>
                  <w:p>
                    <w:pPr>
                      <w:spacing w:before="119"/>
                      <w:ind w:left="0" w:right="-20" w:firstLine="0"/>
                      <w:jc w:val="left"/>
                      <w:rPr>
                        <w:sz w:val="18"/>
                      </w:rPr>
                    </w:pPr>
                    <w:r>
                      <w:rPr>
                        <w:color w:val="585858"/>
                        <w:sz w:val="18"/>
                      </w:rPr>
                      <w:t>2.5</w:t>
                    </w:r>
                  </w:p>
                  <w:p>
                    <w:pPr>
                      <w:spacing w:before="118"/>
                      <w:ind w:left="0" w:right="-20" w:firstLine="0"/>
                      <w:jc w:val="left"/>
                      <w:rPr>
                        <w:sz w:val="18"/>
                      </w:rPr>
                    </w:pPr>
                    <w:r>
                      <w:rPr>
                        <w:color w:val="585858"/>
                        <w:sz w:val="18"/>
                      </w:rPr>
                      <w:t>2.0</w:t>
                    </w:r>
                  </w:p>
                  <w:p>
                    <w:pPr>
                      <w:spacing w:before="119"/>
                      <w:ind w:left="0" w:right="-20" w:firstLine="0"/>
                      <w:jc w:val="left"/>
                      <w:rPr>
                        <w:sz w:val="18"/>
                      </w:rPr>
                    </w:pPr>
                    <w:r>
                      <w:rPr>
                        <w:color w:val="585858"/>
                        <w:sz w:val="18"/>
                      </w:rPr>
                      <w:t>1.5</w:t>
                    </w:r>
                  </w:p>
                  <w:p>
                    <w:pPr>
                      <w:spacing w:before="119"/>
                      <w:ind w:left="0" w:right="-20" w:firstLine="0"/>
                      <w:jc w:val="left"/>
                      <w:rPr>
                        <w:sz w:val="18"/>
                      </w:rPr>
                    </w:pPr>
                    <w:r>
                      <w:rPr>
                        <w:color w:val="585858"/>
                        <w:sz w:val="18"/>
                      </w:rPr>
                      <w:t>1.0</w:t>
                    </w:r>
                  </w:p>
                  <w:p>
                    <w:pPr>
                      <w:spacing w:before="118"/>
                      <w:ind w:left="0" w:right="-20" w:firstLine="0"/>
                      <w:jc w:val="left"/>
                      <w:rPr>
                        <w:sz w:val="18"/>
                      </w:rPr>
                    </w:pPr>
                    <w:r>
                      <w:rPr>
                        <w:color w:val="585858"/>
                        <w:sz w:val="18"/>
                      </w:rPr>
                      <w:t>0.5</w:t>
                    </w:r>
                  </w:p>
                  <w:p>
                    <w:pPr>
                      <w:spacing w:line="203" w:lineRule="exact" w:before="119"/>
                      <w:ind w:left="0" w:right="-20" w:firstLine="0"/>
                      <w:jc w:val="left"/>
                      <w:rPr>
                        <w:sz w:val="18"/>
                      </w:rPr>
                    </w:pPr>
                    <w:r>
                      <w:rPr>
                        <w:color w:val="585858"/>
                        <w:sz w:val="18"/>
                      </w:rPr>
                      <w:t>0.0</w:t>
                    </w:r>
                  </w:p>
                </w:txbxContent>
              </v:textbox>
              <w10:wrap type="none"/>
            </v:shape>
            <v:shape style="position:absolute;left:2832;top:170;width:227;height:180" type="#_x0000_t202" filled="false" stroked="false">
              <v:textbox inset="0,0,0,0">
                <w:txbxContent>
                  <w:p>
                    <w:pPr>
                      <w:spacing w:line="180" w:lineRule="exact" w:before="0"/>
                      <w:ind w:left="0" w:right="-18" w:firstLine="0"/>
                      <w:jc w:val="left"/>
                      <w:rPr>
                        <w:sz w:val="18"/>
                      </w:rPr>
                    </w:pPr>
                    <w:r>
                      <w:rPr>
                        <w:color w:val="404040"/>
                        <w:sz w:val="18"/>
                      </w:rPr>
                      <w:t>3.2</w:t>
                    </w:r>
                  </w:p>
                </w:txbxContent>
              </v:textbox>
              <w10:wrap type="none"/>
            </v:shape>
            <v:shape style="position:absolute;left:3121;top:795;width:227;height:180" type="#_x0000_t202" filled="false" stroked="false">
              <v:textbox inset="0,0,0,0">
                <w:txbxContent>
                  <w:p>
                    <w:pPr>
                      <w:spacing w:line="180" w:lineRule="exact" w:before="0"/>
                      <w:ind w:left="0" w:right="-18" w:firstLine="0"/>
                      <w:jc w:val="left"/>
                      <w:rPr>
                        <w:sz w:val="18"/>
                      </w:rPr>
                    </w:pPr>
                    <w:r>
                      <w:rPr>
                        <w:color w:val="404040"/>
                        <w:sz w:val="18"/>
                      </w:rPr>
                      <w:t>2.2</w:t>
                    </w:r>
                  </w:p>
                </w:txbxContent>
              </v:textbox>
              <w10:wrap type="none"/>
            </v:shape>
            <v:shape style="position:absolute;left:3862;top:766;width:227;height:180" type="#_x0000_t202" filled="false" stroked="false">
              <v:textbox inset="0,0,0,0">
                <w:txbxContent>
                  <w:p>
                    <w:pPr>
                      <w:spacing w:line="180" w:lineRule="exact" w:before="0"/>
                      <w:ind w:left="0" w:right="-18" w:firstLine="0"/>
                      <w:jc w:val="left"/>
                      <w:rPr>
                        <w:sz w:val="18"/>
                      </w:rPr>
                    </w:pPr>
                    <w:r>
                      <w:rPr>
                        <w:color w:val="404040"/>
                        <w:sz w:val="18"/>
                      </w:rPr>
                      <w:t>2.3</w:t>
                    </w:r>
                  </w:p>
                </w:txbxContent>
              </v:textbox>
              <w10:wrap type="none"/>
            </v:shape>
            <v:shape style="position:absolute;left:5922;top:933;width:227;height:180" type="#_x0000_t202" filled="false" stroked="false">
              <v:textbox inset="0,0,0,0">
                <w:txbxContent>
                  <w:p>
                    <w:pPr>
                      <w:spacing w:line="180" w:lineRule="exact" w:before="0"/>
                      <w:ind w:left="0" w:right="-18" w:firstLine="0"/>
                      <w:jc w:val="left"/>
                      <w:rPr>
                        <w:sz w:val="18"/>
                      </w:rPr>
                    </w:pPr>
                    <w:r>
                      <w:rPr>
                        <w:color w:val="404040"/>
                        <w:sz w:val="18"/>
                      </w:rPr>
                      <w:t>2.0</w:t>
                    </w:r>
                  </w:p>
                </w:txbxContent>
              </v:textbox>
              <w10:wrap type="none"/>
            </v:shape>
            <v:shape style="position:absolute;left:4892;top:1225;width:227;height:180" type="#_x0000_t202" filled="false" stroked="false">
              <v:textbox inset="0,0,0,0">
                <w:txbxContent>
                  <w:p>
                    <w:pPr>
                      <w:spacing w:line="180" w:lineRule="exact" w:before="0"/>
                      <w:ind w:left="0" w:right="-18" w:firstLine="0"/>
                      <w:jc w:val="left"/>
                      <w:rPr>
                        <w:sz w:val="18"/>
                      </w:rPr>
                    </w:pPr>
                    <w:r>
                      <w:rPr>
                        <w:color w:val="404040"/>
                        <w:sz w:val="18"/>
                      </w:rPr>
                      <w:t>1.5</w:t>
                    </w:r>
                  </w:p>
                </w:txbxContent>
              </v:textbox>
              <w10:wrap type="none"/>
            </v:shape>
            <v:shape style="position:absolute;left:772;top:1452;width:227;height:180" type="#_x0000_t202" filled="false" stroked="false">
              <v:textbox inset="0,0,0,0">
                <w:txbxContent>
                  <w:p>
                    <w:pPr>
                      <w:spacing w:line="180" w:lineRule="exact" w:before="0"/>
                      <w:ind w:left="0" w:right="-18" w:firstLine="0"/>
                      <w:jc w:val="left"/>
                      <w:rPr>
                        <w:sz w:val="18"/>
                      </w:rPr>
                    </w:pPr>
                    <w:r>
                      <w:rPr>
                        <w:color w:val="404040"/>
                        <w:sz w:val="18"/>
                      </w:rPr>
                      <w:t>1.2</w:t>
                    </w:r>
                  </w:p>
                </w:txbxContent>
              </v:textbox>
              <w10:wrap type="none"/>
            </v:shape>
            <v:shape style="position:absolute;left:1802;top:1341;width:227;height:180" type="#_x0000_t202" filled="false" stroked="false">
              <v:textbox inset="0,0,0,0">
                <w:txbxContent>
                  <w:p>
                    <w:pPr>
                      <w:spacing w:line="180" w:lineRule="exact" w:before="0"/>
                      <w:ind w:left="0" w:right="-18" w:firstLine="0"/>
                      <w:jc w:val="left"/>
                      <w:rPr>
                        <w:sz w:val="18"/>
                      </w:rPr>
                    </w:pPr>
                    <w:r>
                      <w:rPr>
                        <w:color w:val="404040"/>
                        <w:sz w:val="18"/>
                      </w:rPr>
                      <w:t>1.4</w:t>
                    </w:r>
                  </w:p>
                </w:txbxContent>
              </v:textbox>
              <w10:wrap type="none"/>
            </v:shape>
            <v:shape style="position:absolute;left:4151;top:1465;width:227;height:180" type="#_x0000_t202" filled="false" stroked="false">
              <v:textbox inset="0,0,0,0">
                <w:txbxContent>
                  <w:p>
                    <w:pPr>
                      <w:spacing w:line="180" w:lineRule="exact" w:before="0"/>
                      <w:ind w:left="0" w:right="-18" w:firstLine="0"/>
                      <w:jc w:val="left"/>
                      <w:rPr>
                        <w:sz w:val="18"/>
                      </w:rPr>
                    </w:pPr>
                    <w:r>
                      <w:rPr>
                        <w:color w:val="404040"/>
                        <w:sz w:val="18"/>
                      </w:rPr>
                      <w:t>1.2</w:t>
                    </w:r>
                  </w:p>
                </w:txbxContent>
              </v:textbox>
              <w10:wrap type="none"/>
            </v:shape>
            <v:shape style="position:absolute;left:6952;top:1473;width:227;height:180" type="#_x0000_t202" filled="false" stroked="false">
              <v:textbox inset="0,0,0,0">
                <w:txbxContent>
                  <w:p>
                    <w:pPr>
                      <w:spacing w:line="180" w:lineRule="exact" w:before="0"/>
                      <w:ind w:left="0" w:right="-18" w:firstLine="0"/>
                      <w:jc w:val="left"/>
                      <w:rPr>
                        <w:sz w:val="18"/>
                      </w:rPr>
                    </w:pPr>
                    <w:r>
                      <w:rPr>
                        <w:color w:val="404040"/>
                        <w:sz w:val="18"/>
                      </w:rPr>
                      <w:t>1.2</w:t>
                    </w:r>
                  </w:p>
                </w:txbxContent>
              </v:textbox>
              <w10:wrap type="none"/>
            </v:shape>
            <v:shape style="position:absolute;left:1061;top:2016;width:227;height:180" type="#_x0000_t202" filled="false" stroked="false">
              <v:textbox inset="0,0,0,0">
                <w:txbxContent>
                  <w:p>
                    <w:pPr>
                      <w:spacing w:line="180" w:lineRule="exact" w:before="0"/>
                      <w:ind w:left="0" w:right="-18" w:firstLine="0"/>
                      <w:jc w:val="left"/>
                      <w:rPr>
                        <w:sz w:val="18"/>
                      </w:rPr>
                    </w:pPr>
                    <w:r>
                      <w:rPr>
                        <w:color w:val="404040"/>
                        <w:sz w:val="18"/>
                      </w:rPr>
                      <w:t>0.3</w:t>
                    </w:r>
                  </w:p>
                </w:txbxContent>
              </v:textbox>
              <w10:wrap type="none"/>
            </v:shape>
            <v:shape style="position:absolute;left:2091;top:1901;width:227;height:181" type="#_x0000_t202" filled="false" stroked="false">
              <v:textbox inset="0,0,0,0">
                <w:txbxContent>
                  <w:p>
                    <w:pPr>
                      <w:spacing w:line="180" w:lineRule="exact" w:before="0"/>
                      <w:ind w:left="0" w:right="-18" w:firstLine="0"/>
                      <w:jc w:val="left"/>
                      <w:rPr>
                        <w:sz w:val="18"/>
                      </w:rPr>
                    </w:pPr>
                    <w:r>
                      <w:rPr>
                        <w:color w:val="404040"/>
                        <w:sz w:val="18"/>
                      </w:rPr>
                      <w:t>0.5</w:t>
                    </w:r>
                  </w:p>
                </w:txbxContent>
              </v:textbox>
              <w10:wrap type="none"/>
            </v:shape>
            <v:shape style="position:absolute;left:5181;top:1983;width:227;height:180" type="#_x0000_t202" filled="false" stroked="false">
              <v:textbox inset="0,0,0,0">
                <w:txbxContent>
                  <w:p>
                    <w:pPr>
                      <w:spacing w:line="180" w:lineRule="exact" w:before="0"/>
                      <w:ind w:left="0" w:right="-18" w:firstLine="0"/>
                      <w:jc w:val="left"/>
                      <w:rPr>
                        <w:sz w:val="18"/>
                      </w:rPr>
                    </w:pPr>
                    <w:r>
                      <w:rPr>
                        <w:color w:val="404040"/>
                        <w:sz w:val="18"/>
                      </w:rPr>
                      <w:t>0.4</w:t>
                    </w:r>
                  </w:p>
                </w:txbxContent>
              </v:textbox>
              <w10:wrap type="none"/>
            </v:shape>
            <v:shape style="position:absolute;left:6210;top:2071;width:227;height:180" type="#_x0000_t202" filled="false" stroked="false">
              <v:textbox inset="0,0,0,0">
                <w:txbxContent>
                  <w:p>
                    <w:pPr>
                      <w:spacing w:line="180" w:lineRule="exact" w:before="0"/>
                      <w:ind w:left="0" w:right="-18" w:firstLine="0"/>
                      <w:jc w:val="left"/>
                      <w:rPr>
                        <w:sz w:val="18"/>
                      </w:rPr>
                    </w:pPr>
                    <w:r>
                      <w:rPr>
                        <w:color w:val="404040"/>
                        <w:sz w:val="18"/>
                      </w:rPr>
                      <w:t>0.3</w:t>
                    </w:r>
                  </w:p>
                </w:txbxContent>
              </v:textbox>
              <w10:wrap type="none"/>
            </v:shape>
            <v:shape style="position:absolute;left:7241;top:2099;width:227;height:180" type="#_x0000_t202" filled="false" stroked="false">
              <v:textbox inset="0,0,0,0">
                <w:txbxContent>
                  <w:p>
                    <w:pPr>
                      <w:spacing w:line="180" w:lineRule="exact" w:before="0"/>
                      <w:ind w:left="0" w:right="-18" w:firstLine="0"/>
                      <w:jc w:val="left"/>
                      <w:rPr>
                        <w:sz w:val="18"/>
                      </w:rPr>
                    </w:pPr>
                    <w:r>
                      <w:rPr>
                        <w:color w:val="404040"/>
                        <w:sz w:val="18"/>
                      </w:rPr>
                      <w:t>0.2</w:t>
                    </w:r>
                  </w:p>
                </w:txbxContent>
              </v:textbox>
              <w10:wrap type="none"/>
            </v:shape>
            <v:shape style="position:absolute;left:848;top:2658;width:6546;height:181" type="#_x0000_t202" filled="false" stroked="false">
              <v:textbox inset="0,0,0,0">
                <w:txbxContent>
                  <w:p>
                    <w:pPr>
                      <w:tabs>
                        <w:tab w:pos="1030" w:val="left" w:leader="none"/>
                        <w:tab w:pos="2060" w:val="left" w:leader="none"/>
                        <w:tab w:pos="3090" w:val="left" w:leader="none"/>
                        <w:tab w:pos="4120" w:val="left" w:leader="none"/>
                        <w:tab w:pos="5150" w:val="left" w:leader="none"/>
                        <w:tab w:pos="6180" w:val="left" w:leader="none"/>
                      </w:tabs>
                      <w:spacing w:line="180" w:lineRule="exact" w:before="0"/>
                      <w:ind w:left="0" w:right="0" w:firstLine="0"/>
                      <w:jc w:val="left"/>
                      <w:rPr>
                        <w:rFonts w:ascii="Calibri"/>
                        <w:sz w:val="18"/>
                      </w:rPr>
                    </w:pPr>
                    <w:r>
                      <w:rPr>
                        <w:rFonts w:ascii="Calibri"/>
                        <w:color w:val="585858"/>
                        <w:sz w:val="18"/>
                      </w:rPr>
                      <w:t>1980</w:t>
                      <w:tab/>
                      <w:t>1985</w:t>
                      <w:tab/>
                      <w:t>1988</w:t>
                      <w:tab/>
                      <w:t>1993</w:t>
                      <w:tab/>
                      <w:t>1998</w:t>
                      <w:tab/>
                      <w:t>2003</w:t>
                      <w:tab/>
                    </w:r>
                    <w:r>
                      <w:rPr>
                        <w:rFonts w:ascii="Calibri"/>
                        <w:color w:val="585858"/>
                        <w:spacing w:val="-1"/>
                        <w:sz w:val="18"/>
                      </w:rPr>
                      <w:t>2008</w:t>
                    </w:r>
                  </w:p>
                </w:txbxContent>
              </v:textbox>
              <w10:wrap type="none"/>
            </v:shape>
            <v:shape style="position:absolute;left:2272;top:3043;width:1723;height:180" type="#_x0000_t202" filled="false" stroked="false">
              <v:textbox inset="0,0,0,0">
                <w:txbxContent>
                  <w:p>
                    <w:pPr>
                      <w:spacing w:line="180" w:lineRule="exact" w:before="0"/>
                      <w:ind w:left="0" w:right="-15" w:firstLine="0"/>
                      <w:jc w:val="left"/>
                      <w:rPr>
                        <w:sz w:val="18"/>
                      </w:rPr>
                    </w:pPr>
                    <w:r>
                      <w:rPr>
                        <w:color w:val="585858"/>
                        <w:sz w:val="18"/>
                      </w:rPr>
                      <w:t>Industria</w:t>
                    </w:r>
                    <w:r>
                      <w:rPr>
                        <w:color w:val="585858"/>
                        <w:spacing w:val="-7"/>
                        <w:sz w:val="18"/>
                      </w:rPr>
                      <w:t> </w:t>
                    </w:r>
                    <w:r>
                      <w:rPr>
                        <w:color w:val="585858"/>
                        <w:sz w:val="18"/>
                      </w:rPr>
                      <w:t>manufacturera</w:t>
                    </w:r>
                  </w:p>
                </w:txbxContent>
              </v:textbox>
              <w10:wrap type="none"/>
            </v:shape>
            <v:shape style="position:absolute;left:4411;top:3043;width:1464;height:180" type="#_x0000_t202" filled="false" stroked="false">
              <v:textbox inset="0,0,0,0">
                <w:txbxContent>
                  <w:p>
                    <w:pPr>
                      <w:spacing w:line="180" w:lineRule="exact" w:before="0"/>
                      <w:ind w:left="0" w:right="-14" w:firstLine="0"/>
                      <w:jc w:val="left"/>
                      <w:rPr>
                        <w:sz w:val="18"/>
                      </w:rPr>
                    </w:pPr>
                    <w:r>
                      <w:rPr>
                        <w:color w:val="585858"/>
                        <w:sz w:val="18"/>
                      </w:rPr>
                      <w:t>Industria</w:t>
                    </w:r>
                    <w:r>
                      <w:rPr>
                        <w:color w:val="585858"/>
                        <w:spacing w:val="-7"/>
                        <w:sz w:val="18"/>
                      </w:rPr>
                      <w:t> </w:t>
                    </w:r>
                    <w:r>
                      <w:rPr>
                        <w:color w:val="585858"/>
                        <w:sz w:val="18"/>
                      </w:rPr>
                      <w:t>automotriz</w:t>
                    </w:r>
                  </w:p>
                </w:txbxContent>
              </v:textbox>
              <w10:wrap type="none"/>
            </v:shape>
          </v:group>
        </w:pict>
      </w:r>
      <w:r>
        <w:rPr>
          <w:sz w:val="20"/>
        </w:rPr>
      </w:r>
    </w:p>
    <w:p>
      <w:pPr>
        <w:spacing w:before="124"/>
        <w:ind w:left="383" w:right="400" w:firstLine="0"/>
        <w:jc w:val="center"/>
        <w:rPr>
          <w:sz w:val="18"/>
        </w:rPr>
      </w:pPr>
      <w:r>
        <w:rPr>
          <w:sz w:val="18"/>
        </w:rPr>
        <w:t>Fuente: Elaboración propia con datos del INEGI (varios años).</w:t>
      </w:r>
    </w:p>
    <w:p>
      <w:pPr>
        <w:pStyle w:val="BodyText"/>
        <w:rPr>
          <w:sz w:val="18"/>
        </w:rPr>
      </w:pPr>
    </w:p>
    <w:p>
      <w:pPr>
        <w:pStyle w:val="BodyText"/>
        <w:spacing w:line="360" w:lineRule="auto" w:before="135"/>
        <w:ind w:left="102" w:right="118"/>
        <w:jc w:val="both"/>
      </w:pPr>
      <w:r>
        <w:rPr/>
        <w:t>En cuanto al personal ocupado, la industria manufacturera el estado de Morelos en 1993 representó el 1.2% del empleo en la manufactura nacional, mientras que la industria automotriz representó el 0.2%, para el año 2008, se observa una pequeña disminución de su participación, contribuyendo con el 1.1 y 0.1% respectivamente (véase gráfica 4.7).</w:t>
      </w:r>
    </w:p>
    <w:p>
      <w:pPr>
        <w:pStyle w:val="BodyText"/>
        <w:spacing w:before="7"/>
        <w:rPr>
          <w:sz w:val="21"/>
        </w:rPr>
      </w:pPr>
    </w:p>
    <w:p>
      <w:pPr>
        <w:pStyle w:val="Heading1"/>
        <w:spacing w:line="360" w:lineRule="auto"/>
        <w:ind w:left="109" w:right="132"/>
        <w:jc w:val="center"/>
      </w:pPr>
      <w:r>
        <w:rPr/>
        <w:t>Gráfica 4.7. Participación porcentual de la industria manufacturera y automotriz de Morelos en la manufactura nacional, 1980-2008 (Personal Ocupado)</w:t>
      </w:r>
    </w:p>
    <w:p>
      <w:pPr>
        <w:pStyle w:val="BodyText"/>
        <w:ind w:left="538"/>
        <w:rPr>
          <w:sz w:val="20"/>
        </w:rPr>
      </w:pPr>
      <w:r>
        <w:rPr>
          <w:sz w:val="20"/>
        </w:rPr>
        <w:pict>
          <v:group style="width:397.6pt;height:170.8pt;mso-position-horizontal-relative:char;mso-position-vertical-relative:line" coordorigin="0,0" coordsize="7952,3416">
            <v:shape style="position:absolute;left:514;top:228;width:7210;height:2306" type="#_x0000_t75" stroked="false">
              <v:imagedata r:id="rId65" o:title=""/>
            </v:shape>
            <v:line style="position:absolute" from="7167,2206" to="7723,2206" stroked="true" strokeweight=".72pt" strokecolor="#d9d9d9"/>
            <v:line style="position:absolute" from="6135,2206" to="6963,2206" stroked="true" strokeweight=".72pt" strokecolor="#d9d9d9"/>
            <v:line style="position:absolute" from="5105,2206" to="5933,2206" stroked="true" strokeweight=".72pt" strokecolor="#d9d9d9"/>
            <v:line style="position:absolute" from="4075,2206" to="4903,2206" stroked="true" strokeweight=".72pt" strokecolor="#d9d9d9"/>
            <v:line style="position:absolute" from="3046,2206" to="3874,2206" stroked="true" strokeweight=".72pt" strokecolor="#d9d9d9"/>
            <v:line style="position:absolute" from="2016,2206" to="2844,2206" stroked="true" strokeweight=".72pt" strokecolor="#d9d9d9"/>
            <v:line style="position:absolute" from="987,2206" to="1815,2206" stroked="true" strokeweight=".72pt" strokecolor="#d9d9d9"/>
            <v:line style="position:absolute" from="514,2206" to="785,2206" stroked="true" strokeweight=".72pt" strokecolor="#d9d9d9"/>
            <v:line style="position:absolute" from="7167,1877" to="7723,1877" stroked="true" strokeweight=".72pt" strokecolor="#d9d9d9"/>
            <v:line style="position:absolute" from="6135,1877" to="6963,1877" stroked="true" strokeweight=".72pt" strokecolor="#d9d9d9"/>
            <v:line style="position:absolute" from="5105,1877" to="5933,1877" stroked="true" strokeweight=".72pt" strokecolor="#d9d9d9"/>
            <v:line style="position:absolute" from="4075,1877" to="4903,1877" stroked="true" strokeweight=".72pt" strokecolor="#d9d9d9"/>
            <v:line style="position:absolute" from="3046,1877" to="3874,1877" stroked="true" strokeweight=".72pt" strokecolor="#d9d9d9"/>
            <v:line style="position:absolute" from="2016,1877" to="2844,1877" stroked="true" strokeweight=".72pt" strokecolor="#d9d9d9"/>
            <v:line style="position:absolute" from="987,1877" to="1815,1877" stroked="true" strokeweight=".72pt" strokecolor="#d9d9d9"/>
            <v:line style="position:absolute" from="514,1877" to="785,1877" stroked="true" strokeweight=".72pt" strokecolor="#d9d9d9"/>
            <v:line style="position:absolute" from="7167,1546" to="7723,1546" stroked="true" strokeweight=".72pt" strokecolor="#d9d9d9"/>
            <v:line style="position:absolute" from="6135,1546" to="6963,1546" stroked="true" strokeweight=".72pt" strokecolor="#d9d9d9"/>
            <v:line style="position:absolute" from="5105,1546" to="5933,1546" stroked="true" strokeweight=".72pt" strokecolor="#d9d9d9"/>
            <v:line style="position:absolute" from="4075,1546" to="4903,1546" stroked="true" strokeweight=".72pt" strokecolor="#d9d9d9"/>
            <v:line style="position:absolute" from="3046,1546" to="3874,1546" stroked="true" strokeweight=".72pt" strokecolor="#d9d9d9"/>
            <v:line style="position:absolute" from="2016,1546" to="2844,1546" stroked="true" strokeweight=".72pt" strokecolor="#d9d9d9"/>
            <v:line style="position:absolute" from="987,1546" to="1815,1546" stroked="true" strokeweight=".72pt" strokecolor="#d9d9d9"/>
            <v:line style="position:absolute" from="514,1546" to="785,1546" stroked="true" strokeweight=".72pt" strokecolor="#d9d9d9"/>
            <v:line style="position:absolute" from="7167,1217" to="7723,1217" stroked="true" strokeweight=".72pt" strokecolor="#d9d9d9"/>
            <v:line style="position:absolute" from="6135,1217" to="6963,1217" stroked="true" strokeweight=".72pt" strokecolor="#d9d9d9"/>
            <v:line style="position:absolute" from="5105,1217" to="5933,1217" stroked="true" strokeweight=".72pt" strokecolor="#d9d9d9"/>
            <v:line style="position:absolute" from="4075,1217" to="4903,1217" stroked="true" strokeweight=".72pt" strokecolor="#d9d9d9"/>
            <v:line style="position:absolute" from="3046,1217" to="3874,1217" stroked="true" strokeweight=".72pt" strokecolor="#d9d9d9"/>
            <v:line style="position:absolute" from="2016,1217" to="2844,1217" stroked="true" strokeweight=".72pt" strokecolor="#d9d9d9"/>
            <v:line style="position:absolute" from="987,1217" to="1815,1217" stroked="true" strokeweight=".72pt" strokecolor="#d9d9d9"/>
            <v:line style="position:absolute" from="514,1217" to="785,1217" stroked="true" strokeweight=".72pt" strokecolor="#d9d9d9"/>
            <v:line style="position:absolute" from="7167,888" to="7723,888" stroked="true" strokeweight=".72pt" strokecolor="#d9d9d9"/>
            <v:line style="position:absolute" from="6135,888" to="6963,888" stroked="true" strokeweight=".72pt" strokecolor="#d9d9d9"/>
            <v:line style="position:absolute" from="4075,888" to="5933,888" stroked="true" strokeweight=".72pt" strokecolor="#d9d9d9"/>
            <v:line style="position:absolute" from="3046,888" to="3874,888" stroked="true" strokeweight=".72pt" strokecolor="#d9d9d9"/>
            <v:line style="position:absolute" from="2016,888" to="2844,888" stroked="true" strokeweight=".72pt" strokecolor="#d9d9d9"/>
            <v:line style="position:absolute" from="514,888" to="1815,888" stroked="true" strokeweight=".72pt" strokecolor="#d9d9d9"/>
            <v:line style="position:absolute" from="514,557" to="7723,557" stroked="true" strokeweight=".72pt" strokecolor="#d9d9d9"/>
            <v:line style="position:absolute" from="514,228" to="7723,228" stroked="true" strokeweight=".72pt" strokecolor="#d9d9d9"/>
            <v:line style="position:absolute" from="514,228" to="514,2535" stroked="true" strokeweight=".72pt" strokecolor="#d9d9d9"/>
            <v:line style="position:absolute" from="1546,228" to="1546,2535" stroked="true" strokeweight=".72pt" strokecolor="#d9d9d9"/>
            <v:line style="position:absolute" from="2575,228" to="2575,2535" stroked="true" strokeweight=".72pt" strokecolor="#d9d9d9"/>
            <v:line style="position:absolute" from="3605,228" to="3605,2535" stroked="true" strokeweight=".72pt" strokecolor="#d9d9d9"/>
            <v:line style="position:absolute" from="4635,228" to="4635,2535" stroked="true" strokeweight=".72pt" strokecolor="#d9d9d9"/>
            <v:line style="position:absolute" from="5664,228" to="5664,2535" stroked="true" strokeweight=".72pt" strokecolor="#d9d9d9"/>
            <v:line style="position:absolute" from="6694,228" to="6694,2535" stroked="true" strokeweight=".72pt" strokecolor="#d9d9d9"/>
            <v:line style="position:absolute" from="7723,228" to="7723,2535" stroked="true" strokeweight=".72pt" strokecolor="#d9d9d9"/>
            <v:rect style="position:absolute;left:785;top:891;width:202;height:1644" filled="true" fillcolor="#539e39" stroked="false">
              <v:fill type="solid"/>
            </v:rect>
            <v:rect style="position:absolute;left:1815;top:708;width:202;height:1826" filled="true" fillcolor="#539e39" stroked="false">
              <v:fill type="solid"/>
            </v:rect>
            <v:rect style="position:absolute;left:2844;top:701;width:202;height:1834" filled="true" fillcolor="#539e39" stroked="false">
              <v:fill type="solid"/>
            </v:rect>
            <v:rect style="position:absolute;left:3874;top:586;width:202;height:1949" filled="true" fillcolor="#539e39" stroked="false">
              <v:fill type="solid"/>
            </v:rect>
            <v:rect style="position:absolute;left:4904;top:934;width:202;height:1601" filled="true" fillcolor="#539e39" stroked="false">
              <v:fill type="solid"/>
            </v:rect>
            <v:rect style="position:absolute;left:5933;top:790;width:202;height:1745" filled="true" fillcolor="#539e39" stroked="false">
              <v:fill type="solid"/>
            </v:rect>
            <v:rect style="position:absolute;left:6963;top:696;width:204;height:1838" filled="true" fillcolor="#539e39" stroked="false">
              <v:fill type="solid"/>
            </v:rect>
            <v:rect style="position:absolute;left:1073;top:2304;width:202;height:230" filled="true" fillcolor="#89b833" stroked="false">
              <v:fill type="solid"/>
            </v:rect>
            <v:rect style="position:absolute;left:2103;top:2276;width:202;height:259" filled="true" fillcolor="#89b833" stroked="false">
              <v:fill type="solid"/>
            </v:rect>
            <v:rect style="position:absolute;left:3132;top:2261;width:202;height:274" filled="true" fillcolor="#89b833" stroked="false">
              <v:fill type="solid"/>
            </v:rect>
            <v:rect style="position:absolute;left:4162;top:2232;width:204;height:302" filled="true" fillcolor="#89b833" stroked="false">
              <v:fill type="solid"/>
            </v:rect>
            <v:rect style="position:absolute;left:5194;top:2429;width:202;height:106" filled="true" fillcolor="#89b833" stroked="false">
              <v:fill type="solid"/>
            </v:rect>
            <v:rect style="position:absolute;left:6223;top:2398;width:202;height:137" filled="true" fillcolor="#89b833" stroked="false">
              <v:fill type="solid"/>
            </v:rect>
            <v:rect style="position:absolute;left:7253;top:2393;width:202;height:142" filled="true" fillcolor="#89b833" stroked="false">
              <v:fill type="solid"/>
            </v:rect>
            <v:line style="position:absolute" from="514,2535" to="7723,2535" stroked="true" strokeweight=".72pt" strokecolor="#d9d9d9"/>
            <v:line style="position:absolute" from="2188,3084" to="2188,3175" stroked="true" strokeweight="4.440pt" strokecolor="#539e39"/>
            <v:line style="position:absolute" from="4329,3084" to="4329,3175" stroked="true" strokeweight="4.440pt" strokecolor="#89b833"/>
            <v:rect style="position:absolute;left:8;top:8;width:7937;height:3401" filled="false" stroked="true" strokeweight=".72pt" strokecolor="#d9d9d9"/>
            <v:shape style="position:absolute;left:138;top:141;width:225;height:2488" type="#_x0000_t202" filled="false" stroked="false">
              <v:textbox inset="0,0,0,0">
                <w:txbxContent>
                  <w:p>
                    <w:pPr>
                      <w:spacing w:line="184" w:lineRule="exact" w:before="0"/>
                      <w:ind w:left="0" w:right="-20" w:firstLine="0"/>
                      <w:jc w:val="left"/>
                      <w:rPr>
                        <w:sz w:val="18"/>
                      </w:rPr>
                    </w:pPr>
                    <w:r>
                      <w:rPr>
                        <w:color w:val="585858"/>
                        <w:sz w:val="18"/>
                      </w:rPr>
                      <w:t>1.4</w:t>
                    </w:r>
                  </w:p>
                  <w:p>
                    <w:pPr>
                      <w:spacing w:before="123"/>
                      <w:ind w:left="0" w:right="-20" w:firstLine="0"/>
                      <w:jc w:val="left"/>
                      <w:rPr>
                        <w:sz w:val="18"/>
                      </w:rPr>
                    </w:pPr>
                    <w:r>
                      <w:rPr>
                        <w:color w:val="585858"/>
                        <w:sz w:val="18"/>
                      </w:rPr>
                      <w:t>1.2</w:t>
                    </w:r>
                  </w:p>
                  <w:p>
                    <w:pPr>
                      <w:spacing w:before="122"/>
                      <w:ind w:left="0" w:right="-20" w:firstLine="0"/>
                      <w:jc w:val="left"/>
                      <w:rPr>
                        <w:sz w:val="18"/>
                      </w:rPr>
                    </w:pPr>
                    <w:r>
                      <w:rPr>
                        <w:color w:val="585858"/>
                        <w:sz w:val="18"/>
                      </w:rPr>
                      <w:t>1.0</w:t>
                    </w:r>
                  </w:p>
                  <w:p>
                    <w:pPr>
                      <w:spacing w:before="123"/>
                      <w:ind w:left="0" w:right="-20" w:firstLine="0"/>
                      <w:jc w:val="left"/>
                      <w:rPr>
                        <w:sz w:val="18"/>
                      </w:rPr>
                    </w:pPr>
                    <w:r>
                      <w:rPr>
                        <w:color w:val="585858"/>
                        <w:sz w:val="18"/>
                      </w:rPr>
                      <w:t>0.8</w:t>
                    </w:r>
                  </w:p>
                  <w:p>
                    <w:pPr>
                      <w:spacing w:before="123"/>
                      <w:ind w:left="0" w:right="-20" w:firstLine="0"/>
                      <w:jc w:val="left"/>
                      <w:rPr>
                        <w:sz w:val="18"/>
                      </w:rPr>
                    </w:pPr>
                    <w:r>
                      <w:rPr>
                        <w:color w:val="585858"/>
                        <w:sz w:val="18"/>
                      </w:rPr>
                      <w:t>0.6</w:t>
                    </w:r>
                  </w:p>
                  <w:p>
                    <w:pPr>
                      <w:spacing w:before="123"/>
                      <w:ind w:left="0" w:right="-20" w:firstLine="0"/>
                      <w:jc w:val="left"/>
                      <w:rPr>
                        <w:sz w:val="18"/>
                      </w:rPr>
                    </w:pPr>
                    <w:r>
                      <w:rPr>
                        <w:color w:val="585858"/>
                        <w:sz w:val="18"/>
                      </w:rPr>
                      <w:t>0.4</w:t>
                    </w:r>
                  </w:p>
                  <w:p>
                    <w:pPr>
                      <w:spacing w:before="122"/>
                      <w:ind w:left="0" w:right="-20" w:firstLine="0"/>
                      <w:jc w:val="left"/>
                      <w:rPr>
                        <w:sz w:val="18"/>
                      </w:rPr>
                    </w:pPr>
                    <w:r>
                      <w:rPr>
                        <w:color w:val="585858"/>
                        <w:sz w:val="18"/>
                      </w:rPr>
                      <w:t>0.2</w:t>
                    </w:r>
                  </w:p>
                  <w:p>
                    <w:pPr>
                      <w:spacing w:line="203" w:lineRule="exact" w:before="123"/>
                      <w:ind w:left="0" w:right="-20" w:firstLine="0"/>
                      <w:jc w:val="left"/>
                      <w:rPr>
                        <w:sz w:val="18"/>
                      </w:rPr>
                    </w:pPr>
                    <w:r>
                      <w:rPr>
                        <w:color w:val="585858"/>
                        <w:sz w:val="18"/>
                      </w:rPr>
                      <w:t>0.0</w:t>
                    </w:r>
                  </w:p>
                </w:txbxContent>
              </v:textbox>
              <w10:wrap type="none"/>
            </v:shape>
            <v:shape style="position:absolute;left:1802;top:435;width:227;height:180" type="#_x0000_t202" filled="false" stroked="false">
              <v:textbox inset="0,0,0,0">
                <w:txbxContent>
                  <w:p>
                    <w:pPr>
                      <w:spacing w:line="180" w:lineRule="exact" w:before="0"/>
                      <w:ind w:left="0" w:right="-18" w:firstLine="0"/>
                      <w:jc w:val="left"/>
                      <w:rPr>
                        <w:sz w:val="18"/>
                      </w:rPr>
                    </w:pPr>
                    <w:r>
                      <w:rPr>
                        <w:color w:val="404040"/>
                        <w:sz w:val="18"/>
                      </w:rPr>
                      <w:t>1.1</w:t>
                    </w:r>
                  </w:p>
                </w:txbxContent>
              </v:textbox>
              <w10:wrap type="none"/>
            </v:shape>
            <v:shape style="position:absolute;left:2832;top:429;width:227;height:181" type="#_x0000_t202" filled="false" stroked="false">
              <v:textbox inset="0,0,0,0">
                <w:txbxContent>
                  <w:p>
                    <w:pPr>
                      <w:spacing w:line="180" w:lineRule="exact" w:before="0"/>
                      <w:ind w:left="0" w:right="-18" w:firstLine="0"/>
                      <w:jc w:val="left"/>
                      <w:rPr>
                        <w:sz w:val="18"/>
                      </w:rPr>
                    </w:pPr>
                    <w:r>
                      <w:rPr>
                        <w:color w:val="404040"/>
                        <w:sz w:val="18"/>
                      </w:rPr>
                      <w:t>1.1</w:t>
                    </w:r>
                  </w:p>
                </w:txbxContent>
              </v:textbox>
              <w10:wrap type="none"/>
            </v:shape>
            <v:shape style="position:absolute;left:3862;top:315;width:227;height:180" type="#_x0000_t202" filled="false" stroked="false">
              <v:textbox inset="0,0,0,0">
                <w:txbxContent>
                  <w:p>
                    <w:pPr>
                      <w:spacing w:line="180" w:lineRule="exact" w:before="0"/>
                      <w:ind w:left="0" w:right="-18" w:firstLine="0"/>
                      <w:jc w:val="left"/>
                      <w:rPr>
                        <w:sz w:val="18"/>
                      </w:rPr>
                    </w:pPr>
                    <w:r>
                      <w:rPr>
                        <w:color w:val="404040"/>
                        <w:sz w:val="18"/>
                      </w:rPr>
                      <w:t>1.2</w:t>
                    </w:r>
                  </w:p>
                </w:txbxContent>
              </v:textbox>
              <w10:wrap type="none"/>
            </v:shape>
            <v:shape style="position:absolute;left:772;top:619;width:227;height:180" type="#_x0000_t202" filled="false" stroked="false">
              <v:textbox inset="0,0,0,0">
                <w:txbxContent>
                  <w:p>
                    <w:pPr>
                      <w:spacing w:line="180" w:lineRule="exact" w:before="0"/>
                      <w:ind w:left="0" w:right="-18" w:firstLine="0"/>
                      <w:jc w:val="left"/>
                      <w:rPr>
                        <w:sz w:val="18"/>
                      </w:rPr>
                    </w:pPr>
                    <w:r>
                      <w:rPr>
                        <w:color w:val="404040"/>
                        <w:sz w:val="18"/>
                      </w:rPr>
                      <w:t>1.0</w:t>
                    </w:r>
                  </w:p>
                </w:txbxContent>
              </v:textbox>
              <w10:wrap type="none"/>
            </v:shape>
            <v:shape style="position:absolute;left:5922;top:518;width:227;height:180" type="#_x0000_t202" filled="false" stroked="false">
              <v:textbox inset="0,0,0,0">
                <w:txbxContent>
                  <w:p>
                    <w:pPr>
                      <w:spacing w:line="180" w:lineRule="exact" w:before="0"/>
                      <w:ind w:left="0" w:right="-18" w:firstLine="0"/>
                      <w:jc w:val="left"/>
                      <w:rPr>
                        <w:sz w:val="18"/>
                      </w:rPr>
                    </w:pPr>
                    <w:r>
                      <w:rPr>
                        <w:color w:val="404040"/>
                        <w:sz w:val="18"/>
                      </w:rPr>
                      <w:t>1.1</w:t>
                    </w:r>
                  </w:p>
                </w:txbxContent>
              </v:textbox>
              <w10:wrap type="none"/>
            </v:shape>
            <v:shape style="position:absolute;left:6952;top:423;width:227;height:180" type="#_x0000_t202" filled="false" stroked="false">
              <v:textbox inset="0,0,0,0">
                <w:txbxContent>
                  <w:p>
                    <w:pPr>
                      <w:spacing w:line="180" w:lineRule="exact" w:before="0"/>
                      <w:ind w:left="0" w:right="-18" w:firstLine="0"/>
                      <w:jc w:val="left"/>
                      <w:rPr>
                        <w:sz w:val="18"/>
                      </w:rPr>
                    </w:pPr>
                    <w:r>
                      <w:rPr>
                        <w:color w:val="404040"/>
                        <w:sz w:val="18"/>
                      </w:rPr>
                      <w:t>1.1</w:t>
                    </w:r>
                  </w:p>
                </w:txbxContent>
              </v:textbox>
              <w10:wrap type="none"/>
            </v:shape>
            <v:shape style="position:absolute;left:4892;top:663;width:227;height:180" type="#_x0000_t202" filled="false" stroked="false">
              <v:textbox inset="0,0,0,0">
                <w:txbxContent>
                  <w:p>
                    <w:pPr>
                      <w:spacing w:line="180" w:lineRule="exact" w:before="0"/>
                      <w:ind w:left="0" w:right="-18" w:firstLine="0"/>
                      <w:jc w:val="left"/>
                      <w:rPr>
                        <w:sz w:val="18"/>
                      </w:rPr>
                    </w:pPr>
                    <w:r>
                      <w:rPr>
                        <w:color w:val="404040"/>
                        <w:sz w:val="18"/>
                      </w:rPr>
                      <w:t>1.0</w:t>
                    </w:r>
                  </w:p>
                </w:txbxContent>
              </v:textbox>
              <w10:wrap type="none"/>
            </v:shape>
            <v:shape style="position:absolute;left:1061;top:2033;width:227;height:180" type="#_x0000_t202" filled="false" stroked="false">
              <v:textbox inset="0,0,0,0">
                <w:txbxContent>
                  <w:p>
                    <w:pPr>
                      <w:spacing w:line="180" w:lineRule="exact" w:before="0"/>
                      <w:ind w:left="0" w:right="-18" w:firstLine="0"/>
                      <w:jc w:val="left"/>
                      <w:rPr>
                        <w:sz w:val="18"/>
                      </w:rPr>
                    </w:pPr>
                    <w:r>
                      <w:rPr>
                        <w:color w:val="404040"/>
                        <w:sz w:val="18"/>
                      </w:rPr>
                      <w:t>0.1</w:t>
                    </w:r>
                  </w:p>
                </w:txbxContent>
              </v:textbox>
              <w10:wrap type="none"/>
            </v:shape>
            <v:shape style="position:absolute;left:2091;top:2004;width:227;height:180" type="#_x0000_t202" filled="false" stroked="false">
              <v:textbox inset="0,0,0,0">
                <w:txbxContent>
                  <w:p>
                    <w:pPr>
                      <w:spacing w:line="180" w:lineRule="exact" w:before="0"/>
                      <w:ind w:left="0" w:right="-18" w:firstLine="0"/>
                      <w:jc w:val="left"/>
                      <w:rPr>
                        <w:sz w:val="18"/>
                      </w:rPr>
                    </w:pPr>
                    <w:r>
                      <w:rPr>
                        <w:color w:val="404040"/>
                        <w:sz w:val="18"/>
                      </w:rPr>
                      <w:t>0.2</w:t>
                    </w:r>
                  </w:p>
                </w:txbxContent>
              </v:textbox>
              <w10:wrap type="none"/>
            </v:shape>
            <v:shape style="position:absolute;left:3121;top:1989;width:227;height:180" type="#_x0000_t202" filled="false" stroked="false">
              <v:textbox inset="0,0,0,0">
                <w:txbxContent>
                  <w:p>
                    <w:pPr>
                      <w:spacing w:line="180" w:lineRule="exact" w:before="0"/>
                      <w:ind w:left="0" w:right="-18" w:firstLine="0"/>
                      <w:jc w:val="left"/>
                      <w:rPr>
                        <w:sz w:val="18"/>
                      </w:rPr>
                    </w:pPr>
                    <w:r>
                      <w:rPr>
                        <w:color w:val="404040"/>
                        <w:sz w:val="18"/>
                      </w:rPr>
                      <w:t>0.2</w:t>
                    </w:r>
                  </w:p>
                </w:txbxContent>
              </v:textbox>
              <w10:wrap type="none"/>
            </v:shape>
            <v:shape style="position:absolute;left:4151;top:1959;width:227;height:180" type="#_x0000_t202" filled="false" stroked="false">
              <v:textbox inset="0,0,0,0">
                <w:txbxContent>
                  <w:p>
                    <w:pPr>
                      <w:spacing w:line="180" w:lineRule="exact" w:before="0"/>
                      <w:ind w:left="0" w:right="-18" w:firstLine="0"/>
                      <w:jc w:val="left"/>
                      <w:rPr>
                        <w:sz w:val="18"/>
                      </w:rPr>
                    </w:pPr>
                    <w:r>
                      <w:rPr>
                        <w:color w:val="404040"/>
                        <w:sz w:val="18"/>
                      </w:rPr>
                      <w:t>0.2</w:t>
                    </w:r>
                  </w:p>
                </w:txbxContent>
              </v:textbox>
              <w10:wrap type="none"/>
            </v:shape>
            <v:shape style="position:absolute;left:5181;top:2156;width:227;height:180" type="#_x0000_t202" filled="false" stroked="false">
              <v:textbox inset="0,0,0,0">
                <w:txbxContent>
                  <w:p>
                    <w:pPr>
                      <w:spacing w:line="180" w:lineRule="exact" w:before="0"/>
                      <w:ind w:left="0" w:right="-18" w:firstLine="0"/>
                      <w:jc w:val="left"/>
                      <w:rPr>
                        <w:sz w:val="18"/>
                      </w:rPr>
                    </w:pPr>
                    <w:r>
                      <w:rPr>
                        <w:color w:val="404040"/>
                        <w:sz w:val="18"/>
                      </w:rPr>
                      <w:t>0.1</w:t>
                    </w:r>
                  </w:p>
                </w:txbxContent>
              </v:textbox>
              <w10:wrap type="none"/>
            </v:shape>
            <v:shape style="position:absolute;left:6210;top:2126;width:227;height:180" type="#_x0000_t202" filled="false" stroked="false">
              <v:textbox inset="0,0,0,0">
                <w:txbxContent>
                  <w:p>
                    <w:pPr>
                      <w:spacing w:line="180" w:lineRule="exact" w:before="0"/>
                      <w:ind w:left="0" w:right="-18" w:firstLine="0"/>
                      <w:jc w:val="left"/>
                      <w:rPr>
                        <w:sz w:val="18"/>
                      </w:rPr>
                    </w:pPr>
                    <w:r>
                      <w:rPr>
                        <w:color w:val="404040"/>
                        <w:sz w:val="18"/>
                      </w:rPr>
                      <w:t>0.1</w:t>
                    </w:r>
                  </w:p>
                </w:txbxContent>
              </v:textbox>
              <w10:wrap type="none"/>
            </v:shape>
            <v:shape style="position:absolute;left:7241;top:2120;width:227;height:180" type="#_x0000_t202" filled="false" stroked="false">
              <v:textbox inset="0,0,0,0">
                <w:txbxContent>
                  <w:p>
                    <w:pPr>
                      <w:spacing w:line="180" w:lineRule="exact" w:before="0"/>
                      <w:ind w:left="0" w:right="-18" w:firstLine="0"/>
                      <w:jc w:val="left"/>
                      <w:rPr>
                        <w:sz w:val="18"/>
                      </w:rPr>
                    </w:pPr>
                    <w:r>
                      <w:rPr>
                        <w:color w:val="404040"/>
                        <w:sz w:val="18"/>
                      </w:rPr>
                      <w:t>0.1</w:t>
                    </w:r>
                  </w:p>
                </w:txbxContent>
              </v:textbox>
              <w10:wrap type="none"/>
            </v:shape>
            <v:shape style="position:absolute;left:850;top:2660;width:6542;height:180" type="#_x0000_t202" filled="false" stroked="false">
              <v:textbox inset="0,0,0,0">
                <w:txbxContent>
                  <w:p>
                    <w:pPr>
                      <w:tabs>
                        <w:tab w:pos="1030" w:val="left" w:leader="none"/>
                        <w:tab w:pos="2060" w:val="left" w:leader="none"/>
                        <w:tab w:pos="3090" w:val="left" w:leader="none"/>
                        <w:tab w:pos="4120" w:val="left" w:leader="none"/>
                        <w:tab w:pos="5150" w:val="left" w:leader="none"/>
                        <w:tab w:pos="6180" w:val="left" w:leader="none"/>
                      </w:tabs>
                      <w:spacing w:line="180" w:lineRule="exact" w:before="0"/>
                      <w:ind w:left="0" w:right="0" w:firstLine="0"/>
                      <w:jc w:val="left"/>
                      <w:rPr>
                        <w:sz w:val="18"/>
                      </w:rPr>
                    </w:pPr>
                    <w:r>
                      <w:rPr>
                        <w:color w:val="585858"/>
                        <w:sz w:val="18"/>
                      </w:rPr>
                      <w:t>1980</w:t>
                      <w:tab/>
                      <w:t>1985</w:t>
                      <w:tab/>
                      <w:t>1988</w:t>
                      <w:tab/>
                      <w:t>1993</w:t>
                      <w:tab/>
                      <w:t>1998</w:t>
                      <w:tab/>
                      <w:t>2003</w:t>
                      <w:tab/>
                      <w:t>2008</w:t>
                    </w:r>
                  </w:p>
                </w:txbxContent>
              </v:textbox>
              <w10:wrap type="none"/>
            </v:shape>
            <v:shape style="position:absolute;left:2272;top:3044;width:1723;height:180" type="#_x0000_t202" filled="false" stroked="false">
              <v:textbox inset="0,0,0,0">
                <w:txbxContent>
                  <w:p>
                    <w:pPr>
                      <w:spacing w:line="180" w:lineRule="exact" w:before="0"/>
                      <w:ind w:left="0" w:right="-15" w:firstLine="0"/>
                      <w:jc w:val="left"/>
                      <w:rPr>
                        <w:sz w:val="18"/>
                      </w:rPr>
                    </w:pPr>
                    <w:r>
                      <w:rPr>
                        <w:color w:val="585858"/>
                        <w:sz w:val="18"/>
                      </w:rPr>
                      <w:t>Industria</w:t>
                    </w:r>
                    <w:r>
                      <w:rPr>
                        <w:color w:val="585858"/>
                        <w:spacing w:val="-7"/>
                        <w:sz w:val="18"/>
                      </w:rPr>
                      <w:t> </w:t>
                    </w:r>
                    <w:r>
                      <w:rPr>
                        <w:color w:val="585858"/>
                        <w:sz w:val="18"/>
                      </w:rPr>
                      <w:t>manufacturera</w:t>
                    </w:r>
                  </w:p>
                </w:txbxContent>
              </v:textbox>
              <w10:wrap type="none"/>
            </v:shape>
            <v:shape style="position:absolute;left:4411;top:3044;width:1464;height:180" type="#_x0000_t202" filled="false" stroked="false">
              <v:textbox inset="0,0,0,0">
                <w:txbxContent>
                  <w:p>
                    <w:pPr>
                      <w:spacing w:line="180" w:lineRule="exact" w:before="0"/>
                      <w:ind w:left="0" w:right="-14" w:firstLine="0"/>
                      <w:jc w:val="left"/>
                      <w:rPr>
                        <w:sz w:val="18"/>
                      </w:rPr>
                    </w:pPr>
                    <w:r>
                      <w:rPr>
                        <w:color w:val="585858"/>
                        <w:sz w:val="18"/>
                      </w:rPr>
                      <w:t>Industria</w:t>
                    </w:r>
                    <w:r>
                      <w:rPr>
                        <w:color w:val="585858"/>
                        <w:spacing w:val="-7"/>
                        <w:sz w:val="18"/>
                      </w:rPr>
                      <w:t> </w:t>
                    </w:r>
                    <w:r>
                      <w:rPr>
                        <w:color w:val="585858"/>
                        <w:sz w:val="18"/>
                      </w:rPr>
                      <w:t>automotriz</w:t>
                    </w:r>
                  </w:p>
                </w:txbxContent>
              </v:textbox>
              <w10:wrap type="none"/>
            </v:shape>
          </v:group>
        </w:pict>
      </w:r>
      <w:r>
        <w:rPr>
          <w:sz w:val="20"/>
        </w:rPr>
      </w:r>
    </w:p>
    <w:p>
      <w:pPr>
        <w:spacing w:before="124"/>
        <w:ind w:left="383" w:right="401" w:firstLine="0"/>
        <w:jc w:val="center"/>
        <w:rPr>
          <w:sz w:val="18"/>
        </w:rPr>
      </w:pPr>
      <w:r>
        <w:rPr>
          <w:sz w:val="18"/>
        </w:rPr>
        <w:t>Fuente: Elaboración propia con datos del INEGI (varios años).</w:t>
      </w:r>
    </w:p>
    <w:p>
      <w:pPr>
        <w:pStyle w:val="BodyText"/>
        <w:rPr>
          <w:sz w:val="18"/>
        </w:rPr>
      </w:pPr>
    </w:p>
    <w:p>
      <w:pPr>
        <w:pStyle w:val="BodyText"/>
        <w:spacing w:line="360" w:lineRule="auto" w:before="135"/>
        <w:ind w:left="102" w:right="114"/>
        <w:jc w:val="both"/>
      </w:pPr>
      <w:r>
        <w:rPr/>
        <w:t>En contraste, el estado de Puebla como </w:t>
      </w:r>
      <w:r>
        <w:rPr>
          <w:spacing w:val="-3"/>
        </w:rPr>
        <w:t>ya </w:t>
      </w:r>
      <w:r>
        <w:rPr/>
        <w:t>se ha mencionado, presenta un comportamiento distinto</w:t>
      </w:r>
      <w:r>
        <w:rPr>
          <w:spacing w:val="-6"/>
        </w:rPr>
        <w:t> </w:t>
      </w:r>
      <w:r>
        <w:rPr/>
        <w:t>al</w:t>
      </w:r>
      <w:r>
        <w:rPr>
          <w:spacing w:val="-6"/>
        </w:rPr>
        <w:t> </w:t>
      </w:r>
      <w:r>
        <w:rPr/>
        <w:t>de</w:t>
      </w:r>
      <w:r>
        <w:rPr>
          <w:spacing w:val="-7"/>
        </w:rPr>
        <w:t> </w:t>
      </w:r>
      <w:r>
        <w:rPr/>
        <w:t>toda</w:t>
      </w:r>
      <w:r>
        <w:rPr>
          <w:spacing w:val="-7"/>
        </w:rPr>
        <w:t> </w:t>
      </w:r>
      <w:r>
        <w:rPr/>
        <w:t>la</w:t>
      </w:r>
      <w:r>
        <w:rPr>
          <w:spacing w:val="-7"/>
        </w:rPr>
        <w:t> </w:t>
      </w:r>
      <w:r>
        <w:rPr/>
        <w:t>región</w:t>
      </w:r>
      <w:r>
        <w:rPr>
          <w:spacing w:val="-6"/>
        </w:rPr>
        <w:t> </w:t>
      </w:r>
      <w:r>
        <w:rPr/>
        <w:t>centro</w:t>
      </w:r>
      <w:r>
        <w:rPr>
          <w:spacing w:val="-1"/>
        </w:rPr>
        <w:t> </w:t>
      </w:r>
      <w:r>
        <w:rPr/>
        <w:t>y</w:t>
      </w:r>
      <w:r>
        <w:rPr>
          <w:spacing w:val="-11"/>
        </w:rPr>
        <w:t> </w:t>
      </w:r>
      <w:r>
        <w:rPr/>
        <w:t>entidades</w:t>
      </w:r>
      <w:r>
        <w:rPr>
          <w:spacing w:val="-6"/>
        </w:rPr>
        <w:t> </w:t>
      </w:r>
      <w:r>
        <w:rPr/>
        <w:t>federativas</w:t>
      </w:r>
      <w:r>
        <w:rPr>
          <w:spacing w:val="-6"/>
        </w:rPr>
        <w:t> </w:t>
      </w:r>
      <w:r>
        <w:rPr/>
        <w:t>que</w:t>
      </w:r>
      <w:r>
        <w:rPr>
          <w:spacing w:val="-7"/>
        </w:rPr>
        <w:t> </w:t>
      </w:r>
      <w:r>
        <w:rPr/>
        <w:t>la</w:t>
      </w:r>
      <w:r>
        <w:rPr>
          <w:spacing w:val="-7"/>
        </w:rPr>
        <w:t> </w:t>
      </w:r>
      <w:r>
        <w:rPr/>
        <w:t>conforman,</w:t>
      </w:r>
      <w:r>
        <w:rPr>
          <w:spacing w:val="-6"/>
        </w:rPr>
        <w:t> </w:t>
      </w:r>
      <w:r>
        <w:rPr/>
        <w:t>esto</w:t>
      </w:r>
      <w:r>
        <w:rPr>
          <w:spacing w:val="-6"/>
        </w:rPr>
        <w:t> </w:t>
      </w:r>
      <w:r>
        <w:rPr/>
        <w:t>se</w:t>
      </w:r>
      <w:r>
        <w:rPr>
          <w:spacing w:val="-7"/>
        </w:rPr>
        <w:t> </w:t>
      </w:r>
      <w:r>
        <w:rPr/>
        <w:t>reafirma al</w:t>
      </w:r>
      <w:r>
        <w:rPr>
          <w:spacing w:val="40"/>
        </w:rPr>
        <w:t> </w:t>
      </w:r>
      <w:r>
        <w:rPr/>
        <w:t>observar</w:t>
      </w:r>
      <w:r>
        <w:rPr>
          <w:spacing w:val="38"/>
        </w:rPr>
        <w:t> </w:t>
      </w:r>
      <w:r>
        <w:rPr/>
        <w:t>la</w:t>
      </w:r>
      <w:r>
        <w:rPr>
          <w:spacing w:val="39"/>
        </w:rPr>
        <w:t> </w:t>
      </w:r>
      <w:r>
        <w:rPr/>
        <w:t>gráfica</w:t>
      </w:r>
      <w:r>
        <w:rPr>
          <w:spacing w:val="38"/>
        </w:rPr>
        <w:t> </w:t>
      </w:r>
      <w:r>
        <w:rPr/>
        <w:t>4.8,</w:t>
      </w:r>
      <w:r>
        <w:rPr>
          <w:spacing w:val="39"/>
        </w:rPr>
        <w:t> </w:t>
      </w:r>
      <w:r>
        <w:rPr/>
        <w:t>pues</w:t>
      </w:r>
      <w:r>
        <w:rPr>
          <w:spacing w:val="39"/>
        </w:rPr>
        <w:t> </w:t>
      </w:r>
      <w:r>
        <w:rPr/>
        <w:t>si</w:t>
      </w:r>
      <w:r>
        <w:rPr>
          <w:spacing w:val="40"/>
        </w:rPr>
        <w:t> </w:t>
      </w:r>
      <w:r>
        <w:rPr/>
        <w:t>bien</w:t>
      </w:r>
      <w:r>
        <w:rPr>
          <w:spacing w:val="41"/>
        </w:rPr>
        <w:t> </w:t>
      </w:r>
      <w:r>
        <w:rPr/>
        <w:t>en</w:t>
      </w:r>
      <w:r>
        <w:rPr>
          <w:spacing w:val="39"/>
        </w:rPr>
        <w:t> </w:t>
      </w:r>
      <w:r>
        <w:rPr/>
        <w:t>1980</w:t>
      </w:r>
      <w:r>
        <w:rPr>
          <w:spacing w:val="41"/>
        </w:rPr>
        <w:t> </w:t>
      </w:r>
      <w:r>
        <w:rPr/>
        <w:t>tanto</w:t>
      </w:r>
      <w:r>
        <w:rPr>
          <w:spacing w:val="39"/>
        </w:rPr>
        <w:t> </w:t>
      </w:r>
      <w:r>
        <w:rPr/>
        <w:t>la</w:t>
      </w:r>
      <w:r>
        <w:rPr>
          <w:spacing w:val="39"/>
        </w:rPr>
        <w:t> </w:t>
      </w:r>
      <w:r>
        <w:rPr/>
        <w:t>manufactura</w:t>
      </w:r>
      <w:r>
        <w:rPr>
          <w:spacing w:val="38"/>
        </w:rPr>
        <w:t> </w:t>
      </w:r>
      <w:r>
        <w:rPr/>
        <w:t>como</w:t>
      </w:r>
      <w:r>
        <w:rPr>
          <w:spacing w:val="40"/>
        </w:rPr>
        <w:t> </w:t>
      </w:r>
      <w:r>
        <w:rPr/>
        <w:t>la</w:t>
      </w:r>
      <w:r>
        <w:rPr>
          <w:spacing w:val="39"/>
        </w:rPr>
        <w:t> </w:t>
      </w:r>
      <w:r>
        <w:rPr/>
        <w:t>industria</w:t>
      </w:r>
    </w:p>
    <w:p>
      <w:pPr>
        <w:spacing w:after="0" w:line="360" w:lineRule="auto"/>
        <w:jc w:val="both"/>
        <w:sectPr>
          <w:pgSz w:w="12240" w:h="15840"/>
          <w:pgMar w:header="0" w:footer="1035" w:top="1360" w:bottom="1220" w:left="1600" w:right="1580"/>
        </w:sectPr>
      </w:pPr>
    </w:p>
    <w:p>
      <w:pPr>
        <w:pStyle w:val="BodyText"/>
        <w:spacing w:line="360" w:lineRule="auto" w:before="50"/>
        <w:ind w:left="102" w:right="118"/>
        <w:jc w:val="both"/>
      </w:pPr>
      <w:r>
        <w:rPr/>
        <w:t>automotriz</w:t>
      </w:r>
      <w:r>
        <w:rPr>
          <w:spacing w:val="-8"/>
        </w:rPr>
        <w:t> </w:t>
      </w:r>
      <w:r>
        <w:rPr/>
        <w:t>tenían</w:t>
      </w:r>
      <w:r>
        <w:rPr>
          <w:spacing w:val="-10"/>
        </w:rPr>
        <w:t> </w:t>
      </w:r>
      <w:r>
        <w:rPr/>
        <w:t>una</w:t>
      </w:r>
      <w:r>
        <w:rPr>
          <w:spacing w:val="-11"/>
        </w:rPr>
        <w:t> </w:t>
      </w:r>
      <w:r>
        <w:rPr/>
        <w:t>participación</w:t>
      </w:r>
      <w:r>
        <w:rPr>
          <w:spacing w:val="-9"/>
        </w:rPr>
        <w:t> </w:t>
      </w:r>
      <w:r>
        <w:rPr/>
        <w:t>importante</w:t>
      </w:r>
      <w:r>
        <w:rPr>
          <w:spacing w:val="-10"/>
        </w:rPr>
        <w:t> </w:t>
      </w:r>
      <w:r>
        <w:rPr/>
        <w:t>en</w:t>
      </w:r>
      <w:r>
        <w:rPr>
          <w:spacing w:val="-10"/>
        </w:rPr>
        <w:t> </w:t>
      </w:r>
      <w:r>
        <w:rPr/>
        <w:t>la</w:t>
      </w:r>
      <w:r>
        <w:rPr>
          <w:spacing w:val="-10"/>
        </w:rPr>
        <w:t> </w:t>
      </w:r>
      <w:r>
        <w:rPr/>
        <w:t>manufactura</w:t>
      </w:r>
      <w:r>
        <w:rPr>
          <w:spacing w:val="-11"/>
        </w:rPr>
        <w:t> </w:t>
      </w:r>
      <w:r>
        <w:rPr/>
        <w:t>nacional</w:t>
      </w:r>
      <w:r>
        <w:rPr>
          <w:spacing w:val="-10"/>
        </w:rPr>
        <w:t> </w:t>
      </w:r>
      <w:r>
        <w:rPr/>
        <w:t>en</w:t>
      </w:r>
      <w:r>
        <w:rPr>
          <w:spacing w:val="-10"/>
        </w:rPr>
        <w:t> </w:t>
      </w:r>
      <w:r>
        <w:rPr/>
        <w:t>cuanto</w:t>
      </w:r>
      <w:r>
        <w:rPr>
          <w:spacing w:val="-9"/>
        </w:rPr>
        <w:t> </w:t>
      </w:r>
      <w:r>
        <w:rPr/>
        <w:t>al</w:t>
      </w:r>
      <w:r>
        <w:rPr>
          <w:spacing w:val="-9"/>
        </w:rPr>
        <w:t> </w:t>
      </w:r>
      <w:r>
        <w:rPr/>
        <w:t>valor agregado</w:t>
      </w:r>
      <w:r>
        <w:rPr>
          <w:spacing w:val="-10"/>
        </w:rPr>
        <w:t> </w:t>
      </w:r>
      <w:r>
        <w:rPr/>
        <w:t>censal</w:t>
      </w:r>
      <w:r>
        <w:rPr>
          <w:spacing w:val="-12"/>
        </w:rPr>
        <w:t> </w:t>
      </w:r>
      <w:r>
        <w:rPr/>
        <w:t>bruto,</w:t>
      </w:r>
      <w:r>
        <w:rPr>
          <w:spacing w:val="-12"/>
        </w:rPr>
        <w:t> </w:t>
      </w:r>
      <w:r>
        <w:rPr/>
        <w:t>ésta</w:t>
      </w:r>
      <w:r>
        <w:rPr>
          <w:spacing w:val="-13"/>
        </w:rPr>
        <w:t> </w:t>
      </w:r>
      <w:r>
        <w:rPr/>
        <w:t>participación</w:t>
      </w:r>
      <w:r>
        <w:rPr>
          <w:spacing w:val="-12"/>
        </w:rPr>
        <w:t> </w:t>
      </w:r>
      <w:r>
        <w:rPr/>
        <w:t>aumentó,</w:t>
      </w:r>
      <w:r>
        <w:rPr>
          <w:spacing w:val="-10"/>
        </w:rPr>
        <w:t> </w:t>
      </w:r>
      <w:r>
        <w:rPr/>
        <w:t>llegando</w:t>
      </w:r>
      <w:r>
        <w:rPr>
          <w:spacing w:val="-10"/>
        </w:rPr>
        <w:t> </w:t>
      </w:r>
      <w:r>
        <w:rPr/>
        <w:t>en</w:t>
      </w:r>
      <w:r>
        <w:rPr>
          <w:spacing w:val="-12"/>
        </w:rPr>
        <w:t> </w:t>
      </w:r>
      <w:r>
        <w:rPr/>
        <w:t>2003</w:t>
      </w:r>
      <w:r>
        <w:rPr>
          <w:spacing w:val="-12"/>
        </w:rPr>
        <w:t> </w:t>
      </w:r>
      <w:r>
        <w:rPr/>
        <w:t>a</w:t>
      </w:r>
      <w:r>
        <w:rPr>
          <w:spacing w:val="-13"/>
        </w:rPr>
        <w:t> </w:t>
      </w:r>
      <w:r>
        <w:rPr/>
        <w:t>su</w:t>
      </w:r>
      <w:r>
        <w:rPr>
          <w:spacing w:val="-12"/>
        </w:rPr>
        <w:t> </w:t>
      </w:r>
      <w:r>
        <w:rPr/>
        <w:t>nivel</w:t>
      </w:r>
      <w:r>
        <w:rPr>
          <w:spacing w:val="-12"/>
        </w:rPr>
        <w:t> </w:t>
      </w:r>
      <w:r>
        <w:rPr/>
        <w:t>más</w:t>
      </w:r>
      <w:r>
        <w:rPr>
          <w:spacing w:val="-12"/>
        </w:rPr>
        <w:t> </w:t>
      </w:r>
      <w:r>
        <w:rPr/>
        <w:t>alto,</w:t>
      </w:r>
      <w:r>
        <w:rPr>
          <w:spacing w:val="-12"/>
        </w:rPr>
        <w:t> </w:t>
      </w:r>
      <w:r>
        <w:rPr/>
        <w:t>pues la manufactura de la región representó el 5.7 del total del VACB nacional y lo más sobresaliente</w:t>
      </w:r>
      <w:r>
        <w:rPr>
          <w:spacing w:val="-7"/>
        </w:rPr>
        <w:t> </w:t>
      </w:r>
      <w:r>
        <w:rPr/>
        <w:t>es</w:t>
      </w:r>
      <w:r>
        <w:rPr>
          <w:spacing w:val="-8"/>
        </w:rPr>
        <w:t> </w:t>
      </w:r>
      <w:r>
        <w:rPr/>
        <w:t>que</w:t>
      </w:r>
      <w:r>
        <w:rPr>
          <w:spacing w:val="-10"/>
        </w:rPr>
        <w:t> </w:t>
      </w:r>
      <w:r>
        <w:rPr/>
        <w:t>tan</w:t>
      </w:r>
      <w:r>
        <w:rPr>
          <w:spacing w:val="-7"/>
        </w:rPr>
        <w:t> </w:t>
      </w:r>
      <w:r>
        <w:rPr/>
        <w:t>solo</w:t>
      </w:r>
      <w:r>
        <w:rPr>
          <w:spacing w:val="-8"/>
        </w:rPr>
        <w:t> </w:t>
      </w:r>
      <w:r>
        <w:rPr/>
        <w:t>la</w:t>
      </w:r>
      <w:r>
        <w:rPr>
          <w:spacing w:val="-9"/>
        </w:rPr>
        <w:t> </w:t>
      </w:r>
      <w:r>
        <w:rPr/>
        <w:t>industria</w:t>
      </w:r>
      <w:r>
        <w:rPr>
          <w:spacing w:val="-7"/>
        </w:rPr>
        <w:t> </w:t>
      </w:r>
      <w:r>
        <w:rPr/>
        <w:t>automotriz</w:t>
      </w:r>
      <w:r>
        <w:rPr>
          <w:spacing w:val="-7"/>
        </w:rPr>
        <w:t> </w:t>
      </w:r>
      <w:r>
        <w:rPr/>
        <w:t>del</w:t>
      </w:r>
      <w:r>
        <w:rPr>
          <w:spacing w:val="-8"/>
        </w:rPr>
        <w:t> </w:t>
      </w:r>
      <w:r>
        <w:rPr/>
        <w:t>estado</w:t>
      </w:r>
      <w:r>
        <w:rPr>
          <w:spacing w:val="-6"/>
        </w:rPr>
        <w:t> </w:t>
      </w:r>
      <w:r>
        <w:rPr/>
        <w:t>representó</w:t>
      </w:r>
      <w:r>
        <w:rPr>
          <w:spacing w:val="-6"/>
        </w:rPr>
        <w:t> </w:t>
      </w:r>
      <w:r>
        <w:rPr/>
        <w:t>el</w:t>
      </w:r>
      <w:r>
        <w:rPr>
          <w:spacing w:val="-6"/>
        </w:rPr>
        <w:t> </w:t>
      </w:r>
      <w:r>
        <w:rPr/>
        <w:t>1.6%</w:t>
      </w:r>
      <w:r>
        <w:rPr>
          <w:spacing w:val="-9"/>
        </w:rPr>
        <w:t> </w:t>
      </w:r>
      <w:r>
        <w:rPr/>
        <w:t>del</w:t>
      </w:r>
      <w:r>
        <w:rPr>
          <w:spacing w:val="-6"/>
        </w:rPr>
        <w:t> </w:t>
      </w:r>
      <w:r>
        <w:rPr/>
        <w:t>VACB total (véase gráfica</w:t>
      </w:r>
      <w:r>
        <w:rPr>
          <w:spacing w:val="-5"/>
        </w:rPr>
        <w:t> </w:t>
      </w:r>
      <w:r>
        <w:rPr/>
        <w:t>4.8).</w:t>
      </w:r>
    </w:p>
    <w:p>
      <w:pPr>
        <w:pStyle w:val="BodyText"/>
        <w:spacing w:before="4"/>
        <w:rPr>
          <w:sz w:val="21"/>
        </w:rPr>
      </w:pPr>
    </w:p>
    <w:p>
      <w:pPr>
        <w:pStyle w:val="BodyText"/>
        <w:spacing w:line="360" w:lineRule="auto" w:before="1"/>
        <w:ind w:left="102" w:right="116"/>
        <w:jc w:val="both"/>
      </w:pPr>
      <w:r>
        <w:rPr/>
        <w:t>También</w:t>
      </w:r>
      <w:r>
        <w:rPr>
          <w:spacing w:val="-5"/>
        </w:rPr>
        <w:t> </w:t>
      </w:r>
      <w:r>
        <w:rPr/>
        <w:t>es</w:t>
      </w:r>
      <w:r>
        <w:rPr>
          <w:spacing w:val="-5"/>
        </w:rPr>
        <w:t> </w:t>
      </w:r>
      <w:r>
        <w:rPr/>
        <w:t>posible</w:t>
      </w:r>
      <w:r>
        <w:rPr>
          <w:spacing w:val="-4"/>
        </w:rPr>
        <w:t> </w:t>
      </w:r>
      <w:r>
        <w:rPr/>
        <w:t>observar</w:t>
      </w:r>
      <w:r>
        <w:rPr>
          <w:spacing w:val="-6"/>
        </w:rPr>
        <w:t> </w:t>
      </w:r>
      <w:r>
        <w:rPr/>
        <w:t>que</w:t>
      </w:r>
      <w:r>
        <w:rPr>
          <w:spacing w:val="-6"/>
        </w:rPr>
        <w:t> </w:t>
      </w:r>
      <w:r>
        <w:rPr/>
        <w:t>durante</w:t>
      </w:r>
      <w:r>
        <w:rPr>
          <w:spacing w:val="-5"/>
        </w:rPr>
        <w:t> </w:t>
      </w:r>
      <w:r>
        <w:rPr/>
        <w:t>2008</w:t>
      </w:r>
      <w:r>
        <w:rPr>
          <w:spacing w:val="-5"/>
        </w:rPr>
        <w:t> </w:t>
      </w:r>
      <w:r>
        <w:rPr/>
        <w:t>dichas</w:t>
      </w:r>
      <w:r>
        <w:rPr>
          <w:spacing w:val="-5"/>
        </w:rPr>
        <w:t> </w:t>
      </w:r>
      <w:r>
        <w:rPr/>
        <w:t>participaciones</w:t>
      </w:r>
      <w:r>
        <w:rPr>
          <w:spacing w:val="-5"/>
        </w:rPr>
        <w:t> </w:t>
      </w:r>
      <w:r>
        <w:rPr/>
        <w:t>se</w:t>
      </w:r>
      <w:r>
        <w:rPr>
          <w:spacing w:val="-6"/>
        </w:rPr>
        <w:t> </w:t>
      </w:r>
      <w:r>
        <w:rPr/>
        <w:t>vieron</w:t>
      </w:r>
      <w:r>
        <w:rPr>
          <w:spacing w:val="-6"/>
        </w:rPr>
        <w:t> </w:t>
      </w:r>
      <w:r>
        <w:rPr/>
        <w:t>disminuidas, sin embargo, ello se debió a la crisis financiera global que tuvo importantes efectos en la industria automotriz, y que en el caso particular de México, se debió a la contracción del comercio intraindustrial del sector de transporte entre México y Estados Unidos (Mendoza, 2011).</w:t>
      </w:r>
    </w:p>
    <w:p>
      <w:pPr>
        <w:pStyle w:val="BodyText"/>
        <w:spacing w:before="7"/>
        <w:rPr>
          <w:sz w:val="21"/>
        </w:rPr>
      </w:pPr>
    </w:p>
    <w:p>
      <w:pPr>
        <w:pStyle w:val="Heading1"/>
        <w:spacing w:line="360" w:lineRule="auto"/>
        <w:ind w:left="109" w:right="132"/>
        <w:jc w:val="center"/>
      </w:pPr>
      <w:r>
        <w:rPr/>
        <w:t>Gráfica 4.8. Participación porcentual de la industria manufacturera y automotriz de Puebla en la manufactura nacional, 1980-2008 (Valor Agregado Censal Bruto)</w:t>
      </w:r>
    </w:p>
    <w:p>
      <w:pPr>
        <w:pStyle w:val="BodyText"/>
        <w:ind w:left="538"/>
        <w:rPr>
          <w:sz w:val="20"/>
        </w:rPr>
      </w:pPr>
      <w:r>
        <w:rPr>
          <w:sz w:val="20"/>
        </w:rPr>
        <w:pict>
          <v:group style="width:397.6pt;height:170.8pt;mso-position-horizontal-relative:char;mso-position-vertical-relative:line" coordorigin="0,0" coordsize="7952,3416">
            <v:shape style="position:absolute;left:514;top:228;width:7210;height:2306" type="#_x0000_t75" stroked="false">
              <v:imagedata r:id="rId67" o:title=""/>
            </v:shape>
            <v:line style="position:absolute" from="7455,2151" to="7723,2151" stroked="true" strokeweight=".72pt" strokecolor="#d9d9d9"/>
            <v:line style="position:absolute" from="7167,2151" to="7253,2151" stroked="true" strokeweight=".72pt" strokecolor="#d9d9d9"/>
            <v:line style="position:absolute" from="6425,2151" to="6963,2151" stroked="true" strokeweight=".72pt" strokecolor="#d9d9d9"/>
            <v:line style="position:absolute" from="6135,2151" to="6223,2151" stroked="true" strokeweight=".72pt" strokecolor="#d9d9d9"/>
            <v:line style="position:absolute" from="5395,2151" to="5933,2151" stroked="true" strokeweight=".72pt" strokecolor="#d9d9d9"/>
            <v:line style="position:absolute" from="5105,2151" to="5194,2151" stroked="true" strokeweight=".72pt" strokecolor="#d9d9d9"/>
            <v:line style="position:absolute" from="4075,2151" to="4903,2151" stroked="true" strokeweight=".72pt" strokecolor="#d9d9d9"/>
            <v:line style="position:absolute" from="3046,2151" to="3874,2151" stroked="true" strokeweight=".72pt" strokecolor="#d9d9d9"/>
            <v:line style="position:absolute" from="2304,2151" to="2844,2151" stroked="true" strokeweight=".72pt" strokecolor="#d9d9d9"/>
            <v:line style="position:absolute" from="2016,2151" to="2103,2151" stroked="true" strokeweight=".72pt" strokecolor="#d9d9d9"/>
            <v:line style="position:absolute" from="1275,2151" to="1815,2151" stroked="true" strokeweight=".72pt" strokecolor="#d9d9d9"/>
            <v:line style="position:absolute" from="987,2151" to="1073,2151" stroked="true" strokeweight=".72pt" strokecolor="#d9d9d9"/>
            <v:line style="position:absolute" from="514,2151" to="785,2151" stroked="true" strokeweight=".72pt" strokecolor="#d9d9d9"/>
            <v:line style="position:absolute" from="7455,1767" to="7723,1767" stroked="true" strokeweight=".72pt" strokecolor="#d9d9d9"/>
            <v:line style="position:absolute" from="7167,1767" to="7253,1767" stroked="true" strokeweight=".72pt" strokecolor="#d9d9d9"/>
            <v:line style="position:absolute" from="6425,1767" to="6963,1767" stroked="true" strokeweight=".72pt" strokecolor="#d9d9d9"/>
            <v:line style="position:absolute" from="6135,1767" to="6223,1767" stroked="true" strokeweight=".72pt" strokecolor="#d9d9d9"/>
            <v:line style="position:absolute" from="5105,1767" to="5933,1767" stroked="true" strokeweight=".72pt" strokecolor="#d9d9d9"/>
            <v:line style="position:absolute" from="4075,1767" to="4903,1767" stroked="true" strokeweight=".72pt" strokecolor="#d9d9d9"/>
            <v:line style="position:absolute" from="3046,1767" to="3874,1767" stroked="true" strokeweight=".72pt" strokecolor="#d9d9d9"/>
            <v:line style="position:absolute" from="2016,1767" to="2844,1767" stroked="true" strokeweight=".72pt" strokecolor="#d9d9d9"/>
            <v:line style="position:absolute" from="987,1767" to="1815,1767" stroked="true" strokeweight=".72pt" strokecolor="#d9d9d9"/>
            <v:line style="position:absolute" from="514,1767" to="785,1767" stroked="true" strokeweight=".72pt" strokecolor="#d9d9d9"/>
            <v:line style="position:absolute" from="7167,1383" to="7723,1383" stroked="true" strokeweight=".72pt" strokecolor="#d9d9d9"/>
            <v:line style="position:absolute" from="6135,1383" to="6963,1383" stroked="true" strokeweight=".72pt" strokecolor="#d9d9d9"/>
            <v:line style="position:absolute" from="5105,1383" to="5933,1383" stroked="true" strokeweight=".72pt" strokecolor="#d9d9d9"/>
            <v:line style="position:absolute" from="3046,1383" to="4903,1383" stroked="true" strokeweight=".72pt" strokecolor="#d9d9d9"/>
            <v:line style="position:absolute" from="2016,1383" to="2844,1383" stroked="true" strokeweight=".72pt" strokecolor="#d9d9d9"/>
            <v:line style="position:absolute" from="987,1383" to="1815,1383" stroked="true" strokeweight=".72pt" strokecolor="#d9d9d9"/>
            <v:line style="position:absolute" from="514,1383" to="785,1383" stroked="true" strokeweight=".72pt" strokecolor="#d9d9d9"/>
            <v:line style="position:absolute" from="7167,996" to="7723,996" stroked="true" strokeweight=".72pt" strokecolor="#d9d9d9"/>
            <v:line style="position:absolute" from="6135,996" to="6963,996" stroked="true" strokeweight=".72pt" strokecolor="#d9d9d9"/>
            <v:line style="position:absolute" from="5105,996" to="5933,996" stroked="true" strokeweight=".72pt" strokecolor="#d9d9d9"/>
            <v:line style="position:absolute" from="2016,996" to="4904,996" stroked="true" strokeweight=".72pt" strokecolor="#d9d9d9"/>
            <v:line style="position:absolute" from="514,996" to="1815,996" stroked="true" strokeweight=".72pt" strokecolor="#d9d9d9"/>
            <v:line style="position:absolute" from="6135,612" to="7723,612" stroked="true" strokeweight=".72pt" strokecolor="#d9d9d9"/>
            <v:line style="position:absolute" from="514,612" to="5933,612" stroked="true" strokeweight=".72pt" strokecolor="#d9d9d9"/>
            <v:line style="position:absolute" from="514,228" to="7723,228" stroked="true" strokeweight=".72pt" strokecolor="#d9d9d9"/>
            <v:line style="position:absolute" from="514,228" to="514,2535" stroked="true" strokeweight=".72pt" strokecolor="#d9d9d9"/>
            <v:line style="position:absolute" from="1546,228" to="1546,2535" stroked="true" strokeweight=".72pt" strokecolor="#d9d9d9"/>
            <v:line style="position:absolute" from="2575,228" to="2575,2535" stroked="true" strokeweight=".72pt" strokecolor="#d9d9d9"/>
            <v:line style="position:absolute" from="3605,228" to="3605,2535" stroked="true" strokeweight=".72pt" strokecolor="#d9d9d9"/>
            <v:line style="position:absolute" from="4635,228" to="4635,2535" stroked="true" strokeweight=".72pt" strokecolor="#d9d9d9"/>
            <v:line style="position:absolute" from="5664,228" to="5664,2535" stroked="true" strokeweight=".72pt" strokecolor="#d9d9d9"/>
            <v:line style="position:absolute" from="6694,228" to="6694,2535" stroked="true" strokeweight=".72pt" strokecolor="#d9d9d9"/>
            <v:line style="position:absolute" from="7723,228" to="7723,2535" stroked="true" strokeweight=".72pt" strokecolor="#d9d9d9"/>
            <v:rect style="position:absolute;left:785;top:975;width:202;height:1560" filled="true" fillcolor="#539e39" stroked="false">
              <v:fill type="solid"/>
            </v:rect>
            <v:rect style="position:absolute;left:1815;top:934;width:202;height:1601" filled="true" fillcolor="#539e39" stroked="false">
              <v:fill type="solid"/>
            </v:rect>
            <v:rect style="position:absolute;left:2844;top:1359;width:202;height:1176" filled="true" fillcolor="#539e39" stroked="false">
              <v:fill type="solid"/>
            </v:rect>
            <v:rect style="position:absolute;left:3874;top:1407;width:202;height:1128" filled="true" fillcolor="#539e39" stroked="false">
              <v:fill type="solid"/>
            </v:rect>
            <v:rect style="position:absolute;left:4904;top:915;width:202;height:1620" filled="true" fillcolor="#539e39" stroked="false">
              <v:fill type="solid"/>
            </v:rect>
            <v:rect style="position:absolute;left:5933;top:355;width:202;height:2179" filled="true" fillcolor="#539e39" stroked="false">
              <v:fill type="solid"/>
            </v:rect>
            <v:rect style="position:absolute;left:6963;top:831;width:204;height:1704" filled="true" fillcolor="#539e39" stroked="false">
              <v:fill type="solid"/>
            </v:rect>
            <v:rect style="position:absolute;left:1073;top:2079;width:202;height:456" filled="true" fillcolor="#89b833" stroked="false">
              <v:fill type="solid"/>
            </v:rect>
            <v:rect style="position:absolute;left:2103;top:1939;width:202;height:595" filled="true" fillcolor="#89b833" stroked="false">
              <v:fill type="solid"/>
            </v:rect>
            <v:rect style="position:absolute;left:3132;top:2204;width:202;height:331" filled="true" fillcolor="#89b833" stroked="false">
              <v:fill type="solid"/>
            </v:rect>
            <v:rect style="position:absolute;left:4162;top:2336;width:204;height:199" filled="true" fillcolor="#89b833" stroked="false">
              <v:fill type="solid"/>
            </v:rect>
            <v:rect style="position:absolute;left:5194;top:1932;width:202;height:602" filled="true" fillcolor="#89b833" stroked="false">
              <v:fill type="solid"/>
            </v:rect>
            <v:rect style="position:absolute;left:6223;top:1392;width:202;height:1142" filled="true" fillcolor="#89b833" stroked="false">
              <v:fill type="solid"/>
            </v:rect>
            <v:rect style="position:absolute;left:7253;top:1721;width:202;height:814" filled="true" fillcolor="#89b833" stroked="false">
              <v:fill type="solid"/>
            </v:rect>
            <v:line style="position:absolute" from="514,2535" to="7723,2535" stroked="true" strokeweight=".72pt" strokecolor="#d9d9d9"/>
            <v:line style="position:absolute" from="2144,3131" to="2232,3131" stroked="true" strokeweight="4.440pt" strokecolor="#539e39"/>
            <v:line style="position:absolute" from="4284,3131" to="4373,3131" stroked="true" strokeweight="4.440pt" strokecolor="#89b833"/>
            <v:rect style="position:absolute;left:8;top:8;width:7937;height:3401" filled="false" stroked="true" strokeweight=".72pt" strokecolor="#d9d9d9"/>
            <v:shape style="position:absolute;left:138;top:141;width:225;height:180" type="#_x0000_t202" filled="false" stroked="false">
              <v:textbox inset="0,0,0,0">
                <w:txbxContent>
                  <w:p>
                    <w:pPr>
                      <w:spacing w:line="180" w:lineRule="exact" w:before="0"/>
                      <w:ind w:left="0" w:right="-20" w:firstLine="0"/>
                      <w:jc w:val="left"/>
                      <w:rPr>
                        <w:sz w:val="18"/>
                      </w:rPr>
                    </w:pPr>
                    <w:r>
                      <w:rPr>
                        <w:color w:val="585858"/>
                        <w:sz w:val="18"/>
                      </w:rPr>
                      <w:t>6.0</w:t>
                    </w:r>
                  </w:p>
                </w:txbxContent>
              </v:textbox>
              <w10:wrap type="none"/>
            </v:shape>
            <v:shape style="position:absolute;left:5922;top:83;width:227;height:180" type="#_x0000_t202" filled="false" stroked="false">
              <v:textbox inset="0,0,0,0">
                <w:txbxContent>
                  <w:p>
                    <w:pPr>
                      <w:spacing w:line="180" w:lineRule="exact" w:before="0"/>
                      <w:ind w:left="0" w:right="-18" w:firstLine="0"/>
                      <w:jc w:val="left"/>
                      <w:rPr>
                        <w:sz w:val="18"/>
                      </w:rPr>
                    </w:pPr>
                    <w:r>
                      <w:rPr>
                        <w:color w:val="404040"/>
                        <w:sz w:val="18"/>
                      </w:rPr>
                      <w:t>5.7</w:t>
                    </w:r>
                  </w:p>
                </w:txbxContent>
              </v:textbox>
              <w10:wrap type="none"/>
            </v:shape>
            <v:shape style="position:absolute;left:138;top:525;width:225;height:180" type="#_x0000_t202" filled="false" stroked="false">
              <v:textbox inset="0,0,0,0">
                <w:txbxContent>
                  <w:p>
                    <w:pPr>
                      <w:spacing w:line="180" w:lineRule="exact" w:before="0"/>
                      <w:ind w:left="0" w:right="-20" w:firstLine="0"/>
                      <w:jc w:val="left"/>
                      <w:rPr>
                        <w:sz w:val="18"/>
                      </w:rPr>
                    </w:pPr>
                    <w:r>
                      <w:rPr>
                        <w:color w:val="585858"/>
                        <w:sz w:val="18"/>
                      </w:rPr>
                      <w:t>5.0</w:t>
                    </w:r>
                  </w:p>
                </w:txbxContent>
              </v:textbox>
              <w10:wrap type="none"/>
            </v:shape>
            <v:shape style="position:absolute;left:6952;top:558;width:227;height:181" type="#_x0000_t202" filled="false" stroked="false">
              <v:textbox inset="0,0,0,0">
                <w:txbxContent>
                  <w:p>
                    <w:pPr>
                      <w:spacing w:line="180" w:lineRule="exact" w:before="0"/>
                      <w:ind w:left="0" w:right="-18" w:firstLine="0"/>
                      <w:jc w:val="left"/>
                      <w:rPr>
                        <w:sz w:val="18"/>
                      </w:rPr>
                    </w:pPr>
                    <w:r>
                      <w:rPr>
                        <w:color w:val="404040"/>
                        <w:sz w:val="18"/>
                      </w:rPr>
                      <w:t>4.4</w:t>
                    </w:r>
                  </w:p>
                </w:txbxContent>
              </v:textbox>
              <w10:wrap type="none"/>
            </v:shape>
            <v:shape style="position:absolute;left:772;top:702;width:227;height:180" type="#_x0000_t202" filled="false" stroked="false">
              <v:textbox inset="0,0,0,0">
                <w:txbxContent>
                  <w:p>
                    <w:pPr>
                      <w:spacing w:line="180" w:lineRule="exact" w:before="0"/>
                      <w:ind w:left="0" w:right="-18" w:firstLine="0"/>
                      <w:jc w:val="left"/>
                      <w:rPr>
                        <w:sz w:val="18"/>
                      </w:rPr>
                    </w:pPr>
                    <w:r>
                      <w:rPr>
                        <w:color w:val="404040"/>
                        <w:sz w:val="18"/>
                      </w:rPr>
                      <w:t>4.1</w:t>
                    </w:r>
                  </w:p>
                </w:txbxContent>
              </v:textbox>
              <w10:wrap type="none"/>
            </v:shape>
            <v:shape style="position:absolute;left:1802;top:661;width:227;height:180" type="#_x0000_t202" filled="false" stroked="false">
              <v:textbox inset="0,0,0,0">
                <w:txbxContent>
                  <w:p>
                    <w:pPr>
                      <w:spacing w:line="180" w:lineRule="exact" w:before="0"/>
                      <w:ind w:left="0" w:right="-18" w:firstLine="0"/>
                      <w:jc w:val="left"/>
                      <w:rPr>
                        <w:sz w:val="18"/>
                      </w:rPr>
                    </w:pPr>
                    <w:r>
                      <w:rPr>
                        <w:color w:val="404040"/>
                        <w:sz w:val="18"/>
                      </w:rPr>
                      <w:t>4.2</w:t>
                    </w:r>
                  </w:p>
                </w:txbxContent>
              </v:textbox>
              <w10:wrap type="none"/>
            </v:shape>
            <v:shape style="position:absolute;left:4892;top:641;width:227;height:180" type="#_x0000_t202" filled="false" stroked="false">
              <v:textbox inset="0,0,0,0">
                <w:txbxContent>
                  <w:p>
                    <w:pPr>
                      <w:spacing w:line="180" w:lineRule="exact" w:before="0"/>
                      <w:ind w:left="0" w:right="-18" w:firstLine="0"/>
                      <w:jc w:val="left"/>
                      <w:rPr>
                        <w:sz w:val="18"/>
                      </w:rPr>
                    </w:pPr>
                    <w:r>
                      <w:rPr>
                        <w:color w:val="404040"/>
                        <w:sz w:val="18"/>
                      </w:rPr>
                      <w:t>4.2</w:t>
                    </w:r>
                  </w:p>
                </w:txbxContent>
              </v:textbox>
              <w10:wrap type="none"/>
            </v:shape>
            <v:shape style="position:absolute;left:138;top:910;width:225;height:180" type="#_x0000_t202" filled="false" stroked="false">
              <v:textbox inset="0,0,0,0">
                <w:txbxContent>
                  <w:p>
                    <w:pPr>
                      <w:spacing w:line="180" w:lineRule="exact" w:before="0"/>
                      <w:ind w:left="0" w:right="-20" w:firstLine="0"/>
                      <w:jc w:val="left"/>
                      <w:rPr>
                        <w:sz w:val="18"/>
                      </w:rPr>
                    </w:pPr>
                    <w:r>
                      <w:rPr>
                        <w:color w:val="585858"/>
                        <w:sz w:val="18"/>
                      </w:rPr>
                      <w:t>4.0</w:t>
                    </w:r>
                  </w:p>
                </w:txbxContent>
              </v:textbox>
              <w10:wrap type="none"/>
            </v:shape>
            <v:shape style="position:absolute;left:2832;top:1087;width:227;height:181" type="#_x0000_t202" filled="false" stroked="false">
              <v:textbox inset="0,0,0,0">
                <w:txbxContent>
                  <w:p>
                    <w:pPr>
                      <w:spacing w:line="180" w:lineRule="exact" w:before="0"/>
                      <w:ind w:left="0" w:right="-18" w:firstLine="0"/>
                      <w:jc w:val="left"/>
                      <w:rPr>
                        <w:sz w:val="18"/>
                      </w:rPr>
                    </w:pPr>
                    <w:r>
                      <w:rPr>
                        <w:color w:val="404040"/>
                        <w:sz w:val="18"/>
                      </w:rPr>
                      <w:t>3.1</w:t>
                    </w:r>
                  </w:p>
                </w:txbxContent>
              </v:textbox>
              <w10:wrap type="none"/>
            </v:shape>
            <v:shape style="position:absolute;left:3862;top:1134;width:227;height:181" type="#_x0000_t202" filled="false" stroked="false">
              <v:textbox inset="0,0,0,0">
                <w:txbxContent>
                  <w:p>
                    <w:pPr>
                      <w:spacing w:line="180" w:lineRule="exact" w:before="0"/>
                      <w:ind w:left="0" w:right="-18" w:firstLine="0"/>
                      <w:jc w:val="left"/>
                      <w:rPr>
                        <w:sz w:val="18"/>
                      </w:rPr>
                    </w:pPr>
                    <w:r>
                      <w:rPr>
                        <w:color w:val="404040"/>
                        <w:sz w:val="18"/>
                      </w:rPr>
                      <w:t>2.9</w:t>
                    </w:r>
                  </w:p>
                </w:txbxContent>
              </v:textbox>
              <w10:wrap type="none"/>
            </v:shape>
            <v:shape style="position:absolute;left:6210;top:1121;width:227;height:180" type="#_x0000_t202" filled="false" stroked="false">
              <v:textbox inset="0,0,0,0">
                <w:txbxContent>
                  <w:p>
                    <w:pPr>
                      <w:spacing w:line="180" w:lineRule="exact" w:before="0"/>
                      <w:ind w:left="0" w:right="-18" w:firstLine="0"/>
                      <w:jc w:val="left"/>
                      <w:rPr>
                        <w:sz w:val="18"/>
                      </w:rPr>
                    </w:pPr>
                    <w:r>
                      <w:rPr>
                        <w:color w:val="404040"/>
                        <w:sz w:val="18"/>
                      </w:rPr>
                      <w:t>3.0</w:t>
                    </w:r>
                  </w:p>
                </w:txbxContent>
              </v:textbox>
              <w10:wrap type="none"/>
            </v:shape>
            <v:shape style="position:absolute;left:138;top:1294;width:225;height:180" type="#_x0000_t202" filled="false" stroked="false">
              <v:textbox inset="0,0,0,0">
                <w:txbxContent>
                  <w:p>
                    <w:pPr>
                      <w:spacing w:line="180" w:lineRule="exact" w:before="0"/>
                      <w:ind w:left="0" w:right="-20" w:firstLine="0"/>
                      <w:jc w:val="left"/>
                      <w:rPr>
                        <w:sz w:val="18"/>
                      </w:rPr>
                    </w:pPr>
                    <w:r>
                      <w:rPr>
                        <w:color w:val="585858"/>
                        <w:sz w:val="18"/>
                      </w:rPr>
                      <w:t>3.0</w:t>
                    </w:r>
                  </w:p>
                </w:txbxContent>
              </v:textbox>
              <w10:wrap type="none"/>
            </v:shape>
            <v:shape style="position:absolute;left:7241;top:1450;width:227;height:180" type="#_x0000_t202" filled="false" stroked="false">
              <v:textbox inset="0,0,0,0">
                <w:txbxContent>
                  <w:p>
                    <w:pPr>
                      <w:spacing w:line="180" w:lineRule="exact" w:before="0"/>
                      <w:ind w:left="0" w:right="-18" w:firstLine="0"/>
                      <w:jc w:val="left"/>
                      <w:rPr>
                        <w:sz w:val="18"/>
                      </w:rPr>
                    </w:pPr>
                    <w:r>
                      <w:rPr>
                        <w:color w:val="404040"/>
                        <w:sz w:val="18"/>
                      </w:rPr>
                      <w:t>2.1</w:t>
                    </w:r>
                  </w:p>
                </w:txbxContent>
              </v:textbox>
              <w10:wrap type="none"/>
            </v:shape>
            <v:shape style="position:absolute;left:138;top:1679;width:225;height:180" type="#_x0000_t202" filled="false" stroked="false">
              <v:textbox inset="0,0,0,0">
                <w:txbxContent>
                  <w:p>
                    <w:pPr>
                      <w:spacing w:line="180" w:lineRule="exact" w:before="0"/>
                      <w:ind w:left="0" w:right="-20" w:firstLine="0"/>
                      <w:jc w:val="left"/>
                      <w:rPr>
                        <w:sz w:val="18"/>
                      </w:rPr>
                    </w:pPr>
                    <w:r>
                      <w:rPr>
                        <w:color w:val="585858"/>
                        <w:sz w:val="18"/>
                      </w:rPr>
                      <w:t>2.0</w:t>
                    </w:r>
                  </w:p>
                </w:txbxContent>
              </v:textbox>
              <w10:wrap type="none"/>
            </v:shape>
            <v:shape style="position:absolute;left:1061;top:1807;width:227;height:180" type="#_x0000_t202" filled="false" stroked="false">
              <v:textbox inset="0,0,0,0">
                <w:txbxContent>
                  <w:p>
                    <w:pPr>
                      <w:spacing w:line="180" w:lineRule="exact" w:before="0"/>
                      <w:ind w:left="0" w:right="-18" w:firstLine="0"/>
                      <w:jc w:val="left"/>
                      <w:rPr>
                        <w:sz w:val="18"/>
                      </w:rPr>
                    </w:pPr>
                    <w:r>
                      <w:rPr>
                        <w:color w:val="404040"/>
                        <w:sz w:val="18"/>
                      </w:rPr>
                      <w:t>1.2</w:t>
                    </w:r>
                  </w:p>
                </w:txbxContent>
              </v:textbox>
              <w10:wrap type="none"/>
            </v:shape>
            <v:shape style="position:absolute;left:2091;top:1668;width:227;height:180" type="#_x0000_t202" filled="false" stroked="false">
              <v:textbox inset="0,0,0,0">
                <w:txbxContent>
                  <w:p>
                    <w:pPr>
                      <w:spacing w:line="180" w:lineRule="exact" w:before="0"/>
                      <w:ind w:left="0" w:right="-18" w:firstLine="0"/>
                      <w:jc w:val="left"/>
                      <w:rPr>
                        <w:sz w:val="18"/>
                      </w:rPr>
                    </w:pPr>
                    <w:r>
                      <w:rPr>
                        <w:color w:val="404040"/>
                        <w:sz w:val="18"/>
                      </w:rPr>
                      <w:t>1.5</w:t>
                    </w:r>
                  </w:p>
                </w:txbxContent>
              </v:textbox>
              <w10:wrap type="none"/>
            </v:shape>
            <v:shape style="position:absolute;left:5181;top:1659;width:227;height:180" type="#_x0000_t202" filled="false" stroked="false">
              <v:textbox inset="0,0,0,0">
                <w:txbxContent>
                  <w:p>
                    <w:pPr>
                      <w:spacing w:line="180" w:lineRule="exact" w:before="0"/>
                      <w:ind w:left="0" w:right="-18" w:firstLine="0"/>
                      <w:jc w:val="left"/>
                      <w:rPr>
                        <w:sz w:val="18"/>
                      </w:rPr>
                    </w:pPr>
                    <w:r>
                      <w:rPr>
                        <w:color w:val="404040"/>
                        <w:sz w:val="18"/>
                      </w:rPr>
                      <w:t>1.6</w:t>
                    </w:r>
                  </w:p>
                </w:txbxContent>
              </v:textbox>
              <w10:wrap type="none"/>
            </v:shape>
            <v:shape style="position:absolute;left:138;top:2064;width:225;height:180" type="#_x0000_t202" filled="false" stroked="false">
              <v:textbox inset="0,0,0,0">
                <w:txbxContent>
                  <w:p>
                    <w:pPr>
                      <w:spacing w:line="180" w:lineRule="exact" w:before="0"/>
                      <w:ind w:left="0" w:right="-20" w:firstLine="0"/>
                      <w:jc w:val="left"/>
                      <w:rPr>
                        <w:sz w:val="18"/>
                      </w:rPr>
                    </w:pPr>
                    <w:r>
                      <w:rPr>
                        <w:color w:val="585858"/>
                        <w:sz w:val="18"/>
                      </w:rPr>
                      <w:t>1.0</w:t>
                    </w:r>
                  </w:p>
                </w:txbxContent>
              </v:textbox>
              <w10:wrap type="none"/>
            </v:shape>
            <v:shape style="position:absolute;left:3121;top:1932;width:227;height:180" type="#_x0000_t202" filled="false" stroked="false">
              <v:textbox inset="0,0,0,0">
                <w:txbxContent>
                  <w:p>
                    <w:pPr>
                      <w:spacing w:line="180" w:lineRule="exact" w:before="0"/>
                      <w:ind w:left="0" w:right="-18" w:firstLine="0"/>
                      <w:jc w:val="left"/>
                      <w:rPr>
                        <w:sz w:val="18"/>
                      </w:rPr>
                    </w:pPr>
                    <w:r>
                      <w:rPr>
                        <w:color w:val="404040"/>
                        <w:sz w:val="18"/>
                      </w:rPr>
                      <w:t>0.9</w:t>
                    </w:r>
                  </w:p>
                </w:txbxContent>
              </v:textbox>
              <w10:wrap type="none"/>
            </v:shape>
            <v:shape style="position:absolute;left:4151;top:2062;width:227;height:180" type="#_x0000_t202" filled="false" stroked="false">
              <v:textbox inset="0,0,0,0">
                <w:txbxContent>
                  <w:p>
                    <w:pPr>
                      <w:spacing w:line="180" w:lineRule="exact" w:before="0"/>
                      <w:ind w:left="0" w:right="-18" w:firstLine="0"/>
                      <w:jc w:val="left"/>
                      <w:rPr>
                        <w:sz w:val="18"/>
                      </w:rPr>
                    </w:pPr>
                    <w:r>
                      <w:rPr>
                        <w:color w:val="404040"/>
                        <w:sz w:val="18"/>
                      </w:rPr>
                      <w:t>0.5</w:t>
                    </w:r>
                  </w:p>
                </w:txbxContent>
              </v:textbox>
              <w10:wrap type="none"/>
            </v:shape>
            <v:shape style="position:absolute;left:138;top:2448;width:225;height:180" type="#_x0000_t202" filled="false" stroked="false">
              <v:textbox inset="0,0,0,0">
                <w:txbxContent>
                  <w:p>
                    <w:pPr>
                      <w:spacing w:line="180" w:lineRule="exact" w:before="0"/>
                      <w:ind w:left="0" w:right="-20" w:firstLine="0"/>
                      <w:jc w:val="left"/>
                      <w:rPr>
                        <w:sz w:val="18"/>
                      </w:rPr>
                    </w:pPr>
                    <w:r>
                      <w:rPr>
                        <w:color w:val="585858"/>
                        <w:sz w:val="18"/>
                      </w:rPr>
                      <w:t>0.0</w:t>
                    </w:r>
                  </w:p>
                </w:txbxContent>
              </v:textbox>
              <w10:wrap type="none"/>
            </v:shape>
            <v:shape style="position:absolute;left:850;top:2660;width:361;height:180" type="#_x0000_t202" filled="false" stroked="false">
              <v:textbox inset="0,0,0,0">
                <w:txbxContent>
                  <w:p>
                    <w:pPr>
                      <w:spacing w:line="180" w:lineRule="exact" w:before="0"/>
                      <w:ind w:left="0" w:right="-19" w:firstLine="0"/>
                      <w:jc w:val="left"/>
                      <w:rPr>
                        <w:sz w:val="18"/>
                      </w:rPr>
                    </w:pPr>
                    <w:r>
                      <w:rPr>
                        <w:color w:val="585858"/>
                        <w:sz w:val="18"/>
                      </w:rPr>
                      <w:t>1980</w:t>
                    </w:r>
                  </w:p>
                </w:txbxContent>
              </v:textbox>
              <w10:wrap type="none"/>
            </v:shape>
            <v:shape style="position:absolute;left:1881;top:2660;width:361;height:180" type="#_x0000_t202" filled="false" stroked="false">
              <v:textbox inset="0,0,0,0">
                <w:txbxContent>
                  <w:p>
                    <w:pPr>
                      <w:spacing w:line="180" w:lineRule="exact" w:before="0"/>
                      <w:ind w:left="0" w:right="-19" w:firstLine="0"/>
                      <w:jc w:val="left"/>
                      <w:rPr>
                        <w:sz w:val="18"/>
                      </w:rPr>
                    </w:pPr>
                    <w:r>
                      <w:rPr>
                        <w:color w:val="585858"/>
                        <w:sz w:val="18"/>
                      </w:rPr>
                      <w:t>1985</w:t>
                    </w:r>
                  </w:p>
                </w:txbxContent>
              </v:textbox>
              <w10:wrap type="none"/>
            </v:shape>
            <v:shape style="position:absolute;left:2910;top:2660;width:361;height:180" type="#_x0000_t202" filled="false" stroked="false">
              <v:textbox inset="0,0,0,0">
                <w:txbxContent>
                  <w:p>
                    <w:pPr>
                      <w:spacing w:line="180" w:lineRule="exact" w:before="0"/>
                      <w:ind w:left="0" w:right="-19" w:firstLine="0"/>
                      <w:jc w:val="left"/>
                      <w:rPr>
                        <w:sz w:val="18"/>
                      </w:rPr>
                    </w:pPr>
                    <w:r>
                      <w:rPr>
                        <w:color w:val="585858"/>
                        <w:sz w:val="18"/>
                      </w:rPr>
                      <w:t>1988</w:t>
                    </w:r>
                  </w:p>
                </w:txbxContent>
              </v:textbox>
              <w10:wrap type="none"/>
            </v:shape>
            <v:shape style="position:absolute;left:3941;top:2660;width:361;height:180" type="#_x0000_t202" filled="false" stroked="false">
              <v:textbox inset="0,0,0,0">
                <w:txbxContent>
                  <w:p>
                    <w:pPr>
                      <w:spacing w:line="180" w:lineRule="exact" w:before="0"/>
                      <w:ind w:left="0" w:right="-19" w:firstLine="0"/>
                      <w:jc w:val="left"/>
                      <w:rPr>
                        <w:sz w:val="18"/>
                      </w:rPr>
                    </w:pPr>
                    <w:r>
                      <w:rPr>
                        <w:color w:val="585858"/>
                        <w:sz w:val="18"/>
                      </w:rPr>
                      <w:t>1993</w:t>
                    </w:r>
                  </w:p>
                </w:txbxContent>
              </v:textbox>
              <w10:wrap type="none"/>
            </v:shape>
            <v:shape style="position:absolute;left:4971;top:2660;width:361;height:180" type="#_x0000_t202" filled="false" stroked="false">
              <v:textbox inset="0,0,0,0">
                <w:txbxContent>
                  <w:p>
                    <w:pPr>
                      <w:spacing w:line="180" w:lineRule="exact" w:before="0"/>
                      <w:ind w:left="0" w:right="-19" w:firstLine="0"/>
                      <w:jc w:val="left"/>
                      <w:rPr>
                        <w:sz w:val="18"/>
                      </w:rPr>
                    </w:pPr>
                    <w:r>
                      <w:rPr>
                        <w:color w:val="585858"/>
                        <w:sz w:val="18"/>
                      </w:rPr>
                      <w:t>1998</w:t>
                    </w:r>
                  </w:p>
                </w:txbxContent>
              </v:textbox>
              <w10:wrap type="none"/>
            </v:shape>
            <v:shape style="position:absolute;left:6001;top:2660;width:361;height:180" type="#_x0000_t202" filled="false" stroked="false">
              <v:textbox inset="0,0,0,0">
                <w:txbxContent>
                  <w:p>
                    <w:pPr>
                      <w:spacing w:line="180" w:lineRule="exact" w:before="0"/>
                      <w:ind w:left="0" w:right="-19" w:firstLine="0"/>
                      <w:jc w:val="left"/>
                      <w:rPr>
                        <w:sz w:val="18"/>
                      </w:rPr>
                    </w:pPr>
                    <w:r>
                      <w:rPr>
                        <w:color w:val="585858"/>
                        <w:sz w:val="18"/>
                      </w:rPr>
                      <w:t>2003</w:t>
                    </w:r>
                  </w:p>
                </w:txbxContent>
              </v:textbox>
              <w10:wrap type="none"/>
            </v:shape>
            <v:shape style="position:absolute;left:7031;top:2660;width:361;height:180" type="#_x0000_t202" filled="false" stroked="false">
              <v:textbox inset="0,0,0,0">
                <w:txbxContent>
                  <w:p>
                    <w:pPr>
                      <w:spacing w:line="180" w:lineRule="exact" w:before="0"/>
                      <w:ind w:left="0" w:right="-19" w:firstLine="0"/>
                      <w:jc w:val="left"/>
                      <w:rPr>
                        <w:sz w:val="18"/>
                      </w:rPr>
                    </w:pPr>
                    <w:r>
                      <w:rPr>
                        <w:color w:val="585858"/>
                        <w:sz w:val="18"/>
                      </w:rPr>
                      <w:t>2008</w:t>
                    </w:r>
                  </w:p>
                </w:txbxContent>
              </v:textbox>
              <w10:wrap type="none"/>
            </v:shape>
            <v:shape style="position:absolute;left:2272;top:3044;width:1723;height:180" type="#_x0000_t202" filled="false" stroked="false">
              <v:textbox inset="0,0,0,0">
                <w:txbxContent>
                  <w:p>
                    <w:pPr>
                      <w:spacing w:line="180" w:lineRule="exact" w:before="0"/>
                      <w:ind w:left="0" w:right="-15" w:firstLine="0"/>
                      <w:jc w:val="left"/>
                      <w:rPr>
                        <w:sz w:val="18"/>
                      </w:rPr>
                    </w:pPr>
                    <w:r>
                      <w:rPr>
                        <w:color w:val="585858"/>
                        <w:sz w:val="18"/>
                      </w:rPr>
                      <w:t>Industria</w:t>
                    </w:r>
                    <w:r>
                      <w:rPr>
                        <w:color w:val="585858"/>
                        <w:spacing w:val="-7"/>
                        <w:sz w:val="18"/>
                      </w:rPr>
                      <w:t> </w:t>
                    </w:r>
                    <w:r>
                      <w:rPr>
                        <w:color w:val="585858"/>
                        <w:sz w:val="18"/>
                      </w:rPr>
                      <w:t>manufacturera</w:t>
                    </w:r>
                  </w:p>
                </w:txbxContent>
              </v:textbox>
              <w10:wrap type="none"/>
            </v:shape>
            <v:shape style="position:absolute;left:4411;top:3044;width:1464;height:180" type="#_x0000_t202" filled="false" stroked="false">
              <v:textbox inset="0,0,0,0">
                <w:txbxContent>
                  <w:p>
                    <w:pPr>
                      <w:spacing w:line="180" w:lineRule="exact" w:before="0"/>
                      <w:ind w:left="0" w:right="-14" w:firstLine="0"/>
                      <w:jc w:val="left"/>
                      <w:rPr>
                        <w:sz w:val="18"/>
                      </w:rPr>
                    </w:pPr>
                    <w:r>
                      <w:rPr>
                        <w:color w:val="585858"/>
                        <w:sz w:val="18"/>
                      </w:rPr>
                      <w:t>Industria</w:t>
                    </w:r>
                    <w:r>
                      <w:rPr>
                        <w:color w:val="585858"/>
                        <w:spacing w:val="-7"/>
                        <w:sz w:val="18"/>
                      </w:rPr>
                      <w:t> </w:t>
                    </w:r>
                    <w:r>
                      <w:rPr>
                        <w:color w:val="585858"/>
                        <w:sz w:val="18"/>
                      </w:rPr>
                      <w:t>automotriz</w:t>
                    </w:r>
                  </w:p>
                </w:txbxContent>
              </v:textbox>
              <w10:wrap type="none"/>
            </v:shape>
          </v:group>
        </w:pict>
      </w:r>
      <w:r>
        <w:rPr>
          <w:sz w:val="20"/>
        </w:rPr>
      </w:r>
    </w:p>
    <w:p>
      <w:pPr>
        <w:spacing w:before="125"/>
        <w:ind w:left="383" w:right="401" w:firstLine="0"/>
        <w:jc w:val="center"/>
        <w:rPr>
          <w:sz w:val="18"/>
        </w:rPr>
      </w:pPr>
      <w:r>
        <w:rPr>
          <w:sz w:val="18"/>
        </w:rPr>
        <w:t>Fuente: Elaboración propia con datos del INEGI (varios años).</w:t>
      </w:r>
    </w:p>
    <w:p>
      <w:pPr>
        <w:pStyle w:val="BodyText"/>
        <w:rPr>
          <w:sz w:val="18"/>
        </w:rPr>
      </w:pPr>
    </w:p>
    <w:p>
      <w:pPr>
        <w:pStyle w:val="BodyText"/>
        <w:spacing w:line="360" w:lineRule="auto" w:before="135"/>
        <w:ind w:left="102" w:right="117"/>
        <w:jc w:val="both"/>
      </w:pPr>
      <w:r>
        <w:rPr/>
        <w:t>Una</w:t>
      </w:r>
      <w:r>
        <w:rPr>
          <w:spacing w:val="-6"/>
        </w:rPr>
        <w:t> </w:t>
      </w:r>
      <w:r>
        <w:rPr/>
        <w:t>situación</w:t>
      </w:r>
      <w:r>
        <w:rPr>
          <w:spacing w:val="-4"/>
        </w:rPr>
        <w:t> </w:t>
      </w:r>
      <w:r>
        <w:rPr/>
        <w:t>similar,</w:t>
      </w:r>
      <w:r>
        <w:rPr>
          <w:spacing w:val="-6"/>
        </w:rPr>
        <w:t> </w:t>
      </w:r>
      <w:r>
        <w:rPr/>
        <w:t>se</w:t>
      </w:r>
      <w:r>
        <w:rPr>
          <w:spacing w:val="-8"/>
        </w:rPr>
        <w:t> </w:t>
      </w:r>
      <w:r>
        <w:rPr/>
        <w:t>presenta</w:t>
      </w:r>
      <w:r>
        <w:rPr>
          <w:spacing w:val="-5"/>
        </w:rPr>
        <w:t> </w:t>
      </w:r>
      <w:r>
        <w:rPr/>
        <w:t>en</w:t>
      </w:r>
      <w:r>
        <w:rPr>
          <w:spacing w:val="-5"/>
        </w:rPr>
        <w:t> </w:t>
      </w:r>
      <w:r>
        <w:rPr/>
        <w:t>el</w:t>
      </w:r>
      <w:r>
        <w:rPr>
          <w:spacing w:val="-4"/>
        </w:rPr>
        <w:t> </w:t>
      </w:r>
      <w:r>
        <w:rPr/>
        <w:t>personal</w:t>
      </w:r>
      <w:r>
        <w:rPr>
          <w:spacing w:val="-4"/>
        </w:rPr>
        <w:t> </w:t>
      </w:r>
      <w:r>
        <w:rPr/>
        <w:t>ocupado,</w:t>
      </w:r>
      <w:r>
        <w:rPr>
          <w:spacing w:val="-5"/>
        </w:rPr>
        <w:t> </w:t>
      </w:r>
      <w:r>
        <w:rPr/>
        <w:t>sin</w:t>
      </w:r>
      <w:r>
        <w:rPr>
          <w:spacing w:val="-4"/>
        </w:rPr>
        <w:t> </w:t>
      </w:r>
      <w:r>
        <w:rPr/>
        <w:t>embargo,</w:t>
      </w:r>
      <w:r>
        <w:rPr>
          <w:spacing w:val="-5"/>
        </w:rPr>
        <w:t> </w:t>
      </w:r>
      <w:r>
        <w:rPr/>
        <w:t>esta</w:t>
      </w:r>
      <w:r>
        <w:rPr>
          <w:spacing w:val="-5"/>
        </w:rPr>
        <w:t> </w:t>
      </w:r>
      <w:r>
        <w:rPr/>
        <w:t>variable</w:t>
      </w:r>
      <w:r>
        <w:rPr>
          <w:spacing w:val="-5"/>
        </w:rPr>
        <w:t> </w:t>
      </w:r>
      <w:r>
        <w:rPr/>
        <w:t>tuvo</w:t>
      </w:r>
      <w:r>
        <w:rPr>
          <w:spacing w:val="-4"/>
        </w:rPr>
        <w:t> </w:t>
      </w:r>
      <w:r>
        <w:rPr/>
        <w:t>su mayor participación en 1998, cuando la industria manufacturera del estado representó el 5.4% del empleo en la manufactura nacional y la industria automotriz el 0.6%. Para el año 2008,</w:t>
      </w:r>
      <w:r>
        <w:rPr>
          <w:spacing w:val="-11"/>
        </w:rPr>
        <w:t> </w:t>
      </w:r>
      <w:r>
        <w:rPr/>
        <w:t>se</w:t>
      </w:r>
      <w:r>
        <w:rPr>
          <w:spacing w:val="-12"/>
        </w:rPr>
        <w:t> </w:t>
      </w:r>
      <w:r>
        <w:rPr/>
        <w:t>observa</w:t>
      </w:r>
      <w:r>
        <w:rPr>
          <w:spacing w:val="-13"/>
        </w:rPr>
        <w:t> </w:t>
      </w:r>
      <w:r>
        <w:rPr/>
        <w:t>una</w:t>
      </w:r>
      <w:r>
        <w:rPr>
          <w:spacing w:val="-12"/>
        </w:rPr>
        <w:t> </w:t>
      </w:r>
      <w:r>
        <w:rPr/>
        <w:t>disminución</w:t>
      </w:r>
      <w:r>
        <w:rPr>
          <w:spacing w:val="-11"/>
        </w:rPr>
        <w:t> </w:t>
      </w:r>
      <w:r>
        <w:rPr/>
        <w:t>de</w:t>
      </w:r>
      <w:r>
        <w:rPr>
          <w:spacing w:val="-12"/>
        </w:rPr>
        <w:t> </w:t>
      </w:r>
      <w:r>
        <w:rPr/>
        <w:t>la</w:t>
      </w:r>
      <w:r>
        <w:rPr>
          <w:spacing w:val="-12"/>
        </w:rPr>
        <w:t> </w:t>
      </w:r>
      <w:r>
        <w:rPr/>
        <w:t>participación</w:t>
      </w:r>
      <w:r>
        <w:rPr>
          <w:spacing w:val="-11"/>
        </w:rPr>
        <w:t> </w:t>
      </w:r>
      <w:r>
        <w:rPr/>
        <w:t>del</w:t>
      </w:r>
      <w:r>
        <w:rPr>
          <w:spacing w:val="-11"/>
        </w:rPr>
        <w:t> </w:t>
      </w:r>
      <w:r>
        <w:rPr/>
        <w:t>personal</w:t>
      </w:r>
      <w:r>
        <w:rPr>
          <w:spacing w:val="-11"/>
        </w:rPr>
        <w:t> </w:t>
      </w:r>
      <w:r>
        <w:rPr/>
        <w:t>ocupado</w:t>
      </w:r>
      <w:r>
        <w:rPr>
          <w:spacing w:val="-9"/>
        </w:rPr>
        <w:t> </w:t>
      </w:r>
      <w:r>
        <w:rPr/>
        <w:t>de</w:t>
      </w:r>
      <w:r>
        <w:rPr>
          <w:spacing w:val="-12"/>
        </w:rPr>
        <w:t> </w:t>
      </w:r>
      <w:r>
        <w:rPr/>
        <w:t>la</w:t>
      </w:r>
      <w:r>
        <w:rPr>
          <w:spacing w:val="-12"/>
        </w:rPr>
        <w:t> </w:t>
      </w:r>
      <w:r>
        <w:rPr/>
        <w:t>manufactura de</w:t>
      </w:r>
      <w:r>
        <w:rPr>
          <w:spacing w:val="-17"/>
        </w:rPr>
        <w:t> </w:t>
      </w:r>
      <w:r>
        <w:rPr/>
        <w:t>la</w:t>
      </w:r>
      <w:r>
        <w:rPr>
          <w:spacing w:val="-16"/>
        </w:rPr>
        <w:t> </w:t>
      </w:r>
      <w:r>
        <w:rPr/>
        <w:t>región</w:t>
      </w:r>
      <w:r>
        <w:rPr>
          <w:spacing w:val="-15"/>
        </w:rPr>
        <w:t> </w:t>
      </w:r>
      <w:r>
        <w:rPr/>
        <w:t>en</w:t>
      </w:r>
      <w:r>
        <w:rPr>
          <w:spacing w:val="-16"/>
        </w:rPr>
        <w:t> </w:t>
      </w:r>
      <w:r>
        <w:rPr/>
        <w:t>la</w:t>
      </w:r>
      <w:r>
        <w:rPr>
          <w:spacing w:val="-16"/>
        </w:rPr>
        <w:t> </w:t>
      </w:r>
      <w:r>
        <w:rPr/>
        <w:t>manufactura</w:t>
      </w:r>
      <w:r>
        <w:rPr>
          <w:spacing w:val="-17"/>
        </w:rPr>
        <w:t> </w:t>
      </w:r>
      <w:r>
        <w:rPr/>
        <w:t>a</w:t>
      </w:r>
      <w:r>
        <w:rPr>
          <w:spacing w:val="-17"/>
        </w:rPr>
        <w:t> </w:t>
      </w:r>
      <w:r>
        <w:rPr/>
        <w:t>nivel</w:t>
      </w:r>
      <w:r>
        <w:rPr>
          <w:spacing w:val="-16"/>
        </w:rPr>
        <w:t> </w:t>
      </w:r>
      <w:r>
        <w:rPr/>
        <w:t>nacional,</w:t>
      </w:r>
      <w:r>
        <w:rPr>
          <w:spacing w:val="-15"/>
        </w:rPr>
        <w:t> </w:t>
      </w:r>
      <w:r>
        <w:rPr/>
        <w:t>no</w:t>
      </w:r>
      <w:r>
        <w:rPr>
          <w:spacing w:val="-16"/>
        </w:rPr>
        <w:t> </w:t>
      </w:r>
      <w:r>
        <w:rPr/>
        <w:t>obstante,</w:t>
      </w:r>
      <w:r>
        <w:rPr>
          <w:spacing w:val="-16"/>
        </w:rPr>
        <w:t> </w:t>
      </w:r>
      <w:r>
        <w:rPr/>
        <w:t>se</w:t>
      </w:r>
      <w:r>
        <w:rPr>
          <w:spacing w:val="-17"/>
        </w:rPr>
        <w:t> </w:t>
      </w:r>
      <w:r>
        <w:rPr/>
        <w:t>observa</w:t>
      </w:r>
      <w:r>
        <w:rPr>
          <w:spacing w:val="-18"/>
        </w:rPr>
        <w:t> </w:t>
      </w:r>
      <w:r>
        <w:rPr/>
        <w:t>también</w:t>
      </w:r>
      <w:r>
        <w:rPr>
          <w:spacing w:val="-16"/>
        </w:rPr>
        <w:t> </w:t>
      </w:r>
      <w:r>
        <w:rPr/>
        <w:t>que</w:t>
      </w:r>
      <w:r>
        <w:rPr>
          <w:spacing w:val="-17"/>
        </w:rPr>
        <w:t> </w:t>
      </w:r>
      <w:r>
        <w:rPr/>
        <w:t>el</w:t>
      </w:r>
      <w:r>
        <w:rPr>
          <w:spacing w:val="-15"/>
        </w:rPr>
        <w:t> </w:t>
      </w:r>
      <w:r>
        <w:rPr/>
        <w:t>empleo de la industria automotriz de Puebla, tuvo un pequeño incrementó en su participación en el empleo de la manufactura a nivel nacional, pese a la crisis económica mundial de ese año (véase gráfica</w:t>
      </w:r>
      <w:r>
        <w:rPr>
          <w:spacing w:val="-5"/>
        </w:rPr>
        <w:t> </w:t>
      </w:r>
      <w:r>
        <w:rPr/>
        <w:t>4.9).</w:t>
      </w:r>
    </w:p>
    <w:p>
      <w:pPr>
        <w:spacing w:after="0" w:line="360" w:lineRule="auto"/>
        <w:jc w:val="both"/>
        <w:sectPr>
          <w:footerReference w:type="default" r:id="rId66"/>
          <w:pgSz w:w="12240" w:h="15840"/>
          <w:pgMar w:footer="1035" w:header="0" w:top="1360" w:bottom="1220" w:left="1600" w:right="1580"/>
        </w:sectPr>
      </w:pPr>
    </w:p>
    <w:p>
      <w:pPr>
        <w:pStyle w:val="Heading1"/>
        <w:spacing w:line="360" w:lineRule="auto" w:before="55"/>
        <w:ind w:left="112" w:right="132"/>
        <w:jc w:val="center"/>
      </w:pPr>
      <w:r>
        <w:rPr/>
        <w:t>Gráfica 4.9. Participación porcentual de la industria manufacturera y automotriz de Puebla en la manufactura nacional, 1980-2008 (Personal Ocupado)</w:t>
      </w:r>
    </w:p>
    <w:p>
      <w:pPr>
        <w:pStyle w:val="BodyText"/>
        <w:ind w:left="538"/>
        <w:rPr>
          <w:sz w:val="20"/>
        </w:rPr>
      </w:pPr>
      <w:r>
        <w:rPr>
          <w:sz w:val="20"/>
        </w:rPr>
        <w:pict>
          <v:group style="width:397.6pt;height:170.8pt;mso-position-horizontal-relative:char;mso-position-vertical-relative:line" coordorigin="0,0" coordsize="7952,3416">
            <v:shape style="position:absolute;left:514;top:228;width:7210;height:2306" type="#_x0000_t75" stroked="false">
              <v:imagedata r:id="rId69" o:title=""/>
            </v:shape>
            <v:line style="position:absolute" from="7167,2151" to="7723,2151" stroked="true" strokeweight=".72pt" strokecolor="#d9d9d9"/>
            <v:line style="position:absolute" from="6135,2151" to="6963,2151" stroked="true" strokeweight=".72pt" strokecolor="#d9d9d9"/>
            <v:line style="position:absolute" from="5105,2151" to="5933,2151" stroked="true" strokeweight=".72pt" strokecolor="#d9d9d9"/>
            <v:line style="position:absolute" from="4075,2151" to="4903,2151" stroked="true" strokeweight=".72pt" strokecolor="#d9d9d9"/>
            <v:line style="position:absolute" from="3046,2151" to="3874,2151" stroked="true" strokeweight=".72pt" strokecolor="#d9d9d9"/>
            <v:line style="position:absolute" from="2016,2151" to="2844,2151" stroked="true" strokeweight=".72pt" strokecolor="#d9d9d9"/>
            <v:line style="position:absolute" from="987,2151" to="1815,2151" stroked="true" strokeweight=".72pt" strokecolor="#d9d9d9"/>
            <v:line style="position:absolute" from="514,2151" to="785,2151" stroked="true" strokeweight=".72pt" strokecolor="#d9d9d9"/>
            <v:line style="position:absolute" from="7167,1767" to="7723,1767" stroked="true" strokeweight=".72pt" strokecolor="#d9d9d9"/>
            <v:line style="position:absolute" from="6135,1767" to="6963,1767" stroked="true" strokeweight=".72pt" strokecolor="#d9d9d9"/>
            <v:line style="position:absolute" from="5105,1767" to="5933,1767" stroked="true" strokeweight=".72pt" strokecolor="#d9d9d9"/>
            <v:line style="position:absolute" from="4075,1767" to="4903,1767" stroked="true" strokeweight=".72pt" strokecolor="#d9d9d9"/>
            <v:line style="position:absolute" from="3046,1767" to="3874,1767" stroked="true" strokeweight=".72pt" strokecolor="#d9d9d9"/>
            <v:line style="position:absolute" from="2016,1767" to="2844,1767" stroked="true" strokeweight=".72pt" strokecolor="#d9d9d9"/>
            <v:line style="position:absolute" from="987,1767" to="1815,1767" stroked="true" strokeweight=".72pt" strokecolor="#d9d9d9"/>
            <v:line style="position:absolute" from="514,1767" to="785,1767" stroked="true" strokeweight=".72pt" strokecolor="#d9d9d9"/>
            <v:line style="position:absolute" from="7167,1383" to="7723,1383" stroked="true" strokeweight=".72pt" strokecolor="#d9d9d9"/>
            <v:line style="position:absolute" from="6135,1383" to="6963,1383" stroked="true" strokeweight=".72pt" strokecolor="#d9d9d9"/>
            <v:line style="position:absolute" from="5105,1383" to="5933,1383" stroked="true" strokeweight=".72pt" strokecolor="#d9d9d9"/>
            <v:line style="position:absolute" from="4075,1383" to="4903,1383" stroked="true" strokeweight=".72pt" strokecolor="#d9d9d9"/>
            <v:line style="position:absolute" from="3046,1383" to="3874,1383" stroked="true" strokeweight=".72pt" strokecolor="#d9d9d9"/>
            <v:line style="position:absolute" from="2016,1383" to="2844,1383" stroked="true" strokeweight=".72pt" strokecolor="#d9d9d9"/>
            <v:line style="position:absolute" from="987,1383" to="1815,1383" stroked="true" strokeweight=".72pt" strokecolor="#d9d9d9"/>
            <v:line style="position:absolute" from="514,1383" to="785,1383" stroked="true" strokeweight=".72pt" strokecolor="#d9d9d9"/>
            <v:line style="position:absolute" from="7167,999" to="7723,999" stroked="true" strokeweight=".72pt" strokecolor="#d9d9d9"/>
            <v:line style="position:absolute" from="6135,999" to="6963,999" stroked="true" strokeweight=".72pt" strokecolor="#d9d9d9"/>
            <v:line style="position:absolute" from="5105,999" to="5933,999" stroked="true" strokeweight=".72pt" strokecolor="#d9d9d9"/>
            <v:line style="position:absolute" from="4075,999" to="4903,999" stroked="true" strokeweight=".72pt" strokecolor="#d9d9d9"/>
            <v:line style="position:absolute" from="3046,999" to="3874,999" stroked="true" strokeweight=".72pt" strokecolor="#d9d9d9"/>
            <v:line style="position:absolute" from="2016,999" to="2844,999" stroked="true" strokeweight=".72pt" strokecolor="#d9d9d9"/>
            <v:line style="position:absolute" from="514,999" to="1815,999" stroked="true" strokeweight=".72pt" strokecolor="#d9d9d9"/>
            <v:line style="position:absolute" from="5105,612" to="7724,612" stroked="true" strokeweight=".72pt" strokecolor="#d9d9d9"/>
            <v:line style="position:absolute" from="514,612" to="4903,612" stroked="true" strokeweight=".72pt" strokecolor="#d9d9d9"/>
            <v:line style="position:absolute" from="514,228" to="7723,228" stroked="true" strokeweight=".72pt" strokecolor="#d9d9d9"/>
            <v:line style="position:absolute" from="514,228" to="514,2535" stroked="true" strokeweight=".72pt" strokecolor="#d9d9d9"/>
            <v:line style="position:absolute" from="1546,228" to="1546,2535" stroked="true" strokeweight=".72pt" strokecolor="#d9d9d9"/>
            <v:line style="position:absolute" from="2575,228" to="2575,2535" stroked="true" strokeweight=".72pt" strokecolor="#d9d9d9"/>
            <v:line style="position:absolute" from="3605,228" to="3605,2535" stroked="true" strokeweight=".72pt" strokecolor="#d9d9d9"/>
            <v:line style="position:absolute" from="4635,228" to="4635,2535" stroked="true" strokeweight=".72pt" strokecolor="#d9d9d9"/>
            <v:line style="position:absolute" from="5664,228" to="5664,2535" stroked="true" strokeweight=".72pt" strokecolor="#d9d9d9"/>
            <v:line style="position:absolute" from="6694,228" to="6694,2535" stroked="true" strokeweight=".72pt" strokecolor="#d9d9d9"/>
            <v:line style="position:absolute" from="7723,228" to="7723,2535" stroked="true" strokeweight=".72pt" strokecolor="#d9d9d9"/>
            <v:rect style="position:absolute;left:785;top:977;width:202;height:1558" filled="true" fillcolor="#539e39" stroked="false">
              <v:fill type="solid"/>
            </v:rect>
            <v:rect style="position:absolute;left:1815;top:932;width:202;height:1603" filled="true" fillcolor="#539e39" stroked="false">
              <v:fill type="solid"/>
            </v:rect>
            <v:rect style="position:absolute;left:2844;top:934;width:202;height:1601" filled="true" fillcolor="#539e39" stroked="false">
              <v:fill type="solid"/>
            </v:rect>
            <v:rect style="position:absolute;left:3874;top:639;width:202;height:1896" filled="true" fillcolor="#539e39" stroked="false">
              <v:fill type="solid"/>
            </v:rect>
            <v:rect style="position:absolute;left:4904;top:468;width:202;height:2066" filled="true" fillcolor="#539e39" stroked="false">
              <v:fill type="solid"/>
            </v:rect>
            <v:rect style="position:absolute;left:5933;top:600;width:202;height:1934" filled="true" fillcolor="#539e39" stroked="false">
              <v:fill type="solid"/>
            </v:rect>
            <v:rect style="position:absolute;left:6963;top:595;width:204;height:1939" filled="true" fillcolor="#539e39" stroked="false">
              <v:fill type="solid"/>
            </v:rect>
            <v:rect style="position:absolute;left:1073;top:2324;width:202;height:211" filled="true" fillcolor="#89b833" stroked="false">
              <v:fill type="solid"/>
            </v:rect>
            <v:rect style="position:absolute;left:2103;top:2297;width:202;height:238" filled="true" fillcolor="#89b833" stroked="false">
              <v:fill type="solid"/>
            </v:rect>
            <v:rect style="position:absolute;left:3132;top:2345;width:202;height:190" filled="true" fillcolor="#89b833" stroked="false">
              <v:fill type="solid"/>
            </v:rect>
            <v:rect style="position:absolute;left:4162;top:2316;width:204;height:218" filled="true" fillcolor="#89b833" stroked="false">
              <v:fill type="solid"/>
            </v:rect>
            <v:rect style="position:absolute;left:5194;top:2292;width:202;height:242" filled="true" fillcolor="#89b833" stroked="false">
              <v:fill type="solid"/>
            </v:rect>
            <v:rect style="position:absolute;left:6223;top:2304;width:202;height:230" filled="true" fillcolor="#89b833" stroked="false">
              <v:fill type="solid"/>
            </v:rect>
            <v:rect style="position:absolute;left:7253;top:2232;width:202;height:302" filled="true" fillcolor="#89b833" stroked="false">
              <v:fill type="solid"/>
            </v:rect>
            <v:line style="position:absolute" from="514,2535" to="7723,2535" stroked="true" strokeweight=".72pt" strokecolor="#d9d9d9"/>
            <v:line style="position:absolute" from="2144,3131" to="2232,3131" stroked="true" strokeweight="4.440pt" strokecolor="#539e39"/>
            <v:line style="position:absolute" from="4284,3131" to="4373,3131" stroked="true" strokeweight="4.440pt" strokecolor="#89b833"/>
            <v:rect style="position:absolute;left:8;top:8;width:7937;height:3401" filled="false" stroked="true" strokeweight=".72pt" strokecolor="#d9d9d9"/>
            <v:shape style="position:absolute;left:138;top:141;width:225;height:180" type="#_x0000_t202" filled="false" stroked="false">
              <v:textbox inset="0,0,0,0">
                <w:txbxContent>
                  <w:p>
                    <w:pPr>
                      <w:spacing w:line="180" w:lineRule="exact" w:before="0"/>
                      <w:ind w:left="0" w:right="-20" w:firstLine="0"/>
                      <w:jc w:val="left"/>
                      <w:rPr>
                        <w:sz w:val="18"/>
                      </w:rPr>
                    </w:pPr>
                    <w:r>
                      <w:rPr>
                        <w:color w:val="585858"/>
                        <w:sz w:val="18"/>
                      </w:rPr>
                      <w:t>6.0</w:t>
                    </w:r>
                  </w:p>
                </w:txbxContent>
              </v:textbox>
              <w10:wrap type="none"/>
            </v:shape>
            <v:shape style="position:absolute;left:4892;top:196;width:227;height:180" type="#_x0000_t202" filled="false" stroked="false">
              <v:textbox inset="0,0,0,0">
                <w:txbxContent>
                  <w:p>
                    <w:pPr>
                      <w:spacing w:line="180" w:lineRule="exact" w:before="0"/>
                      <w:ind w:left="0" w:right="-18" w:firstLine="0"/>
                      <w:jc w:val="left"/>
                      <w:rPr>
                        <w:sz w:val="18"/>
                      </w:rPr>
                    </w:pPr>
                    <w:r>
                      <w:rPr>
                        <w:color w:val="404040"/>
                        <w:sz w:val="18"/>
                      </w:rPr>
                      <w:t>5.4</w:t>
                    </w:r>
                  </w:p>
                </w:txbxContent>
              </v:textbox>
              <w10:wrap type="none"/>
            </v:shape>
            <v:shape style="position:absolute;left:3862;top:365;width:227;height:180" type="#_x0000_t202" filled="false" stroked="false">
              <v:textbox inset="0,0,0,0">
                <w:txbxContent>
                  <w:p>
                    <w:pPr>
                      <w:spacing w:line="180" w:lineRule="exact" w:before="0"/>
                      <w:ind w:left="0" w:right="-18" w:firstLine="0"/>
                      <w:jc w:val="left"/>
                      <w:rPr>
                        <w:sz w:val="18"/>
                      </w:rPr>
                    </w:pPr>
                    <w:r>
                      <w:rPr>
                        <w:color w:val="404040"/>
                        <w:sz w:val="18"/>
                      </w:rPr>
                      <w:t>4.9</w:t>
                    </w:r>
                  </w:p>
                </w:txbxContent>
              </v:textbox>
              <w10:wrap type="none"/>
            </v:shape>
            <v:shape style="position:absolute;left:5922;top:327;width:227;height:181" type="#_x0000_t202" filled="false" stroked="false">
              <v:textbox inset="0,0,0,0">
                <w:txbxContent>
                  <w:p>
                    <w:pPr>
                      <w:spacing w:line="180" w:lineRule="exact" w:before="0"/>
                      <w:ind w:left="0" w:right="-18" w:firstLine="0"/>
                      <w:jc w:val="left"/>
                      <w:rPr>
                        <w:sz w:val="18"/>
                      </w:rPr>
                    </w:pPr>
                    <w:r>
                      <w:rPr>
                        <w:color w:val="404040"/>
                        <w:sz w:val="18"/>
                      </w:rPr>
                      <w:t>5.0</w:t>
                    </w:r>
                  </w:p>
                </w:txbxContent>
              </v:textbox>
              <w10:wrap type="none"/>
            </v:shape>
            <v:shape style="position:absolute;left:6952;top:321;width:227;height:181" type="#_x0000_t202" filled="false" stroked="false">
              <v:textbox inset="0,0,0,0">
                <w:txbxContent>
                  <w:p>
                    <w:pPr>
                      <w:spacing w:line="180" w:lineRule="exact" w:before="0"/>
                      <w:ind w:left="0" w:right="-18" w:firstLine="0"/>
                      <w:jc w:val="left"/>
                      <w:rPr>
                        <w:sz w:val="18"/>
                      </w:rPr>
                    </w:pPr>
                    <w:r>
                      <w:rPr>
                        <w:color w:val="404040"/>
                        <w:sz w:val="18"/>
                      </w:rPr>
                      <w:t>5.0</w:t>
                    </w:r>
                  </w:p>
                </w:txbxContent>
              </v:textbox>
              <w10:wrap type="none"/>
            </v:shape>
            <v:shape style="position:absolute;left:138;top:525;width:225;height:180" type="#_x0000_t202" filled="false" stroked="false">
              <v:textbox inset="0,0,0,0">
                <w:txbxContent>
                  <w:p>
                    <w:pPr>
                      <w:spacing w:line="180" w:lineRule="exact" w:before="0"/>
                      <w:ind w:left="0" w:right="-20" w:firstLine="0"/>
                      <w:jc w:val="left"/>
                      <w:rPr>
                        <w:sz w:val="18"/>
                      </w:rPr>
                    </w:pPr>
                    <w:r>
                      <w:rPr>
                        <w:color w:val="585858"/>
                        <w:sz w:val="18"/>
                      </w:rPr>
                      <w:t>5.0</w:t>
                    </w:r>
                  </w:p>
                </w:txbxContent>
              </v:textbox>
              <w10:wrap type="none"/>
            </v:shape>
            <v:shape style="position:absolute;left:772;top:705;width:227;height:180" type="#_x0000_t202" filled="false" stroked="false">
              <v:textbox inset="0,0,0,0">
                <w:txbxContent>
                  <w:p>
                    <w:pPr>
                      <w:spacing w:line="180" w:lineRule="exact" w:before="0"/>
                      <w:ind w:left="0" w:right="-18" w:firstLine="0"/>
                      <w:jc w:val="left"/>
                      <w:rPr>
                        <w:sz w:val="18"/>
                      </w:rPr>
                    </w:pPr>
                    <w:r>
                      <w:rPr>
                        <w:color w:val="404040"/>
                        <w:sz w:val="18"/>
                      </w:rPr>
                      <w:t>4.1</w:t>
                    </w:r>
                  </w:p>
                </w:txbxContent>
              </v:textbox>
              <w10:wrap type="none"/>
            </v:shape>
            <v:shape style="position:absolute;left:1802;top:659;width:227;height:180" type="#_x0000_t202" filled="false" stroked="false">
              <v:textbox inset="0,0,0,0">
                <w:txbxContent>
                  <w:p>
                    <w:pPr>
                      <w:spacing w:line="180" w:lineRule="exact" w:before="0"/>
                      <w:ind w:left="0" w:right="-18" w:firstLine="0"/>
                      <w:jc w:val="left"/>
                      <w:rPr>
                        <w:sz w:val="18"/>
                      </w:rPr>
                    </w:pPr>
                    <w:r>
                      <w:rPr>
                        <w:color w:val="404040"/>
                        <w:sz w:val="18"/>
                      </w:rPr>
                      <w:t>4.2</w:t>
                    </w:r>
                  </w:p>
                </w:txbxContent>
              </v:textbox>
              <w10:wrap type="none"/>
            </v:shape>
            <v:shape style="position:absolute;left:2832;top:660;width:227;height:180" type="#_x0000_t202" filled="false" stroked="false">
              <v:textbox inset="0,0,0,0">
                <w:txbxContent>
                  <w:p>
                    <w:pPr>
                      <w:spacing w:line="180" w:lineRule="exact" w:before="0"/>
                      <w:ind w:left="0" w:right="-18" w:firstLine="0"/>
                      <w:jc w:val="left"/>
                      <w:rPr>
                        <w:sz w:val="18"/>
                      </w:rPr>
                    </w:pPr>
                    <w:r>
                      <w:rPr>
                        <w:color w:val="404040"/>
                        <w:sz w:val="18"/>
                      </w:rPr>
                      <w:t>4.2</w:t>
                    </w:r>
                  </w:p>
                </w:txbxContent>
              </v:textbox>
              <w10:wrap type="none"/>
            </v:shape>
            <v:shape style="position:absolute;left:138;top:909;width:225;height:1334" type="#_x0000_t202" filled="false" stroked="false">
              <v:textbox inset="0,0,0,0">
                <w:txbxContent>
                  <w:p>
                    <w:pPr>
                      <w:spacing w:line="184" w:lineRule="exact" w:before="0"/>
                      <w:ind w:left="0" w:right="-20" w:firstLine="0"/>
                      <w:jc w:val="left"/>
                      <w:rPr>
                        <w:sz w:val="18"/>
                      </w:rPr>
                    </w:pPr>
                    <w:r>
                      <w:rPr>
                        <w:color w:val="585858"/>
                        <w:sz w:val="18"/>
                      </w:rPr>
                      <w:t>4.0</w:t>
                    </w:r>
                  </w:p>
                  <w:p>
                    <w:pPr>
                      <w:spacing w:line="240" w:lineRule="auto" w:before="5"/>
                      <w:rPr>
                        <w:b/>
                        <w:sz w:val="15"/>
                      </w:rPr>
                    </w:pPr>
                  </w:p>
                  <w:p>
                    <w:pPr>
                      <w:spacing w:before="0"/>
                      <w:ind w:left="0" w:right="-20" w:firstLine="0"/>
                      <w:jc w:val="left"/>
                      <w:rPr>
                        <w:sz w:val="18"/>
                      </w:rPr>
                    </w:pPr>
                    <w:r>
                      <w:rPr>
                        <w:color w:val="585858"/>
                        <w:sz w:val="18"/>
                      </w:rPr>
                      <w:t>3.0</w:t>
                    </w:r>
                  </w:p>
                  <w:p>
                    <w:pPr>
                      <w:spacing w:line="240" w:lineRule="auto" w:before="5"/>
                      <w:rPr>
                        <w:b/>
                        <w:sz w:val="15"/>
                      </w:rPr>
                    </w:pPr>
                  </w:p>
                  <w:p>
                    <w:pPr>
                      <w:spacing w:before="0"/>
                      <w:ind w:left="0" w:right="-20" w:firstLine="0"/>
                      <w:jc w:val="left"/>
                      <w:rPr>
                        <w:sz w:val="18"/>
                      </w:rPr>
                    </w:pPr>
                    <w:r>
                      <w:rPr>
                        <w:color w:val="585858"/>
                        <w:sz w:val="18"/>
                      </w:rPr>
                      <w:t>2.0</w:t>
                    </w:r>
                  </w:p>
                  <w:p>
                    <w:pPr>
                      <w:spacing w:line="240" w:lineRule="auto" w:before="4"/>
                      <w:rPr>
                        <w:b/>
                        <w:sz w:val="15"/>
                      </w:rPr>
                    </w:pPr>
                  </w:p>
                  <w:p>
                    <w:pPr>
                      <w:spacing w:line="203" w:lineRule="exact" w:before="1"/>
                      <w:ind w:left="0" w:right="-20" w:firstLine="0"/>
                      <w:jc w:val="left"/>
                      <w:rPr>
                        <w:sz w:val="18"/>
                      </w:rPr>
                    </w:pPr>
                    <w:r>
                      <w:rPr>
                        <w:color w:val="585858"/>
                        <w:sz w:val="18"/>
                      </w:rPr>
                      <w:t>1.0</w:t>
                    </w:r>
                  </w:p>
                </w:txbxContent>
              </v:textbox>
              <w10:wrap type="none"/>
            </v:shape>
            <v:shape style="position:absolute;left:1061;top:2050;width:227;height:180" type="#_x0000_t202" filled="false" stroked="false">
              <v:textbox inset="0,0,0,0">
                <w:txbxContent>
                  <w:p>
                    <w:pPr>
                      <w:spacing w:line="180" w:lineRule="exact" w:before="0"/>
                      <w:ind w:left="0" w:right="-18" w:firstLine="0"/>
                      <w:jc w:val="left"/>
                      <w:rPr>
                        <w:sz w:val="18"/>
                      </w:rPr>
                    </w:pPr>
                    <w:r>
                      <w:rPr>
                        <w:color w:val="404040"/>
                        <w:sz w:val="18"/>
                      </w:rPr>
                      <w:t>0.6</w:t>
                    </w:r>
                  </w:p>
                </w:txbxContent>
              </v:textbox>
              <w10:wrap type="none"/>
            </v:shape>
            <v:shape style="position:absolute;left:2091;top:2024;width:227;height:180" type="#_x0000_t202" filled="false" stroked="false">
              <v:textbox inset="0,0,0,0">
                <w:txbxContent>
                  <w:p>
                    <w:pPr>
                      <w:spacing w:line="180" w:lineRule="exact" w:before="0"/>
                      <w:ind w:left="0" w:right="-18" w:firstLine="0"/>
                      <w:jc w:val="left"/>
                      <w:rPr>
                        <w:sz w:val="18"/>
                      </w:rPr>
                    </w:pPr>
                    <w:r>
                      <w:rPr>
                        <w:color w:val="404040"/>
                        <w:sz w:val="18"/>
                      </w:rPr>
                      <w:t>0.6</w:t>
                    </w:r>
                  </w:p>
                </w:txbxContent>
              </v:textbox>
              <w10:wrap type="none"/>
            </v:shape>
            <v:shape style="position:absolute;left:3121;top:2073;width:227;height:180" type="#_x0000_t202" filled="false" stroked="false">
              <v:textbox inset="0,0,0,0">
                <w:txbxContent>
                  <w:p>
                    <w:pPr>
                      <w:spacing w:line="180" w:lineRule="exact" w:before="0"/>
                      <w:ind w:left="0" w:right="-18" w:firstLine="0"/>
                      <w:jc w:val="left"/>
                      <w:rPr>
                        <w:sz w:val="18"/>
                      </w:rPr>
                    </w:pPr>
                    <w:r>
                      <w:rPr>
                        <w:color w:val="404040"/>
                        <w:sz w:val="18"/>
                      </w:rPr>
                      <w:t>0.5</w:t>
                    </w:r>
                  </w:p>
                </w:txbxContent>
              </v:textbox>
              <w10:wrap type="none"/>
            </v:shape>
            <v:shape style="position:absolute;left:4151;top:2043;width:227;height:180" type="#_x0000_t202" filled="false" stroked="false">
              <v:textbox inset="0,0,0,0">
                <w:txbxContent>
                  <w:p>
                    <w:pPr>
                      <w:spacing w:line="180" w:lineRule="exact" w:before="0"/>
                      <w:ind w:left="0" w:right="-18" w:firstLine="0"/>
                      <w:jc w:val="left"/>
                      <w:rPr>
                        <w:sz w:val="18"/>
                      </w:rPr>
                    </w:pPr>
                    <w:r>
                      <w:rPr>
                        <w:color w:val="404040"/>
                        <w:sz w:val="18"/>
                      </w:rPr>
                      <w:t>0.6</w:t>
                    </w:r>
                  </w:p>
                </w:txbxContent>
              </v:textbox>
              <w10:wrap type="none"/>
            </v:shape>
            <v:shape style="position:absolute;left:5181;top:2018;width:227;height:180" type="#_x0000_t202" filled="false" stroked="false">
              <v:textbox inset="0,0,0,0">
                <w:txbxContent>
                  <w:p>
                    <w:pPr>
                      <w:spacing w:line="180" w:lineRule="exact" w:before="0"/>
                      <w:ind w:left="0" w:right="-18" w:firstLine="0"/>
                      <w:jc w:val="left"/>
                      <w:rPr>
                        <w:sz w:val="18"/>
                      </w:rPr>
                    </w:pPr>
                    <w:r>
                      <w:rPr>
                        <w:color w:val="404040"/>
                        <w:sz w:val="18"/>
                      </w:rPr>
                      <w:t>0.6</w:t>
                    </w:r>
                  </w:p>
                </w:txbxContent>
              </v:textbox>
              <w10:wrap type="none"/>
            </v:shape>
            <v:shape style="position:absolute;left:6210;top:2030;width:227;height:180" type="#_x0000_t202" filled="false" stroked="false">
              <v:textbox inset="0,0,0,0">
                <w:txbxContent>
                  <w:p>
                    <w:pPr>
                      <w:spacing w:line="180" w:lineRule="exact" w:before="0"/>
                      <w:ind w:left="0" w:right="-18" w:firstLine="0"/>
                      <w:jc w:val="left"/>
                      <w:rPr>
                        <w:sz w:val="18"/>
                      </w:rPr>
                    </w:pPr>
                    <w:r>
                      <w:rPr>
                        <w:color w:val="404040"/>
                        <w:sz w:val="18"/>
                      </w:rPr>
                      <w:t>0.6</w:t>
                    </w:r>
                  </w:p>
                </w:txbxContent>
              </v:textbox>
              <w10:wrap type="none"/>
            </v:shape>
            <v:shape style="position:absolute;left:7241;top:1960;width:227;height:180" type="#_x0000_t202" filled="false" stroked="false">
              <v:textbox inset="0,0,0,0">
                <w:txbxContent>
                  <w:p>
                    <w:pPr>
                      <w:spacing w:line="180" w:lineRule="exact" w:before="0"/>
                      <w:ind w:left="0" w:right="-18" w:firstLine="0"/>
                      <w:jc w:val="left"/>
                      <w:rPr>
                        <w:sz w:val="18"/>
                      </w:rPr>
                    </w:pPr>
                    <w:r>
                      <w:rPr>
                        <w:color w:val="404040"/>
                        <w:sz w:val="18"/>
                      </w:rPr>
                      <w:t>0.8</w:t>
                    </w:r>
                  </w:p>
                </w:txbxContent>
              </v:textbox>
              <w10:wrap type="none"/>
            </v:shape>
            <v:shape style="position:absolute;left:138;top:2447;width:225;height:181" type="#_x0000_t202" filled="false" stroked="false">
              <v:textbox inset="0,0,0,0">
                <w:txbxContent>
                  <w:p>
                    <w:pPr>
                      <w:spacing w:line="180" w:lineRule="exact" w:before="0"/>
                      <w:ind w:left="0" w:right="-20" w:firstLine="0"/>
                      <w:jc w:val="left"/>
                      <w:rPr>
                        <w:sz w:val="18"/>
                      </w:rPr>
                    </w:pPr>
                    <w:r>
                      <w:rPr>
                        <w:color w:val="585858"/>
                        <w:sz w:val="18"/>
                      </w:rPr>
                      <w:t>0.0</w:t>
                    </w:r>
                  </w:p>
                </w:txbxContent>
              </v:textbox>
              <w10:wrap type="none"/>
            </v:shape>
            <v:shape style="position:absolute;left:850;top:2660;width:361;height:180" type="#_x0000_t202" filled="false" stroked="false">
              <v:textbox inset="0,0,0,0">
                <w:txbxContent>
                  <w:p>
                    <w:pPr>
                      <w:spacing w:line="180" w:lineRule="exact" w:before="0"/>
                      <w:ind w:left="0" w:right="-19" w:firstLine="0"/>
                      <w:jc w:val="left"/>
                      <w:rPr>
                        <w:sz w:val="18"/>
                      </w:rPr>
                    </w:pPr>
                    <w:r>
                      <w:rPr>
                        <w:color w:val="585858"/>
                        <w:sz w:val="18"/>
                      </w:rPr>
                      <w:t>1980</w:t>
                    </w:r>
                  </w:p>
                </w:txbxContent>
              </v:textbox>
              <w10:wrap type="none"/>
            </v:shape>
            <v:shape style="position:absolute;left:1881;top:2660;width:361;height:180" type="#_x0000_t202" filled="false" stroked="false">
              <v:textbox inset="0,0,0,0">
                <w:txbxContent>
                  <w:p>
                    <w:pPr>
                      <w:spacing w:line="180" w:lineRule="exact" w:before="0"/>
                      <w:ind w:left="0" w:right="-19" w:firstLine="0"/>
                      <w:jc w:val="left"/>
                      <w:rPr>
                        <w:sz w:val="18"/>
                      </w:rPr>
                    </w:pPr>
                    <w:r>
                      <w:rPr>
                        <w:color w:val="585858"/>
                        <w:sz w:val="18"/>
                      </w:rPr>
                      <w:t>1985</w:t>
                    </w:r>
                  </w:p>
                </w:txbxContent>
              </v:textbox>
              <w10:wrap type="none"/>
            </v:shape>
            <v:shape style="position:absolute;left:2910;top:2660;width:361;height:180" type="#_x0000_t202" filled="false" stroked="false">
              <v:textbox inset="0,0,0,0">
                <w:txbxContent>
                  <w:p>
                    <w:pPr>
                      <w:spacing w:line="180" w:lineRule="exact" w:before="0"/>
                      <w:ind w:left="0" w:right="-19" w:firstLine="0"/>
                      <w:jc w:val="left"/>
                      <w:rPr>
                        <w:sz w:val="18"/>
                      </w:rPr>
                    </w:pPr>
                    <w:r>
                      <w:rPr>
                        <w:color w:val="585858"/>
                        <w:sz w:val="18"/>
                      </w:rPr>
                      <w:t>1988</w:t>
                    </w:r>
                  </w:p>
                </w:txbxContent>
              </v:textbox>
              <w10:wrap type="none"/>
            </v:shape>
            <v:shape style="position:absolute;left:3941;top:2660;width:361;height:180" type="#_x0000_t202" filled="false" stroked="false">
              <v:textbox inset="0,0,0,0">
                <w:txbxContent>
                  <w:p>
                    <w:pPr>
                      <w:spacing w:line="180" w:lineRule="exact" w:before="0"/>
                      <w:ind w:left="0" w:right="-19" w:firstLine="0"/>
                      <w:jc w:val="left"/>
                      <w:rPr>
                        <w:sz w:val="18"/>
                      </w:rPr>
                    </w:pPr>
                    <w:r>
                      <w:rPr>
                        <w:color w:val="585858"/>
                        <w:sz w:val="18"/>
                      </w:rPr>
                      <w:t>1993</w:t>
                    </w:r>
                  </w:p>
                </w:txbxContent>
              </v:textbox>
              <w10:wrap type="none"/>
            </v:shape>
            <v:shape style="position:absolute;left:4971;top:2660;width:361;height:180" type="#_x0000_t202" filled="false" stroked="false">
              <v:textbox inset="0,0,0,0">
                <w:txbxContent>
                  <w:p>
                    <w:pPr>
                      <w:spacing w:line="180" w:lineRule="exact" w:before="0"/>
                      <w:ind w:left="0" w:right="-19" w:firstLine="0"/>
                      <w:jc w:val="left"/>
                      <w:rPr>
                        <w:sz w:val="18"/>
                      </w:rPr>
                    </w:pPr>
                    <w:r>
                      <w:rPr>
                        <w:color w:val="585858"/>
                        <w:sz w:val="18"/>
                      </w:rPr>
                      <w:t>1998</w:t>
                    </w:r>
                  </w:p>
                </w:txbxContent>
              </v:textbox>
              <w10:wrap type="none"/>
            </v:shape>
            <v:shape style="position:absolute;left:6001;top:2660;width:361;height:180" type="#_x0000_t202" filled="false" stroked="false">
              <v:textbox inset="0,0,0,0">
                <w:txbxContent>
                  <w:p>
                    <w:pPr>
                      <w:spacing w:line="180" w:lineRule="exact" w:before="0"/>
                      <w:ind w:left="0" w:right="-19" w:firstLine="0"/>
                      <w:jc w:val="left"/>
                      <w:rPr>
                        <w:sz w:val="18"/>
                      </w:rPr>
                    </w:pPr>
                    <w:r>
                      <w:rPr>
                        <w:color w:val="585858"/>
                        <w:sz w:val="18"/>
                      </w:rPr>
                      <w:t>2003</w:t>
                    </w:r>
                  </w:p>
                </w:txbxContent>
              </v:textbox>
              <w10:wrap type="none"/>
            </v:shape>
            <v:shape style="position:absolute;left:7031;top:2660;width:361;height:180" type="#_x0000_t202" filled="false" stroked="false">
              <v:textbox inset="0,0,0,0">
                <w:txbxContent>
                  <w:p>
                    <w:pPr>
                      <w:spacing w:line="180" w:lineRule="exact" w:before="0"/>
                      <w:ind w:left="0" w:right="-19" w:firstLine="0"/>
                      <w:jc w:val="left"/>
                      <w:rPr>
                        <w:sz w:val="18"/>
                      </w:rPr>
                    </w:pPr>
                    <w:r>
                      <w:rPr>
                        <w:color w:val="585858"/>
                        <w:sz w:val="18"/>
                      </w:rPr>
                      <w:t>2008</w:t>
                    </w:r>
                  </w:p>
                </w:txbxContent>
              </v:textbox>
              <w10:wrap type="none"/>
            </v:shape>
            <v:shape style="position:absolute;left:2272;top:3043;width:1723;height:180" type="#_x0000_t202" filled="false" stroked="false">
              <v:textbox inset="0,0,0,0">
                <w:txbxContent>
                  <w:p>
                    <w:pPr>
                      <w:spacing w:line="180" w:lineRule="exact" w:before="0"/>
                      <w:ind w:left="0" w:right="-15" w:firstLine="0"/>
                      <w:jc w:val="left"/>
                      <w:rPr>
                        <w:sz w:val="18"/>
                      </w:rPr>
                    </w:pPr>
                    <w:r>
                      <w:rPr>
                        <w:color w:val="585858"/>
                        <w:sz w:val="18"/>
                      </w:rPr>
                      <w:t>Industria</w:t>
                    </w:r>
                    <w:r>
                      <w:rPr>
                        <w:color w:val="585858"/>
                        <w:spacing w:val="-7"/>
                        <w:sz w:val="18"/>
                      </w:rPr>
                      <w:t> </w:t>
                    </w:r>
                    <w:r>
                      <w:rPr>
                        <w:color w:val="585858"/>
                        <w:sz w:val="18"/>
                      </w:rPr>
                      <w:t>manufacturera</w:t>
                    </w:r>
                  </w:p>
                </w:txbxContent>
              </v:textbox>
              <w10:wrap type="none"/>
            </v:shape>
            <v:shape style="position:absolute;left:4411;top:3043;width:1464;height:180" type="#_x0000_t202" filled="false" stroked="false">
              <v:textbox inset="0,0,0,0">
                <w:txbxContent>
                  <w:p>
                    <w:pPr>
                      <w:spacing w:line="180" w:lineRule="exact" w:before="0"/>
                      <w:ind w:left="0" w:right="-14" w:firstLine="0"/>
                      <w:jc w:val="left"/>
                      <w:rPr>
                        <w:sz w:val="18"/>
                      </w:rPr>
                    </w:pPr>
                    <w:r>
                      <w:rPr>
                        <w:color w:val="585858"/>
                        <w:sz w:val="18"/>
                      </w:rPr>
                      <w:t>Industria</w:t>
                    </w:r>
                    <w:r>
                      <w:rPr>
                        <w:color w:val="585858"/>
                        <w:spacing w:val="-7"/>
                        <w:sz w:val="18"/>
                      </w:rPr>
                      <w:t> </w:t>
                    </w:r>
                    <w:r>
                      <w:rPr>
                        <w:color w:val="585858"/>
                        <w:sz w:val="18"/>
                      </w:rPr>
                      <w:t>automotriz</w:t>
                    </w:r>
                  </w:p>
                </w:txbxContent>
              </v:textbox>
              <w10:wrap type="none"/>
            </v:shape>
          </v:group>
        </w:pict>
      </w:r>
      <w:r>
        <w:rPr>
          <w:sz w:val="20"/>
        </w:rPr>
      </w:r>
    </w:p>
    <w:p>
      <w:pPr>
        <w:spacing w:before="124"/>
        <w:ind w:left="383" w:right="401" w:firstLine="0"/>
        <w:jc w:val="center"/>
        <w:rPr>
          <w:sz w:val="18"/>
        </w:rPr>
      </w:pPr>
      <w:r>
        <w:rPr>
          <w:sz w:val="18"/>
        </w:rPr>
        <w:t>Fuente: Elaboración propia con datos del INEGI (varios años).</w:t>
      </w:r>
    </w:p>
    <w:p>
      <w:pPr>
        <w:pStyle w:val="BodyText"/>
        <w:rPr>
          <w:sz w:val="18"/>
        </w:rPr>
      </w:pPr>
    </w:p>
    <w:p>
      <w:pPr>
        <w:pStyle w:val="BodyText"/>
        <w:spacing w:line="360" w:lineRule="auto" w:before="135"/>
        <w:ind w:left="102" w:right="115"/>
        <w:jc w:val="both"/>
      </w:pPr>
      <w:r>
        <w:rPr/>
        <w:t>Por otro lado, en el cuadro 4.6, se presentan los cocientes de localización en cuanto al personal ocupado, en él se observa que, en 1980, la industria automotriz en la manufactura de</w:t>
      </w:r>
      <w:r>
        <w:rPr>
          <w:spacing w:val="-14"/>
        </w:rPr>
        <w:t> </w:t>
      </w:r>
      <w:r>
        <w:rPr/>
        <w:t>la</w:t>
      </w:r>
      <w:r>
        <w:rPr>
          <w:spacing w:val="-14"/>
        </w:rPr>
        <w:t> </w:t>
      </w:r>
      <w:r>
        <w:rPr/>
        <w:t>región</w:t>
      </w:r>
      <w:r>
        <w:rPr>
          <w:spacing w:val="-13"/>
        </w:rPr>
        <w:t> </w:t>
      </w:r>
      <w:r>
        <w:rPr/>
        <w:t>presentaba</w:t>
      </w:r>
      <w:r>
        <w:rPr>
          <w:spacing w:val="-15"/>
        </w:rPr>
        <w:t> </w:t>
      </w:r>
      <w:r>
        <w:rPr/>
        <w:t>un</w:t>
      </w:r>
      <w:r>
        <w:rPr>
          <w:spacing w:val="-13"/>
        </w:rPr>
        <w:t> </w:t>
      </w:r>
      <w:r>
        <w:rPr/>
        <w:t>grado</w:t>
      </w:r>
      <w:r>
        <w:rPr>
          <w:spacing w:val="-13"/>
        </w:rPr>
        <w:t> </w:t>
      </w:r>
      <w:r>
        <w:rPr/>
        <w:t>significativo</w:t>
      </w:r>
      <w:r>
        <w:rPr>
          <w:spacing w:val="-13"/>
        </w:rPr>
        <w:t> </w:t>
      </w:r>
      <w:r>
        <w:rPr/>
        <w:t>de</w:t>
      </w:r>
      <w:r>
        <w:rPr>
          <w:spacing w:val="-14"/>
        </w:rPr>
        <w:t> </w:t>
      </w:r>
      <w:r>
        <w:rPr/>
        <w:t>especialización,</w:t>
      </w:r>
      <w:r>
        <w:rPr>
          <w:spacing w:val="-13"/>
        </w:rPr>
        <w:t> </w:t>
      </w:r>
      <w:r>
        <w:rPr/>
        <w:t>siendo</w:t>
      </w:r>
      <w:r>
        <w:rPr>
          <w:spacing w:val="-14"/>
        </w:rPr>
        <w:t> </w:t>
      </w:r>
      <w:r>
        <w:rPr/>
        <w:t>el</w:t>
      </w:r>
      <w:r>
        <w:rPr>
          <w:spacing w:val="-13"/>
        </w:rPr>
        <w:t> </w:t>
      </w:r>
      <w:r>
        <w:rPr/>
        <w:t>estado</w:t>
      </w:r>
      <w:r>
        <w:rPr>
          <w:spacing w:val="-14"/>
        </w:rPr>
        <w:t> </w:t>
      </w:r>
      <w:r>
        <w:rPr/>
        <w:t>de</w:t>
      </w:r>
      <w:r>
        <w:rPr>
          <w:spacing w:val="-14"/>
        </w:rPr>
        <w:t> </w:t>
      </w:r>
      <w:r>
        <w:rPr/>
        <w:t>Morelos el</w:t>
      </w:r>
      <w:r>
        <w:rPr>
          <w:spacing w:val="-3"/>
        </w:rPr>
        <w:t> </w:t>
      </w:r>
      <w:r>
        <w:rPr/>
        <w:t>que</w:t>
      </w:r>
      <w:r>
        <w:rPr>
          <w:spacing w:val="-5"/>
        </w:rPr>
        <w:t> </w:t>
      </w:r>
      <w:r>
        <w:rPr/>
        <w:t>mayor</w:t>
      </w:r>
      <w:r>
        <w:rPr>
          <w:spacing w:val="-1"/>
        </w:rPr>
        <w:t> </w:t>
      </w:r>
      <w:r>
        <w:rPr/>
        <w:t>especialización</w:t>
      </w:r>
      <w:r>
        <w:rPr>
          <w:spacing w:val="-3"/>
        </w:rPr>
        <w:t> </w:t>
      </w:r>
      <w:r>
        <w:rPr/>
        <w:t>mostraba</w:t>
      </w:r>
      <w:r>
        <w:rPr>
          <w:spacing w:val="-5"/>
        </w:rPr>
        <w:t> </w:t>
      </w:r>
      <w:r>
        <w:rPr/>
        <w:t>con</w:t>
      </w:r>
      <w:r>
        <w:rPr>
          <w:spacing w:val="-4"/>
        </w:rPr>
        <w:t> </w:t>
      </w:r>
      <w:r>
        <w:rPr/>
        <w:t>un</w:t>
      </w:r>
      <w:r>
        <w:rPr>
          <w:spacing w:val="-2"/>
        </w:rPr>
        <w:t> </w:t>
      </w:r>
      <w:r>
        <w:rPr/>
        <w:t>índice</w:t>
      </w:r>
      <w:r>
        <w:rPr>
          <w:spacing w:val="-5"/>
        </w:rPr>
        <w:t> </w:t>
      </w:r>
      <w:r>
        <w:rPr/>
        <w:t>de</w:t>
      </w:r>
      <w:r>
        <w:rPr>
          <w:spacing w:val="-5"/>
        </w:rPr>
        <w:t> </w:t>
      </w:r>
      <w:r>
        <w:rPr/>
        <w:t>2.5,</w:t>
      </w:r>
      <w:r>
        <w:rPr>
          <w:spacing w:val="-4"/>
        </w:rPr>
        <w:t> </w:t>
      </w:r>
      <w:r>
        <w:rPr/>
        <w:t>seguido por</w:t>
      </w:r>
      <w:r>
        <w:rPr>
          <w:spacing w:val="-5"/>
        </w:rPr>
        <w:t> </w:t>
      </w:r>
      <w:r>
        <w:rPr/>
        <w:t>el</w:t>
      </w:r>
      <w:r>
        <w:rPr>
          <w:spacing w:val="-1"/>
        </w:rPr>
        <w:t> </w:t>
      </w:r>
      <w:r>
        <w:rPr/>
        <w:t>estado</w:t>
      </w:r>
      <w:r>
        <w:rPr>
          <w:spacing w:val="-4"/>
        </w:rPr>
        <w:t> </w:t>
      </w:r>
      <w:r>
        <w:rPr/>
        <w:t>de</w:t>
      </w:r>
      <w:r>
        <w:rPr>
          <w:spacing w:val="-5"/>
        </w:rPr>
        <w:t> </w:t>
      </w:r>
      <w:r>
        <w:rPr/>
        <w:t>Puebla con</w:t>
      </w:r>
      <w:r>
        <w:rPr>
          <w:spacing w:val="-11"/>
        </w:rPr>
        <w:t> </w:t>
      </w:r>
      <w:r>
        <w:rPr/>
        <w:t>un</w:t>
      </w:r>
      <w:r>
        <w:rPr>
          <w:spacing w:val="-11"/>
        </w:rPr>
        <w:t> </w:t>
      </w:r>
      <w:r>
        <w:rPr/>
        <w:t>índice</w:t>
      </w:r>
      <w:r>
        <w:rPr>
          <w:spacing w:val="-12"/>
        </w:rPr>
        <w:t> </w:t>
      </w:r>
      <w:r>
        <w:rPr/>
        <w:t>de</w:t>
      </w:r>
      <w:r>
        <w:rPr>
          <w:spacing w:val="-12"/>
        </w:rPr>
        <w:t> </w:t>
      </w:r>
      <w:r>
        <w:rPr/>
        <w:t>2.4.</w:t>
      </w:r>
      <w:r>
        <w:rPr>
          <w:spacing w:val="-11"/>
        </w:rPr>
        <w:t> </w:t>
      </w:r>
      <w:r>
        <w:rPr/>
        <w:t>Sin</w:t>
      </w:r>
      <w:r>
        <w:rPr>
          <w:spacing w:val="-8"/>
        </w:rPr>
        <w:t> </w:t>
      </w:r>
      <w:r>
        <w:rPr/>
        <w:t>embargo,</w:t>
      </w:r>
      <w:r>
        <w:rPr>
          <w:spacing w:val="-11"/>
        </w:rPr>
        <w:t> </w:t>
      </w:r>
      <w:r>
        <w:rPr/>
        <w:t>a</w:t>
      </w:r>
      <w:r>
        <w:rPr>
          <w:spacing w:val="-10"/>
        </w:rPr>
        <w:t> </w:t>
      </w:r>
      <w:r>
        <w:rPr/>
        <w:t>partir</w:t>
      </w:r>
      <w:r>
        <w:rPr>
          <w:spacing w:val="-11"/>
        </w:rPr>
        <w:t> </w:t>
      </w:r>
      <w:r>
        <w:rPr/>
        <w:t>de</w:t>
      </w:r>
      <w:r>
        <w:rPr>
          <w:spacing w:val="-12"/>
        </w:rPr>
        <w:t> </w:t>
      </w:r>
      <w:r>
        <w:rPr/>
        <w:t>1985</w:t>
      </w:r>
      <w:r>
        <w:rPr>
          <w:spacing w:val="-9"/>
        </w:rPr>
        <w:t> </w:t>
      </w:r>
      <w:r>
        <w:rPr/>
        <w:t>se</w:t>
      </w:r>
      <w:r>
        <w:rPr>
          <w:spacing w:val="-12"/>
        </w:rPr>
        <w:t> </w:t>
      </w:r>
      <w:r>
        <w:rPr/>
        <w:t>observa</w:t>
      </w:r>
      <w:r>
        <w:rPr>
          <w:spacing w:val="-12"/>
        </w:rPr>
        <w:t> </w:t>
      </w:r>
      <w:r>
        <w:rPr/>
        <w:t>tanto</w:t>
      </w:r>
      <w:r>
        <w:rPr>
          <w:spacing w:val="-9"/>
        </w:rPr>
        <w:t> </w:t>
      </w:r>
      <w:r>
        <w:rPr/>
        <w:t>a</w:t>
      </w:r>
      <w:r>
        <w:rPr>
          <w:spacing w:val="-12"/>
        </w:rPr>
        <w:t> </w:t>
      </w:r>
      <w:r>
        <w:rPr/>
        <w:t>nivel</w:t>
      </w:r>
      <w:r>
        <w:rPr>
          <w:spacing w:val="-11"/>
        </w:rPr>
        <w:t> </w:t>
      </w:r>
      <w:r>
        <w:rPr/>
        <w:t>de</w:t>
      </w:r>
      <w:r>
        <w:rPr>
          <w:spacing w:val="-12"/>
        </w:rPr>
        <w:t> </w:t>
      </w:r>
      <w:r>
        <w:rPr/>
        <w:t>la</w:t>
      </w:r>
      <w:r>
        <w:rPr>
          <w:spacing w:val="-12"/>
        </w:rPr>
        <w:t> </w:t>
      </w:r>
      <w:r>
        <w:rPr/>
        <w:t>región</w:t>
      </w:r>
      <w:r>
        <w:rPr>
          <w:spacing w:val="-11"/>
        </w:rPr>
        <w:t> </w:t>
      </w:r>
      <w:r>
        <w:rPr/>
        <w:t>como de los estados que la especialización del personal ocupado en la industria automotriz comienza a</w:t>
      </w:r>
      <w:r>
        <w:rPr>
          <w:spacing w:val="-2"/>
        </w:rPr>
        <w:t> </w:t>
      </w:r>
      <w:r>
        <w:rPr/>
        <w:t>disminuir.</w:t>
      </w:r>
    </w:p>
    <w:p>
      <w:pPr>
        <w:pStyle w:val="BodyText"/>
        <w:spacing w:before="4"/>
        <w:rPr>
          <w:sz w:val="21"/>
        </w:rPr>
      </w:pPr>
    </w:p>
    <w:p>
      <w:pPr>
        <w:pStyle w:val="BodyText"/>
        <w:spacing w:line="360" w:lineRule="auto" w:before="1"/>
        <w:ind w:left="102" w:right="119"/>
        <w:jc w:val="both"/>
      </w:pPr>
      <w:r>
        <w:rPr/>
        <w:t>Finalmente</w:t>
      </w:r>
      <w:r>
        <w:rPr>
          <w:spacing w:val="-16"/>
        </w:rPr>
        <w:t> </w:t>
      </w:r>
      <w:r>
        <w:rPr/>
        <w:t>para</w:t>
      </w:r>
      <w:r>
        <w:rPr>
          <w:spacing w:val="-14"/>
        </w:rPr>
        <w:t> </w:t>
      </w:r>
      <w:r>
        <w:rPr/>
        <w:t>el</w:t>
      </w:r>
      <w:r>
        <w:rPr>
          <w:spacing w:val="-12"/>
        </w:rPr>
        <w:t> </w:t>
      </w:r>
      <w:r>
        <w:rPr/>
        <w:t>año</w:t>
      </w:r>
      <w:r>
        <w:rPr>
          <w:spacing w:val="-12"/>
        </w:rPr>
        <w:t> </w:t>
      </w:r>
      <w:r>
        <w:rPr/>
        <w:t>2008,</w:t>
      </w:r>
      <w:r>
        <w:rPr>
          <w:spacing w:val="-13"/>
        </w:rPr>
        <w:t> </w:t>
      </w:r>
      <w:r>
        <w:rPr/>
        <w:t>la</w:t>
      </w:r>
      <w:r>
        <w:rPr>
          <w:spacing w:val="-15"/>
        </w:rPr>
        <w:t> </w:t>
      </w:r>
      <w:r>
        <w:rPr/>
        <w:t>mayoría</w:t>
      </w:r>
      <w:r>
        <w:rPr>
          <w:spacing w:val="-16"/>
        </w:rPr>
        <w:t> </w:t>
      </w:r>
      <w:r>
        <w:rPr/>
        <w:t>de</w:t>
      </w:r>
      <w:r>
        <w:rPr>
          <w:spacing w:val="-16"/>
        </w:rPr>
        <w:t> </w:t>
      </w:r>
      <w:r>
        <w:rPr/>
        <w:t>los</w:t>
      </w:r>
      <w:r>
        <w:rPr>
          <w:spacing w:val="-12"/>
        </w:rPr>
        <w:t> </w:t>
      </w:r>
      <w:r>
        <w:rPr/>
        <w:t>estados</w:t>
      </w:r>
      <w:r>
        <w:rPr>
          <w:spacing w:val="-15"/>
        </w:rPr>
        <w:t> </w:t>
      </w:r>
      <w:r>
        <w:rPr/>
        <w:t>de</w:t>
      </w:r>
      <w:r>
        <w:rPr>
          <w:spacing w:val="-16"/>
        </w:rPr>
        <w:t> </w:t>
      </w:r>
      <w:r>
        <w:rPr/>
        <w:t>la</w:t>
      </w:r>
      <w:r>
        <w:rPr>
          <w:spacing w:val="-13"/>
        </w:rPr>
        <w:t> </w:t>
      </w:r>
      <w:r>
        <w:rPr/>
        <w:t>región</w:t>
      </w:r>
      <w:r>
        <w:rPr>
          <w:spacing w:val="-14"/>
        </w:rPr>
        <w:t> </w:t>
      </w:r>
      <w:r>
        <w:rPr/>
        <w:t>centro</w:t>
      </w:r>
      <w:r>
        <w:rPr>
          <w:spacing w:val="-15"/>
        </w:rPr>
        <w:t> </w:t>
      </w:r>
      <w:r>
        <w:rPr/>
        <w:t>presentaron</w:t>
      </w:r>
      <w:r>
        <w:rPr>
          <w:spacing w:val="-13"/>
        </w:rPr>
        <w:t> </w:t>
      </w:r>
      <w:r>
        <w:rPr/>
        <w:t>índices muy</w:t>
      </w:r>
      <w:r>
        <w:rPr>
          <w:spacing w:val="-12"/>
        </w:rPr>
        <w:t> </w:t>
      </w:r>
      <w:r>
        <w:rPr/>
        <w:t>bajos,</w:t>
      </w:r>
      <w:r>
        <w:rPr>
          <w:spacing w:val="-7"/>
        </w:rPr>
        <w:t> </w:t>
      </w:r>
      <w:r>
        <w:rPr/>
        <w:t>es</w:t>
      </w:r>
      <w:r>
        <w:rPr>
          <w:spacing w:val="-7"/>
        </w:rPr>
        <w:t> </w:t>
      </w:r>
      <w:r>
        <w:rPr/>
        <w:t>decir</w:t>
      </w:r>
      <w:r>
        <w:rPr>
          <w:spacing w:val="-6"/>
        </w:rPr>
        <w:t> </w:t>
      </w:r>
      <w:r>
        <w:rPr/>
        <w:t>menores</w:t>
      </w:r>
      <w:r>
        <w:rPr>
          <w:spacing w:val="-7"/>
        </w:rPr>
        <w:t> </w:t>
      </w:r>
      <w:r>
        <w:rPr/>
        <w:t>a</w:t>
      </w:r>
      <w:r>
        <w:rPr>
          <w:spacing w:val="-6"/>
        </w:rPr>
        <w:t> </w:t>
      </w:r>
      <w:r>
        <w:rPr/>
        <w:t>la</w:t>
      </w:r>
      <w:r>
        <w:rPr>
          <w:spacing w:val="-8"/>
        </w:rPr>
        <w:t> </w:t>
      </w:r>
      <w:r>
        <w:rPr/>
        <w:t>unidad</w:t>
      </w:r>
      <w:r>
        <w:rPr>
          <w:spacing w:val="-8"/>
        </w:rPr>
        <w:t> </w:t>
      </w:r>
      <w:r>
        <w:rPr/>
        <w:t>lo</w:t>
      </w:r>
      <w:r>
        <w:rPr>
          <w:spacing w:val="-7"/>
        </w:rPr>
        <w:t> </w:t>
      </w:r>
      <w:r>
        <w:rPr/>
        <w:t>que</w:t>
      </w:r>
      <w:r>
        <w:rPr>
          <w:spacing w:val="-9"/>
        </w:rPr>
        <w:t> </w:t>
      </w:r>
      <w:r>
        <w:rPr/>
        <w:t>indica</w:t>
      </w:r>
      <w:r>
        <w:rPr>
          <w:spacing w:val="-9"/>
        </w:rPr>
        <w:t> </w:t>
      </w:r>
      <w:r>
        <w:rPr/>
        <w:t>que</w:t>
      </w:r>
      <w:r>
        <w:rPr>
          <w:spacing w:val="-9"/>
        </w:rPr>
        <w:t> </w:t>
      </w:r>
      <w:r>
        <w:rPr/>
        <w:t>el</w:t>
      </w:r>
      <w:r>
        <w:rPr>
          <w:spacing w:val="-5"/>
        </w:rPr>
        <w:t> </w:t>
      </w:r>
      <w:r>
        <w:rPr/>
        <w:t>personal</w:t>
      </w:r>
      <w:r>
        <w:rPr>
          <w:spacing w:val="-7"/>
        </w:rPr>
        <w:t> </w:t>
      </w:r>
      <w:r>
        <w:rPr/>
        <w:t>ocupado</w:t>
      </w:r>
      <w:r>
        <w:rPr>
          <w:spacing w:val="-8"/>
        </w:rPr>
        <w:t> </w:t>
      </w:r>
      <w:r>
        <w:rPr/>
        <w:t>de</w:t>
      </w:r>
      <w:r>
        <w:rPr>
          <w:spacing w:val="-9"/>
        </w:rPr>
        <w:t> </w:t>
      </w:r>
      <w:r>
        <w:rPr/>
        <w:t>la</w:t>
      </w:r>
      <w:r>
        <w:rPr>
          <w:spacing w:val="-6"/>
        </w:rPr>
        <w:t> </w:t>
      </w:r>
      <w:r>
        <w:rPr/>
        <w:t>industria automotriz disminuyó su especialización dentro del sector manufacturero. Sin embargo, el caso de Puebla es distinto, pues es el único estado dentro de la región centro, donde el personal ocupado aún muestra especialización de la industria automotriz dentro de las manufacturas, pues obtuvo un índice de 1.4 (véase cuadro</w:t>
      </w:r>
      <w:r>
        <w:rPr>
          <w:spacing w:val="-8"/>
        </w:rPr>
        <w:t> </w:t>
      </w:r>
      <w:r>
        <w:rPr/>
        <w:t>4.6).</w:t>
      </w:r>
    </w:p>
    <w:p>
      <w:pPr>
        <w:spacing w:after="0" w:line="360" w:lineRule="auto"/>
        <w:jc w:val="both"/>
        <w:sectPr>
          <w:footerReference w:type="default" r:id="rId68"/>
          <w:pgSz w:w="12240" w:h="15840"/>
          <w:pgMar w:footer="1035" w:header="0" w:top="1360" w:bottom="1220" w:left="1600" w:right="1580"/>
          <w:pgNumType w:start="101"/>
        </w:sectPr>
      </w:pPr>
    </w:p>
    <w:p>
      <w:pPr>
        <w:pStyle w:val="Heading1"/>
        <w:spacing w:line="360" w:lineRule="auto" w:before="55" w:after="6"/>
        <w:ind w:left="913" w:right="688" w:hanging="228"/>
      </w:pPr>
      <w:r>
        <w:rPr/>
        <w:t>Cuadro 4.6. Cocientes de localización del Personal Ocupado de la industria automotriz en el sector manufacturero de la Región Centro, 1980-2008</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41"/>
        <w:gridCol w:w="1015"/>
        <w:gridCol w:w="1013"/>
        <w:gridCol w:w="1013"/>
        <w:gridCol w:w="1013"/>
        <w:gridCol w:w="1013"/>
        <w:gridCol w:w="1013"/>
        <w:gridCol w:w="1008"/>
      </w:tblGrid>
      <w:tr>
        <w:trPr>
          <w:trHeight w:val="293" w:hRule="exact"/>
        </w:trPr>
        <w:tc>
          <w:tcPr>
            <w:tcW w:w="1741" w:type="dxa"/>
            <w:shd w:val="clear" w:color="auto" w:fill="A6A6A6"/>
          </w:tcPr>
          <w:p>
            <w:pPr/>
          </w:p>
        </w:tc>
        <w:tc>
          <w:tcPr>
            <w:tcW w:w="1015" w:type="dxa"/>
            <w:shd w:val="clear" w:color="auto" w:fill="A6A6A6"/>
          </w:tcPr>
          <w:p>
            <w:pPr>
              <w:pStyle w:val="TableParagraph"/>
              <w:spacing w:before="33"/>
              <w:ind w:left="282" w:right="282"/>
              <w:rPr>
                <w:b/>
                <w:sz w:val="20"/>
              </w:rPr>
            </w:pPr>
            <w:r>
              <w:rPr>
                <w:b/>
                <w:sz w:val="20"/>
              </w:rPr>
              <w:t>1980</w:t>
            </w:r>
          </w:p>
        </w:tc>
        <w:tc>
          <w:tcPr>
            <w:tcW w:w="1013" w:type="dxa"/>
            <w:shd w:val="clear" w:color="auto" w:fill="A6A6A6"/>
          </w:tcPr>
          <w:p>
            <w:pPr>
              <w:pStyle w:val="TableParagraph"/>
              <w:spacing w:before="33"/>
              <w:ind w:left="279" w:right="281"/>
              <w:rPr>
                <w:b/>
                <w:sz w:val="20"/>
              </w:rPr>
            </w:pPr>
            <w:r>
              <w:rPr>
                <w:b/>
                <w:sz w:val="20"/>
              </w:rPr>
              <w:t>1985</w:t>
            </w:r>
          </w:p>
        </w:tc>
        <w:tc>
          <w:tcPr>
            <w:tcW w:w="1013" w:type="dxa"/>
            <w:shd w:val="clear" w:color="auto" w:fill="A6A6A6"/>
          </w:tcPr>
          <w:p>
            <w:pPr>
              <w:pStyle w:val="TableParagraph"/>
              <w:spacing w:before="33"/>
              <w:ind w:left="100" w:right="100"/>
              <w:rPr>
                <w:b/>
                <w:sz w:val="20"/>
              </w:rPr>
            </w:pPr>
            <w:r>
              <w:rPr>
                <w:b/>
                <w:sz w:val="20"/>
              </w:rPr>
              <w:t>1988</w:t>
            </w:r>
          </w:p>
        </w:tc>
        <w:tc>
          <w:tcPr>
            <w:tcW w:w="1013" w:type="dxa"/>
            <w:shd w:val="clear" w:color="auto" w:fill="A6A6A6"/>
          </w:tcPr>
          <w:p>
            <w:pPr>
              <w:pStyle w:val="TableParagraph"/>
              <w:spacing w:before="33"/>
              <w:ind w:right="299"/>
              <w:jc w:val="right"/>
              <w:rPr>
                <w:b/>
                <w:sz w:val="20"/>
              </w:rPr>
            </w:pPr>
            <w:r>
              <w:rPr>
                <w:b/>
                <w:sz w:val="20"/>
              </w:rPr>
              <w:t>1993</w:t>
            </w:r>
          </w:p>
        </w:tc>
        <w:tc>
          <w:tcPr>
            <w:tcW w:w="1013" w:type="dxa"/>
            <w:shd w:val="clear" w:color="auto" w:fill="A6A6A6"/>
          </w:tcPr>
          <w:p>
            <w:pPr>
              <w:pStyle w:val="TableParagraph"/>
              <w:spacing w:before="33"/>
              <w:ind w:left="281" w:right="281"/>
              <w:rPr>
                <w:b/>
                <w:sz w:val="20"/>
              </w:rPr>
            </w:pPr>
            <w:r>
              <w:rPr>
                <w:b/>
                <w:sz w:val="20"/>
              </w:rPr>
              <w:t>1998</w:t>
            </w:r>
          </w:p>
        </w:tc>
        <w:tc>
          <w:tcPr>
            <w:tcW w:w="1013" w:type="dxa"/>
            <w:shd w:val="clear" w:color="auto" w:fill="A6A6A6"/>
          </w:tcPr>
          <w:p>
            <w:pPr>
              <w:pStyle w:val="TableParagraph"/>
              <w:spacing w:before="33"/>
              <w:ind w:left="280" w:right="280"/>
              <w:rPr>
                <w:b/>
                <w:sz w:val="20"/>
              </w:rPr>
            </w:pPr>
            <w:r>
              <w:rPr>
                <w:b/>
                <w:sz w:val="20"/>
              </w:rPr>
              <w:t>2003</w:t>
            </w:r>
          </w:p>
        </w:tc>
        <w:tc>
          <w:tcPr>
            <w:tcW w:w="1008" w:type="dxa"/>
            <w:shd w:val="clear" w:color="auto" w:fill="A6A6A6"/>
          </w:tcPr>
          <w:p>
            <w:pPr>
              <w:pStyle w:val="TableParagraph"/>
              <w:spacing w:before="33"/>
              <w:ind w:left="277" w:right="277"/>
              <w:rPr>
                <w:b/>
                <w:sz w:val="20"/>
              </w:rPr>
            </w:pPr>
            <w:r>
              <w:rPr>
                <w:b/>
                <w:sz w:val="20"/>
              </w:rPr>
              <w:t>2008</w:t>
            </w:r>
          </w:p>
        </w:tc>
      </w:tr>
      <w:tr>
        <w:trPr>
          <w:trHeight w:val="328" w:hRule="exact"/>
        </w:trPr>
        <w:tc>
          <w:tcPr>
            <w:tcW w:w="1741" w:type="dxa"/>
            <w:tcBorders>
              <w:top w:val="single" w:sz="14" w:space="0" w:color="A6A6A6"/>
            </w:tcBorders>
            <w:shd w:val="clear" w:color="auto" w:fill="D9D9D9"/>
          </w:tcPr>
          <w:p>
            <w:pPr>
              <w:pStyle w:val="TableParagraph"/>
              <w:spacing w:before="36"/>
              <w:ind w:left="103"/>
              <w:jc w:val="left"/>
              <w:rPr>
                <w:b/>
                <w:sz w:val="20"/>
              </w:rPr>
            </w:pPr>
            <w:r>
              <w:rPr>
                <w:b/>
                <w:sz w:val="20"/>
              </w:rPr>
              <w:t>Región Centro</w:t>
            </w:r>
          </w:p>
        </w:tc>
        <w:tc>
          <w:tcPr>
            <w:tcW w:w="1015" w:type="dxa"/>
            <w:tcBorders>
              <w:top w:val="single" w:sz="14" w:space="0" w:color="A6A6A6"/>
            </w:tcBorders>
            <w:shd w:val="clear" w:color="auto" w:fill="D9D9D9"/>
          </w:tcPr>
          <w:p>
            <w:pPr>
              <w:pStyle w:val="TableParagraph"/>
              <w:spacing w:before="36"/>
              <w:ind w:left="281" w:right="282"/>
              <w:rPr>
                <w:b/>
                <w:sz w:val="20"/>
              </w:rPr>
            </w:pPr>
            <w:r>
              <w:rPr>
                <w:b/>
                <w:sz w:val="20"/>
              </w:rPr>
              <w:t>1.3</w:t>
            </w:r>
          </w:p>
        </w:tc>
        <w:tc>
          <w:tcPr>
            <w:tcW w:w="1013" w:type="dxa"/>
            <w:tcBorders>
              <w:top w:val="single" w:sz="14" w:space="0" w:color="A6A6A6"/>
            </w:tcBorders>
            <w:shd w:val="clear" w:color="auto" w:fill="D9D9D9"/>
          </w:tcPr>
          <w:p>
            <w:pPr>
              <w:pStyle w:val="TableParagraph"/>
              <w:spacing w:before="36"/>
              <w:ind w:left="279" w:right="281"/>
              <w:rPr>
                <w:b/>
                <w:sz w:val="20"/>
              </w:rPr>
            </w:pPr>
            <w:r>
              <w:rPr>
                <w:b/>
                <w:sz w:val="20"/>
              </w:rPr>
              <w:t>1.2</w:t>
            </w:r>
          </w:p>
        </w:tc>
        <w:tc>
          <w:tcPr>
            <w:tcW w:w="1013" w:type="dxa"/>
            <w:tcBorders>
              <w:top w:val="single" w:sz="14" w:space="0" w:color="A6A6A6"/>
            </w:tcBorders>
            <w:shd w:val="clear" w:color="auto" w:fill="D9D9D9"/>
          </w:tcPr>
          <w:p>
            <w:pPr>
              <w:pStyle w:val="TableParagraph"/>
              <w:spacing w:before="36"/>
              <w:ind w:left="101" w:right="100"/>
              <w:rPr>
                <w:b/>
                <w:sz w:val="20"/>
              </w:rPr>
            </w:pPr>
            <w:r>
              <w:rPr>
                <w:b/>
                <w:sz w:val="20"/>
              </w:rPr>
              <w:t>1.0</w:t>
            </w:r>
          </w:p>
        </w:tc>
        <w:tc>
          <w:tcPr>
            <w:tcW w:w="1013" w:type="dxa"/>
            <w:tcBorders>
              <w:top w:val="single" w:sz="14" w:space="0" w:color="A6A6A6"/>
            </w:tcBorders>
            <w:shd w:val="clear" w:color="auto" w:fill="D9D9D9"/>
          </w:tcPr>
          <w:p>
            <w:pPr>
              <w:pStyle w:val="TableParagraph"/>
              <w:spacing w:before="36"/>
              <w:ind w:right="374"/>
              <w:jc w:val="right"/>
              <w:rPr>
                <w:b/>
                <w:sz w:val="20"/>
              </w:rPr>
            </w:pPr>
            <w:r>
              <w:rPr>
                <w:b/>
                <w:sz w:val="20"/>
              </w:rPr>
              <w:t>1.0</w:t>
            </w:r>
          </w:p>
        </w:tc>
        <w:tc>
          <w:tcPr>
            <w:tcW w:w="1013" w:type="dxa"/>
            <w:tcBorders>
              <w:top w:val="single" w:sz="14" w:space="0" w:color="A6A6A6"/>
            </w:tcBorders>
            <w:shd w:val="clear" w:color="auto" w:fill="D9D9D9"/>
          </w:tcPr>
          <w:p>
            <w:pPr>
              <w:pStyle w:val="TableParagraph"/>
              <w:spacing w:before="36"/>
              <w:ind w:left="281" w:right="281"/>
              <w:rPr>
                <w:b/>
                <w:sz w:val="20"/>
              </w:rPr>
            </w:pPr>
            <w:r>
              <w:rPr>
                <w:b/>
                <w:sz w:val="20"/>
              </w:rPr>
              <w:t>0.7</w:t>
            </w:r>
          </w:p>
        </w:tc>
        <w:tc>
          <w:tcPr>
            <w:tcW w:w="1013" w:type="dxa"/>
            <w:tcBorders>
              <w:top w:val="single" w:sz="14" w:space="0" w:color="A6A6A6"/>
            </w:tcBorders>
            <w:shd w:val="clear" w:color="auto" w:fill="D9D9D9"/>
          </w:tcPr>
          <w:p>
            <w:pPr>
              <w:pStyle w:val="TableParagraph"/>
              <w:spacing w:before="36"/>
              <w:ind w:left="280" w:right="280"/>
              <w:rPr>
                <w:b/>
                <w:sz w:val="20"/>
              </w:rPr>
            </w:pPr>
            <w:r>
              <w:rPr>
                <w:b/>
                <w:sz w:val="20"/>
              </w:rPr>
              <w:t>0.6</w:t>
            </w:r>
          </w:p>
        </w:tc>
        <w:tc>
          <w:tcPr>
            <w:tcW w:w="1008" w:type="dxa"/>
            <w:tcBorders>
              <w:top w:val="single" w:sz="14" w:space="0" w:color="A6A6A6"/>
            </w:tcBorders>
            <w:shd w:val="clear" w:color="auto" w:fill="D9D9D9"/>
          </w:tcPr>
          <w:p>
            <w:pPr>
              <w:pStyle w:val="TableParagraph"/>
              <w:spacing w:before="36"/>
              <w:ind w:left="277" w:right="277"/>
              <w:rPr>
                <w:b/>
                <w:sz w:val="20"/>
              </w:rPr>
            </w:pPr>
            <w:r>
              <w:rPr>
                <w:b/>
                <w:sz w:val="20"/>
              </w:rPr>
              <w:t>0.7</w:t>
            </w:r>
          </w:p>
        </w:tc>
      </w:tr>
      <w:tr>
        <w:trPr>
          <w:trHeight w:val="310" w:hRule="exact"/>
        </w:trPr>
        <w:tc>
          <w:tcPr>
            <w:tcW w:w="1741" w:type="dxa"/>
          </w:tcPr>
          <w:p>
            <w:pPr>
              <w:pStyle w:val="TableParagraph"/>
              <w:spacing w:before="27"/>
              <w:ind w:left="103"/>
              <w:jc w:val="left"/>
              <w:rPr>
                <w:sz w:val="20"/>
              </w:rPr>
            </w:pPr>
            <w:r>
              <w:rPr>
                <w:sz w:val="20"/>
              </w:rPr>
              <w:t>Distrito Federal</w:t>
            </w:r>
          </w:p>
        </w:tc>
        <w:tc>
          <w:tcPr>
            <w:tcW w:w="1015" w:type="dxa"/>
          </w:tcPr>
          <w:p>
            <w:pPr>
              <w:pStyle w:val="TableParagraph"/>
              <w:spacing w:before="27"/>
              <w:ind w:left="281" w:right="282"/>
              <w:rPr>
                <w:sz w:val="20"/>
              </w:rPr>
            </w:pPr>
            <w:r>
              <w:rPr>
                <w:sz w:val="20"/>
              </w:rPr>
              <w:t>0.8</w:t>
            </w:r>
          </w:p>
        </w:tc>
        <w:tc>
          <w:tcPr>
            <w:tcW w:w="1013" w:type="dxa"/>
          </w:tcPr>
          <w:p>
            <w:pPr>
              <w:pStyle w:val="TableParagraph"/>
              <w:spacing w:before="27"/>
              <w:ind w:left="279" w:right="281"/>
              <w:rPr>
                <w:sz w:val="20"/>
              </w:rPr>
            </w:pPr>
            <w:r>
              <w:rPr>
                <w:sz w:val="20"/>
              </w:rPr>
              <w:t>0.7</w:t>
            </w:r>
          </w:p>
        </w:tc>
        <w:tc>
          <w:tcPr>
            <w:tcW w:w="1013" w:type="dxa"/>
          </w:tcPr>
          <w:p>
            <w:pPr>
              <w:pStyle w:val="TableParagraph"/>
              <w:spacing w:before="27"/>
              <w:ind w:left="101" w:right="100"/>
              <w:rPr>
                <w:sz w:val="20"/>
              </w:rPr>
            </w:pPr>
            <w:r>
              <w:rPr>
                <w:sz w:val="20"/>
              </w:rPr>
              <w:t>0.6</w:t>
            </w:r>
          </w:p>
        </w:tc>
        <w:tc>
          <w:tcPr>
            <w:tcW w:w="1013" w:type="dxa"/>
          </w:tcPr>
          <w:p>
            <w:pPr>
              <w:pStyle w:val="TableParagraph"/>
              <w:spacing w:before="27"/>
              <w:ind w:right="374"/>
              <w:jc w:val="right"/>
              <w:rPr>
                <w:sz w:val="20"/>
              </w:rPr>
            </w:pPr>
            <w:r>
              <w:rPr>
                <w:sz w:val="20"/>
              </w:rPr>
              <w:t>0.5</w:t>
            </w:r>
          </w:p>
        </w:tc>
        <w:tc>
          <w:tcPr>
            <w:tcW w:w="1013" w:type="dxa"/>
          </w:tcPr>
          <w:p>
            <w:pPr>
              <w:pStyle w:val="TableParagraph"/>
              <w:spacing w:before="27"/>
              <w:ind w:left="281" w:right="281"/>
              <w:rPr>
                <w:sz w:val="20"/>
              </w:rPr>
            </w:pPr>
            <w:r>
              <w:rPr>
                <w:sz w:val="20"/>
              </w:rPr>
              <w:t>0.3</w:t>
            </w:r>
          </w:p>
        </w:tc>
        <w:tc>
          <w:tcPr>
            <w:tcW w:w="1013" w:type="dxa"/>
          </w:tcPr>
          <w:p>
            <w:pPr>
              <w:pStyle w:val="TableParagraph"/>
              <w:spacing w:before="27"/>
              <w:ind w:left="280" w:right="280"/>
              <w:rPr>
                <w:sz w:val="20"/>
              </w:rPr>
            </w:pPr>
            <w:r>
              <w:rPr>
                <w:sz w:val="20"/>
              </w:rPr>
              <w:t>0.2</w:t>
            </w:r>
          </w:p>
        </w:tc>
        <w:tc>
          <w:tcPr>
            <w:tcW w:w="1008" w:type="dxa"/>
          </w:tcPr>
          <w:p>
            <w:pPr>
              <w:pStyle w:val="TableParagraph"/>
              <w:spacing w:before="27"/>
              <w:ind w:left="277" w:right="277"/>
              <w:rPr>
                <w:sz w:val="20"/>
              </w:rPr>
            </w:pPr>
            <w:r>
              <w:rPr>
                <w:sz w:val="20"/>
              </w:rPr>
              <w:t>0.3</w:t>
            </w:r>
          </w:p>
        </w:tc>
      </w:tr>
      <w:tr>
        <w:trPr>
          <w:trHeight w:val="310" w:hRule="exact"/>
        </w:trPr>
        <w:tc>
          <w:tcPr>
            <w:tcW w:w="1741" w:type="dxa"/>
          </w:tcPr>
          <w:p>
            <w:pPr>
              <w:pStyle w:val="TableParagraph"/>
              <w:spacing w:before="29"/>
              <w:ind w:left="103"/>
              <w:jc w:val="left"/>
              <w:rPr>
                <w:sz w:val="20"/>
              </w:rPr>
            </w:pPr>
            <w:r>
              <w:rPr>
                <w:sz w:val="20"/>
              </w:rPr>
              <w:t>Edo. de México</w:t>
            </w:r>
          </w:p>
        </w:tc>
        <w:tc>
          <w:tcPr>
            <w:tcW w:w="1015" w:type="dxa"/>
          </w:tcPr>
          <w:p>
            <w:pPr>
              <w:pStyle w:val="TableParagraph"/>
              <w:spacing w:before="29"/>
              <w:ind w:left="281" w:right="282"/>
              <w:rPr>
                <w:sz w:val="20"/>
              </w:rPr>
            </w:pPr>
            <w:r>
              <w:rPr>
                <w:sz w:val="20"/>
              </w:rPr>
              <w:t>1.7</w:t>
            </w:r>
          </w:p>
        </w:tc>
        <w:tc>
          <w:tcPr>
            <w:tcW w:w="1013" w:type="dxa"/>
          </w:tcPr>
          <w:p>
            <w:pPr>
              <w:pStyle w:val="TableParagraph"/>
              <w:spacing w:before="29"/>
              <w:ind w:left="279" w:right="281"/>
              <w:rPr>
                <w:sz w:val="20"/>
              </w:rPr>
            </w:pPr>
            <w:r>
              <w:rPr>
                <w:sz w:val="20"/>
              </w:rPr>
              <w:t>1.6</w:t>
            </w:r>
          </w:p>
        </w:tc>
        <w:tc>
          <w:tcPr>
            <w:tcW w:w="1013" w:type="dxa"/>
          </w:tcPr>
          <w:p>
            <w:pPr>
              <w:pStyle w:val="TableParagraph"/>
              <w:spacing w:before="29"/>
              <w:ind w:left="101" w:right="100"/>
              <w:rPr>
                <w:sz w:val="20"/>
              </w:rPr>
            </w:pPr>
            <w:r>
              <w:rPr>
                <w:sz w:val="20"/>
              </w:rPr>
              <w:t>1.3</w:t>
            </w:r>
          </w:p>
        </w:tc>
        <w:tc>
          <w:tcPr>
            <w:tcW w:w="1013" w:type="dxa"/>
          </w:tcPr>
          <w:p>
            <w:pPr>
              <w:pStyle w:val="TableParagraph"/>
              <w:spacing w:before="29"/>
              <w:ind w:right="374"/>
              <w:jc w:val="right"/>
              <w:rPr>
                <w:sz w:val="20"/>
              </w:rPr>
            </w:pPr>
            <w:r>
              <w:rPr>
                <w:sz w:val="20"/>
              </w:rPr>
              <w:t>1.3</w:t>
            </w:r>
          </w:p>
        </w:tc>
        <w:tc>
          <w:tcPr>
            <w:tcW w:w="1013" w:type="dxa"/>
          </w:tcPr>
          <w:p>
            <w:pPr>
              <w:pStyle w:val="TableParagraph"/>
              <w:spacing w:before="29"/>
              <w:ind w:left="281" w:right="281"/>
              <w:rPr>
                <w:sz w:val="20"/>
              </w:rPr>
            </w:pPr>
            <w:r>
              <w:rPr>
                <w:sz w:val="20"/>
              </w:rPr>
              <w:t>0.9</w:t>
            </w:r>
          </w:p>
        </w:tc>
        <w:tc>
          <w:tcPr>
            <w:tcW w:w="1013" w:type="dxa"/>
          </w:tcPr>
          <w:p>
            <w:pPr>
              <w:pStyle w:val="TableParagraph"/>
              <w:spacing w:before="29"/>
              <w:ind w:left="280" w:right="280"/>
              <w:rPr>
                <w:sz w:val="20"/>
              </w:rPr>
            </w:pPr>
            <w:r>
              <w:rPr>
                <w:sz w:val="20"/>
              </w:rPr>
              <w:t>0.7</w:t>
            </w:r>
          </w:p>
        </w:tc>
        <w:tc>
          <w:tcPr>
            <w:tcW w:w="1008" w:type="dxa"/>
          </w:tcPr>
          <w:p>
            <w:pPr>
              <w:pStyle w:val="TableParagraph"/>
              <w:spacing w:before="29"/>
              <w:ind w:left="277" w:right="277"/>
              <w:rPr>
                <w:sz w:val="20"/>
              </w:rPr>
            </w:pPr>
            <w:r>
              <w:rPr>
                <w:sz w:val="20"/>
              </w:rPr>
              <w:t>0.8</w:t>
            </w:r>
          </w:p>
        </w:tc>
      </w:tr>
      <w:tr>
        <w:trPr>
          <w:trHeight w:val="310" w:hRule="exact"/>
        </w:trPr>
        <w:tc>
          <w:tcPr>
            <w:tcW w:w="1741" w:type="dxa"/>
          </w:tcPr>
          <w:p>
            <w:pPr>
              <w:pStyle w:val="TableParagraph"/>
              <w:spacing w:before="29"/>
              <w:ind w:left="103"/>
              <w:jc w:val="left"/>
              <w:rPr>
                <w:sz w:val="20"/>
              </w:rPr>
            </w:pPr>
            <w:r>
              <w:rPr>
                <w:sz w:val="20"/>
              </w:rPr>
              <w:t>Morelos</w:t>
            </w:r>
          </w:p>
        </w:tc>
        <w:tc>
          <w:tcPr>
            <w:tcW w:w="1015" w:type="dxa"/>
          </w:tcPr>
          <w:p>
            <w:pPr>
              <w:pStyle w:val="TableParagraph"/>
              <w:spacing w:before="29"/>
              <w:ind w:left="281" w:right="282"/>
              <w:rPr>
                <w:sz w:val="20"/>
              </w:rPr>
            </w:pPr>
            <w:r>
              <w:rPr>
                <w:sz w:val="20"/>
              </w:rPr>
              <w:t>2.5</w:t>
            </w:r>
          </w:p>
        </w:tc>
        <w:tc>
          <w:tcPr>
            <w:tcW w:w="1013" w:type="dxa"/>
          </w:tcPr>
          <w:p>
            <w:pPr>
              <w:pStyle w:val="TableParagraph"/>
              <w:spacing w:before="29"/>
              <w:ind w:left="279" w:right="281"/>
              <w:rPr>
                <w:sz w:val="20"/>
              </w:rPr>
            </w:pPr>
            <w:r>
              <w:rPr>
                <w:sz w:val="20"/>
              </w:rPr>
              <w:t>1.9</w:t>
            </w:r>
          </w:p>
        </w:tc>
        <w:tc>
          <w:tcPr>
            <w:tcW w:w="1013" w:type="dxa"/>
          </w:tcPr>
          <w:p>
            <w:pPr>
              <w:pStyle w:val="TableParagraph"/>
              <w:spacing w:before="29"/>
              <w:ind w:left="101" w:right="100"/>
              <w:rPr>
                <w:sz w:val="20"/>
              </w:rPr>
            </w:pPr>
            <w:r>
              <w:rPr>
                <w:sz w:val="20"/>
              </w:rPr>
              <w:t>1.9</w:t>
            </w:r>
          </w:p>
        </w:tc>
        <w:tc>
          <w:tcPr>
            <w:tcW w:w="1013" w:type="dxa"/>
          </w:tcPr>
          <w:p>
            <w:pPr>
              <w:pStyle w:val="TableParagraph"/>
              <w:spacing w:before="29"/>
              <w:ind w:right="374"/>
              <w:jc w:val="right"/>
              <w:rPr>
                <w:sz w:val="20"/>
              </w:rPr>
            </w:pPr>
            <w:r>
              <w:rPr>
                <w:sz w:val="20"/>
              </w:rPr>
              <w:t>1.9</w:t>
            </w:r>
          </w:p>
        </w:tc>
        <w:tc>
          <w:tcPr>
            <w:tcW w:w="1013" w:type="dxa"/>
          </w:tcPr>
          <w:p>
            <w:pPr>
              <w:pStyle w:val="TableParagraph"/>
              <w:spacing w:before="29"/>
              <w:ind w:left="281" w:right="281"/>
              <w:rPr>
                <w:sz w:val="20"/>
              </w:rPr>
            </w:pPr>
            <w:r>
              <w:rPr>
                <w:sz w:val="20"/>
              </w:rPr>
              <w:t>0.7</w:t>
            </w:r>
          </w:p>
        </w:tc>
        <w:tc>
          <w:tcPr>
            <w:tcW w:w="1013" w:type="dxa"/>
          </w:tcPr>
          <w:p>
            <w:pPr>
              <w:pStyle w:val="TableParagraph"/>
              <w:spacing w:before="29"/>
              <w:ind w:left="280" w:right="280"/>
              <w:rPr>
                <w:sz w:val="20"/>
              </w:rPr>
            </w:pPr>
            <w:r>
              <w:rPr>
                <w:sz w:val="20"/>
              </w:rPr>
              <w:t>0.7</w:t>
            </w:r>
          </w:p>
        </w:tc>
        <w:tc>
          <w:tcPr>
            <w:tcW w:w="1008" w:type="dxa"/>
          </w:tcPr>
          <w:p>
            <w:pPr>
              <w:pStyle w:val="TableParagraph"/>
              <w:spacing w:before="29"/>
              <w:ind w:left="277" w:right="277"/>
              <w:rPr>
                <w:sz w:val="20"/>
              </w:rPr>
            </w:pPr>
            <w:r>
              <w:rPr>
                <w:sz w:val="20"/>
              </w:rPr>
              <w:t>0.7</w:t>
            </w:r>
          </w:p>
        </w:tc>
      </w:tr>
      <w:tr>
        <w:trPr>
          <w:trHeight w:val="312" w:hRule="exact"/>
        </w:trPr>
        <w:tc>
          <w:tcPr>
            <w:tcW w:w="1741" w:type="dxa"/>
          </w:tcPr>
          <w:p>
            <w:pPr>
              <w:pStyle w:val="TableParagraph"/>
              <w:spacing w:before="29"/>
              <w:ind w:left="103"/>
              <w:jc w:val="left"/>
              <w:rPr>
                <w:sz w:val="20"/>
              </w:rPr>
            </w:pPr>
            <w:r>
              <w:rPr>
                <w:sz w:val="20"/>
              </w:rPr>
              <w:t>Puebla</w:t>
            </w:r>
          </w:p>
        </w:tc>
        <w:tc>
          <w:tcPr>
            <w:tcW w:w="1015" w:type="dxa"/>
          </w:tcPr>
          <w:p>
            <w:pPr>
              <w:pStyle w:val="TableParagraph"/>
              <w:spacing w:before="29"/>
              <w:ind w:left="281" w:right="282"/>
              <w:rPr>
                <w:sz w:val="20"/>
              </w:rPr>
            </w:pPr>
            <w:r>
              <w:rPr>
                <w:sz w:val="20"/>
              </w:rPr>
              <w:t>2.4</w:t>
            </w:r>
          </w:p>
        </w:tc>
        <w:tc>
          <w:tcPr>
            <w:tcW w:w="1013" w:type="dxa"/>
          </w:tcPr>
          <w:p>
            <w:pPr>
              <w:pStyle w:val="TableParagraph"/>
              <w:spacing w:before="29"/>
              <w:ind w:left="279" w:right="281"/>
              <w:rPr>
                <w:sz w:val="20"/>
              </w:rPr>
            </w:pPr>
            <w:r>
              <w:rPr>
                <w:sz w:val="20"/>
              </w:rPr>
              <w:t>2.0</w:t>
            </w:r>
          </w:p>
        </w:tc>
        <w:tc>
          <w:tcPr>
            <w:tcW w:w="1013" w:type="dxa"/>
          </w:tcPr>
          <w:p>
            <w:pPr>
              <w:pStyle w:val="TableParagraph"/>
              <w:spacing w:before="29"/>
              <w:ind w:left="101" w:right="100"/>
              <w:rPr>
                <w:sz w:val="20"/>
              </w:rPr>
            </w:pPr>
            <w:r>
              <w:rPr>
                <w:sz w:val="20"/>
              </w:rPr>
              <w:t>1.5</w:t>
            </w:r>
          </w:p>
        </w:tc>
        <w:tc>
          <w:tcPr>
            <w:tcW w:w="1013" w:type="dxa"/>
          </w:tcPr>
          <w:p>
            <w:pPr>
              <w:pStyle w:val="TableParagraph"/>
              <w:spacing w:before="29"/>
              <w:ind w:right="374"/>
              <w:jc w:val="right"/>
              <w:rPr>
                <w:sz w:val="20"/>
              </w:rPr>
            </w:pPr>
            <w:r>
              <w:rPr>
                <w:sz w:val="20"/>
              </w:rPr>
              <w:t>1.4</w:t>
            </w:r>
          </w:p>
        </w:tc>
        <w:tc>
          <w:tcPr>
            <w:tcW w:w="1013" w:type="dxa"/>
          </w:tcPr>
          <w:p>
            <w:pPr>
              <w:pStyle w:val="TableParagraph"/>
              <w:spacing w:before="29"/>
              <w:ind w:left="281" w:right="281"/>
              <w:rPr>
                <w:sz w:val="20"/>
              </w:rPr>
            </w:pPr>
            <w:r>
              <w:rPr>
                <w:sz w:val="20"/>
              </w:rPr>
              <w:t>1.2</w:t>
            </w:r>
          </w:p>
        </w:tc>
        <w:tc>
          <w:tcPr>
            <w:tcW w:w="1013" w:type="dxa"/>
          </w:tcPr>
          <w:p>
            <w:pPr>
              <w:pStyle w:val="TableParagraph"/>
              <w:spacing w:before="29"/>
              <w:ind w:left="280" w:right="280"/>
              <w:rPr>
                <w:sz w:val="20"/>
              </w:rPr>
            </w:pPr>
            <w:r>
              <w:rPr>
                <w:sz w:val="20"/>
              </w:rPr>
              <w:t>1.0</w:t>
            </w:r>
          </w:p>
        </w:tc>
        <w:tc>
          <w:tcPr>
            <w:tcW w:w="1008" w:type="dxa"/>
          </w:tcPr>
          <w:p>
            <w:pPr>
              <w:pStyle w:val="TableParagraph"/>
              <w:spacing w:before="29"/>
              <w:ind w:left="277" w:right="277"/>
              <w:rPr>
                <w:sz w:val="20"/>
              </w:rPr>
            </w:pPr>
            <w:r>
              <w:rPr>
                <w:sz w:val="20"/>
              </w:rPr>
              <w:t>1.4</w:t>
            </w:r>
          </w:p>
        </w:tc>
      </w:tr>
    </w:tbl>
    <w:p>
      <w:pPr>
        <w:spacing w:line="202" w:lineRule="exact" w:before="0"/>
        <w:ind w:left="102" w:right="0" w:firstLine="0"/>
        <w:jc w:val="both"/>
        <w:rPr>
          <w:sz w:val="18"/>
        </w:rPr>
      </w:pPr>
      <w:r>
        <w:rPr>
          <w:sz w:val="18"/>
        </w:rPr>
        <w:t>Fuente: Elaboración propia con datos de INEGI (varios años).</w:t>
      </w:r>
    </w:p>
    <w:p>
      <w:pPr>
        <w:pStyle w:val="BodyText"/>
        <w:rPr>
          <w:sz w:val="18"/>
        </w:rPr>
      </w:pPr>
    </w:p>
    <w:p>
      <w:pPr>
        <w:pStyle w:val="BodyText"/>
        <w:spacing w:line="360" w:lineRule="auto" w:before="135"/>
        <w:ind w:left="102" w:right="117"/>
        <w:jc w:val="both"/>
      </w:pPr>
      <w:r>
        <w:rPr/>
        <w:t>En</w:t>
      </w:r>
      <w:r>
        <w:rPr>
          <w:spacing w:val="-14"/>
        </w:rPr>
        <w:t> </w:t>
      </w:r>
      <w:r>
        <w:rPr/>
        <w:t>cuanto</w:t>
      </w:r>
      <w:r>
        <w:rPr>
          <w:spacing w:val="-13"/>
        </w:rPr>
        <w:t> </w:t>
      </w:r>
      <w:r>
        <w:rPr/>
        <w:t>al</w:t>
      </w:r>
      <w:r>
        <w:rPr>
          <w:spacing w:val="-13"/>
        </w:rPr>
        <w:t> </w:t>
      </w:r>
      <w:r>
        <w:rPr/>
        <w:t>valor</w:t>
      </w:r>
      <w:r>
        <w:rPr>
          <w:spacing w:val="-14"/>
        </w:rPr>
        <w:t> </w:t>
      </w:r>
      <w:r>
        <w:rPr/>
        <w:t>agregado</w:t>
      </w:r>
      <w:r>
        <w:rPr>
          <w:spacing w:val="-13"/>
        </w:rPr>
        <w:t> </w:t>
      </w:r>
      <w:r>
        <w:rPr/>
        <w:t>censal</w:t>
      </w:r>
      <w:r>
        <w:rPr>
          <w:spacing w:val="-13"/>
        </w:rPr>
        <w:t> </w:t>
      </w:r>
      <w:r>
        <w:rPr/>
        <w:t>bruto,</w:t>
      </w:r>
      <w:r>
        <w:rPr>
          <w:spacing w:val="-13"/>
        </w:rPr>
        <w:t> </w:t>
      </w:r>
      <w:r>
        <w:rPr/>
        <w:t>si</w:t>
      </w:r>
      <w:r>
        <w:rPr>
          <w:spacing w:val="-13"/>
        </w:rPr>
        <w:t> </w:t>
      </w:r>
      <w:r>
        <w:rPr/>
        <w:t>observamos</w:t>
      </w:r>
      <w:r>
        <w:rPr>
          <w:spacing w:val="-13"/>
        </w:rPr>
        <w:t> </w:t>
      </w:r>
      <w:r>
        <w:rPr/>
        <w:t>el</w:t>
      </w:r>
      <w:r>
        <w:rPr>
          <w:spacing w:val="-13"/>
        </w:rPr>
        <w:t> </w:t>
      </w:r>
      <w:r>
        <w:rPr/>
        <w:t>cuadro</w:t>
      </w:r>
      <w:r>
        <w:rPr>
          <w:spacing w:val="-12"/>
        </w:rPr>
        <w:t> </w:t>
      </w:r>
      <w:r>
        <w:rPr/>
        <w:t>4.7,</w:t>
      </w:r>
      <w:r>
        <w:rPr>
          <w:spacing w:val="-13"/>
        </w:rPr>
        <w:t> </w:t>
      </w:r>
      <w:r>
        <w:rPr/>
        <w:t>la</w:t>
      </w:r>
      <w:r>
        <w:rPr>
          <w:spacing w:val="-14"/>
        </w:rPr>
        <w:t> </w:t>
      </w:r>
      <w:r>
        <w:rPr/>
        <w:t>industria</w:t>
      </w:r>
      <w:r>
        <w:rPr>
          <w:spacing w:val="-14"/>
        </w:rPr>
        <w:t> </w:t>
      </w:r>
      <w:r>
        <w:rPr/>
        <w:t>automotriz en la manufactura de la región centro en 1980, presentaba un grado muy significativo de especialización, donde nuevamente destacan los estados de Puebla y Morelos con índices</w:t>
      </w:r>
      <w:r>
        <w:rPr>
          <w:spacing w:val="-36"/>
        </w:rPr>
        <w:t> </w:t>
      </w:r>
      <w:r>
        <w:rPr/>
        <w:t>de</w:t>
      </w:r>
    </w:p>
    <w:p>
      <w:pPr>
        <w:pStyle w:val="BodyText"/>
        <w:spacing w:line="360" w:lineRule="auto" w:before="4"/>
        <w:ind w:left="102" w:right="119"/>
        <w:jc w:val="both"/>
      </w:pPr>
      <w:r>
        <w:rPr/>
        <w:t>3.1</w:t>
      </w:r>
      <w:r>
        <w:rPr>
          <w:spacing w:val="-11"/>
        </w:rPr>
        <w:t> </w:t>
      </w:r>
      <w:r>
        <w:rPr/>
        <w:t>y</w:t>
      </w:r>
      <w:r>
        <w:rPr>
          <w:spacing w:val="-18"/>
        </w:rPr>
        <w:t> </w:t>
      </w:r>
      <w:r>
        <w:rPr/>
        <w:t>3.0</w:t>
      </w:r>
      <w:r>
        <w:rPr>
          <w:spacing w:val="-11"/>
        </w:rPr>
        <w:t> </w:t>
      </w:r>
      <w:r>
        <w:rPr/>
        <w:t>respectivamente</w:t>
      </w:r>
      <w:r>
        <w:rPr>
          <w:spacing w:val="-10"/>
        </w:rPr>
        <w:t> </w:t>
      </w:r>
      <w:r>
        <w:rPr/>
        <w:t>y</w:t>
      </w:r>
      <w:r>
        <w:rPr>
          <w:spacing w:val="-16"/>
        </w:rPr>
        <w:t> </w:t>
      </w:r>
      <w:r>
        <w:rPr/>
        <w:t>es</w:t>
      </w:r>
      <w:r>
        <w:rPr>
          <w:spacing w:val="-13"/>
        </w:rPr>
        <w:t> </w:t>
      </w:r>
      <w:r>
        <w:rPr/>
        <w:t>hasta</w:t>
      </w:r>
      <w:r>
        <w:rPr>
          <w:spacing w:val="-11"/>
        </w:rPr>
        <w:t> </w:t>
      </w:r>
      <w:r>
        <w:rPr/>
        <w:t>1985</w:t>
      </w:r>
      <w:r>
        <w:rPr>
          <w:spacing w:val="-13"/>
        </w:rPr>
        <w:t> </w:t>
      </w:r>
      <w:r>
        <w:rPr/>
        <w:t>que</w:t>
      </w:r>
      <w:r>
        <w:rPr>
          <w:spacing w:val="-14"/>
        </w:rPr>
        <w:t> </w:t>
      </w:r>
      <w:r>
        <w:rPr/>
        <w:t>de</w:t>
      </w:r>
      <w:r>
        <w:rPr>
          <w:spacing w:val="-14"/>
        </w:rPr>
        <w:t> </w:t>
      </w:r>
      <w:r>
        <w:rPr/>
        <w:t>manera</w:t>
      </w:r>
      <w:r>
        <w:rPr>
          <w:spacing w:val="-13"/>
        </w:rPr>
        <w:t> </w:t>
      </w:r>
      <w:r>
        <w:rPr/>
        <w:t>generalizada</w:t>
      </w:r>
      <w:r>
        <w:rPr>
          <w:spacing w:val="-14"/>
        </w:rPr>
        <w:t> </w:t>
      </w:r>
      <w:r>
        <w:rPr/>
        <w:t>los</w:t>
      </w:r>
      <w:r>
        <w:rPr>
          <w:spacing w:val="-13"/>
        </w:rPr>
        <w:t> </w:t>
      </w:r>
      <w:r>
        <w:rPr/>
        <w:t>estados</w:t>
      </w:r>
      <w:r>
        <w:rPr>
          <w:spacing w:val="-13"/>
        </w:rPr>
        <w:t> </w:t>
      </w:r>
      <w:r>
        <w:rPr/>
        <w:t>de</w:t>
      </w:r>
      <w:r>
        <w:rPr>
          <w:spacing w:val="-14"/>
        </w:rPr>
        <w:t> </w:t>
      </w:r>
      <w:r>
        <w:rPr/>
        <w:t>la</w:t>
      </w:r>
      <w:r>
        <w:rPr>
          <w:spacing w:val="-12"/>
        </w:rPr>
        <w:t> </w:t>
      </w:r>
      <w:r>
        <w:rPr/>
        <w:t>región disminuyeron su</w:t>
      </w:r>
      <w:r>
        <w:rPr>
          <w:spacing w:val="-5"/>
        </w:rPr>
        <w:t> </w:t>
      </w:r>
      <w:r>
        <w:rPr/>
        <w:t>especialización.</w:t>
      </w:r>
    </w:p>
    <w:p>
      <w:pPr>
        <w:pStyle w:val="BodyText"/>
        <w:spacing w:before="2"/>
        <w:rPr>
          <w:sz w:val="21"/>
        </w:rPr>
      </w:pPr>
    </w:p>
    <w:p>
      <w:pPr>
        <w:pStyle w:val="BodyText"/>
        <w:spacing w:line="360" w:lineRule="auto"/>
        <w:ind w:left="102" w:right="117"/>
        <w:jc w:val="both"/>
      </w:pPr>
      <w:r>
        <w:rPr/>
        <w:t>Es importante mencionar que el Distrito Federal, solamente en 1980, ha mostrado especialización de la industria automotriz en el sector manufacturero, pues el resto de años ha mostrado índices menores a uno. En cuanto al Estado de México, se observa que la especialización de la industria automotriz en el sector manufacturero para el valor agregado censal bruto se mantuvo de 1980 hasta 1993, pues posterior a esta fecha no se encuentran índices mayores a la unidad, esto puede deberse a la entrada en vigor del TLCAN en 1994, lo</w:t>
      </w:r>
      <w:r>
        <w:rPr>
          <w:spacing w:val="-3"/>
        </w:rPr>
        <w:t> </w:t>
      </w:r>
      <w:r>
        <w:rPr/>
        <w:t>que</w:t>
      </w:r>
      <w:r>
        <w:rPr>
          <w:spacing w:val="-5"/>
        </w:rPr>
        <w:t> </w:t>
      </w:r>
      <w:r>
        <w:rPr/>
        <w:t>provocó</w:t>
      </w:r>
      <w:r>
        <w:rPr>
          <w:spacing w:val="-4"/>
        </w:rPr>
        <w:t> </w:t>
      </w:r>
      <w:r>
        <w:rPr/>
        <w:t>un</w:t>
      </w:r>
      <w:r>
        <w:rPr>
          <w:spacing w:val="-4"/>
        </w:rPr>
        <w:t> </w:t>
      </w:r>
      <w:r>
        <w:rPr/>
        <w:t>proceso</w:t>
      </w:r>
      <w:r>
        <w:rPr>
          <w:spacing w:val="-4"/>
        </w:rPr>
        <w:t> </w:t>
      </w:r>
      <w:r>
        <w:rPr/>
        <w:t>de</w:t>
      </w:r>
      <w:r>
        <w:rPr>
          <w:spacing w:val="-5"/>
        </w:rPr>
        <w:t> </w:t>
      </w:r>
      <w:r>
        <w:rPr/>
        <w:t>desconcentración</w:t>
      </w:r>
      <w:r>
        <w:rPr>
          <w:spacing w:val="-3"/>
        </w:rPr>
        <w:t> </w:t>
      </w:r>
      <w:r>
        <w:rPr/>
        <w:t>de</w:t>
      </w:r>
      <w:r>
        <w:rPr>
          <w:spacing w:val="-3"/>
        </w:rPr>
        <w:t> </w:t>
      </w:r>
      <w:r>
        <w:rPr/>
        <w:t>los</w:t>
      </w:r>
      <w:r>
        <w:rPr>
          <w:spacing w:val="-3"/>
        </w:rPr>
        <w:t> </w:t>
      </w:r>
      <w:r>
        <w:rPr/>
        <w:t>estados</w:t>
      </w:r>
      <w:r>
        <w:rPr>
          <w:spacing w:val="-4"/>
        </w:rPr>
        <w:t> </w:t>
      </w:r>
      <w:r>
        <w:rPr/>
        <w:t>manufactureros</w:t>
      </w:r>
      <w:r>
        <w:rPr>
          <w:spacing w:val="-4"/>
        </w:rPr>
        <w:t> </w:t>
      </w:r>
      <w:r>
        <w:rPr/>
        <w:t>del</w:t>
      </w:r>
      <w:r>
        <w:rPr>
          <w:spacing w:val="-3"/>
        </w:rPr>
        <w:t> </w:t>
      </w:r>
      <w:r>
        <w:rPr/>
        <w:t>centro</w:t>
      </w:r>
      <w:r>
        <w:rPr>
          <w:spacing w:val="-4"/>
        </w:rPr>
        <w:t> </w:t>
      </w:r>
      <w:r>
        <w:rPr/>
        <w:t>del país hacia las zonas</w:t>
      </w:r>
      <w:r>
        <w:rPr>
          <w:spacing w:val="-6"/>
        </w:rPr>
        <w:t> </w:t>
      </w:r>
      <w:r>
        <w:rPr/>
        <w:t>fronterizas.</w:t>
      </w:r>
    </w:p>
    <w:p>
      <w:pPr>
        <w:pStyle w:val="BodyText"/>
        <w:spacing w:before="3"/>
        <w:rPr>
          <w:sz w:val="21"/>
        </w:rPr>
      </w:pPr>
    </w:p>
    <w:p>
      <w:pPr>
        <w:pStyle w:val="BodyText"/>
        <w:spacing w:line="360" w:lineRule="auto"/>
        <w:ind w:left="102" w:right="115"/>
        <w:jc w:val="both"/>
      </w:pPr>
      <w:r>
        <w:rPr/>
        <w:t>En</w:t>
      </w:r>
      <w:r>
        <w:rPr>
          <w:spacing w:val="-9"/>
        </w:rPr>
        <w:t> </w:t>
      </w:r>
      <w:r>
        <w:rPr/>
        <w:t>contraste,</w:t>
      </w:r>
      <w:r>
        <w:rPr>
          <w:spacing w:val="-9"/>
        </w:rPr>
        <w:t> </w:t>
      </w:r>
      <w:r>
        <w:rPr/>
        <w:t>se</w:t>
      </w:r>
      <w:r>
        <w:rPr>
          <w:spacing w:val="-9"/>
        </w:rPr>
        <w:t> </w:t>
      </w:r>
      <w:r>
        <w:rPr/>
        <w:t>observa</w:t>
      </w:r>
      <w:r>
        <w:rPr>
          <w:spacing w:val="-10"/>
        </w:rPr>
        <w:t> </w:t>
      </w:r>
      <w:r>
        <w:rPr/>
        <w:t>que</w:t>
      </w:r>
      <w:r>
        <w:rPr>
          <w:spacing w:val="-10"/>
        </w:rPr>
        <w:t> </w:t>
      </w:r>
      <w:r>
        <w:rPr/>
        <w:t>el</w:t>
      </w:r>
      <w:r>
        <w:rPr>
          <w:spacing w:val="-8"/>
        </w:rPr>
        <w:t> </w:t>
      </w:r>
      <w:r>
        <w:rPr/>
        <w:t>estado</w:t>
      </w:r>
      <w:r>
        <w:rPr>
          <w:spacing w:val="-8"/>
        </w:rPr>
        <w:t> </w:t>
      </w:r>
      <w:r>
        <w:rPr/>
        <w:t>de</w:t>
      </w:r>
      <w:r>
        <w:rPr>
          <w:spacing w:val="-10"/>
        </w:rPr>
        <w:t> </w:t>
      </w:r>
      <w:r>
        <w:rPr/>
        <w:t>Morelos</w:t>
      </w:r>
      <w:r>
        <w:rPr>
          <w:spacing w:val="-10"/>
        </w:rPr>
        <w:t> </w:t>
      </w:r>
      <w:r>
        <w:rPr/>
        <w:t>solamente</w:t>
      </w:r>
      <w:r>
        <w:rPr>
          <w:spacing w:val="-9"/>
        </w:rPr>
        <w:t> </w:t>
      </w:r>
      <w:r>
        <w:rPr/>
        <w:t>durante</w:t>
      </w:r>
      <w:r>
        <w:rPr>
          <w:spacing w:val="-9"/>
        </w:rPr>
        <w:t> </w:t>
      </w:r>
      <w:r>
        <w:rPr/>
        <w:t>el</w:t>
      </w:r>
      <w:r>
        <w:rPr>
          <w:spacing w:val="-8"/>
        </w:rPr>
        <w:t> </w:t>
      </w:r>
      <w:r>
        <w:rPr/>
        <w:t>año</w:t>
      </w:r>
      <w:r>
        <w:rPr>
          <w:spacing w:val="-9"/>
        </w:rPr>
        <w:t> </w:t>
      </w:r>
      <w:r>
        <w:rPr/>
        <w:t>2003,</w:t>
      </w:r>
      <w:r>
        <w:rPr>
          <w:spacing w:val="-9"/>
        </w:rPr>
        <w:t> </w:t>
      </w:r>
      <w:r>
        <w:rPr/>
        <w:t>la</w:t>
      </w:r>
      <w:r>
        <w:rPr>
          <w:spacing w:val="-9"/>
        </w:rPr>
        <w:t> </w:t>
      </w:r>
      <w:r>
        <w:rPr/>
        <w:t>industria automotriz</w:t>
      </w:r>
      <w:r>
        <w:rPr>
          <w:spacing w:val="-3"/>
        </w:rPr>
        <w:t> </w:t>
      </w:r>
      <w:r>
        <w:rPr/>
        <w:t>dejó</w:t>
      </w:r>
      <w:r>
        <w:rPr>
          <w:spacing w:val="-4"/>
        </w:rPr>
        <w:t> </w:t>
      </w:r>
      <w:r>
        <w:rPr/>
        <w:t>de</w:t>
      </w:r>
      <w:r>
        <w:rPr>
          <w:spacing w:val="-6"/>
        </w:rPr>
        <w:t> </w:t>
      </w:r>
      <w:r>
        <w:rPr/>
        <w:t>concentrar</w:t>
      </w:r>
      <w:r>
        <w:rPr>
          <w:spacing w:val="-6"/>
        </w:rPr>
        <w:t> </w:t>
      </w:r>
      <w:r>
        <w:rPr/>
        <w:t>el</w:t>
      </w:r>
      <w:r>
        <w:rPr>
          <w:spacing w:val="-4"/>
        </w:rPr>
        <w:t> </w:t>
      </w:r>
      <w:r>
        <w:rPr/>
        <w:t>valor</w:t>
      </w:r>
      <w:r>
        <w:rPr>
          <w:spacing w:val="-5"/>
        </w:rPr>
        <w:t> </w:t>
      </w:r>
      <w:r>
        <w:rPr/>
        <w:t>agregado</w:t>
      </w:r>
      <w:r>
        <w:rPr>
          <w:spacing w:val="-5"/>
        </w:rPr>
        <w:t> </w:t>
      </w:r>
      <w:r>
        <w:rPr/>
        <w:t>censal</w:t>
      </w:r>
      <w:r>
        <w:rPr>
          <w:spacing w:val="-4"/>
        </w:rPr>
        <w:t> </w:t>
      </w:r>
      <w:r>
        <w:rPr/>
        <w:t>bruto</w:t>
      </w:r>
      <w:r>
        <w:rPr>
          <w:spacing w:val="-5"/>
        </w:rPr>
        <w:t> </w:t>
      </w:r>
      <w:r>
        <w:rPr/>
        <w:t>en</w:t>
      </w:r>
      <w:r>
        <w:rPr>
          <w:spacing w:val="-5"/>
        </w:rPr>
        <w:t> </w:t>
      </w:r>
      <w:r>
        <w:rPr/>
        <w:t>las</w:t>
      </w:r>
      <w:r>
        <w:rPr>
          <w:spacing w:val="-5"/>
        </w:rPr>
        <w:t> </w:t>
      </w:r>
      <w:r>
        <w:rPr/>
        <w:t>manufacturas</w:t>
      </w:r>
      <w:r>
        <w:rPr>
          <w:spacing w:val="-5"/>
        </w:rPr>
        <w:t> </w:t>
      </w:r>
      <w:r>
        <w:rPr/>
        <w:t>del</w:t>
      </w:r>
      <w:r>
        <w:rPr>
          <w:spacing w:val="-4"/>
        </w:rPr>
        <w:t> </w:t>
      </w:r>
      <w:r>
        <w:rPr/>
        <w:t>estado, pues en los demás años muestra índices mayores a</w:t>
      </w:r>
      <w:r>
        <w:rPr>
          <w:spacing w:val="-8"/>
        </w:rPr>
        <w:t> </w:t>
      </w:r>
      <w:r>
        <w:rPr/>
        <w:t>uno.</w:t>
      </w:r>
    </w:p>
    <w:p>
      <w:pPr>
        <w:pStyle w:val="BodyText"/>
        <w:spacing w:before="4"/>
        <w:rPr>
          <w:sz w:val="21"/>
        </w:rPr>
      </w:pPr>
    </w:p>
    <w:p>
      <w:pPr>
        <w:pStyle w:val="BodyText"/>
        <w:spacing w:line="360" w:lineRule="auto" w:before="1"/>
        <w:ind w:left="102" w:right="118"/>
        <w:jc w:val="both"/>
      </w:pPr>
      <w:r>
        <w:rPr/>
        <w:t>Un</w:t>
      </w:r>
      <w:r>
        <w:rPr>
          <w:spacing w:val="-4"/>
        </w:rPr>
        <w:t> </w:t>
      </w:r>
      <w:r>
        <w:rPr/>
        <w:t>caso</w:t>
      </w:r>
      <w:r>
        <w:rPr>
          <w:spacing w:val="-4"/>
        </w:rPr>
        <w:t> </w:t>
      </w:r>
      <w:r>
        <w:rPr/>
        <w:t>sobresaliente</w:t>
      </w:r>
      <w:r>
        <w:rPr>
          <w:spacing w:val="-4"/>
        </w:rPr>
        <w:t> </w:t>
      </w:r>
      <w:r>
        <w:rPr/>
        <w:t>es</w:t>
      </w:r>
      <w:r>
        <w:rPr>
          <w:spacing w:val="-1"/>
        </w:rPr>
        <w:t> </w:t>
      </w:r>
      <w:r>
        <w:rPr/>
        <w:t>el</w:t>
      </w:r>
      <w:r>
        <w:rPr>
          <w:spacing w:val="-3"/>
        </w:rPr>
        <w:t> </w:t>
      </w:r>
      <w:r>
        <w:rPr/>
        <w:t>del</w:t>
      </w:r>
      <w:r>
        <w:rPr>
          <w:spacing w:val="-3"/>
        </w:rPr>
        <w:t> </w:t>
      </w:r>
      <w:r>
        <w:rPr/>
        <w:t>estado</w:t>
      </w:r>
      <w:r>
        <w:rPr>
          <w:spacing w:val="-4"/>
        </w:rPr>
        <w:t> </w:t>
      </w:r>
      <w:r>
        <w:rPr/>
        <w:t>de</w:t>
      </w:r>
      <w:r>
        <w:rPr>
          <w:spacing w:val="-5"/>
        </w:rPr>
        <w:t> </w:t>
      </w:r>
      <w:r>
        <w:rPr/>
        <w:t>Puebla</w:t>
      </w:r>
      <w:r>
        <w:rPr>
          <w:spacing w:val="-4"/>
        </w:rPr>
        <w:t> </w:t>
      </w:r>
      <w:r>
        <w:rPr/>
        <w:t>pues</w:t>
      </w:r>
      <w:r>
        <w:rPr>
          <w:spacing w:val="-2"/>
        </w:rPr>
        <w:t> </w:t>
      </w:r>
      <w:r>
        <w:rPr/>
        <w:t>a</w:t>
      </w:r>
      <w:r>
        <w:rPr>
          <w:spacing w:val="-5"/>
        </w:rPr>
        <w:t> </w:t>
      </w:r>
      <w:r>
        <w:rPr/>
        <w:t>diferencia</w:t>
      </w:r>
      <w:r>
        <w:rPr>
          <w:spacing w:val="-4"/>
        </w:rPr>
        <w:t> </w:t>
      </w:r>
      <w:r>
        <w:rPr/>
        <w:t>de</w:t>
      </w:r>
      <w:r>
        <w:rPr>
          <w:spacing w:val="-5"/>
        </w:rPr>
        <w:t> </w:t>
      </w:r>
      <w:r>
        <w:rPr/>
        <w:t>los</w:t>
      </w:r>
      <w:r>
        <w:rPr>
          <w:spacing w:val="-3"/>
        </w:rPr>
        <w:t> </w:t>
      </w:r>
      <w:r>
        <w:rPr/>
        <w:t>demás</w:t>
      </w:r>
      <w:r>
        <w:rPr>
          <w:spacing w:val="-4"/>
        </w:rPr>
        <w:t> </w:t>
      </w:r>
      <w:r>
        <w:rPr/>
        <w:t>estados</w:t>
      </w:r>
      <w:r>
        <w:rPr>
          <w:spacing w:val="-4"/>
        </w:rPr>
        <w:t> </w:t>
      </w:r>
      <w:r>
        <w:rPr/>
        <w:t>de</w:t>
      </w:r>
      <w:r>
        <w:rPr>
          <w:spacing w:val="-5"/>
        </w:rPr>
        <w:t> </w:t>
      </w:r>
      <w:r>
        <w:rPr/>
        <w:t>la región, siempre ha mostrado un grado muy significativo de especialización, lo que sugiere que la industria automotriz ha provocado que se dinamice el sector manufacturero de la entidad</w:t>
      </w:r>
      <w:r>
        <w:rPr>
          <w:spacing w:val="-13"/>
        </w:rPr>
        <w:t> </w:t>
      </w:r>
      <w:r>
        <w:rPr/>
        <w:t>lo</w:t>
      </w:r>
      <w:r>
        <w:rPr>
          <w:spacing w:val="-13"/>
        </w:rPr>
        <w:t> </w:t>
      </w:r>
      <w:r>
        <w:rPr/>
        <w:t>que</w:t>
      </w:r>
      <w:r>
        <w:rPr>
          <w:spacing w:val="-14"/>
        </w:rPr>
        <w:t> </w:t>
      </w:r>
      <w:r>
        <w:rPr/>
        <w:t>a</w:t>
      </w:r>
      <w:r>
        <w:rPr>
          <w:spacing w:val="-14"/>
        </w:rPr>
        <w:t> </w:t>
      </w:r>
      <w:r>
        <w:rPr/>
        <w:t>su</w:t>
      </w:r>
      <w:r>
        <w:rPr>
          <w:spacing w:val="-13"/>
        </w:rPr>
        <w:t> </w:t>
      </w:r>
      <w:r>
        <w:rPr/>
        <w:t>vez</w:t>
      </w:r>
      <w:r>
        <w:rPr>
          <w:spacing w:val="-12"/>
        </w:rPr>
        <w:t> </w:t>
      </w:r>
      <w:r>
        <w:rPr/>
        <w:t>ha</w:t>
      </w:r>
      <w:r>
        <w:rPr>
          <w:spacing w:val="-12"/>
        </w:rPr>
        <w:t> </w:t>
      </w:r>
      <w:r>
        <w:rPr/>
        <w:t>generado</w:t>
      </w:r>
      <w:r>
        <w:rPr>
          <w:spacing w:val="-11"/>
        </w:rPr>
        <w:t> </w:t>
      </w:r>
      <w:r>
        <w:rPr/>
        <w:t>que</w:t>
      </w:r>
      <w:r>
        <w:rPr>
          <w:spacing w:val="-13"/>
        </w:rPr>
        <w:t> </w:t>
      </w:r>
      <w:r>
        <w:rPr/>
        <w:t>la</w:t>
      </w:r>
      <w:r>
        <w:rPr>
          <w:spacing w:val="-14"/>
        </w:rPr>
        <w:t> </w:t>
      </w:r>
      <w:r>
        <w:rPr/>
        <w:t>industria</w:t>
      </w:r>
      <w:r>
        <w:rPr>
          <w:spacing w:val="-12"/>
        </w:rPr>
        <w:t> </w:t>
      </w:r>
      <w:r>
        <w:rPr/>
        <w:t>automotriz</w:t>
      </w:r>
      <w:r>
        <w:rPr>
          <w:spacing w:val="-12"/>
        </w:rPr>
        <w:t> </w:t>
      </w:r>
      <w:r>
        <w:rPr/>
        <w:t>active</w:t>
      </w:r>
      <w:r>
        <w:rPr>
          <w:spacing w:val="-14"/>
        </w:rPr>
        <w:t> </w:t>
      </w:r>
      <w:r>
        <w:rPr/>
        <w:t>al</w:t>
      </w:r>
      <w:r>
        <w:rPr>
          <w:spacing w:val="-13"/>
        </w:rPr>
        <w:t> </w:t>
      </w:r>
      <w:r>
        <w:rPr/>
        <w:t>sector</w:t>
      </w:r>
      <w:r>
        <w:rPr>
          <w:spacing w:val="-14"/>
        </w:rPr>
        <w:t> </w:t>
      </w:r>
      <w:r>
        <w:rPr/>
        <w:t>manufacturero de la región (véase cuadro 4.7). Es importante mencionar que se espera que siga creciendo la industria automotriz en el estado de Puebla,  ya que para el año 2016, inicia  </w:t>
      </w:r>
      <w:r>
        <w:rPr>
          <w:spacing w:val="3"/>
        </w:rPr>
        <w:t> </w:t>
      </w:r>
      <w:r>
        <w:rPr/>
        <w:t>operaciones</w:t>
      </w:r>
    </w:p>
    <w:p>
      <w:pPr>
        <w:spacing w:after="0" w:line="360" w:lineRule="auto"/>
        <w:jc w:val="both"/>
        <w:sectPr>
          <w:pgSz w:w="12240" w:h="15840"/>
          <w:pgMar w:header="0" w:footer="1035" w:top="1360" w:bottom="1220" w:left="1600" w:right="1580"/>
        </w:sectPr>
      </w:pPr>
    </w:p>
    <w:p>
      <w:pPr>
        <w:pStyle w:val="BodyText"/>
        <w:spacing w:line="360" w:lineRule="auto" w:before="50"/>
        <w:ind w:left="102" w:right="119"/>
      </w:pPr>
      <w:r>
        <w:rPr/>
        <w:t>la firma Audi, lo que pondrá al estado, como uno de los principales y más importantes productores de automóviles en el continente.</w:t>
      </w:r>
    </w:p>
    <w:p>
      <w:pPr>
        <w:pStyle w:val="BodyText"/>
        <w:spacing w:before="7"/>
        <w:rPr>
          <w:sz w:val="21"/>
        </w:rPr>
      </w:pPr>
    </w:p>
    <w:p>
      <w:pPr>
        <w:pStyle w:val="Heading1"/>
        <w:spacing w:line="360" w:lineRule="auto" w:after="46"/>
        <w:ind w:left="416" w:right="418" w:firstLine="177"/>
      </w:pPr>
      <w:r>
        <w:rPr/>
        <w:t>Cuadro 4.7. Cocientes de localización del Valor Agregado Censal Bruto de la industria automotriz en el sector manufacturero de la Región Centro, 1980-2008</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12"/>
        <w:gridCol w:w="1018"/>
        <w:gridCol w:w="1018"/>
        <w:gridCol w:w="1016"/>
        <w:gridCol w:w="1018"/>
        <w:gridCol w:w="1018"/>
        <w:gridCol w:w="1018"/>
        <w:gridCol w:w="1013"/>
      </w:tblGrid>
      <w:tr>
        <w:trPr>
          <w:trHeight w:val="270" w:hRule="exact"/>
        </w:trPr>
        <w:tc>
          <w:tcPr>
            <w:tcW w:w="1712" w:type="dxa"/>
            <w:tcBorders>
              <w:bottom w:val="single" w:sz="17" w:space="0" w:color="D9D9D9"/>
            </w:tcBorders>
            <w:shd w:val="clear" w:color="auto" w:fill="A6A6A6"/>
          </w:tcPr>
          <w:p>
            <w:pPr/>
          </w:p>
        </w:tc>
        <w:tc>
          <w:tcPr>
            <w:tcW w:w="1018" w:type="dxa"/>
            <w:tcBorders>
              <w:bottom w:val="single" w:sz="17" w:space="0" w:color="D9D9D9"/>
            </w:tcBorders>
            <w:shd w:val="clear" w:color="auto" w:fill="A6A6A6"/>
          </w:tcPr>
          <w:p>
            <w:pPr>
              <w:pStyle w:val="TableParagraph"/>
              <w:spacing w:line="223" w:lineRule="exact"/>
              <w:ind w:left="283" w:right="283"/>
              <w:rPr>
                <w:b/>
                <w:sz w:val="20"/>
              </w:rPr>
            </w:pPr>
            <w:r>
              <w:rPr>
                <w:b/>
                <w:sz w:val="20"/>
              </w:rPr>
              <w:t>1980</w:t>
            </w:r>
          </w:p>
        </w:tc>
        <w:tc>
          <w:tcPr>
            <w:tcW w:w="1018" w:type="dxa"/>
            <w:tcBorders>
              <w:bottom w:val="single" w:sz="17" w:space="0" w:color="D9D9D9"/>
            </w:tcBorders>
            <w:shd w:val="clear" w:color="auto" w:fill="A6A6A6"/>
          </w:tcPr>
          <w:p>
            <w:pPr>
              <w:pStyle w:val="TableParagraph"/>
              <w:spacing w:line="223" w:lineRule="exact"/>
              <w:ind w:left="282" w:right="284"/>
              <w:rPr>
                <w:b/>
                <w:sz w:val="20"/>
              </w:rPr>
            </w:pPr>
            <w:r>
              <w:rPr>
                <w:b/>
                <w:sz w:val="20"/>
              </w:rPr>
              <w:t>1985</w:t>
            </w:r>
          </w:p>
        </w:tc>
        <w:tc>
          <w:tcPr>
            <w:tcW w:w="1016" w:type="dxa"/>
            <w:tcBorders>
              <w:bottom w:val="single" w:sz="17" w:space="0" w:color="D9D9D9"/>
            </w:tcBorders>
            <w:shd w:val="clear" w:color="auto" w:fill="A6A6A6"/>
          </w:tcPr>
          <w:p>
            <w:pPr>
              <w:pStyle w:val="TableParagraph"/>
              <w:spacing w:line="223" w:lineRule="exact"/>
              <w:ind w:left="283" w:right="283"/>
              <w:rPr>
                <w:b/>
                <w:sz w:val="20"/>
              </w:rPr>
            </w:pPr>
            <w:r>
              <w:rPr>
                <w:b/>
                <w:sz w:val="20"/>
              </w:rPr>
              <w:t>1988</w:t>
            </w:r>
          </w:p>
        </w:tc>
        <w:tc>
          <w:tcPr>
            <w:tcW w:w="1018" w:type="dxa"/>
            <w:tcBorders>
              <w:bottom w:val="single" w:sz="17" w:space="0" w:color="D9D9D9"/>
            </w:tcBorders>
            <w:shd w:val="clear" w:color="auto" w:fill="A6A6A6"/>
          </w:tcPr>
          <w:p>
            <w:pPr>
              <w:pStyle w:val="TableParagraph"/>
              <w:spacing w:line="223" w:lineRule="exact"/>
              <w:ind w:left="283" w:right="283"/>
              <w:rPr>
                <w:b/>
                <w:sz w:val="20"/>
              </w:rPr>
            </w:pPr>
            <w:r>
              <w:rPr>
                <w:b/>
                <w:sz w:val="20"/>
              </w:rPr>
              <w:t>1993</w:t>
            </w:r>
          </w:p>
        </w:tc>
        <w:tc>
          <w:tcPr>
            <w:tcW w:w="1018" w:type="dxa"/>
            <w:tcBorders>
              <w:bottom w:val="single" w:sz="17" w:space="0" w:color="D9D9D9"/>
            </w:tcBorders>
            <w:shd w:val="clear" w:color="auto" w:fill="A6A6A6"/>
          </w:tcPr>
          <w:p>
            <w:pPr>
              <w:pStyle w:val="TableParagraph"/>
              <w:spacing w:line="223" w:lineRule="exact"/>
              <w:ind w:right="302"/>
              <w:jc w:val="right"/>
              <w:rPr>
                <w:b/>
                <w:sz w:val="20"/>
              </w:rPr>
            </w:pPr>
            <w:r>
              <w:rPr>
                <w:b/>
                <w:sz w:val="20"/>
              </w:rPr>
              <w:t>1998</w:t>
            </w:r>
          </w:p>
        </w:tc>
        <w:tc>
          <w:tcPr>
            <w:tcW w:w="1018" w:type="dxa"/>
            <w:tcBorders>
              <w:bottom w:val="single" w:sz="17" w:space="0" w:color="D9D9D9"/>
            </w:tcBorders>
            <w:shd w:val="clear" w:color="auto" w:fill="A6A6A6"/>
          </w:tcPr>
          <w:p>
            <w:pPr>
              <w:pStyle w:val="TableParagraph"/>
              <w:spacing w:line="223" w:lineRule="exact"/>
              <w:ind w:left="283" w:right="283"/>
              <w:rPr>
                <w:b/>
                <w:sz w:val="20"/>
              </w:rPr>
            </w:pPr>
            <w:r>
              <w:rPr>
                <w:b/>
                <w:sz w:val="20"/>
              </w:rPr>
              <w:t>2003</w:t>
            </w:r>
          </w:p>
        </w:tc>
        <w:tc>
          <w:tcPr>
            <w:tcW w:w="1013" w:type="dxa"/>
            <w:tcBorders>
              <w:bottom w:val="single" w:sz="17" w:space="0" w:color="D9D9D9"/>
            </w:tcBorders>
            <w:shd w:val="clear" w:color="auto" w:fill="A6A6A6"/>
          </w:tcPr>
          <w:p>
            <w:pPr>
              <w:pStyle w:val="TableParagraph"/>
              <w:spacing w:line="223" w:lineRule="exact"/>
              <w:ind w:left="100" w:right="100"/>
              <w:rPr>
                <w:b/>
                <w:sz w:val="20"/>
              </w:rPr>
            </w:pPr>
            <w:r>
              <w:rPr>
                <w:b/>
                <w:sz w:val="20"/>
              </w:rPr>
              <w:t>2008</w:t>
            </w:r>
          </w:p>
        </w:tc>
      </w:tr>
      <w:tr>
        <w:trPr>
          <w:trHeight w:val="293" w:hRule="exact"/>
        </w:trPr>
        <w:tc>
          <w:tcPr>
            <w:tcW w:w="1712" w:type="dxa"/>
            <w:tcBorders>
              <w:top w:val="single" w:sz="33" w:space="0" w:color="A6A6A6"/>
            </w:tcBorders>
            <w:shd w:val="clear" w:color="auto" w:fill="D9D9D9"/>
          </w:tcPr>
          <w:p>
            <w:pPr>
              <w:pStyle w:val="TableParagraph"/>
              <w:spacing w:line="227" w:lineRule="exact"/>
              <w:ind w:left="103"/>
              <w:jc w:val="left"/>
              <w:rPr>
                <w:b/>
                <w:sz w:val="20"/>
              </w:rPr>
            </w:pPr>
            <w:r>
              <w:rPr>
                <w:b/>
                <w:sz w:val="20"/>
              </w:rPr>
              <w:t>Región Centro</w:t>
            </w:r>
          </w:p>
        </w:tc>
        <w:tc>
          <w:tcPr>
            <w:tcW w:w="1018" w:type="dxa"/>
            <w:tcBorders>
              <w:top w:val="single" w:sz="18" w:space="0" w:color="A6A6A6"/>
            </w:tcBorders>
            <w:shd w:val="clear" w:color="auto" w:fill="D9D9D9"/>
          </w:tcPr>
          <w:p>
            <w:pPr>
              <w:pStyle w:val="TableParagraph"/>
              <w:spacing w:before="15"/>
              <w:ind w:left="283" w:right="283"/>
              <w:rPr>
                <w:b/>
                <w:sz w:val="20"/>
              </w:rPr>
            </w:pPr>
            <w:r>
              <w:rPr>
                <w:b/>
                <w:sz w:val="20"/>
              </w:rPr>
              <w:t>1.4</w:t>
            </w:r>
          </w:p>
        </w:tc>
        <w:tc>
          <w:tcPr>
            <w:tcW w:w="1018" w:type="dxa"/>
            <w:tcBorders>
              <w:top w:val="single" w:sz="18" w:space="0" w:color="A6A6A6"/>
            </w:tcBorders>
            <w:shd w:val="clear" w:color="auto" w:fill="D9D9D9"/>
          </w:tcPr>
          <w:p>
            <w:pPr>
              <w:pStyle w:val="TableParagraph"/>
              <w:spacing w:before="15"/>
              <w:ind w:left="282" w:right="284"/>
              <w:rPr>
                <w:b/>
                <w:sz w:val="20"/>
              </w:rPr>
            </w:pPr>
            <w:r>
              <w:rPr>
                <w:b/>
                <w:sz w:val="20"/>
              </w:rPr>
              <w:t>1.3</w:t>
            </w:r>
          </w:p>
        </w:tc>
        <w:tc>
          <w:tcPr>
            <w:tcW w:w="1016" w:type="dxa"/>
            <w:tcBorders>
              <w:top w:val="single" w:sz="18" w:space="0" w:color="A6A6A6"/>
            </w:tcBorders>
            <w:shd w:val="clear" w:color="auto" w:fill="D9D9D9"/>
          </w:tcPr>
          <w:p>
            <w:pPr>
              <w:pStyle w:val="TableParagraph"/>
              <w:spacing w:before="15"/>
              <w:ind w:left="282" w:right="283"/>
              <w:rPr>
                <w:b/>
                <w:sz w:val="20"/>
              </w:rPr>
            </w:pPr>
            <w:r>
              <w:rPr>
                <w:b/>
                <w:sz w:val="20"/>
              </w:rPr>
              <w:t>1.1</w:t>
            </w:r>
          </w:p>
        </w:tc>
        <w:tc>
          <w:tcPr>
            <w:tcW w:w="1018" w:type="dxa"/>
            <w:tcBorders>
              <w:top w:val="single" w:sz="18" w:space="0" w:color="A6A6A6"/>
            </w:tcBorders>
            <w:shd w:val="clear" w:color="auto" w:fill="D9D9D9"/>
          </w:tcPr>
          <w:p>
            <w:pPr>
              <w:pStyle w:val="TableParagraph"/>
              <w:spacing w:before="15"/>
              <w:ind w:left="283" w:right="283"/>
              <w:rPr>
                <w:b/>
                <w:sz w:val="20"/>
              </w:rPr>
            </w:pPr>
            <w:r>
              <w:rPr>
                <w:b/>
                <w:sz w:val="20"/>
              </w:rPr>
              <w:t>1.3</w:t>
            </w:r>
          </w:p>
        </w:tc>
        <w:tc>
          <w:tcPr>
            <w:tcW w:w="1018" w:type="dxa"/>
            <w:tcBorders>
              <w:top w:val="single" w:sz="18" w:space="0" w:color="A6A6A6"/>
            </w:tcBorders>
            <w:shd w:val="clear" w:color="auto" w:fill="D9D9D9"/>
          </w:tcPr>
          <w:p>
            <w:pPr>
              <w:pStyle w:val="TableParagraph"/>
              <w:spacing w:before="15"/>
              <w:ind w:right="377"/>
              <w:jc w:val="right"/>
              <w:rPr>
                <w:b/>
                <w:sz w:val="20"/>
              </w:rPr>
            </w:pPr>
            <w:r>
              <w:rPr>
                <w:b/>
                <w:sz w:val="20"/>
              </w:rPr>
              <w:t>0.8</w:t>
            </w:r>
          </w:p>
        </w:tc>
        <w:tc>
          <w:tcPr>
            <w:tcW w:w="1018" w:type="dxa"/>
            <w:tcBorders>
              <w:top w:val="single" w:sz="18" w:space="0" w:color="A6A6A6"/>
            </w:tcBorders>
            <w:shd w:val="clear" w:color="auto" w:fill="D9D9D9"/>
          </w:tcPr>
          <w:p>
            <w:pPr>
              <w:pStyle w:val="TableParagraph"/>
              <w:spacing w:before="15"/>
              <w:ind w:left="283" w:right="283"/>
              <w:rPr>
                <w:b/>
                <w:sz w:val="20"/>
              </w:rPr>
            </w:pPr>
            <w:r>
              <w:rPr>
                <w:b/>
                <w:sz w:val="20"/>
              </w:rPr>
              <w:t>1.0</w:t>
            </w:r>
          </w:p>
        </w:tc>
        <w:tc>
          <w:tcPr>
            <w:tcW w:w="1013" w:type="dxa"/>
            <w:tcBorders>
              <w:top w:val="single" w:sz="18" w:space="0" w:color="A6A6A6"/>
            </w:tcBorders>
            <w:shd w:val="clear" w:color="auto" w:fill="D9D9D9"/>
          </w:tcPr>
          <w:p>
            <w:pPr>
              <w:pStyle w:val="TableParagraph"/>
              <w:spacing w:before="15"/>
              <w:ind w:left="98" w:right="100"/>
              <w:rPr>
                <w:b/>
                <w:sz w:val="20"/>
              </w:rPr>
            </w:pPr>
            <w:r>
              <w:rPr>
                <w:b/>
                <w:sz w:val="20"/>
              </w:rPr>
              <w:t>1.0</w:t>
            </w:r>
          </w:p>
        </w:tc>
      </w:tr>
      <w:tr>
        <w:trPr>
          <w:trHeight w:val="328" w:hRule="exact"/>
        </w:trPr>
        <w:tc>
          <w:tcPr>
            <w:tcW w:w="1712" w:type="dxa"/>
            <w:tcBorders>
              <w:top w:val="single" w:sz="14" w:space="0" w:color="D9D9D9"/>
            </w:tcBorders>
          </w:tcPr>
          <w:p>
            <w:pPr>
              <w:pStyle w:val="TableParagraph"/>
              <w:spacing w:before="31"/>
              <w:ind w:left="103"/>
              <w:jc w:val="left"/>
              <w:rPr>
                <w:sz w:val="20"/>
              </w:rPr>
            </w:pPr>
            <w:r>
              <w:rPr>
                <w:sz w:val="20"/>
              </w:rPr>
              <w:t>Distrito Federal</w:t>
            </w:r>
          </w:p>
        </w:tc>
        <w:tc>
          <w:tcPr>
            <w:tcW w:w="1018" w:type="dxa"/>
            <w:tcBorders>
              <w:top w:val="single" w:sz="14" w:space="0" w:color="D9D9D9"/>
            </w:tcBorders>
          </w:tcPr>
          <w:p>
            <w:pPr>
              <w:pStyle w:val="TableParagraph"/>
              <w:spacing w:before="31"/>
              <w:ind w:left="283" w:right="283"/>
              <w:rPr>
                <w:sz w:val="20"/>
              </w:rPr>
            </w:pPr>
            <w:r>
              <w:rPr>
                <w:sz w:val="20"/>
              </w:rPr>
              <w:t>1.0</w:t>
            </w:r>
          </w:p>
        </w:tc>
        <w:tc>
          <w:tcPr>
            <w:tcW w:w="1018" w:type="dxa"/>
            <w:tcBorders>
              <w:top w:val="single" w:sz="14" w:space="0" w:color="D9D9D9"/>
            </w:tcBorders>
          </w:tcPr>
          <w:p>
            <w:pPr>
              <w:pStyle w:val="TableParagraph"/>
              <w:spacing w:before="31"/>
              <w:ind w:left="282" w:right="284"/>
              <w:rPr>
                <w:sz w:val="20"/>
              </w:rPr>
            </w:pPr>
            <w:r>
              <w:rPr>
                <w:sz w:val="20"/>
              </w:rPr>
              <w:t>0.6</w:t>
            </w:r>
          </w:p>
        </w:tc>
        <w:tc>
          <w:tcPr>
            <w:tcW w:w="1016" w:type="dxa"/>
            <w:tcBorders>
              <w:top w:val="single" w:sz="14" w:space="0" w:color="D9D9D9"/>
            </w:tcBorders>
          </w:tcPr>
          <w:p>
            <w:pPr>
              <w:pStyle w:val="TableParagraph"/>
              <w:spacing w:before="31"/>
              <w:ind w:left="282" w:right="283"/>
              <w:rPr>
                <w:sz w:val="20"/>
              </w:rPr>
            </w:pPr>
            <w:r>
              <w:rPr>
                <w:sz w:val="20"/>
              </w:rPr>
              <w:t>0.3</w:t>
            </w:r>
          </w:p>
        </w:tc>
        <w:tc>
          <w:tcPr>
            <w:tcW w:w="1018" w:type="dxa"/>
            <w:tcBorders>
              <w:top w:val="single" w:sz="14" w:space="0" w:color="D9D9D9"/>
            </w:tcBorders>
          </w:tcPr>
          <w:p>
            <w:pPr>
              <w:pStyle w:val="TableParagraph"/>
              <w:spacing w:before="31"/>
              <w:ind w:left="283" w:right="283"/>
              <w:rPr>
                <w:sz w:val="20"/>
              </w:rPr>
            </w:pPr>
            <w:r>
              <w:rPr>
                <w:sz w:val="20"/>
              </w:rPr>
              <w:t>0.8</w:t>
            </w:r>
          </w:p>
        </w:tc>
        <w:tc>
          <w:tcPr>
            <w:tcW w:w="1018" w:type="dxa"/>
            <w:tcBorders>
              <w:top w:val="single" w:sz="14" w:space="0" w:color="D9D9D9"/>
            </w:tcBorders>
          </w:tcPr>
          <w:p>
            <w:pPr>
              <w:pStyle w:val="TableParagraph"/>
              <w:spacing w:before="31"/>
              <w:ind w:right="345"/>
              <w:jc w:val="right"/>
              <w:rPr>
                <w:sz w:val="20"/>
              </w:rPr>
            </w:pPr>
            <w:r>
              <w:rPr>
                <w:sz w:val="20"/>
              </w:rPr>
              <w:t>-0.4</w:t>
            </w:r>
          </w:p>
        </w:tc>
        <w:tc>
          <w:tcPr>
            <w:tcW w:w="1018" w:type="dxa"/>
            <w:tcBorders>
              <w:top w:val="single" w:sz="14" w:space="0" w:color="D9D9D9"/>
            </w:tcBorders>
          </w:tcPr>
          <w:p>
            <w:pPr>
              <w:pStyle w:val="TableParagraph"/>
              <w:spacing w:before="31"/>
              <w:ind w:left="283" w:right="283"/>
              <w:rPr>
                <w:sz w:val="20"/>
              </w:rPr>
            </w:pPr>
            <w:r>
              <w:rPr>
                <w:sz w:val="20"/>
              </w:rPr>
              <w:t>0.0</w:t>
            </w:r>
          </w:p>
        </w:tc>
        <w:tc>
          <w:tcPr>
            <w:tcW w:w="1013" w:type="dxa"/>
            <w:tcBorders>
              <w:top w:val="single" w:sz="14" w:space="0" w:color="D9D9D9"/>
            </w:tcBorders>
          </w:tcPr>
          <w:p>
            <w:pPr>
              <w:pStyle w:val="TableParagraph"/>
              <w:spacing w:before="31"/>
              <w:ind w:left="98" w:right="100"/>
              <w:rPr>
                <w:sz w:val="20"/>
              </w:rPr>
            </w:pPr>
            <w:r>
              <w:rPr>
                <w:sz w:val="20"/>
              </w:rPr>
              <w:t>0.1</w:t>
            </w:r>
          </w:p>
        </w:tc>
      </w:tr>
      <w:tr>
        <w:trPr>
          <w:trHeight w:val="310" w:hRule="exact"/>
        </w:trPr>
        <w:tc>
          <w:tcPr>
            <w:tcW w:w="1712" w:type="dxa"/>
          </w:tcPr>
          <w:p>
            <w:pPr>
              <w:pStyle w:val="TableParagraph"/>
              <w:spacing w:before="30"/>
              <w:ind w:left="103"/>
              <w:jc w:val="left"/>
              <w:rPr>
                <w:sz w:val="20"/>
              </w:rPr>
            </w:pPr>
            <w:r>
              <w:rPr>
                <w:sz w:val="20"/>
              </w:rPr>
              <w:t>Edo. de México</w:t>
            </w:r>
          </w:p>
        </w:tc>
        <w:tc>
          <w:tcPr>
            <w:tcW w:w="1018" w:type="dxa"/>
          </w:tcPr>
          <w:p>
            <w:pPr>
              <w:pStyle w:val="TableParagraph"/>
              <w:spacing w:before="30"/>
              <w:ind w:left="283" w:right="283"/>
              <w:rPr>
                <w:sz w:val="20"/>
              </w:rPr>
            </w:pPr>
            <w:r>
              <w:rPr>
                <w:sz w:val="20"/>
              </w:rPr>
              <w:t>1.5</w:t>
            </w:r>
          </w:p>
        </w:tc>
        <w:tc>
          <w:tcPr>
            <w:tcW w:w="1018" w:type="dxa"/>
          </w:tcPr>
          <w:p>
            <w:pPr>
              <w:pStyle w:val="TableParagraph"/>
              <w:spacing w:before="30"/>
              <w:ind w:left="282" w:right="284"/>
              <w:rPr>
                <w:sz w:val="20"/>
              </w:rPr>
            </w:pPr>
            <w:r>
              <w:rPr>
                <w:sz w:val="20"/>
              </w:rPr>
              <w:t>1.1</w:t>
            </w:r>
          </w:p>
        </w:tc>
        <w:tc>
          <w:tcPr>
            <w:tcW w:w="1016" w:type="dxa"/>
          </w:tcPr>
          <w:p>
            <w:pPr>
              <w:pStyle w:val="TableParagraph"/>
              <w:spacing w:before="30"/>
              <w:ind w:left="282" w:right="283"/>
              <w:rPr>
                <w:sz w:val="20"/>
              </w:rPr>
            </w:pPr>
            <w:r>
              <w:rPr>
                <w:sz w:val="20"/>
              </w:rPr>
              <w:t>1.0</w:t>
            </w:r>
          </w:p>
        </w:tc>
        <w:tc>
          <w:tcPr>
            <w:tcW w:w="1018" w:type="dxa"/>
          </w:tcPr>
          <w:p>
            <w:pPr>
              <w:pStyle w:val="TableParagraph"/>
              <w:spacing w:before="30"/>
              <w:ind w:left="283" w:right="283"/>
              <w:rPr>
                <w:sz w:val="20"/>
              </w:rPr>
            </w:pPr>
            <w:r>
              <w:rPr>
                <w:sz w:val="20"/>
              </w:rPr>
              <w:t>1.3</w:t>
            </w:r>
          </w:p>
        </w:tc>
        <w:tc>
          <w:tcPr>
            <w:tcW w:w="1018" w:type="dxa"/>
          </w:tcPr>
          <w:p>
            <w:pPr>
              <w:pStyle w:val="TableParagraph"/>
              <w:spacing w:before="30"/>
              <w:ind w:right="377"/>
              <w:jc w:val="right"/>
              <w:rPr>
                <w:sz w:val="20"/>
              </w:rPr>
            </w:pPr>
            <w:r>
              <w:rPr>
                <w:sz w:val="20"/>
              </w:rPr>
              <w:t>0.9</w:t>
            </w:r>
          </w:p>
        </w:tc>
        <w:tc>
          <w:tcPr>
            <w:tcW w:w="1018" w:type="dxa"/>
          </w:tcPr>
          <w:p>
            <w:pPr>
              <w:pStyle w:val="TableParagraph"/>
              <w:spacing w:before="30"/>
              <w:ind w:left="283" w:right="283"/>
              <w:rPr>
                <w:sz w:val="20"/>
              </w:rPr>
            </w:pPr>
            <w:r>
              <w:rPr>
                <w:sz w:val="20"/>
              </w:rPr>
              <w:t>0.7</w:t>
            </w:r>
          </w:p>
        </w:tc>
        <w:tc>
          <w:tcPr>
            <w:tcW w:w="1013" w:type="dxa"/>
          </w:tcPr>
          <w:p>
            <w:pPr>
              <w:pStyle w:val="TableParagraph"/>
              <w:spacing w:before="30"/>
              <w:ind w:left="98" w:right="100"/>
              <w:rPr>
                <w:sz w:val="20"/>
              </w:rPr>
            </w:pPr>
            <w:r>
              <w:rPr>
                <w:sz w:val="20"/>
              </w:rPr>
              <w:t>0.8</w:t>
            </w:r>
          </w:p>
        </w:tc>
      </w:tr>
      <w:tr>
        <w:trPr>
          <w:trHeight w:val="310" w:hRule="exact"/>
        </w:trPr>
        <w:tc>
          <w:tcPr>
            <w:tcW w:w="1712" w:type="dxa"/>
          </w:tcPr>
          <w:p>
            <w:pPr>
              <w:pStyle w:val="TableParagraph"/>
              <w:spacing w:before="29"/>
              <w:ind w:left="103"/>
              <w:jc w:val="left"/>
              <w:rPr>
                <w:sz w:val="20"/>
              </w:rPr>
            </w:pPr>
            <w:r>
              <w:rPr>
                <w:sz w:val="20"/>
              </w:rPr>
              <w:t>Morelos</w:t>
            </w:r>
          </w:p>
        </w:tc>
        <w:tc>
          <w:tcPr>
            <w:tcW w:w="1018" w:type="dxa"/>
          </w:tcPr>
          <w:p>
            <w:pPr>
              <w:pStyle w:val="TableParagraph"/>
              <w:spacing w:before="29"/>
              <w:ind w:left="283" w:right="283"/>
              <w:rPr>
                <w:sz w:val="20"/>
              </w:rPr>
            </w:pPr>
            <w:r>
              <w:rPr>
                <w:sz w:val="20"/>
              </w:rPr>
              <w:t>3.0</w:t>
            </w:r>
          </w:p>
        </w:tc>
        <w:tc>
          <w:tcPr>
            <w:tcW w:w="1018" w:type="dxa"/>
          </w:tcPr>
          <w:p>
            <w:pPr>
              <w:pStyle w:val="TableParagraph"/>
              <w:spacing w:before="29"/>
              <w:ind w:left="282" w:right="284"/>
              <w:rPr>
                <w:sz w:val="20"/>
              </w:rPr>
            </w:pPr>
            <w:r>
              <w:rPr>
                <w:sz w:val="20"/>
              </w:rPr>
              <w:t>4.1</w:t>
            </w:r>
          </w:p>
        </w:tc>
        <w:tc>
          <w:tcPr>
            <w:tcW w:w="1016" w:type="dxa"/>
          </w:tcPr>
          <w:p>
            <w:pPr>
              <w:pStyle w:val="TableParagraph"/>
              <w:spacing w:before="29"/>
              <w:ind w:left="282" w:right="283"/>
              <w:rPr>
                <w:sz w:val="20"/>
              </w:rPr>
            </w:pPr>
            <w:r>
              <w:rPr>
                <w:sz w:val="20"/>
              </w:rPr>
              <w:t>5.1</w:t>
            </w:r>
          </w:p>
        </w:tc>
        <w:tc>
          <w:tcPr>
            <w:tcW w:w="1018" w:type="dxa"/>
          </w:tcPr>
          <w:p>
            <w:pPr>
              <w:pStyle w:val="TableParagraph"/>
              <w:spacing w:before="29"/>
              <w:ind w:left="283" w:right="283"/>
              <w:rPr>
                <w:sz w:val="20"/>
              </w:rPr>
            </w:pPr>
            <w:r>
              <w:rPr>
                <w:sz w:val="20"/>
              </w:rPr>
              <w:t>4.9</w:t>
            </w:r>
          </w:p>
        </w:tc>
        <w:tc>
          <w:tcPr>
            <w:tcW w:w="1018" w:type="dxa"/>
          </w:tcPr>
          <w:p>
            <w:pPr>
              <w:pStyle w:val="TableParagraph"/>
              <w:spacing w:before="29"/>
              <w:ind w:right="377"/>
              <w:jc w:val="right"/>
              <w:rPr>
                <w:sz w:val="20"/>
              </w:rPr>
            </w:pPr>
            <w:r>
              <w:rPr>
                <w:sz w:val="20"/>
              </w:rPr>
              <w:t>1.8</w:t>
            </w:r>
          </w:p>
        </w:tc>
        <w:tc>
          <w:tcPr>
            <w:tcW w:w="1018" w:type="dxa"/>
          </w:tcPr>
          <w:p>
            <w:pPr>
              <w:pStyle w:val="TableParagraph"/>
              <w:spacing w:before="29"/>
              <w:ind w:left="283" w:right="283"/>
              <w:rPr>
                <w:sz w:val="20"/>
              </w:rPr>
            </w:pPr>
            <w:r>
              <w:rPr>
                <w:sz w:val="20"/>
              </w:rPr>
              <w:t>0.7</w:t>
            </w:r>
          </w:p>
        </w:tc>
        <w:tc>
          <w:tcPr>
            <w:tcW w:w="1013" w:type="dxa"/>
          </w:tcPr>
          <w:p>
            <w:pPr>
              <w:pStyle w:val="TableParagraph"/>
              <w:spacing w:before="29"/>
              <w:ind w:left="98" w:right="100"/>
              <w:rPr>
                <w:sz w:val="20"/>
              </w:rPr>
            </w:pPr>
            <w:r>
              <w:rPr>
                <w:sz w:val="20"/>
              </w:rPr>
              <w:t>1.2</w:t>
            </w:r>
          </w:p>
        </w:tc>
      </w:tr>
      <w:tr>
        <w:trPr>
          <w:trHeight w:val="312" w:hRule="exact"/>
        </w:trPr>
        <w:tc>
          <w:tcPr>
            <w:tcW w:w="1712" w:type="dxa"/>
          </w:tcPr>
          <w:p>
            <w:pPr>
              <w:pStyle w:val="TableParagraph"/>
              <w:spacing w:before="29"/>
              <w:ind w:left="103"/>
              <w:jc w:val="left"/>
              <w:rPr>
                <w:sz w:val="20"/>
              </w:rPr>
            </w:pPr>
            <w:r>
              <w:rPr>
                <w:sz w:val="20"/>
              </w:rPr>
              <w:t>Puebla</w:t>
            </w:r>
          </w:p>
        </w:tc>
        <w:tc>
          <w:tcPr>
            <w:tcW w:w="1018" w:type="dxa"/>
          </w:tcPr>
          <w:p>
            <w:pPr>
              <w:pStyle w:val="TableParagraph"/>
              <w:spacing w:before="29"/>
              <w:ind w:left="283" w:right="283"/>
              <w:rPr>
                <w:sz w:val="20"/>
              </w:rPr>
            </w:pPr>
            <w:r>
              <w:rPr>
                <w:sz w:val="20"/>
              </w:rPr>
              <w:t>3.1</w:t>
            </w:r>
          </w:p>
        </w:tc>
        <w:tc>
          <w:tcPr>
            <w:tcW w:w="1018" w:type="dxa"/>
          </w:tcPr>
          <w:p>
            <w:pPr>
              <w:pStyle w:val="TableParagraph"/>
              <w:spacing w:before="29"/>
              <w:ind w:left="282" w:right="284"/>
              <w:rPr>
                <w:sz w:val="20"/>
              </w:rPr>
            </w:pPr>
            <w:r>
              <w:rPr>
                <w:sz w:val="20"/>
              </w:rPr>
              <w:t>4.1</w:t>
            </w:r>
          </w:p>
        </w:tc>
        <w:tc>
          <w:tcPr>
            <w:tcW w:w="1016" w:type="dxa"/>
          </w:tcPr>
          <w:p>
            <w:pPr>
              <w:pStyle w:val="TableParagraph"/>
              <w:spacing w:before="29"/>
              <w:ind w:left="282" w:right="283"/>
              <w:rPr>
                <w:sz w:val="20"/>
              </w:rPr>
            </w:pPr>
            <w:r>
              <w:rPr>
                <w:sz w:val="20"/>
              </w:rPr>
              <w:t>2.1</w:t>
            </w:r>
          </w:p>
        </w:tc>
        <w:tc>
          <w:tcPr>
            <w:tcW w:w="1018" w:type="dxa"/>
          </w:tcPr>
          <w:p>
            <w:pPr>
              <w:pStyle w:val="TableParagraph"/>
              <w:spacing w:before="29"/>
              <w:ind w:left="283" w:right="283"/>
              <w:rPr>
                <w:sz w:val="20"/>
              </w:rPr>
            </w:pPr>
            <w:r>
              <w:rPr>
                <w:sz w:val="20"/>
              </w:rPr>
              <w:t>1.7</w:t>
            </w:r>
          </w:p>
        </w:tc>
        <w:tc>
          <w:tcPr>
            <w:tcW w:w="1018" w:type="dxa"/>
          </w:tcPr>
          <w:p>
            <w:pPr>
              <w:pStyle w:val="TableParagraph"/>
              <w:spacing w:before="29"/>
              <w:ind w:right="377"/>
              <w:jc w:val="right"/>
              <w:rPr>
                <w:sz w:val="20"/>
              </w:rPr>
            </w:pPr>
            <w:r>
              <w:rPr>
                <w:sz w:val="20"/>
              </w:rPr>
              <w:t>2.6</w:t>
            </w:r>
          </w:p>
        </w:tc>
        <w:tc>
          <w:tcPr>
            <w:tcW w:w="1018" w:type="dxa"/>
          </w:tcPr>
          <w:p>
            <w:pPr>
              <w:pStyle w:val="TableParagraph"/>
              <w:spacing w:before="29"/>
              <w:ind w:left="283" w:right="283"/>
              <w:rPr>
                <w:sz w:val="20"/>
              </w:rPr>
            </w:pPr>
            <w:r>
              <w:rPr>
                <w:sz w:val="20"/>
              </w:rPr>
              <w:t>3.1</w:t>
            </w:r>
          </w:p>
        </w:tc>
        <w:tc>
          <w:tcPr>
            <w:tcW w:w="1013" w:type="dxa"/>
          </w:tcPr>
          <w:p>
            <w:pPr>
              <w:pStyle w:val="TableParagraph"/>
              <w:spacing w:before="29"/>
              <w:ind w:left="98" w:right="100"/>
              <w:rPr>
                <w:sz w:val="20"/>
              </w:rPr>
            </w:pPr>
            <w:r>
              <w:rPr>
                <w:sz w:val="20"/>
              </w:rPr>
              <w:t>3.3</w:t>
            </w:r>
          </w:p>
        </w:tc>
      </w:tr>
    </w:tbl>
    <w:p>
      <w:pPr>
        <w:spacing w:line="202" w:lineRule="exact" w:before="0"/>
        <w:ind w:left="102" w:right="0" w:firstLine="0"/>
        <w:jc w:val="both"/>
        <w:rPr>
          <w:sz w:val="18"/>
        </w:rPr>
      </w:pPr>
      <w:r>
        <w:rPr>
          <w:sz w:val="18"/>
        </w:rPr>
        <w:t>Fuente: Elaboración propia con datos de INEGI (varios años).</w:t>
      </w:r>
    </w:p>
    <w:p>
      <w:pPr>
        <w:pStyle w:val="BodyText"/>
        <w:rPr>
          <w:sz w:val="18"/>
        </w:rPr>
      </w:pPr>
    </w:p>
    <w:p>
      <w:pPr>
        <w:pStyle w:val="BodyText"/>
        <w:spacing w:line="360" w:lineRule="auto" w:before="135"/>
        <w:ind w:left="102" w:right="117"/>
        <w:jc w:val="both"/>
      </w:pPr>
      <w:r>
        <w:rPr/>
        <w:t>Otro punto importante de analizar es la industria de autopartes de la región, en este sentido, se presenta el cuadro 4.8, en él se observa la participación de la región centro en la manufactura nacional respecto al valor agregado censal bruto. En general, en1980, la región tenía las más altas participaciones a nivel nacional en todas las ramas de la industria automotriz analizadas, siendo la fabricación de motores de gasolina y sus partes para vehículos automotrices la más sobresaliente.</w:t>
      </w:r>
    </w:p>
    <w:p>
      <w:pPr>
        <w:pStyle w:val="BodyText"/>
        <w:spacing w:before="4"/>
        <w:rPr>
          <w:sz w:val="21"/>
        </w:rPr>
      </w:pPr>
    </w:p>
    <w:p>
      <w:pPr>
        <w:pStyle w:val="BodyText"/>
        <w:spacing w:line="360" w:lineRule="auto" w:before="1"/>
        <w:ind w:left="102" w:right="122"/>
        <w:jc w:val="both"/>
      </w:pPr>
      <w:r>
        <w:rPr/>
        <w:t>Sin embargo, nuevamente se puede constatar la pérdida de dinamismo de la región en las actividades automotrices, </w:t>
      </w:r>
      <w:r>
        <w:rPr>
          <w:spacing w:val="-3"/>
        </w:rPr>
        <w:t>ya </w:t>
      </w:r>
      <w:r>
        <w:rPr/>
        <w:t>que para el 2008, la participación de la región centro en cuanto al</w:t>
      </w:r>
      <w:r>
        <w:rPr>
          <w:spacing w:val="-6"/>
        </w:rPr>
        <w:t> </w:t>
      </w:r>
      <w:r>
        <w:rPr/>
        <w:t>VACB</w:t>
      </w:r>
      <w:r>
        <w:rPr>
          <w:spacing w:val="-6"/>
        </w:rPr>
        <w:t> </w:t>
      </w:r>
      <w:r>
        <w:rPr/>
        <w:t>disminuyó</w:t>
      </w:r>
      <w:r>
        <w:rPr>
          <w:spacing w:val="-4"/>
        </w:rPr>
        <w:t> </w:t>
      </w:r>
      <w:r>
        <w:rPr/>
        <w:t>en</w:t>
      </w:r>
      <w:r>
        <w:rPr>
          <w:spacing w:val="-5"/>
        </w:rPr>
        <w:t> </w:t>
      </w:r>
      <w:r>
        <w:rPr/>
        <w:t>promedio</w:t>
      </w:r>
      <w:r>
        <w:rPr>
          <w:spacing w:val="-6"/>
        </w:rPr>
        <w:t> </w:t>
      </w:r>
      <w:r>
        <w:rPr/>
        <w:t>40%,</w:t>
      </w:r>
      <w:r>
        <w:rPr>
          <w:spacing w:val="-6"/>
        </w:rPr>
        <w:t> </w:t>
      </w:r>
      <w:r>
        <w:rPr/>
        <w:t>siendo</w:t>
      </w:r>
      <w:r>
        <w:rPr>
          <w:spacing w:val="-4"/>
        </w:rPr>
        <w:t> </w:t>
      </w:r>
      <w:r>
        <w:rPr/>
        <w:t>la</w:t>
      </w:r>
      <w:r>
        <w:rPr>
          <w:spacing w:val="-7"/>
        </w:rPr>
        <w:t> </w:t>
      </w:r>
      <w:r>
        <w:rPr/>
        <w:t>disminución</w:t>
      </w:r>
      <w:r>
        <w:rPr>
          <w:spacing w:val="-6"/>
        </w:rPr>
        <w:t> </w:t>
      </w:r>
      <w:r>
        <w:rPr/>
        <w:t>más</w:t>
      </w:r>
      <w:r>
        <w:rPr>
          <w:spacing w:val="-7"/>
        </w:rPr>
        <w:t> </w:t>
      </w:r>
      <w:r>
        <w:rPr/>
        <w:t>importante</w:t>
      </w:r>
      <w:r>
        <w:rPr>
          <w:spacing w:val="-7"/>
        </w:rPr>
        <w:t> </w:t>
      </w:r>
      <w:r>
        <w:rPr/>
        <w:t>la</w:t>
      </w:r>
      <w:r>
        <w:rPr>
          <w:spacing w:val="-7"/>
        </w:rPr>
        <w:t> </w:t>
      </w:r>
      <w:r>
        <w:rPr/>
        <w:t>fabricación de motores de gasolina, lo que provocó que la fabricación de partes de sistemas de frenos para vehículos automotrices, se convirtiera en la rama de mayor participación dentro del VACB a nivel</w:t>
      </w:r>
      <w:r>
        <w:rPr>
          <w:spacing w:val="-6"/>
        </w:rPr>
        <w:t> </w:t>
      </w:r>
      <w:r>
        <w:rPr/>
        <w:t>nacional.</w:t>
      </w:r>
    </w:p>
    <w:p>
      <w:pPr>
        <w:spacing w:after="0" w:line="360" w:lineRule="auto"/>
        <w:jc w:val="both"/>
        <w:sectPr>
          <w:pgSz w:w="12240" w:h="15840"/>
          <w:pgMar w:header="0" w:footer="1035" w:top="1360" w:bottom="1220" w:left="1600" w:right="1580"/>
        </w:sectPr>
      </w:pPr>
    </w:p>
    <w:p>
      <w:pPr>
        <w:pStyle w:val="Heading1"/>
        <w:spacing w:line="360" w:lineRule="auto" w:before="55" w:after="6"/>
        <w:ind w:left="740" w:right="123" w:hanging="617"/>
      </w:pPr>
      <w:r>
        <w:rPr/>
        <w:t>Cuadro 4.8. Participación porcentual de la Región Centro en las ramas de la industria automotriz en el total nacional, 1980-2008 (Valor Agregado Censal Bruto)</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18"/>
        <w:gridCol w:w="614"/>
        <w:gridCol w:w="617"/>
        <w:gridCol w:w="617"/>
        <w:gridCol w:w="614"/>
        <w:gridCol w:w="617"/>
        <w:gridCol w:w="617"/>
        <w:gridCol w:w="615"/>
      </w:tblGrid>
      <w:tr>
        <w:trPr>
          <w:trHeight w:val="288" w:hRule="exact"/>
        </w:trPr>
        <w:tc>
          <w:tcPr>
            <w:tcW w:w="4518" w:type="dxa"/>
            <w:tcBorders>
              <w:right w:val="nil"/>
            </w:tcBorders>
            <w:shd w:val="clear" w:color="auto" w:fill="A6A6A6"/>
          </w:tcPr>
          <w:p>
            <w:pPr/>
          </w:p>
        </w:tc>
        <w:tc>
          <w:tcPr>
            <w:tcW w:w="614" w:type="dxa"/>
            <w:tcBorders>
              <w:left w:val="nil"/>
              <w:right w:val="nil"/>
            </w:tcBorders>
            <w:shd w:val="clear" w:color="auto" w:fill="A6A6A6"/>
          </w:tcPr>
          <w:p>
            <w:pPr>
              <w:pStyle w:val="TableParagraph"/>
              <w:spacing w:before="30"/>
              <w:ind w:left="87" w:right="83"/>
              <w:rPr>
                <w:b/>
                <w:sz w:val="20"/>
              </w:rPr>
            </w:pPr>
            <w:r>
              <w:rPr>
                <w:b/>
                <w:sz w:val="20"/>
              </w:rPr>
              <w:t>1980</w:t>
            </w:r>
          </w:p>
        </w:tc>
        <w:tc>
          <w:tcPr>
            <w:tcW w:w="617" w:type="dxa"/>
            <w:tcBorders>
              <w:left w:val="nil"/>
              <w:right w:val="nil"/>
            </w:tcBorders>
            <w:shd w:val="clear" w:color="auto" w:fill="A6A6A6"/>
          </w:tcPr>
          <w:p>
            <w:pPr>
              <w:pStyle w:val="TableParagraph"/>
              <w:spacing w:before="30"/>
              <w:ind w:right="103"/>
              <w:jc w:val="right"/>
              <w:rPr>
                <w:b/>
                <w:sz w:val="20"/>
              </w:rPr>
            </w:pPr>
            <w:r>
              <w:rPr>
                <w:b/>
                <w:sz w:val="20"/>
              </w:rPr>
              <w:t>1985</w:t>
            </w:r>
          </w:p>
        </w:tc>
        <w:tc>
          <w:tcPr>
            <w:tcW w:w="617" w:type="dxa"/>
            <w:tcBorders>
              <w:left w:val="nil"/>
              <w:right w:val="nil"/>
            </w:tcBorders>
            <w:shd w:val="clear" w:color="auto" w:fill="A6A6A6"/>
          </w:tcPr>
          <w:p>
            <w:pPr>
              <w:pStyle w:val="TableParagraph"/>
              <w:spacing w:before="30"/>
              <w:ind w:left="89" w:right="88"/>
              <w:rPr>
                <w:b/>
                <w:sz w:val="20"/>
              </w:rPr>
            </w:pPr>
            <w:r>
              <w:rPr>
                <w:b/>
                <w:sz w:val="20"/>
              </w:rPr>
              <w:t>1988</w:t>
            </w:r>
          </w:p>
        </w:tc>
        <w:tc>
          <w:tcPr>
            <w:tcW w:w="614" w:type="dxa"/>
            <w:tcBorders>
              <w:left w:val="nil"/>
              <w:right w:val="nil"/>
            </w:tcBorders>
            <w:shd w:val="clear" w:color="auto" w:fill="A6A6A6"/>
          </w:tcPr>
          <w:p>
            <w:pPr>
              <w:pStyle w:val="TableParagraph"/>
              <w:spacing w:before="30"/>
              <w:ind w:left="105"/>
              <w:jc w:val="left"/>
              <w:rPr>
                <w:b/>
                <w:sz w:val="20"/>
              </w:rPr>
            </w:pPr>
            <w:r>
              <w:rPr>
                <w:b/>
                <w:sz w:val="20"/>
              </w:rPr>
              <w:t>1993</w:t>
            </w:r>
          </w:p>
        </w:tc>
        <w:tc>
          <w:tcPr>
            <w:tcW w:w="617" w:type="dxa"/>
            <w:tcBorders>
              <w:left w:val="nil"/>
              <w:right w:val="nil"/>
            </w:tcBorders>
            <w:shd w:val="clear" w:color="auto" w:fill="A6A6A6"/>
          </w:tcPr>
          <w:p>
            <w:pPr>
              <w:pStyle w:val="TableParagraph"/>
              <w:spacing w:before="30"/>
              <w:ind w:left="89" w:right="87"/>
              <w:rPr>
                <w:b/>
                <w:sz w:val="20"/>
              </w:rPr>
            </w:pPr>
            <w:r>
              <w:rPr>
                <w:b/>
                <w:sz w:val="20"/>
              </w:rPr>
              <w:t>1998</w:t>
            </w:r>
          </w:p>
        </w:tc>
        <w:tc>
          <w:tcPr>
            <w:tcW w:w="617" w:type="dxa"/>
            <w:tcBorders>
              <w:left w:val="nil"/>
              <w:right w:val="nil"/>
            </w:tcBorders>
            <w:shd w:val="clear" w:color="auto" w:fill="A6A6A6"/>
          </w:tcPr>
          <w:p>
            <w:pPr>
              <w:pStyle w:val="TableParagraph"/>
              <w:spacing w:before="30"/>
              <w:ind w:left="89" w:right="87"/>
              <w:rPr>
                <w:b/>
                <w:sz w:val="20"/>
              </w:rPr>
            </w:pPr>
            <w:r>
              <w:rPr>
                <w:b/>
                <w:sz w:val="20"/>
              </w:rPr>
              <w:t>2003</w:t>
            </w:r>
          </w:p>
        </w:tc>
        <w:tc>
          <w:tcPr>
            <w:tcW w:w="615" w:type="dxa"/>
            <w:tcBorders>
              <w:left w:val="nil"/>
            </w:tcBorders>
            <w:shd w:val="clear" w:color="auto" w:fill="A6A6A6"/>
          </w:tcPr>
          <w:p>
            <w:pPr>
              <w:pStyle w:val="TableParagraph"/>
              <w:spacing w:before="30"/>
              <w:ind w:right="96"/>
              <w:jc w:val="right"/>
              <w:rPr>
                <w:b/>
                <w:sz w:val="20"/>
              </w:rPr>
            </w:pPr>
            <w:r>
              <w:rPr>
                <w:b/>
                <w:sz w:val="20"/>
              </w:rPr>
              <w:t>2008</w:t>
            </w:r>
          </w:p>
        </w:tc>
      </w:tr>
      <w:tr>
        <w:trPr>
          <w:trHeight w:val="256" w:hRule="exact"/>
        </w:trPr>
        <w:tc>
          <w:tcPr>
            <w:tcW w:w="4518" w:type="dxa"/>
            <w:tcBorders>
              <w:top w:val="single" w:sz="16" w:space="0" w:color="A6A6A6"/>
            </w:tcBorders>
          </w:tcPr>
          <w:p>
            <w:pPr>
              <w:pStyle w:val="TableParagraph"/>
              <w:spacing w:line="228" w:lineRule="exact"/>
              <w:ind w:left="103" w:right="130"/>
              <w:jc w:val="left"/>
              <w:rPr>
                <w:b/>
                <w:sz w:val="20"/>
              </w:rPr>
            </w:pPr>
            <w:r>
              <w:rPr>
                <w:b/>
                <w:sz w:val="20"/>
              </w:rPr>
              <w:t>Fabricación de automóviles y camiones</w:t>
            </w:r>
          </w:p>
        </w:tc>
        <w:tc>
          <w:tcPr>
            <w:tcW w:w="614" w:type="dxa"/>
            <w:tcBorders>
              <w:top w:val="single" w:sz="16" w:space="0" w:color="A6A6A6"/>
            </w:tcBorders>
          </w:tcPr>
          <w:p>
            <w:pPr>
              <w:pStyle w:val="TableParagraph"/>
              <w:spacing w:line="223" w:lineRule="exact"/>
              <w:ind w:left="106" w:right="106"/>
              <w:rPr>
                <w:sz w:val="20"/>
              </w:rPr>
            </w:pPr>
            <w:r>
              <w:rPr>
                <w:sz w:val="20"/>
              </w:rPr>
              <w:t>85.7</w:t>
            </w:r>
          </w:p>
        </w:tc>
        <w:tc>
          <w:tcPr>
            <w:tcW w:w="617" w:type="dxa"/>
            <w:tcBorders>
              <w:top w:val="single" w:sz="16" w:space="0" w:color="A6A6A6"/>
            </w:tcBorders>
          </w:tcPr>
          <w:p>
            <w:pPr>
              <w:pStyle w:val="TableParagraph"/>
              <w:spacing w:line="223" w:lineRule="exact"/>
              <w:ind w:right="127"/>
              <w:jc w:val="right"/>
              <w:rPr>
                <w:sz w:val="20"/>
              </w:rPr>
            </w:pPr>
            <w:r>
              <w:rPr>
                <w:sz w:val="20"/>
              </w:rPr>
              <w:t>40.4</w:t>
            </w:r>
          </w:p>
        </w:tc>
        <w:tc>
          <w:tcPr>
            <w:tcW w:w="617" w:type="dxa"/>
            <w:tcBorders>
              <w:top w:val="single" w:sz="16" w:space="0" w:color="A6A6A6"/>
            </w:tcBorders>
          </w:tcPr>
          <w:p>
            <w:pPr>
              <w:pStyle w:val="TableParagraph"/>
              <w:spacing w:line="223" w:lineRule="exact"/>
              <w:ind w:left="108" w:right="108"/>
              <w:rPr>
                <w:sz w:val="20"/>
              </w:rPr>
            </w:pPr>
            <w:r>
              <w:rPr>
                <w:sz w:val="20"/>
              </w:rPr>
              <w:t>73.4</w:t>
            </w:r>
          </w:p>
        </w:tc>
        <w:tc>
          <w:tcPr>
            <w:tcW w:w="614" w:type="dxa"/>
            <w:tcBorders>
              <w:top w:val="single" w:sz="16" w:space="0" w:color="A6A6A6"/>
            </w:tcBorders>
          </w:tcPr>
          <w:p>
            <w:pPr>
              <w:pStyle w:val="TableParagraph"/>
              <w:spacing w:line="223" w:lineRule="exact"/>
              <w:ind w:left="124"/>
              <w:jc w:val="left"/>
              <w:rPr>
                <w:sz w:val="20"/>
              </w:rPr>
            </w:pPr>
            <w:r>
              <w:rPr>
                <w:sz w:val="20"/>
              </w:rPr>
              <w:t>79.0</w:t>
            </w:r>
          </w:p>
        </w:tc>
        <w:tc>
          <w:tcPr>
            <w:tcW w:w="617" w:type="dxa"/>
            <w:tcBorders>
              <w:top w:val="single" w:sz="16" w:space="0" w:color="A6A6A6"/>
            </w:tcBorders>
          </w:tcPr>
          <w:p>
            <w:pPr>
              <w:pStyle w:val="TableParagraph"/>
              <w:spacing w:line="223" w:lineRule="exact"/>
              <w:ind w:left="108" w:right="109"/>
              <w:rPr>
                <w:sz w:val="20"/>
              </w:rPr>
            </w:pPr>
            <w:r>
              <w:rPr>
                <w:sz w:val="20"/>
              </w:rPr>
              <w:t>26.1</w:t>
            </w:r>
          </w:p>
        </w:tc>
        <w:tc>
          <w:tcPr>
            <w:tcW w:w="617" w:type="dxa"/>
            <w:tcBorders>
              <w:top w:val="single" w:sz="16" w:space="0" w:color="A6A6A6"/>
            </w:tcBorders>
          </w:tcPr>
          <w:p>
            <w:pPr>
              <w:pStyle w:val="TableParagraph"/>
              <w:spacing w:line="223" w:lineRule="exact"/>
              <w:ind w:left="108" w:right="109"/>
              <w:rPr>
                <w:sz w:val="20"/>
              </w:rPr>
            </w:pPr>
            <w:r>
              <w:rPr>
                <w:sz w:val="20"/>
              </w:rPr>
              <w:t>44.9</w:t>
            </w:r>
          </w:p>
        </w:tc>
        <w:tc>
          <w:tcPr>
            <w:tcW w:w="615" w:type="dxa"/>
            <w:tcBorders>
              <w:top w:val="single" w:sz="16" w:space="0" w:color="A6A6A6"/>
            </w:tcBorders>
          </w:tcPr>
          <w:p>
            <w:pPr>
              <w:pStyle w:val="TableParagraph"/>
              <w:spacing w:line="223" w:lineRule="exact"/>
              <w:ind w:right="125"/>
              <w:jc w:val="right"/>
              <w:rPr>
                <w:sz w:val="20"/>
              </w:rPr>
            </w:pPr>
            <w:r>
              <w:rPr>
                <w:sz w:val="20"/>
              </w:rPr>
              <w:t>42.9</w:t>
            </w:r>
          </w:p>
        </w:tc>
      </w:tr>
      <w:tr>
        <w:trPr>
          <w:trHeight w:val="240" w:hRule="exact"/>
        </w:trPr>
        <w:tc>
          <w:tcPr>
            <w:tcW w:w="4518" w:type="dxa"/>
          </w:tcPr>
          <w:p>
            <w:pPr>
              <w:pStyle w:val="TableParagraph"/>
              <w:spacing w:line="228" w:lineRule="exact"/>
              <w:ind w:left="103" w:right="130"/>
              <w:jc w:val="left"/>
              <w:rPr>
                <w:b/>
                <w:sz w:val="20"/>
              </w:rPr>
            </w:pPr>
            <w:r>
              <w:rPr>
                <w:b/>
                <w:sz w:val="20"/>
              </w:rPr>
              <w:t>Fabricación de carrocerías y remolques</w:t>
            </w:r>
          </w:p>
        </w:tc>
        <w:tc>
          <w:tcPr>
            <w:tcW w:w="614" w:type="dxa"/>
          </w:tcPr>
          <w:p>
            <w:pPr>
              <w:pStyle w:val="TableParagraph"/>
              <w:spacing w:line="223" w:lineRule="exact"/>
              <w:ind w:left="106" w:right="106"/>
              <w:rPr>
                <w:sz w:val="20"/>
              </w:rPr>
            </w:pPr>
            <w:r>
              <w:rPr>
                <w:sz w:val="20"/>
              </w:rPr>
              <w:t>50.5</w:t>
            </w:r>
          </w:p>
        </w:tc>
        <w:tc>
          <w:tcPr>
            <w:tcW w:w="617" w:type="dxa"/>
          </w:tcPr>
          <w:p>
            <w:pPr>
              <w:pStyle w:val="TableParagraph"/>
              <w:spacing w:line="223" w:lineRule="exact"/>
              <w:ind w:right="127"/>
              <w:jc w:val="right"/>
              <w:rPr>
                <w:sz w:val="20"/>
              </w:rPr>
            </w:pPr>
            <w:r>
              <w:rPr>
                <w:sz w:val="20"/>
              </w:rPr>
              <w:t>46.5</w:t>
            </w:r>
          </w:p>
        </w:tc>
        <w:tc>
          <w:tcPr>
            <w:tcW w:w="617" w:type="dxa"/>
          </w:tcPr>
          <w:p>
            <w:pPr>
              <w:pStyle w:val="TableParagraph"/>
              <w:spacing w:line="223" w:lineRule="exact"/>
              <w:ind w:left="108" w:right="108"/>
              <w:rPr>
                <w:sz w:val="20"/>
              </w:rPr>
            </w:pPr>
            <w:r>
              <w:rPr>
                <w:sz w:val="20"/>
              </w:rPr>
              <w:t>34.3</w:t>
            </w:r>
          </w:p>
        </w:tc>
        <w:tc>
          <w:tcPr>
            <w:tcW w:w="614" w:type="dxa"/>
          </w:tcPr>
          <w:p>
            <w:pPr>
              <w:pStyle w:val="TableParagraph"/>
              <w:spacing w:line="223" w:lineRule="exact"/>
              <w:ind w:left="124"/>
              <w:jc w:val="left"/>
              <w:rPr>
                <w:sz w:val="20"/>
              </w:rPr>
            </w:pPr>
            <w:r>
              <w:rPr>
                <w:sz w:val="20"/>
              </w:rPr>
              <w:t>60.0</w:t>
            </w:r>
          </w:p>
        </w:tc>
        <w:tc>
          <w:tcPr>
            <w:tcW w:w="617" w:type="dxa"/>
          </w:tcPr>
          <w:p>
            <w:pPr>
              <w:pStyle w:val="TableParagraph"/>
              <w:spacing w:line="223" w:lineRule="exact"/>
              <w:ind w:left="108" w:right="109"/>
              <w:rPr>
                <w:sz w:val="20"/>
              </w:rPr>
            </w:pPr>
            <w:r>
              <w:rPr>
                <w:sz w:val="20"/>
              </w:rPr>
              <w:t>43.9</w:t>
            </w:r>
          </w:p>
        </w:tc>
        <w:tc>
          <w:tcPr>
            <w:tcW w:w="617" w:type="dxa"/>
          </w:tcPr>
          <w:p>
            <w:pPr>
              <w:pStyle w:val="TableParagraph"/>
              <w:spacing w:line="223" w:lineRule="exact"/>
              <w:ind w:left="108" w:right="109"/>
              <w:rPr>
                <w:sz w:val="20"/>
              </w:rPr>
            </w:pPr>
            <w:r>
              <w:rPr>
                <w:sz w:val="20"/>
              </w:rPr>
              <w:t>36.5</w:t>
            </w:r>
          </w:p>
        </w:tc>
        <w:tc>
          <w:tcPr>
            <w:tcW w:w="615" w:type="dxa"/>
          </w:tcPr>
          <w:p>
            <w:pPr>
              <w:pStyle w:val="TableParagraph"/>
              <w:spacing w:line="223" w:lineRule="exact"/>
              <w:ind w:right="125"/>
              <w:jc w:val="right"/>
              <w:rPr>
                <w:sz w:val="20"/>
              </w:rPr>
            </w:pPr>
            <w:r>
              <w:rPr>
                <w:sz w:val="20"/>
              </w:rPr>
              <w:t>39.0</w:t>
            </w:r>
          </w:p>
        </w:tc>
      </w:tr>
      <w:tr>
        <w:trPr>
          <w:trHeight w:val="470" w:hRule="exact"/>
        </w:trPr>
        <w:tc>
          <w:tcPr>
            <w:tcW w:w="4518" w:type="dxa"/>
          </w:tcPr>
          <w:p>
            <w:pPr>
              <w:pStyle w:val="TableParagraph"/>
              <w:ind w:left="103" w:right="130"/>
              <w:jc w:val="left"/>
              <w:rPr>
                <w:b/>
                <w:sz w:val="20"/>
              </w:rPr>
            </w:pPr>
            <w:r>
              <w:rPr>
                <w:b/>
                <w:sz w:val="20"/>
              </w:rPr>
              <w:t>Fabricación de motores de gasolina y sus partes para vehículos automotrices</w:t>
            </w:r>
          </w:p>
        </w:tc>
        <w:tc>
          <w:tcPr>
            <w:tcW w:w="614" w:type="dxa"/>
          </w:tcPr>
          <w:p>
            <w:pPr>
              <w:pStyle w:val="TableParagraph"/>
              <w:spacing w:before="108"/>
              <w:ind w:left="106" w:right="106"/>
              <w:rPr>
                <w:sz w:val="20"/>
              </w:rPr>
            </w:pPr>
            <w:r>
              <w:rPr>
                <w:sz w:val="20"/>
              </w:rPr>
              <w:t>97.4</w:t>
            </w:r>
          </w:p>
        </w:tc>
        <w:tc>
          <w:tcPr>
            <w:tcW w:w="617" w:type="dxa"/>
          </w:tcPr>
          <w:p>
            <w:pPr>
              <w:pStyle w:val="TableParagraph"/>
              <w:spacing w:before="108"/>
              <w:ind w:right="127"/>
              <w:jc w:val="right"/>
              <w:rPr>
                <w:sz w:val="20"/>
              </w:rPr>
            </w:pPr>
            <w:r>
              <w:rPr>
                <w:sz w:val="20"/>
              </w:rPr>
              <w:t>17.4</w:t>
            </w:r>
          </w:p>
        </w:tc>
        <w:tc>
          <w:tcPr>
            <w:tcW w:w="617" w:type="dxa"/>
          </w:tcPr>
          <w:p>
            <w:pPr>
              <w:pStyle w:val="TableParagraph"/>
              <w:spacing w:before="108"/>
              <w:ind w:left="108" w:right="108"/>
              <w:rPr>
                <w:sz w:val="20"/>
              </w:rPr>
            </w:pPr>
            <w:r>
              <w:rPr>
                <w:sz w:val="20"/>
              </w:rPr>
              <w:t>17.2</w:t>
            </w:r>
          </w:p>
        </w:tc>
        <w:tc>
          <w:tcPr>
            <w:tcW w:w="614" w:type="dxa"/>
          </w:tcPr>
          <w:p>
            <w:pPr>
              <w:pStyle w:val="TableParagraph"/>
              <w:spacing w:before="108"/>
              <w:ind w:left="124"/>
              <w:jc w:val="left"/>
              <w:rPr>
                <w:sz w:val="20"/>
              </w:rPr>
            </w:pPr>
            <w:r>
              <w:rPr>
                <w:sz w:val="20"/>
              </w:rPr>
              <w:t>27.8</w:t>
            </w:r>
          </w:p>
        </w:tc>
        <w:tc>
          <w:tcPr>
            <w:tcW w:w="617" w:type="dxa"/>
          </w:tcPr>
          <w:p>
            <w:pPr>
              <w:pStyle w:val="TableParagraph"/>
              <w:spacing w:before="108"/>
              <w:ind w:left="108" w:right="109"/>
              <w:rPr>
                <w:sz w:val="20"/>
              </w:rPr>
            </w:pPr>
            <w:r>
              <w:rPr>
                <w:sz w:val="20"/>
              </w:rPr>
              <w:t>27.8</w:t>
            </w:r>
          </w:p>
        </w:tc>
        <w:tc>
          <w:tcPr>
            <w:tcW w:w="617" w:type="dxa"/>
          </w:tcPr>
          <w:p>
            <w:pPr>
              <w:pStyle w:val="TableParagraph"/>
              <w:spacing w:before="108"/>
              <w:ind w:left="108" w:right="109"/>
              <w:rPr>
                <w:sz w:val="20"/>
              </w:rPr>
            </w:pPr>
            <w:r>
              <w:rPr>
                <w:sz w:val="20"/>
              </w:rPr>
              <w:t>33.7</w:t>
            </w:r>
          </w:p>
        </w:tc>
        <w:tc>
          <w:tcPr>
            <w:tcW w:w="615" w:type="dxa"/>
          </w:tcPr>
          <w:p>
            <w:pPr>
              <w:pStyle w:val="TableParagraph"/>
              <w:spacing w:before="108"/>
              <w:ind w:right="125"/>
              <w:jc w:val="right"/>
              <w:rPr>
                <w:sz w:val="20"/>
              </w:rPr>
            </w:pPr>
            <w:r>
              <w:rPr>
                <w:sz w:val="20"/>
              </w:rPr>
              <w:t>20.6</w:t>
            </w:r>
          </w:p>
        </w:tc>
      </w:tr>
      <w:tr>
        <w:trPr>
          <w:trHeight w:val="281" w:hRule="exact"/>
        </w:trPr>
        <w:tc>
          <w:tcPr>
            <w:tcW w:w="4518" w:type="dxa"/>
          </w:tcPr>
          <w:p>
            <w:pPr>
              <w:pStyle w:val="TableParagraph"/>
              <w:spacing w:before="17"/>
              <w:ind w:left="103" w:right="130"/>
              <w:jc w:val="left"/>
              <w:rPr>
                <w:b/>
                <w:sz w:val="20"/>
              </w:rPr>
            </w:pPr>
            <w:r>
              <w:rPr>
                <w:b/>
                <w:sz w:val="20"/>
              </w:rPr>
              <w:t>Fabricación de partes de sistemas de transmisión</w:t>
            </w:r>
          </w:p>
        </w:tc>
        <w:tc>
          <w:tcPr>
            <w:tcW w:w="614" w:type="dxa"/>
          </w:tcPr>
          <w:p>
            <w:pPr>
              <w:pStyle w:val="TableParagraph"/>
              <w:spacing w:before="12"/>
              <w:ind w:left="106" w:right="106"/>
              <w:rPr>
                <w:sz w:val="20"/>
              </w:rPr>
            </w:pPr>
            <w:r>
              <w:rPr>
                <w:sz w:val="20"/>
              </w:rPr>
              <w:t>43.9</w:t>
            </w:r>
          </w:p>
        </w:tc>
        <w:tc>
          <w:tcPr>
            <w:tcW w:w="617" w:type="dxa"/>
          </w:tcPr>
          <w:p>
            <w:pPr>
              <w:pStyle w:val="TableParagraph"/>
              <w:spacing w:before="12"/>
              <w:ind w:right="127"/>
              <w:jc w:val="right"/>
              <w:rPr>
                <w:sz w:val="20"/>
              </w:rPr>
            </w:pPr>
            <w:r>
              <w:rPr>
                <w:sz w:val="20"/>
              </w:rPr>
              <w:t>21.8</w:t>
            </w:r>
          </w:p>
        </w:tc>
        <w:tc>
          <w:tcPr>
            <w:tcW w:w="617" w:type="dxa"/>
          </w:tcPr>
          <w:p>
            <w:pPr>
              <w:pStyle w:val="TableParagraph"/>
              <w:spacing w:before="12"/>
              <w:ind w:left="108" w:right="108"/>
              <w:rPr>
                <w:sz w:val="20"/>
              </w:rPr>
            </w:pPr>
            <w:r>
              <w:rPr>
                <w:sz w:val="20"/>
              </w:rPr>
              <w:t>32.9</w:t>
            </w:r>
          </w:p>
        </w:tc>
        <w:tc>
          <w:tcPr>
            <w:tcW w:w="614" w:type="dxa"/>
          </w:tcPr>
          <w:p>
            <w:pPr>
              <w:pStyle w:val="TableParagraph"/>
              <w:spacing w:before="12"/>
              <w:ind w:left="124"/>
              <w:jc w:val="left"/>
              <w:rPr>
                <w:sz w:val="20"/>
              </w:rPr>
            </w:pPr>
            <w:r>
              <w:rPr>
                <w:sz w:val="20"/>
              </w:rPr>
              <w:t>26.8</w:t>
            </w:r>
          </w:p>
        </w:tc>
        <w:tc>
          <w:tcPr>
            <w:tcW w:w="617" w:type="dxa"/>
          </w:tcPr>
          <w:p>
            <w:pPr>
              <w:pStyle w:val="TableParagraph"/>
              <w:spacing w:before="12"/>
              <w:ind w:left="108" w:right="109"/>
              <w:rPr>
                <w:sz w:val="20"/>
              </w:rPr>
            </w:pPr>
            <w:r>
              <w:rPr>
                <w:sz w:val="20"/>
              </w:rPr>
              <w:t>12.2</w:t>
            </w:r>
          </w:p>
        </w:tc>
        <w:tc>
          <w:tcPr>
            <w:tcW w:w="617" w:type="dxa"/>
          </w:tcPr>
          <w:p>
            <w:pPr>
              <w:pStyle w:val="TableParagraph"/>
              <w:spacing w:before="12"/>
              <w:ind w:left="108" w:right="109"/>
              <w:rPr>
                <w:sz w:val="20"/>
              </w:rPr>
            </w:pPr>
            <w:r>
              <w:rPr>
                <w:sz w:val="20"/>
              </w:rPr>
              <w:t>16.4</w:t>
            </w:r>
          </w:p>
        </w:tc>
        <w:tc>
          <w:tcPr>
            <w:tcW w:w="615" w:type="dxa"/>
          </w:tcPr>
          <w:p>
            <w:pPr>
              <w:pStyle w:val="TableParagraph"/>
              <w:spacing w:before="12"/>
              <w:ind w:left="177"/>
              <w:jc w:val="left"/>
              <w:rPr>
                <w:sz w:val="20"/>
              </w:rPr>
            </w:pPr>
            <w:r>
              <w:rPr>
                <w:sz w:val="20"/>
              </w:rPr>
              <w:t>4.9</w:t>
            </w:r>
          </w:p>
        </w:tc>
      </w:tr>
      <w:tr>
        <w:trPr>
          <w:trHeight w:val="468" w:hRule="exact"/>
        </w:trPr>
        <w:tc>
          <w:tcPr>
            <w:tcW w:w="4518" w:type="dxa"/>
          </w:tcPr>
          <w:p>
            <w:pPr>
              <w:pStyle w:val="TableParagraph"/>
              <w:ind w:left="103" w:right="130"/>
              <w:jc w:val="left"/>
              <w:rPr>
                <w:b/>
                <w:sz w:val="20"/>
              </w:rPr>
            </w:pPr>
            <w:r>
              <w:rPr>
                <w:b/>
                <w:sz w:val="20"/>
              </w:rPr>
              <w:t>Fabricación de partes de sistemas de dirección y de suspensión para vehículos automotrices</w:t>
            </w:r>
          </w:p>
        </w:tc>
        <w:tc>
          <w:tcPr>
            <w:tcW w:w="614" w:type="dxa"/>
          </w:tcPr>
          <w:p>
            <w:pPr>
              <w:pStyle w:val="TableParagraph"/>
              <w:spacing w:before="108"/>
              <w:ind w:left="106" w:right="106"/>
              <w:rPr>
                <w:sz w:val="20"/>
              </w:rPr>
            </w:pPr>
            <w:r>
              <w:rPr>
                <w:sz w:val="20"/>
              </w:rPr>
              <w:t>37.8</w:t>
            </w:r>
          </w:p>
        </w:tc>
        <w:tc>
          <w:tcPr>
            <w:tcW w:w="617" w:type="dxa"/>
          </w:tcPr>
          <w:p>
            <w:pPr>
              <w:pStyle w:val="TableParagraph"/>
              <w:spacing w:before="108"/>
              <w:ind w:right="127"/>
              <w:jc w:val="right"/>
              <w:rPr>
                <w:sz w:val="20"/>
              </w:rPr>
            </w:pPr>
            <w:r>
              <w:rPr>
                <w:sz w:val="20"/>
              </w:rPr>
              <w:t>44.9</w:t>
            </w:r>
          </w:p>
        </w:tc>
        <w:tc>
          <w:tcPr>
            <w:tcW w:w="617" w:type="dxa"/>
          </w:tcPr>
          <w:p>
            <w:pPr>
              <w:pStyle w:val="TableParagraph"/>
              <w:spacing w:before="108"/>
              <w:ind w:left="108" w:right="108"/>
              <w:rPr>
                <w:sz w:val="20"/>
              </w:rPr>
            </w:pPr>
            <w:r>
              <w:rPr>
                <w:sz w:val="20"/>
              </w:rPr>
              <w:t>45.2</w:t>
            </w:r>
          </w:p>
        </w:tc>
        <w:tc>
          <w:tcPr>
            <w:tcW w:w="614" w:type="dxa"/>
          </w:tcPr>
          <w:p>
            <w:pPr>
              <w:pStyle w:val="TableParagraph"/>
              <w:spacing w:before="108"/>
              <w:ind w:left="124"/>
              <w:jc w:val="left"/>
              <w:rPr>
                <w:sz w:val="20"/>
              </w:rPr>
            </w:pPr>
            <w:r>
              <w:rPr>
                <w:sz w:val="20"/>
              </w:rPr>
              <w:t>21.5</w:t>
            </w:r>
          </w:p>
        </w:tc>
        <w:tc>
          <w:tcPr>
            <w:tcW w:w="617" w:type="dxa"/>
          </w:tcPr>
          <w:p>
            <w:pPr>
              <w:pStyle w:val="TableParagraph"/>
              <w:spacing w:before="108"/>
              <w:ind w:left="108" w:right="109"/>
              <w:rPr>
                <w:sz w:val="20"/>
              </w:rPr>
            </w:pPr>
            <w:r>
              <w:rPr>
                <w:sz w:val="20"/>
              </w:rPr>
              <w:t>36.5</w:t>
            </w:r>
          </w:p>
        </w:tc>
        <w:tc>
          <w:tcPr>
            <w:tcW w:w="617" w:type="dxa"/>
          </w:tcPr>
          <w:p>
            <w:pPr>
              <w:pStyle w:val="TableParagraph"/>
              <w:spacing w:before="108"/>
              <w:ind w:left="108" w:right="109"/>
              <w:rPr>
                <w:sz w:val="20"/>
              </w:rPr>
            </w:pPr>
            <w:r>
              <w:rPr>
                <w:sz w:val="20"/>
              </w:rPr>
              <w:t>27.0</w:t>
            </w:r>
          </w:p>
        </w:tc>
        <w:tc>
          <w:tcPr>
            <w:tcW w:w="615" w:type="dxa"/>
          </w:tcPr>
          <w:p>
            <w:pPr>
              <w:pStyle w:val="TableParagraph"/>
              <w:spacing w:before="108"/>
              <w:ind w:right="125"/>
              <w:jc w:val="right"/>
              <w:rPr>
                <w:sz w:val="20"/>
              </w:rPr>
            </w:pPr>
            <w:r>
              <w:rPr>
                <w:sz w:val="20"/>
              </w:rPr>
              <w:t>17.2</w:t>
            </w:r>
          </w:p>
        </w:tc>
      </w:tr>
      <w:tr>
        <w:trPr>
          <w:trHeight w:val="471" w:hRule="exact"/>
        </w:trPr>
        <w:tc>
          <w:tcPr>
            <w:tcW w:w="4518" w:type="dxa"/>
          </w:tcPr>
          <w:p>
            <w:pPr>
              <w:pStyle w:val="TableParagraph"/>
              <w:spacing w:before="1"/>
              <w:ind w:left="103" w:right="130"/>
              <w:jc w:val="left"/>
              <w:rPr>
                <w:b/>
                <w:sz w:val="20"/>
              </w:rPr>
            </w:pPr>
            <w:r>
              <w:rPr>
                <w:b/>
                <w:sz w:val="20"/>
              </w:rPr>
              <w:t>Fabricación de partes de sistemas de frenos para vehículos automotrices</w:t>
            </w:r>
          </w:p>
        </w:tc>
        <w:tc>
          <w:tcPr>
            <w:tcW w:w="614" w:type="dxa"/>
          </w:tcPr>
          <w:p>
            <w:pPr>
              <w:pStyle w:val="TableParagraph"/>
              <w:spacing w:before="109"/>
              <w:ind w:left="106" w:right="106"/>
              <w:rPr>
                <w:sz w:val="20"/>
              </w:rPr>
            </w:pPr>
            <w:r>
              <w:rPr>
                <w:sz w:val="20"/>
              </w:rPr>
              <w:t>77.4</w:t>
            </w:r>
          </w:p>
        </w:tc>
        <w:tc>
          <w:tcPr>
            <w:tcW w:w="617" w:type="dxa"/>
          </w:tcPr>
          <w:p>
            <w:pPr>
              <w:pStyle w:val="TableParagraph"/>
              <w:spacing w:before="109"/>
              <w:ind w:right="127"/>
              <w:jc w:val="right"/>
              <w:rPr>
                <w:sz w:val="20"/>
              </w:rPr>
            </w:pPr>
            <w:r>
              <w:rPr>
                <w:sz w:val="20"/>
              </w:rPr>
              <w:t>50.9</w:t>
            </w:r>
          </w:p>
        </w:tc>
        <w:tc>
          <w:tcPr>
            <w:tcW w:w="617" w:type="dxa"/>
          </w:tcPr>
          <w:p>
            <w:pPr>
              <w:pStyle w:val="TableParagraph"/>
              <w:spacing w:before="109"/>
              <w:ind w:left="108" w:right="108"/>
              <w:rPr>
                <w:sz w:val="20"/>
              </w:rPr>
            </w:pPr>
            <w:r>
              <w:rPr>
                <w:sz w:val="20"/>
              </w:rPr>
              <w:t>84.6</w:t>
            </w:r>
          </w:p>
        </w:tc>
        <w:tc>
          <w:tcPr>
            <w:tcW w:w="614" w:type="dxa"/>
          </w:tcPr>
          <w:p>
            <w:pPr>
              <w:pStyle w:val="TableParagraph"/>
              <w:spacing w:before="109"/>
              <w:ind w:left="124"/>
              <w:jc w:val="left"/>
              <w:rPr>
                <w:sz w:val="20"/>
              </w:rPr>
            </w:pPr>
            <w:r>
              <w:rPr>
                <w:sz w:val="20"/>
              </w:rPr>
              <w:t>72.5</w:t>
            </w:r>
          </w:p>
        </w:tc>
        <w:tc>
          <w:tcPr>
            <w:tcW w:w="617" w:type="dxa"/>
          </w:tcPr>
          <w:p>
            <w:pPr>
              <w:pStyle w:val="TableParagraph"/>
              <w:spacing w:before="109"/>
              <w:ind w:left="108" w:right="109"/>
              <w:rPr>
                <w:sz w:val="20"/>
              </w:rPr>
            </w:pPr>
            <w:r>
              <w:rPr>
                <w:sz w:val="20"/>
              </w:rPr>
              <w:t>55.3</w:t>
            </w:r>
          </w:p>
        </w:tc>
        <w:tc>
          <w:tcPr>
            <w:tcW w:w="617" w:type="dxa"/>
          </w:tcPr>
          <w:p>
            <w:pPr>
              <w:pStyle w:val="TableParagraph"/>
              <w:spacing w:before="109"/>
              <w:ind w:left="108" w:right="109"/>
              <w:rPr>
                <w:sz w:val="20"/>
              </w:rPr>
            </w:pPr>
            <w:r>
              <w:rPr>
                <w:sz w:val="20"/>
              </w:rPr>
              <w:t>56.4</w:t>
            </w:r>
          </w:p>
        </w:tc>
        <w:tc>
          <w:tcPr>
            <w:tcW w:w="615" w:type="dxa"/>
          </w:tcPr>
          <w:p>
            <w:pPr>
              <w:pStyle w:val="TableParagraph"/>
              <w:spacing w:before="109"/>
              <w:ind w:right="125"/>
              <w:jc w:val="right"/>
              <w:rPr>
                <w:sz w:val="20"/>
              </w:rPr>
            </w:pPr>
            <w:r>
              <w:rPr>
                <w:sz w:val="20"/>
              </w:rPr>
              <w:t>43.3</w:t>
            </w:r>
          </w:p>
        </w:tc>
      </w:tr>
      <w:tr>
        <w:trPr>
          <w:trHeight w:val="470" w:hRule="exact"/>
        </w:trPr>
        <w:tc>
          <w:tcPr>
            <w:tcW w:w="4518" w:type="dxa"/>
          </w:tcPr>
          <w:p>
            <w:pPr>
              <w:pStyle w:val="TableParagraph"/>
              <w:ind w:left="103"/>
              <w:jc w:val="left"/>
              <w:rPr>
                <w:b/>
                <w:sz w:val="20"/>
              </w:rPr>
            </w:pPr>
            <w:r>
              <w:rPr>
                <w:b/>
                <w:sz w:val="20"/>
              </w:rPr>
              <w:t>Fabricación de equipo eléctrico y electrónico para vehículos automotores</w:t>
            </w:r>
          </w:p>
        </w:tc>
        <w:tc>
          <w:tcPr>
            <w:tcW w:w="614" w:type="dxa"/>
          </w:tcPr>
          <w:p>
            <w:pPr>
              <w:pStyle w:val="TableParagraph"/>
              <w:spacing w:before="108"/>
              <w:ind w:left="106" w:right="106"/>
              <w:rPr>
                <w:sz w:val="20"/>
              </w:rPr>
            </w:pPr>
            <w:r>
              <w:rPr>
                <w:sz w:val="20"/>
              </w:rPr>
              <w:t>63.4</w:t>
            </w:r>
          </w:p>
        </w:tc>
        <w:tc>
          <w:tcPr>
            <w:tcW w:w="617" w:type="dxa"/>
          </w:tcPr>
          <w:p>
            <w:pPr>
              <w:pStyle w:val="TableParagraph"/>
              <w:spacing w:before="108"/>
              <w:ind w:right="127"/>
              <w:jc w:val="right"/>
              <w:rPr>
                <w:sz w:val="20"/>
              </w:rPr>
            </w:pPr>
            <w:r>
              <w:rPr>
                <w:sz w:val="20"/>
              </w:rPr>
              <w:t>31.2</w:t>
            </w:r>
          </w:p>
        </w:tc>
        <w:tc>
          <w:tcPr>
            <w:tcW w:w="617" w:type="dxa"/>
          </w:tcPr>
          <w:p>
            <w:pPr>
              <w:pStyle w:val="TableParagraph"/>
              <w:spacing w:before="108"/>
              <w:ind w:left="108" w:right="108"/>
              <w:rPr>
                <w:sz w:val="20"/>
              </w:rPr>
            </w:pPr>
            <w:r>
              <w:rPr>
                <w:sz w:val="20"/>
              </w:rPr>
              <w:t>19.0</w:t>
            </w:r>
          </w:p>
        </w:tc>
        <w:tc>
          <w:tcPr>
            <w:tcW w:w="614" w:type="dxa"/>
          </w:tcPr>
          <w:p>
            <w:pPr>
              <w:pStyle w:val="TableParagraph"/>
              <w:spacing w:before="108"/>
              <w:ind w:left="124"/>
              <w:jc w:val="left"/>
              <w:rPr>
                <w:sz w:val="20"/>
              </w:rPr>
            </w:pPr>
            <w:r>
              <w:rPr>
                <w:sz w:val="20"/>
              </w:rPr>
              <w:t>12.3</w:t>
            </w:r>
          </w:p>
        </w:tc>
        <w:tc>
          <w:tcPr>
            <w:tcW w:w="617" w:type="dxa"/>
          </w:tcPr>
          <w:p>
            <w:pPr>
              <w:pStyle w:val="TableParagraph"/>
              <w:spacing w:before="108"/>
              <w:ind w:left="108" w:right="109"/>
              <w:rPr>
                <w:sz w:val="20"/>
              </w:rPr>
            </w:pPr>
            <w:r>
              <w:rPr>
                <w:sz w:val="20"/>
              </w:rPr>
              <w:t>17.0</w:t>
            </w:r>
          </w:p>
        </w:tc>
        <w:tc>
          <w:tcPr>
            <w:tcW w:w="617" w:type="dxa"/>
          </w:tcPr>
          <w:p>
            <w:pPr>
              <w:pStyle w:val="TableParagraph"/>
              <w:spacing w:before="108"/>
              <w:ind w:left="108" w:right="109"/>
              <w:rPr>
                <w:sz w:val="20"/>
              </w:rPr>
            </w:pPr>
            <w:r>
              <w:rPr>
                <w:sz w:val="20"/>
              </w:rPr>
              <w:t>10.7</w:t>
            </w:r>
          </w:p>
        </w:tc>
        <w:tc>
          <w:tcPr>
            <w:tcW w:w="615" w:type="dxa"/>
          </w:tcPr>
          <w:p>
            <w:pPr>
              <w:pStyle w:val="TableParagraph"/>
              <w:spacing w:before="108"/>
              <w:ind w:right="125"/>
              <w:jc w:val="right"/>
              <w:rPr>
                <w:sz w:val="20"/>
              </w:rPr>
            </w:pPr>
            <w:r>
              <w:rPr>
                <w:sz w:val="20"/>
              </w:rPr>
              <w:t>12.4</w:t>
            </w:r>
          </w:p>
        </w:tc>
      </w:tr>
      <w:tr>
        <w:trPr>
          <w:trHeight w:val="470" w:hRule="exact"/>
        </w:trPr>
        <w:tc>
          <w:tcPr>
            <w:tcW w:w="4518" w:type="dxa"/>
          </w:tcPr>
          <w:p>
            <w:pPr>
              <w:pStyle w:val="TableParagraph"/>
              <w:ind w:left="103" w:right="130"/>
              <w:jc w:val="left"/>
              <w:rPr>
                <w:b/>
                <w:sz w:val="20"/>
              </w:rPr>
            </w:pPr>
            <w:r>
              <w:rPr>
                <w:b/>
                <w:sz w:val="20"/>
              </w:rPr>
              <w:t>Fabricación de otras partes para vehículos automotrices</w:t>
            </w:r>
          </w:p>
        </w:tc>
        <w:tc>
          <w:tcPr>
            <w:tcW w:w="614" w:type="dxa"/>
          </w:tcPr>
          <w:p>
            <w:pPr>
              <w:pStyle w:val="TableParagraph"/>
              <w:spacing w:before="108"/>
              <w:ind w:left="106" w:right="106"/>
              <w:rPr>
                <w:sz w:val="20"/>
              </w:rPr>
            </w:pPr>
            <w:r>
              <w:rPr>
                <w:sz w:val="20"/>
              </w:rPr>
              <w:t>58.5</w:t>
            </w:r>
          </w:p>
        </w:tc>
        <w:tc>
          <w:tcPr>
            <w:tcW w:w="617" w:type="dxa"/>
          </w:tcPr>
          <w:p>
            <w:pPr>
              <w:pStyle w:val="TableParagraph"/>
              <w:spacing w:before="108"/>
              <w:ind w:right="127"/>
              <w:jc w:val="right"/>
              <w:rPr>
                <w:sz w:val="20"/>
              </w:rPr>
            </w:pPr>
            <w:r>
              <w:rPr>
                <w:sz w:val="20"/>
              </w:rPr>
              <w:t>75.2</w:t>
            </w:r>
          </w:p>
        </w:tc>
        <w:tc>
          <w:tcPr>
            <w:tcW w:w="617" w:type="dxa"/>
          </w:tcPr>
          <w:p>
            <w:pPr>
              <w:pStyle w:val="TableParagraph"/>
              <w:spacing w:before="108"/>
              <w:ind w:left="108" w:right="108"/>
              <w:rPr>
                <w:sz w:val="20"/>
              </w:rPr>
            </w:pPr>
            <w:r>
              <w:rPr>
                <w:sz w:val="20"/>
              </w:rPr>
              <w:t>34.0</w:t>
            </w:r>
          </w:p>
        </w:tc>
        <w:tc>
          <w:tcPr>
            <w:tcW w:w="614" w:type="dxa"/>
          </w:tcPr>
          <w:p>
            <w:pPr>
              <w:pStyle w:val="TableParagraph"/>
              <w:spacing w:before="108"/>
              <w:ind w:left="124"/>
              <w:jc w:val="left"/>
              <w:rPr>
                <w:sz w:val="20"/>
              </w:rPr>
            </w:pPr>
            <w:r>
              <w:rPr>
                <w:sz w:val="20"/>
              </w:rPr>
              <w:t>39.2</w:t>
            </w:r>
          </w:p>
        </w:tc>
        <w:tc>
          <w:tcPr>
            <w:tcW w:w="617" w:type="dxa"/>
          </w:tcPr>
          <w:p>
            <w:pPr>
              <w:pStyle w:val="TableParagraph"/>
              <w:spacing w:before="108"/>
              <w:ind w:left="108" w:right="109"/>
              <w:rPr>
                <w:sz w:val="20"/>
              </w:rPr>
            </w:pPr>
            <w:r>
              <w:rPr>
                <w:sz w:val="20"/>
              </w:rPr>
              <w:t>28.2</w:t>
            </w:r>
          </w:p>
        </w:tc>
        <w:tc>
          <w:tcPr>
            <w:tcW w:w="617" w:type="dxa"/>
          </w:tcPr>
          <w:p>
            <w:pPr>
              <w:pStyle w:val="TableParagraph"/>
              <w:spacing w:before="108"/>
              <w:ind w:left="108" w:right="109"/>
              <w:rPr>
                <w:sz w:val="20"/>
              </w:rPr>
            </w:pPr>
            <w:r>
              <w:rPr>
                <w:sz w:val="20"/>
              </w:rPr>
              <w:t>16.3</w:t>
            </w:r>
          </w:p>
        </w:tc>
        <w:tc>
          <w:tcPr>
            <w:tcW w:w="615" w:type="dxa"/>
          </w:tcPr>
          <w:p>
            <w:pPr>
              <w:pStyle w:val="TableParagraph"/>
              <w:spacing w:before="108"/>
              <w:ind w:right="125"/>
              <w:jc w:val="right"/>
              <w:rPr>
                <w:sz w:val="20"/>
              </w:rPr>
            </w:pPr>
            <w:r>
              <w:rPr>
                <w:sz w:val="20"/>
              </w:rPr>
              <w:t>14.7</w:t>
            </w:r>
          </w:p>
        </w:tc>
      </w:tr>
    </w:tbl>
    <w:p>
      <w:pPr>
        <w:spacing w:line="202" w:lineRule="exact" w:before="0"/>
        <w:ind w:left="102" w:right="0" w:firstLine="0"/>
        <w:jc w:val="both"/>
        <w:rPr>
          <w:sz w:val="18"/>
        </w:rPr>
      </w:pPr>
      <w:r>
        <w:rPr>
          <w:sz w:val="18"/>
        </w:rPr>
        <w:t>Fuente: Elaboración propia con datos del INEGI (varios años).</w:t>
      </w:r>
    </w:p>
    <w:p>
      <w:pPr>
        <w:pStyle w:val="BodyText"/>
        <w:rPr>
          <w:sz w:val="18"/>
        </w:rPr>
      </w:pPr>
    </w:p>
    <w:p>
      <w:pPr>
        <w:pStyle w:val="BodyText"/>
        <w:spacing w:line="360" w:lineRule="auto" w:before="135"/>
        <w:ind w:left="102" w:right="117"/>
        <w:jc w:val="both"/>
      </w:pPr>
      <w:r>
        <w:rPr/>
        <w:t>De</w:t>
      </w:r>
      <w:r>
        <w:rPr>
          <w:spacing w:val="-8"/>
        </w:rPr>
        <w:t> </w:t>
      </w:r>
      <w:r>
        <w:rPr/>
        <w:t>igual</w:t>
      </w:r>
      <w:r>
        <w:rPr>
          <w:spacing w:val="-4"/>
        </w:rPr>
        <w:t> </w:t>
      </w:r>
      <w:r>
        <w:rPr/>
        <w:t>forma,</w:t>
      </w:r>
      <w:r>
        <w:rPr>
          <w:spacing w:val="-7"/>
        </w:rPr>
        <w:t> </w:t>
      </w:r>
      <w:r>
        <w:rPr/>
        <w:t>por</w:t>
      </w:r>
      <w:r>
        <w:rPr>
          <w:spacing w:val="-5"/>
        </w:rPr>
        <w:t> </w:t>
      </w:r>
      <w:r>
        <w:rPr/>
        <w:t>el</w:t>
      </w:r>
      <w:r>
        <w:rPr>
          <w:spacing w:val="-6"/>
        </w:rPr>
        <w:t> </w:t>
      </w:r>
      <w:r>
        <w:rPr/>
        <w:t>lado</w:t>
      </w:r>
      <w:r>
        <w:rPr>
          <w:spacing w:val="-6"/>
        </w:rPr>
        <w:t> </w:t>
      </w:r>
      <w:r>
        <w:rPr/>
        <w:t>del</w:t>
      </w:r>
      <w:r>
        <w:rPr>
          <w:spacing w:val="-6"/>
        </w:rPr>
        <w:t> </w:t>
      </w:r>
      <w:r>
        <w:rPr/>
        <w:t>personal</w:t>
      </w:r>
      <w:r>
        <w:rPr>
          <w:spacing w:val="-6"/>
        </w:rPr>
        <w:t> </w:t>
      </w:r>
      <w:r>
        <w:rPr/>
        <w:t>ocupado,</w:t>
      </w:r>
      <w:r>
        <w:rPr>
          <w:spacing w:val="-4"/>
        </w:rPr>
        <w:t> </w:t>
      </w:r>
      <w:r>
        <w:rPr/>
        <w:t>se</w:t>
      </w:r>
      <w:r>
        <w:rPr>
          <w:spacing w:val="-7"/>
        </w:rPr>
        <w:t> </w:t>
      </w:r>
      <w:r>
        <w:rPr/>
        <w:t>observa</w:t>
      </w:r>
      <w:r>
        <w:rPr>
          <w:spacing w:val="-7"/>
        </w:rPr>
        <w:t> </w:t>
      </w:r>
      <w:r>
        <w:rPr/>
        <w:t>que</w:t>
      </w:r>
      <w:r>
        <w:rPr>
          <w:spacing w:val="-5"/>
        </w:rPr>
        <w:t> </w:t>
      </w:r>
      <w:r>
        <w:rPr/>
        <w:t>la</w:t>
      </w:r>
      <w:r>
        <w:rPr>
          <w:spacing w:val="-7"/>
        </w:rPr>
        <w:t> </w:t>
      </w:r>
      <w:r>
        <w:rPr/>
        <w:t>participación</w:t>
      </w:r>
      <w:r>
        <w:rPr>
          <w:spacing w:val="-6"/>
        </w:rPr>
        <w:t> </w:t>
      </w:r>
      <w:r>
        <w:rPr/>
        <w:t>del</w:t>
      </w:r>
      <w:r>
        <w:rPr>
          <w:spacing w:val="-3"/>
        </w:rPr>
        <w:t> </w:t>
      </w:r>
      <w:r>
        <w:rPr/>
        <w:t>empleo de</w:t>
      </w:r>
      <w:r>
        <w:rPr>
          <w:spacing w:val="-14"/>
        </w:rPr>
        <w:t> </w:t>
      </w:r>
      <w:r>
        <w:rPr/>
        <w:t>la</w:t>
      </w:r>
      <w:r>
        <w:rPr>
          <w:spacing w:val="-14"/>
        </w:rPr>
        <w:t> </w:t>
      </w:r>
      <w:r>
        <w:rPr/>
        <w:t>industria</w:t>
      </w:r>
      <w:r>
        <w:rPr>
          <w:spacing w:val="-12"/>
        </w:rPr>
        <w:t> </w:t>
      </w:r>
      <w:r>
        <w:rPr/>
        <w:t>automotriz</w:t>
      </w:r>
      <w:r>
        <w:rPr>
          <w:spacing w:val="-14"/>
        </w:rPr>
        <w:t> </w:t>
      </w:r>
      <w:r>
        <w:rPr/>
        <w:t>de</w:t>
      </w:r>
      <w:r>
        <w:rPr>
          <w:spacing w:val="-14"/>
        </w:rPr>
        <w:t> </w:t>
      </w:r>
      <w:r>
        <w:rPr/>
        <w:t>la</w:t>
      </w:r>
      <w:r>
        <w:rPr>
          <w:spacing w:val="-12"/>
        </w:rPr>
        <w:t> </w:t>
      </w:r>
      <w:r>
        <w:rPr/>
        <w:t>región</w:t>
      </w:r>
      <w:r>
        <w:rPr>
          <w:spacing w:val="-13"/>
        </w:rPr>
        <w:t> </w:t>
      </w:r>
      <w:r>
        <w:rPr/>
        <w:t>en</w:t>
      </w:r>
      <w:r>
        <w:rPr>
          <w:spacing w:val="-11"/>
        </w:rPr>
        <w:t> </w:t>
      </w:r>
      <w:r>
        <w:rPr/>
        <w:t>el</w:t>
      </w:r>
      <w:r>
        <w:rPr>
          <w:spacing w:val="-13"/>
        </w:rPr>
        <w:t> </w:t>
      </w:r>
      <w:r>
        <w:rPr/>
        <w:t>empleo</w:t>
      </w:r>
      <w:r>
        <w:rPr>
          <w:spacing w:val="-11"/>
        </w:rPr>
        <w:t> </w:t>
      </w:r>
      <w:r>
        <w:rPr/>
        <w:t>automotriz</w:t>
      </w:r>
      <w:r>
        <w:rPr>
          <w:spacing w:val="-12"/>
        </w:rPr>
        <w:t> </w:t>
      </w:r>
      <w:r>
        <w:rPr/>
        <w:t>nacional</w:t>
      </w:r>
      <w:r>
        <w:rPr>
          <w:spacing w:val="-14"/>
        </w:rPr>
        <w:t> </w:t>
      </w:r>
      <w:r>
        <w:rPr/>
        <w:t>ha</w:t>
      </w:r>
      <w:r>
        <w:rPr>
          <w:spacing w:val="-14"/>
        </w:rPr>
        <w:t> </w:t>
      </w:r>
      <w:r>
        <w:rPr/>
        <w:t>ido</w:t>
      </w:r>
      <w:r>
        <w:rPr>
          <w:spacing w:val="-13"/>
        </w:rPr>
        <w:t> </w:t>
      </w:r>
      <w:r>
        <w:rPr/>
        <w:t>en</w:t>
      </w:r>
      <w:r>
        <w:rPr>
          <w:spacing w:val="-13"/>
        </w:rPr>
        <w:t> </w:t>
      </w:r>
      <w:r>
        <w:rPr/>
        <w:t>detrimento, no obstante, la región muestra aún participaciones importantes dentro de las ramas automotrices a nivel nacional, </w:t>
      </w:r>
      <w:r>
        <w:rPr>
          <w:spacing w:val="-3"/>
        </w:rPr>
        <w:t>ya </w:t>
      </w:r>
      <w:r>
        <w:rPr/>
        <w:t>que para el año 2009, en cuanto a la fabricación de automóviles</w:t>
      </w:r>
      <w:r>
        <w:rPr>
          <w:spacing w:val="-1"/>
        </w:rPr>
        <w:t> </w:t>
      </w:r>
      <w:r>
        <w:rPr/>
        <w:t>y</w:t>
      </w:r>
      <w:r>
        <w:rPr>
          <w:spacing w:val="-8"/>
        </w:rPr>
        <w:t> </w:t>
      </w:r>
      <w:r>
        <w:rPr/>
        <w:t>camiones</w:t>
      </w:r>
      <w:r>
        <w:rPr>
          <w:spacing w:val="-1"/>
        </w:rPr>
        <w:t> </w:t>
      </w:r>
      <w:r>
        <w:rPr/>
        <w:t>generaba</w:t>
      </w:r>
      <w:r>
        <w:rPr>
          <w:spacing w:val="-5"/>
        </w:rPr>
        <w:t> </w:t>
      </w:r>
      <w:r>
        <w:rPr/>
        <w:t>más</w:t>
      </w:r>
      <w:r>
        <w:rPr>
          <w:spacing w:val="-4"/>
        </w:rPr>
        <w:t> </w:t>
      </w:r>
      <w:r>
        <w:rPr/>
        <w:t>de</w:t>
      </w:r>
      <w:r>
        <w:rPr>
          <w:spacing w:val="-5"/>
        </w:rPr>
        <w:t> </w:t>
      </w:r>
      <w:r>
        <w:rPr/>
        <w:t>la</w:t>
      </w:r>
      <w:r>
        <w:rPr>
          <w:spacing w:val="-4"/>
        </w:rPr>
        <w:t> </w:t>
      </w:r>
      <w:r>
        <w:rPr/>
        <w:t>mitad</w:t>
      </w:r>
      <w:r>
        <w:rPr>
          <w:spacing w:val="-2"/>
        </w:rPr>
        <w:t> </w:t>
      </w:r>
      <w:r>
        <w:rPr/>
        <w:t>de</w:t>
      </w:r>
      <w:r>
        <w:rPr>
          <w:spacing w:val="-5"/>
        </w:rPr>
        <w:t> </w:t>
      </w:r>
      <w:r>
        <w:rPr/>
        <w:t>los</w:t>
      </w:r>
      <w:r>
        <w:rPr>
          <w:spacing w:val="-3"/>
        </w:rPr>
        <w:t> </w:t>
      </w:r>
      <w:r>
        <w:rPr/>
        <w:t>empleos</w:t>
      </w:r>
      <w:r>
        <w:rPr>
          <w:spacing w:val="-4"/>
        </w:rPr>
        <w:t> </w:t>
      </w:r>
      <w:r>
        <w:rPr/>
        <w:t>a</w:t>
      </w:r>
      <w:r>
        <w:rPr>
          <w:spacing w:val="-5"/>
        </w:rPr>
        <w:t> </w:t>
      </w:r>
      <w:r>
        <w:rPr/>
        <w:t>nivel</w:t>
      </w:r>
      <w:r>
        <w:rPr>
          <w:spacing w:val="-4"/>
        </w:rPr>
        <w:t> </w:t>
      </w:r>
      <w:r>
        <w:rPr/>
        <w:t>nacional</w:t>
      </w:r>
      <w:r>
        <w:rPr>
          <w:spacing w:val="-4"/>
        </w:rPr>
        <w:t> </w:t>
      </w:r>
      <w:r>
        <w:rPr/>
        <w:t>en</w:t>
      </w:r>
      <w:r>
        <w:rPr>
          <w:spacing w:val="-1"/>
        </w:rPr>
        <w:t> </w:t>
      </w:r>
      <w:r>
        <w:rPr/>
        <w:t>cuanto a la fabricación de automóviles y camiones se refiere y generaba el 33.8% del empleo en la fabricación de motores de gasolina y sus partes para vehículos automotrices a nivel</w:t>
      </w:r>
      <w:r>
        <w:rPr>
          <w:spacing w:val="-33"/>
        </w:rPr>
        <w:t> </w:t>
      </w:r>
      <w:r>
        <w:rPr/>
        <w:t>nacional (véase cuadro</w:t>
      </w:r>
      <w:r>
        <w:rPr>
          <w:spacing w:val="-5"/>
        </w:rPr>
        <w:t> </w:t>
      </w:r>
      <w:r>
        <w:rPr/>
        <w:t>4.9).</w:t>
      </w:r>
    </w:p>
    <w:p>
      <w:pPr>
        <w:pStyle w:val="BodyText"/>
        <w:spacing w:before="7"/>
        <w:rPr>
          <w:sz w:val="21"/>
        </w:rPr>
      </w:pPr>
    </w:p>
    <w:p>
      <w:pPr>
        <w:pStyle w:val="Heading1"/>
        <w:spacing w:line="362" w:lineRule="auto" w:after="2"/>
        <w:ind w:left="1326" w:right="123" w:hanging="1203"/>
      </w:pPr>
      <w:r>
        <w:rPr/>
        <w:t>Cuadro 4.9. Participación porcentual de la Región Centro en las ramas de la industria automotriz en el total nacional, 1980-2008 (Personal Ocupado)</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18"/>
        <w:gridCol w:w="614"/>
        <w:gridCol w:w="617"/>
        <w:gridCol w:w="617"/>
        <w:gridCol w:w="614"/>
        <w:gridCol w:w="617"/>
        <w:gridCol w:w="617"/>
        <w:gridCol w:w="615"/>
      </w:tblGrid>
      <w:tr>
        <w:trPr>
          <w:trHeight w:val="446" w:hRule="exact"/>
        </w:trPr>
        <w:tc>
          <w:tcPr>
            <w:tcW w:w="4518" w:type="dxa"/>
            <w:tcBorders>
              <w:right w:val="nil"/>
            </w:tcBorders>
            <w:shd w:val="clear" w:color="auto" w:fill="A6A6A6"/>
          </w:tcPr>
          <w:p>
            <w:pPr/>
          </w:p>
        </w:tc>
        <w:tc>
          <w:tcPr>
            <w:tcW w:w="614" w:type="dxa"/>
            <w:tcBorders>
              <w:left w:val="nil"/>
              <w:right w:val="nil"/>
            </w:tcBorders>
            <w:shd w:val="clear" w:color="auto" w:fill="A6A6A6"/>
          </w:tcPr>
          <w:p>
            <w:pPr>
              <w:pStyle w:val="TableParagraph"/>
              <w:spacing w:before="101"/>
              <w:ind w:left="87" w:right="83"/>
              <w:rPr>
                <w:b/>
                <w:sz w:val="20"/>
              </w:rPr>
            </w:pPr>
            <w:r>
              <w:rPr>
                <w:b/>
                <w:sz w:val="20"/>
              </w:rPr>
              <w:t>1980</w:t>
            </w:r>
          </w:p>
        </w:tc>
        <w:tc>
          <w:tcPr>
            <w:tcW w:w="617" w:type="dxa"/>
            <w:tcBorders>
              <w:left w:val="nil"/>
              <w:right w:val="nil"/>
            </w:tcBorders>
            <w:shd w:val="clear" w:color="auto" w:fill="A6A6A6"/>
          </w:tcPr>
          <w:p>
            <w:pPr>
              <w:pStyle w:val="TableParagraph"/>
              <w:spacing w:before="101"/>
              <w:ind w:right="103"/>
              <w:jc w:val="right"/>
              <w:rPr>
                <w:b/>
                <w:sz w:val="20"/>
              </w:rPr>
            </w:pPr>
            <w:r>
              <w:rPr>
                <w:b/>
                <w:sz w:val="20"/>
              </w:rPr>
              <w:t>1985</w:t>
            </w:r>
          </w:p>
        </w:tc>
        <w:tc>
          <w:tcPr>
            <w:tcW w:w="617" w:type="dxa"/>
            <w:tcBorders>
              <w:left w:val="nil"/>
              <w:right w:val="nil"/>
            </w:tcBorders>
            <w:shd w:val="clear" w:color="auto" w:fill="A6A6A6"/>
          </w:tcPr>
          <w:p>
            <w:pPr>
              <w:pStyle w:val="TableParagraph"/>
              <w:spacing w:before="101"/>
              <w:ind w:left="89" w:right="88"/>
              <w:rPr>
                <w:b/>
                <w:sz w:val="20"/>
              </w:rPr>
            </w:pPr>
            <w:r>
              <w:rPr>
                <w:b/>
                <w:sz w:val="20"/>
              </w:rPr>
              <w:t>1988</w:t>
            </w:r>
          </w:p>
        </w:tc>
        <w:tc>
          <w:tcPr>
            <w:tcW w:w="614" w:type="dxa"/>
            <w:tcBorders>
              <w:left w:val="nil"/>
              <w:right w:val="nil"/>
            </w:tcBorders>
            <w:shd w:val="clear" w:color="auto" w:fill="A6A6A6"/>
          </w:tcPr>
          <w:p>
            <w:pPr>
              <w:pStyle w:val="TableParagraph"/>
              <w:spacing w:before="101"/>
              <w:ind w:right="103"/>
              <w:jc w:val="right"/>
              <w:rPr>
                <w:b/>
                <w:sz w:val="20"/>
              </w:rPr>
            </w:pPr>
            <w:r>
              <w:rPr>
                <w:b/>
                <w:sz w:val="20"/>
              </w:rPr>
              <w:t>1993</w:t>
            </w:r>
          </w:p>
        </w:tc>
        <w:tc>
          <w:tcPr>
            <w:tcW w:w="617" w:type="dxa"/>
            <w:tcBorders>
              <w:left w:val="nil"/>
              <w:right w:val="nil"/>
            </w:tcBorders>
            <w:shd w:val="clear" w:color="auto" w:fill="A6A6A6"/>
          </w:tcPr>
          <w:p>
            <w:pPr>
              <w:pStyle w:val="TableParagraph"/>
              <w:spacing w:before="101"/>
              <w:ind w:left="108"/>
              <w:jc w:val="left"/>
              <w:rPr>
                <w:b/>
                <w:sz w:val="20"/>
              </w:rPr>
            </w:pPr>
            <w:r>
              <w:rPr>
                <w:b/>
                <w:sz w:val="20"/>
              </w:rPr>
              <w:t>1998</w:t>
            </w:r>
          </w:p>
        </w:tc>
        <w:tc>
          <w:tcPr>
            <w:tcW w:w="617" w:type="dxa"/>
            <w:tcBorders>
              <w:left w:val="nil"/>
              <w:right w:val="nil"/>
            </w:tcBorders>
            <w:shd w:val="clear" w:color="auto" w:fill="A6A6A6"/>
          </w:tcPr>
          <w:p>
            <w:pPr>
              <w:pStyle w:val="TableParagraph"/>
              <w:spacing w:before="101"/>
              <w:ind w:left="89" w:right="87"/>
              <w:rPr>
                <w:b/>
                <w:sz w:val="20"/>
              </w:rPr>
            </w:pPr>
            <w:r>
              <w:rPr>
                <w:b/>
                <w:sz w:val="20"/>
              </w:rPr>
              <w:t>2003</w:t>
            </w:r>
          </w:p>
        </w:tc>
        <w:tc>
          <w:tcPr>
            <w:tcW w:w="615" w:type="dxa"/>
            <w:tcBorders>
              <w:left w:val="nil"/>
            </w:tcBorders>
            <w:shd w:val="clear" w:color="auto" w:fill="A6A6A6"/>
          </w:tcPr>
          <w:p>
            <w:pPr>
              <w:pStyle w:val="TableParagraph"/>
              <w:spacing w:before="101"/>
              <w:ind w:right="96"/>
              <w:jc w:val="right"/>
              <w:rPr>
                <w:b/>
                <w:sz w:val="20"/>
              </w:rPr>
            </w:pPr>
            <w:r>
              <w:rPr>
                <w:b/>
                <w:sz w:val="20"/>
              </w:rPr>
              <w:t>2009</w:t>
            </w:r>
          </w:p>
        </w:tc>
      </w:tr>
      <w:tr>
        <w:trPr>
          <w:trHeight w:val="240" w:hRule="exact"/>
        </w:trPr>
        <w:tc>
          <w:tcPr>
            <w:tcW w:w="4518" w:type="dxa"/>
            <w:tcBorders>
              <w:top w:val="single" w:sz="45" w:space="0" w:color="A6A6A6"/>
            </w:tcBorders>
          </w:tcPr>
          <w:p>
            <w:pPr>
              <w:pStyle w:val="TableParagraph"/>
              <w:spacing w:line="176" w:lineRule="exact"/>
              <w:ind w:left="103" w:right="130"/>
              <w:jc w:val="left"/>
              <w:rPr>
                <w:b/>
                <w:sz w:val="20"/>
              </w:rPr>
            </w:pPr>
            <w:r>
              <w:rPr>
                <w:b/>
                <w:sz w:val="20"/>
              </w:rPr>
              <w:t>Fabricación de automóviles y camiones</w:t>
            </w:r>
          </w:p>
        </w:tc>
        <w:tc>
          <w:tcPr>
            <w:tcW w:w="614" w:type="dxa"/>
            <w:tcBorders>
              <w:top w:val="single" w:sz="45" w:space="0" w:color="A6A6A6"/>
            </w:tcBorders>
          </w:tcPr>
          <w:p>
            <w:pPr>
              <w:pStyle w:val="TableParagraph"/>
              <w:spacing w:line="172" w:lineRule="exact"/>
              <w:ind w:left="106" w:right="106"/>
              <w:rPr>
                <w:sz w:val="20"/>
              </w:rPr>
            </w:pPr>
            <w:r>
              <w:rPr>
                <w:sz w:val="20"/>
              </w:rPr>
              <w:t>65.8</w:t>
            </w:r>
          </w:p>
        </w:tc>
        <w:tc>
          <w:tcPr>
            <w:tcW w:w="617" w:type="dxa"/>
            <w:tcBorders>
              <w:top w:val="single" w:sz="45" w:space="0" w:color="A6A6A6"/>
            </w:tcBorders>
          </w:tcPr>
          <w:p>
            <w:pPr>
              <w:pStyle w:val="TableParagraph"/>
              <w:spacing w:line="172" w:lineRule="exact"/>
              <w:ind w:right="127"/>
              <w:jc w:val="right"/>
              <w:rPr>
                <w:sz w:val="20"/>
              </w:rPr>
            </w:pPr>
            <w:r>
              <w:rPr>
                <w:sz w:val="20"/>
              </w:rPr>
              <w:t>79.7</w:t>
            </w:r>
          </w:p>
        </w:tc>
        <w:tc>
          <w:tcPr>
            <w:tcW w:w="617" w:type="dxa"/>
            <w:tcBorders>
              <w:top w:val="single" w:sz="45" w:space="0" w:color="A6A6A6"/>
            </w:tcBorders>
          </w:tcPr>
          <w:p>
            <w:pPr>
              <w:pStyle w:val="TableParagraph"/>
              <w:spacing w:line="172" w:lineRule="exact"/>
              <w:ind w:left="108" w:right="108"/>
              <w:rPr>
                <w:sz w:val="20"/>
              </w:rPr>
            </w:pPr>
            <w:r>
              <w:rPr>
                <w:sz w:val="20"/>
              </w:rPr>
              <w:t>81.9</w:t>
            </w:r>
          </w:p>
        </w:tc>
        <w:tc>
          <w:tcPr>
            <w:tcW w:w="614" w:type="dxa"/>
            <w:tcBorders>
              <w:top w:val="single" w:sz="45" w:space="0" w:color="A6A6A6"/>
            </w:tcBorders>
          </w:tcPr>
          <w:p>
            <w:pPr>
              <w:pStyle w:val="TableParagraph"/>
              <w:spacing w:line="172" w:lineRule="exact"/>
              <w:ind w:right="127"/>
              <w:jc w:val="right"/>
              <w:rPr>
                <w:sz w:val="20"/>
              </w:rPr>
            </w:pPr>
            <w:r>
              <w:rPr>
                <w:sz w:val="20"/>
              </w:rPr>
              <w:t>71.5</w:t>
            </w:r>
          </w:p>
        </w:tc>
        <w:tc>
          <w:tcPr>
            <w:tcW w:w="617" w:type="dxa"/>
            <w:tcBorders>
              <w:top w:val="single" w:sz="45" w:space="0" w:color="A6A6A6"/>
            </w:tcBorders>
          </w:tcPr>
          <w:p>
            <w:pPr>
              <w:pStyle w:val="TableParagraph"/>
              <w:spacing w:line="172" w:lineRule="exact"/>
              <w:ind w:left="127"/>
              <w:jc w:val="left"/>
              <w:rPr>
                <w:sz w:val="20"/>
              </w:rPr>
            </w:pPr>
            <w:r>
              <w:rPr>
                <w:sz w:val="20"/>
              </w:rPr>
              <w:t>64.6</w:t>
            </w:r>
          </w:p>
        </w:tc>
        <w:tc>
          <w:tcPr>
            <w:tcW w:w="617" w:type="dxa"/>
            <w:tcBorders>
              <w:top w:val="single" w:sz="45" w:space="0" w:color="A6A6A6"/>
            </w:tcBorders>
          </w:tcPr>
          <w:p>
            <w:pPr>
              <w:pStyle w:val="TableParagraph"/>
              <w:spacing w:line="172" w:lineRule="exact"/>
              <w:ind w:left="108" w:right="109"/>
              <w:rPr>
                <w:sz w:val="20"/>
              </w:rPr>
            </w:pPr>
            <w:r>
              <w:rPr>
                <w:sz w:val="20"/>
              </w:rPr>
              <w:t>52.3</w:t>
            </w:r>
          </w:p>
        </w:tc>
        <w:tc>
          <w:tcPr>
            <w:tcW w:w="615" w:type="dxa"/>
            <w:tcBorders>
              <w:top w:val="single" w:sz="45" w:space="0" w:color="A6A6A6"/>
            </w:tcBorders>
          </w:tcPr>
          <w:p>
            <w:pPr>
              <w:pStyle w:val="TableParagraph"/>
              <w:spacing w:line="172" w:lineRule="exact"/>
              <w:ind w:right="125"/>
              <w:jc w:val="right"/>
              <w:rPr>
                <w:sz w:val="20"/>
              </w:rPr>
            </w:pPr>
            <w:r>
              <w:rPr>
                <w:sz w:val="20"/>
              </w:rPr>
              <w:t>55.5</w:t>
            </w:r>
          </w:p>
        </w:tc>
      </w:tr>
      <w:tr>
        <w:trPr>
          <w:trHeight w:val="240" w:hRule="exact"/>
        </w:trPr>
        <w:tc>
          <w:tcPr>
            <w:tcW w:w="4518" w:type="dxa"/>
          </w:tcPr>
          <w:p>
            <w:pPr>
              <w:pStyle w:val="TableParagraph"/>
              <w:spacing w:line="228" w:lineRule="exact"/>
              <w:ind w:left="103" w:right="130"/>
              <w:jc w:val="left"/>
              <w:rPr>
                <w:b/>
                <w:sz w:val="20"/>
              </w:rPr>
            </w:pPr>
            <w:r>
              <w:rPr>
                <w:b/>
                <w:sz w:val="20"/>
              </w:rPr>
              <w:t>Fabricación de carrocerías y remolques</w:t>
            </w:r>
          </w:p>
        </w:tc>
        <w:tc>
          <w:tcPr>
            <w:tcW w:w="614" w:type="dxa"/>
          </w:tcPr>
          <w:p>
            <w:pPr>
              <w:pStyle w:val="TableParagraph"/>
              <w:spacing w:line="223" w:lineRule="exact"/>
              <w:ind w:left="106" w:right="106"/>
              <w:rPr>
                <w:sz w:val="20"/>
              </w:rPr>
            </w:pPr>
            <w:r>
              <w:rPr>
                <w:sz w:val="20"/>
              </w:rPr>
              <w:t>51.3</w:t>
            </w:r>
          </w:p>
        </w:tc>
        <w:tc>
          <w:tcPr>
            <w:tcW w:w="617" w:type="dxa"/>
          </w:tcPr>
          <w:p>
            <w:pPr>
              <w:pStyle w:val="TableParagraph"/>
              <w:spacing w:line="223" w:lineRule="exact"/>
              <w:ind w:right="127"/>
              <w:jc w:val="right"/>
              <w:rPr>
                <w:sz w:val="20"/>
              </w:rPr>
            </w:pPr>
            <w:r>
              <w:rPr>
                <w:sz w:val="20"/>
              </w:rPr>
              <w:t>48.6</w:t>
            </w:r>
          </w:p>
        </w:tc>
        <w:tc>
          <w:tcPr>
            <w:tcW w:w="617" w:type="dxa"/>
          </w:tcPr>
          <w:p>
            <w:pPr>
              <w:pStyle w:val="TableParagraph"/>
              <w:spacing w:line="223" w:lineRule="exact"/>
              <w:ind w:left="108" w:right="108"/>
              <w:rPr>
                <w:sz w:val="20"/>
              </w:rPr>
            </w:pPr>
            <w:r>
              <w:rPr>
                <w:sz w:val="20"/>
              </w:rPr>
              <w:t>52.2</w:t>
            </w:r>
          </w:p>
        </w:tc>
        <w:tc>
          <w:tcPr>
            <w:tcW w:w="614" w:type="dxa"/>
          </w:tcPr>
          <w:p>
            <w:pPr>
              <w:pStyle w:val="TableParagraph"/>
              <w:spacing w:line="223" w:lineRule="exact"/>
              <w:ind w:right="127"/>
              <w:jc w:val="right"/>
              <w:rPr>
                <w:sz w:val="20"/>
              </w:rPr>
            </w:pPr>
            <w:r>
              <w:rPr>
                <w:sz w:val="20"/>
              </w:rPr>
              <w:t>49.9</w:t>
            </w:r>
          </w:p>
        </w:tc>
        <w:tc>
          <w:tcPr>
            <w:tcW w:w="617" w:type="dxa"/>
          </w:tcPr>
          <w:p>
            <w:pPr>
              <w:pStyle w:val="TableParagraph"/>
              <w:spacing w:line="223" w:lineRule="exact"/>
              <w:ind w:left="127"/>
              <w:jc w:val="left"/>
              <w:rPr>
                <w:sz w:val="20"/>
              </w:rPr>
            </w:pPr>
            <w:r>
              <w:rPr>
                <w:sz w:val="20"/>
              </w:rPr>
              <w:t>46.0</w:t>
            </w:r>
          </w:p>
        </w:tc>
        <w:tc>
          <w:tcPr>
            <w:tcW w:w="617" w:type="dxa"/>
          </w:tcPr>
          <w:p>
            <w:pPr>
              <w:pStyle w:val="TableParagraph"/>
              <w:spacing w:line="223" w:lineRule="exact"/>
              <w:ind w:left="108" w:right="109"/>
              <w:rPr>
                <w:sz w:val="20"/>
              </w:rPr>
            </w:pPr>
            <w:r>
              <w:rPr>
                <w:sz w:val="20"/>
              </w:rPr>
              <w:t>37.2</w:t>
            </w:r>
          </w:p>
        </w:tc>
        <w:tc>
          <w:tcPr>
            <w:tcW w:w="615" w:type="dxa"/>
          </w:tcPr>
          <w:p>
            <w:pPr>
              <w:pStyle w:val="TableParagraph"/>
              <w:spacing w:line="223" w:lineRule="exact"/>
              <w:ind w:right="125"/>
              <w:jc w:val="right"/>
              <w:rPr>
                <w:sz w:val="20"/>
              </w:rPr>
            </w:pPr>
            <w:r>
              <w:rPr>
                <w:sz w:val="20"/>
              </w:rPr>
              <w:t>32.1</w:t>
            </w:r>
          </w:p>
        </w:tc>
      </w:tr>
      <w:tr>
        <w:trPr>
          <w:trHeight w:val="470" w:hRule="exact"/>
        </w:trPr>
        <w:tc>
          <w:tcPr>
            <w:tcW w:w="4518" w:type="dxa"/>
          </w:tcPr>
          <w:p>
            <w:pPr>
              <w:pStyle w:val="TableParagraph"/>
              <w:ind w:left="103" w:right="130"/>
              <w:jc w:val="left"/>
              <w:rPr>
                <w:b/>
                <w:sz w:val="20"/>
              </w:rPr>
            </w:pPr>
            <w:r>
              <w:rPr>
                <w:b/>
                <w:sz w:val="20"/>
              </w:rPr>
              <w:t>Fabricación de motores de gasolina y sus partes para vehículos automotrices</w:t>
            </w:r>
          </w:p>
        </w:tc>
        <w:tc>
          <w:tcPr>
            <w:tcW w:w="614" w:type="dxa"/>
          </w:tcPr>
          <w:p>
            <w:pPr>
              <w:pStyle w:val="TableParagraph"/>
              <w:spacing w:before="108"/>
              <w:ind w:left="106" w:right="106"/>
              <w:rPr>
                <w:sz w:val="20"/>
              </w:rPr>
            </w:pPr>
            <w:r>
              <w:rPr>
                <w:sz w:val="20"/>
              </w:rPr>
              <w:t>93.2</w:t>
            </w:r>
          </w:p>
        </w:tc>
        <w:tc>
          <w:tcPr>
            <w:tcW w:w="617" w:type="dxa"/>
          </w:tcPr>
          <w:p>
            <w:pPr>
              <w:pStyle w:val="TableParagraph"/>
              <w:spacing w:before="108"/>
              <w:ind w:right="127"/>
              <w:jc w:val="right"/>
              <w:rPr>
                <w:sz w:val="20"/>
              </w:rPr>
            </w:pPr>
            <w:r>
              <w:rPr>
                <w:sz w:val="20"/>
              </w:rPr>
              <w:t>37.7</w:t>
            </w:r>
          </w:p>
        </w:tc>
        <w:tc>
          <w:tcPr>
            <w:tcW w:w="617" w:type="dxa"/>
          </w:tcPr>
          <w:p>
            <w:pPr>
              <w:pStyle w:val="TableParagraph"/>
              <w:spacing w:before="108"/>
              <w:ind w:left="108" w:right="108"/>
              <w:rPr>
                <w:sz w:val="20"/>
              </w:rPr>
            </w:pPr>
            <w:r>
              <w:rPr>
                <w:sz w:val="20"/>
              </w:rPr>
              <w:t>31.5</w:t>
            </w:r>
          </w:p>
        </w:tc>
        <w:tc>
          <w:tcPr>
            <w:tcW w:w="614" w:type="dxa"/>
          </w:tcPr>
          <w:p>
            <w:pPr>
              <w:pStyle w:val="TableParagraph"/>
              <w:spacing w:before="108"/>
              <w:ind w:right="127"/>
              <w:jc w:val="right"/>
              <w:rPr>
                <w:sz w:val="20"/>
              </w:rPr>
            </w:pPr>
            <w:r>
              <w:rPr>
                <w:sz w:val="20"/>
              </w:rPr>
              <w:t>40.9</w:t>
            </w:r>
          </w:p>
        </w:tc>
        <w:tc>
          <w:tcPr>
            <w:tcW w:w="617" w:type="dxa"/>
          </w:tcPr>
          <w:p>
            <w:pPr>
              <w:pStyle w:val="TableParagraph"/>
              <w:spacing w:before="108"/>
              <w:ind w:left="127"/>
              <w:jc w:val="left"/>
              <w:rPr>
                <w:sz w:val="20"/>
              </w:rPr>
            </w:pPr>
            <w:r>
              <w:rPr>
                <w:sz w:val="20"/>
              </w:rPr>
              <w:t>34.8</w:t>
            </w:r>
          </w:p>
        </w:tc>
        <w:tc>
          <w:tcPr>
            <w:tcW w:w="617" w:type="dxa"/>
          </w:tcPr>
          <w:p>
            <w:pPr>
              <w:pStyle w:val="TableParagraph"/>
              <w:spacing w:before="108"/>
              <w:ind w:left="108" w:right="109"/>
              <w:rPr>
                <w:sz w:val="20"/>
              </w:rPr>
            </w:pPr>
            <w:r>
              <w:rPr>
                <w:sz w:val="20"/>
              </w:rPr>
              <w:t>38.2</w:t>
            </w:r>
          </w:p>
        </w:tc>
        <w:tc>
          <w:tcPr>
            <w:tcW w:w="615" w:type="dxa"/>
          </w:tcPr>
          <w:p>
            <w:pPr>
              <w:pStyle w:val="TableParagraph"/>
              <w:spacing w:before="108"/>
              <w:ind w:right="125"/>
              <w:jc w:val="right"/>
              <w:rPr>
                <w:sz w:val="20"/>
              </w:rPr>
            </w:pPr>
            <w:r>
              <w:rPr>
                <w:sz w:val="20"/>
              </w:rPr>
              <w:t>33.8</w:t>
            </w:r>
          </w:p>
        </w:tc>
      </w:tr>
      <w:tr>
        <w:trPr>
          <w:trHeight w:val="276" w:hRule="exact"/>
        </w:trPr>
        <w:tc>
          <w:tcPr>
            <w:tcW w:w="4518" w:type="dxa"/>
          </w:tcPr>
          <w:p>
            <w:pPr>
              <w:pStyle w:val="TableParagraph"/>
              <w:spacing w:before="15"/>
              <w:ind w:left="103" w:right="130"/>
              <w:jc w:val="left"/>
              <w:rPr>
                <w:b/>
                <w:sz w:val="20"/>
              </w:rPr>
            </w:pPr>
            <w:r>
              <w:rPr>
                <w:b/>
                <w:sz w:val="20"/>
              </w:rPr>
              <w:t>Fabricación de partes de sistemas de transmisión</w:t>
            </w:r>
          </w:p>
        </w:tc>
        <w:tc>
          <w:tcPr>
            <w:tcW w:w="614" w:type="dxa"/>
          </w:tcPr>
          <w:p>
            <w:pPr>
              <w:pStyle w:val="TableParagraph"/>
              <w:spacing w:before="10"/>
              <w:ind w:left="106" w:right="106"/>
              <w:rPr>
                <w:sz w:val="20"/>
              </w:rPr>
            </w:pPr>
            <w:r>
              <w:rPr>
                <w:sz w:val="20"/>
              </w:rPr>
              <w:t>28.5</w:t>
            </w:r>
          </w:p>
        </w:tc>
        <w:tc>
          <w:tcPr>
            <w:tcW w:w="617" w:type="dxa"/>
          </w:tcPr>
          <w:p>
            <w:pPr>
              <w:pStyle w:val="TableParagraph"/>
              <w:spacing w:before="10"/>
              <w:ind w:right="127"/>
              <w:jc w:val="right"/>
              <w:rPr>
                <w:sz w:val="20"/>
              </w:rPr>
            </w:pPr>
            <w:r>
              <w:rPr>
                <w:sz w:val="20"/>
              </w:rPr>
              <w:t>18.7</w:t>
            </w:r>
          </w:p>
        </w:tc>
        <w:tc>
          <w:tcPr>
            <w:tcW w:w="617" w:type="dxa"/>
          </w:tcPr>
          <w:p>
            <w:pPr>
              <w:pStyle w:val="TableParagraph"/>
              <w:spacing w:before="10"/>
              <w:ind w:left="108" w:right="108"/>
              <w:rPr>
                <w:sz w:val="20"/>
              </w:rPr>
            </w:pPr>
            <w:r>
              <w:rPr>
                <w:sz w:val="20"/>
              </w:rPr>
              <w:t>33.6</w:t>
            </w:r>
          </w:p>
        </w:tc>
        <w:tc>
          <w:tcPr>
            <w:tcW w:w="614" w:type="dxa"/>
          </w:tcPr>
          <w:p>
            <w:pPr>
              <w:pStyle w:val="TableParagraph"/>
              <w:spacing w:before="10"/>
              <w:ind w:right="127"/>
              <w:jc w:val="right"/>
              <w:rPr>
                <w:sz w:val="20"/>
              </w:rPr>
            </w:pPr>
            <w:r>
              <w:rPr>
                <w:sz w:val="20"/>
              </w:rPr>
              <w:t>34.1</w:t>
            </w:r>
          </w:p>
        </w:tc>
        <w:tc>
          <w:tcPr>
            <w:tcW w:w="617" w:type="dxa"/>
          </w:tcPr>
          <w:p>
            <w:pPr>
              <w:pStyle w:val="TableParagraph"/>
              <w:spacing w:before="10"/>
              <w:ind w:left="127"/>
              <w:jc w:val="left"/>
              <w:rPr>
                <w:sz w:val="20"/>
              </w:rPr>
            </w:pPr>
            <w:r>
              <w:rPr>
                <w:sz w:val="20"/>
              </w:rPr>
              <w:t>25.8</w:t>
            </w:r>
          </w:p>
        </w:tc>
        <w:tc>
          <w:tcPr>
            <w:tcW w:w="617" w:type="dxa"/>
          </w:tcPr>
          <w:p>
            <w:pPr>
              <w:pStyle w:val="TableParagraph"/>
              <w:spacing w:before="10"/>
              <w:ind w:left="108" w:right="109"/>
              <w:rPr>
                <w:sz w:val="20"/>
              </w:rPr>
            </w:pPr>
            <w:r>
              <w:rPr>
                <w:sz w:val="20"/>
              </w:rPr>
              <w:t>22.8</w:t>
            </w:r>
          </w:p>
        </w:tc>
        <w:tc>
          <w:tcPr>
            <w:tcW w:w="615" w:type="dxa"/>
          </w:tcPr>
          <w:p>
            <w:pPr>
              <w:pStyle w:val="TableParagraph"/>
              <w:spacing w:before="10"/>
              <w:ind w:right="125"/>
              <w:jc w:val="right"/>
              <w:rPr>
                <w:sz w:val="20"/>
              </w:rPr>
            </w:pPr>
            <w:r>
              <w:rPr>
                <w:sz w:val="20"/>
              </w:rPr>
              <w:t>10.7</w:t>
            </w:r>
          </w:p>
        </w:tc>
      </w:tr>
      <w:tr>
        <w:trPr>
          <w:trHeight w:val="518" w:hRule="exact"/>
        </w:trPr>
        <w:tc>
          <w:tcPr>
            <w:tcW w:w="4518" w:type="dxa"/>
          </w:tcPr>
          <w:p>
            <w:pPr>
              <w:pStyle w:val="TableParagraph"/>
              <w:spacing w:before="22"/>
              <w:ind w:left="103" w:right="130"/>
              <w:jc w:val="left"/>
              <w:rPr>
                <w:b/>
                <w:sz w:val="20"/>
              </w:rPr>
            </w:pPr>
            <w:r>
              <w:rPr>
                <w:b/>
                <w:sz w:val="20"/>
              </w:rPr>
              <w:t>Fabricación de partes de sistemas de dirección y de suspensión para vehículos automotrices</w:t>
            </w:r>
          </w:p>
        </w:tc>
        <w:tc>
          <w:tcPr>
            <w:tcW w:w="614" w:type="dxa"/>
          </w:tcPr>
          <w:p>
            <w:pPr>
              <w:pStyle w:val="TableParagraph"/>
              <w:spacing w:before="132"/>
              <w:ind w:left="106" w:right="106"/>
              <w:rPr>
                <w:sz w:val="20"/>
              </w:rPr>
            </w:pPr>
            <w:r>
              <w:rPr>
                <w:sz w:val="20"/>
              </w:rPr>
              <w:t>39.1</w:t>
            </w:r>
          </w:p>
        </w:tc>
        <w:tc>
          <w:tcPr>
            <w:tcW w:w="617" w:type="dxa"/>
          </w:tcPr>
          <w:p>
            <w:pPr>
              <w:pStyle w:val="TableParagraph"/>
              <w:spacing w:before="132"/>
              <w:ind w:right="127"/>
              <w:jc w:val="right"/>
              <w:rPr>
                <w:sz w:val="20"/>
              </w:rPr>
            </w:pPr>
            <w:r>
              <w:rPr>
                <w:sz w:val="20"/>
              </w:rPr>
              <w:t>38.6</w:t>
            </w:r>
          </w:p>
        </w:tc>
        <w:tc>
          <w:tcPr>
            <w:tcW w:w="617" w:type="dxa"/>
          </w:tcPr>
          <w:p>
            <w:pPr>
              <w:pStyle w:val="TableParagraph"/>
              <w:spacing w:before="132"/>
              <w:ind w:left="108" w:right="108"/>
              <w:rPr>
                <w:sz w:val="20"/>
              </w:rPr>
            </w:pPr>
            <w:r>
              <w:rPr>
                <w:sz w:val="20"/>
              </w:rPr>
              <w:t>56.9</w:t>
            </w:r>
          </w:p>
        </w:tc>
        <w:tc>
          <w:tcPr>
            <w:tcW w:w="614" w:type="dxa"/>
          </w:tcPr>
          <w:p>
            <w:pPr>
              <w:pStyle w:val="TableParagraph"/>
              <w:spacing w:before="132"/>
              <w:ind w:right="127"/>
              <w:jc w:val="right"/>
              <w:rPr>
                <w:sz w:val="20"/>
              </w:rPr>
            </w:pPr>
            <w:r>
              <w:rPr>
                <w:sz w:val="20"/>
              </w:rPr>
              <w:t>46.8</w:t>
            </w:r>
          </w:p>
        </w:tc>
        <w:tc>
          <w:tcPr>
            <w:tcW w:w="617" w:type="dxa"/>
          </w:tcPr>
          <w:p>
            <w:pPr>
              <w:pStyle w:val="TableParagraph"/>
              <w:spacing w:before="132"/>
              <w:ind w:left="127"/>
              <w:jc w:val="left"/>
              <w:rPr>
                <w:sz w:val="20"/>
              </w:rPr>
            </w:pPr>
            <w:r>
              <w:rPr>
                <w:sz w:val="20"/>
              </w:rPr>
              <w:t>32.4</w:t>
            </w:r>
          </w:p>
        </w:tc>
        <w:tc>
          <w:tcPr>
            <w:tcW w:w="617" w:type="dxa"/>
          </w:tcPr>
          <w:p>
            <w:pPr>
              <w:pStyle w:val="TableParagraph"/>
              <w:spacing w:before="132"/>
              <w:ind w:left="108" w:right="109"/>
              <w:rPr>
                <w:sz w:val="20"/>
              </w:rPr>
            </w:pPr>
            <w:r>
              <w:rPr>
                <w:sz w:val="20"/>
              </w:rPr>
              <w:t>26.5</w:t>
            </w:r>
          </w:p>
        </w:tc>
        <w:tc>
          <w:tcPr>
            <w:tcW w:w="615" w:type="dxa"/>
          </w:tcPr>
          <w:p>
            <w:pPr>
              <w:pStyle w:val="TableParagraph"/>
              <w:spacing w:before="132"/>
              <w:ind w:right="125"/>
              <w:jc w:val="right"/>
              <w:rPr>
                <w:sz w:val="20"/>
              </w:rPr>
            </w:pPr>
            <w:r>
              <w:rPr>
                <w:sz w:val="20"/>
              </w:rPr>
              <w:t>24.3</w:t>
            </w:r>
          </w:p>
        </w:tc>
      </w:tr>
      <w:tr>
        <w:trPr>
          <w:trHeight w:val="468" w:hRule="exact"/>
        </w:trPr>
        <w:tc>
          <w:tcPr>
            <w:tcW w:w="4518" w:type="dxa"/>
          </w:tcPr>
          <w:p>
            <w:pPr>
              <w:pStyle w:val="TableParagraph"/>
              <w:ind w:left="103" w:right="130"/>
              <w:jc w:val="left"/>
              <w:rPr>
                <w:b/>
                <w:sz w:val="20"/>
              </w:rPr>
            </w:pPr>
            <w:r>
              <w:rPr>
                <w:b/>
                <w:sz w:val="20"/>
              </w:rPr>
              <w:t>Fabricación de partes de sistemas de frenos para vehículos automotrices</w:t>
            </w:r>
          </w:p>
        </w:tc>
        <w:tc>
          <w:tcPr>
            <w:tcW w:w="614" w:type="dxa"/>
          </w:tcPr>
          <w:p>
            <w:pPr>
              <w:pStyle w:val="TableParagraph"/>
              <w:spacing w:before="108"/>
              <w:ind w:left="106" w:right="106"/>
              <w:rPr>
                <w:sz w:val="20"/>
              </w:rPr>
            </w:pPr>
            <w:r>
              <w:rPr>
                <w:sz w:val="20"/>
              </w:rPr>
              <w:t>76.3</w:t>
            </w:r>
          </w:p>
        </w:tc>
        <w:tc>
          <w:tcPr>
            <w:tcW w:w="617" w:type="dxa"/>
          </w:tcPr>
          <w:p>
            <w:pPr>
              <w:pStyle w:val="TableParagraph"/>
              <w:spacing w:before="108"/>
              <w:ind w:right="127"/>
              <w:jc w:val="right"/>
              <w:rPr>
                <w:sz w:val="20"/>
              </w:rPr>
            </w:pPr>
            <w:r>
              <w:rPr>
                <w:sz w:val="20"/>
              </w:rPr>
              <w:t>62.3</w:t>
            </w:r>
          </w:p>
        </w:tc>
        <w:tc>
          <w:tcPr>
            <w:tcW w:w="617" w:type="dxa"/>
          </w:tcPr>
          <w:p>
            <w:pPr>
              <w:pStyle w:val="TableParagraph"/>
              <w:spacing w:before="108"/>
              <w:ind w:left="108" w:right="108"/>
              <w:rPr>
                <w:sz w:val="20"/>
              </w:rPr>
            </w:pPr>
            <w:r>
              <w:rPr>
                <w:sz w:val="20"/>
              </w:rPr>
              <w:t>73.1</w:t>
            </w:r>
          </w:p>
        </w:tc>
        <w:tc>
          <w:tcPr>
            <w:tcW w:w="614" w:type="dxa"/>
          </w:tcPr>
          <w:p>
            <w:pPr>
              <w:pStyle w:val="TableParagraph"/>
              <w:spacing w:before="108"/>
              <w:ind w:right="127"/>
              <w:jc w:val="right"/>
              <w:rPr>
                <w:sz w:val="20"/>
              </w:rPr>
            </w:pPr>
            <w:r>
              <w:rPr>
                <w:sz w:val="20"/>
              </w:rPr>
              <w:t>59.8</w:t>
            </w:r>
          </w:p>
        </w:tc>
        <w:tc>
          <w:tcPr>
            <w:tcW w:w="617" w:type="dxa"/>
          </w:tcPr>
          <w:p>
            <w:pPr>
              <w:pStyle w:val="TableParagraph"/>
              <w:spacing w:before="108"/>
              <w:ind w:left="127"/>
              <w:jc w:val="left"/>
              <w:rPr>
                <w:sz w:val="20"/>
              </w:rPr>
            </w:pPr>
            <w:r>
              <w:rPr>
                <w:sz w:val="20"/>
              </w:rPr>
              <w:t>55.0</w:t>
            </w:r>
          </w:p>
        </w:tc>
        <w:tc>
          <w:tcPr>
            <w:tcW w:w="617" w:type="dxa"/>
          </w:tcPr>
          <w:p>
            <w:pPr>
              <w:pStyle w:val="TableParagraph"/>
              <w:spacing w:before="108"/>
              <w:ind w:left="108" w:right="109"/>
              <w:rPr>
                <w:sz w:val="20"/>
              </w:rPr>
            </w:pPr>
            <w:r>
              <w:rPr>
                <w:sz w:val="20"/>
              </w:rPr>
              <w:t>57.8</w:t>
            </w:r>
          </w:p>
        </w:tc>
        <w:tc>
          <w:tcPr>
            <w:tcW w:w="615" w:type="dxa"/>
          </w:tcPr>
          <w:p>
            <w:pPr>
              <w:pStyle w:val="TableParagraph"/>
              <w:spacing w:before="108"/>
              <w:ind w:right="125"/>
              <w:jc w:val="right"/>
              <w:rPr>
                <w:sz w:val="20"/>
              </w:rPr>
            </w:pPr>
            <w:r>
              <w:rPr>
                <w:sz w:val="20"/>
              </w:rPr>
              <w:t>33.5</w:t>
            </w:r>
          </w:p>
        </w:tc>
      </w:tr>
      <w:tr>
        <w:trPr>
          <w:trHeight w:val="470" w:hRule="exact"/>
        </w:trPr>
        <w:tc>
          <w:tcPr>
            <w:tcW w:w="4518" w:type="dxa"/>
          </w:tcPr>
          <w:p>
            <w:pPr>
              <w:pStyle w:val="TableParagraph"/>
              <w:ind w:left="103"/>
              <w:jc w:val="left"/>
              <w:rPr>
                <w:b/>
                <w:sz w:val="20"/>
              </w:rPr>
            </w:pPr>
            <w:r>
              <w:rPr>
                <w:b/>
                <w:sz w:val="20"/>
              </w:rPr>
              <w:t>Fabricación de equipo eléctrico y electrónico para vehículos automotores</w:t>
            </w:r>
          </w:p>
        </w:tc>
        <w:tc>
          <w:tcPr>
            <w:tcW w:w="614" w:type="dxa"/>
          </w:tcPr>
          <w:p>
            <w:pPr>
              <w:pStyle w:val="TableParagraph"/>
              <w:spacing w:before="111"/>
              <w:ind w:left="106" w:right="106"/>
              <w:rPr>
                <w:sz w:val="20"/>
              </w:rPr>
            </w:pPr>
            <w:r>
              <w:rPr>
                <w:sz w:val="20"/>
              </w:rPr>
              <w:t>42.3</w:t>
            </w:r>
          </w:p>
        </w:tc>
        <w:tc>
          <w:tcPr>
            <w:tcW w:w="617" w:type="dxa"/>
          </w:tcPr>
          <w:p>
            <w:pPr>
              <w:pStyle w:val="TableParagraph"/>
              <w:spacing w:before="111"/>
              <w:ind w:right="127"/>
              <w:jc w:val="right"/>
              <w:rPr>
                <w:sz w:val="20"/>
              </w:rPr>
            </w:pPr>
            <w:r>
              <w:rPr>
                <w:sz w:val="20"/>
              </w:rPr>
              <w:t>13.5</w:t>
            </w:r>
          </w:p>
        </w:tc>
        <w:tc>
          <w:tcPr>
            <w:tcW w:w="617" w:type="dxa"/>
          </w:tcPr>
          <w:p>
            <w:pPr>
              <w:pStyle w:val="TableParagraph"/>
              <w:spacing w:before="111"/>
              <w:ind w:left="108" w:right="108"/>
              <w:rPr>
                <w:sz w:val="20"/>
              </w:rPr>
            </w:pPr>
            <w:r>
              <w:rPr>
                <w:sz w:val="20"/>
              </w:rPr>
              <w:t>10.2</w:t>
            </w:r>
          </w:p>
        </w:tc>
        <w:tc>
          <w:tcPr>
            <w:tcW w:w="614" w:type="dxa"/>
          </w:tcPr>
          <w:p>
            <w:pPr>
              <w:pStyle w:val="TableParagraph"/>
              <w:spacing w:before="111"/>
              <w:ind w:left="175"/>
              <w:jc w:val="left"/>
              <w:rPr>
                <w:sz w:val="20"/>
              </w:rPr>
            </w:pPr>
            <w:r>
              <w:rPr>
                <w:sz w:val="20"/>
              </w:rPr>
              <w:t>5.5</w:t>
            </w:r>
          </w:p>
        </w:tc>
        <w:tc>
          <w:tcPr>
            <w:tcW w:w="617" w:type="dxa"/>
          </w:tcPr>
          <w:p>
            <w:pPr>
              <w:pStyle w:val="TableParagraph"/>
              <w:spacing w:before="111"/>
              <w:ind w:left="177"/>
              <w:jc w:val="left"/>
              <w:rPr>
                <w:sz w:val="20"/>
              </w:rPr>
            </w:pPr>
            <w:r>
              <w:rPr>
                <w:sz w:val="20"/>
              </w:rPr>
              <w:t>4.5</w:t>
            </w:r>
          </w:p>
        </w:tc>
        <w:tc>
          <w:tcPr>
            <w:tcW w:w="617" w:type="dxa"/>
          </w:tcPr>
          <w:p>
            <w:pPr>
              <w:pStyle w:val="TableParagraph"/>
              <w:spacing w:before="111"/>
              <w:ind w:left="108" w:right="109"/>
              <w:rPr>
                <w:sz w:val="20"/>
              </w:rPr>
            </w:pPr>
            <w:r>
              <w:rPr>
                <w:sz w:val="20"/>
              </w:rPr>
              <w:t>3.1</w:t>
            </w:r>
          </w:p>
        </w:tc>
        <w:tc>
          <w:tcPr>
            <w:tcW w:w="615" w:type="dxa"/>
          </w:tcPr>
          <w:p>
            <w:pPr>
              <w:pStyle w:val="TableParagraph"/>
              <w:spacing w:before="111"/>
              <w:ind w:left="177"/>
              <w:jc w:val="left"/>
              <w:rPr>
                <w:sz w:val="20"/>
              </w:rPr>
            </w:pPr>
            <w:r>
              <w:rPr>
                <w:sz w:val="20"/>
              </w:rPr>
              <w:t>5.2</w:t>
            </w:r>
          </w:p>
        </w:tc>
      </w:tr>
      <w:tr>
        <w:trPr>
          <w:trHeight w:val="470" w:hRule="exact"/>
        </w:trPr>
        <w:tc>
          <w:tcPr>
            <w:tcW w:w="4518" w:type="dxa"/>
          </w:tcPr>
          <w:p>
            <w:pPr>
              <w:pStyle w:val="TableParagraph"/>
              <w:ind w:left="103" w:right="130"/>
              <w:jc w:val="left"/>
              <w:rPr>
                <w:b/>
                <w:sz w:val="20"/>
              </w:rPr>
            </w:pPr>
            <w:r>
              <w:rPr>
                <w:b/>
                <w:sz w:val="20"/>
              </w:rPr>
              <w:t>Fabricación de otras partes para vehículos automotrices</w:t>
            </w:r>
          </w:p>
        </w:tc>
        <w:tc>
          <w:tcPr>
            <w:tcW w:w="614" w:type="dxa"/>
          </w:tcPr>
          <w:p>
            <w:pPr>
              <w:pStyle w:val="TableParagraph"/>
              <w:spacing w:before="108"/>
              <w:ind w:left="106" w:right="106"/>
              <w:rPr>
                <w:sz w:val="20"/>
              </w:rPr>
            </w:pPr>
            <w:r>
              <w:rPr>
                <w:sz w:val="20"/>
              </w:rPr>
              <w:t>63.9</w:t>
            </w:r>
          </w:p>
        </w:tc>
        <w:tc>
          <w:tcPr>
            <w:tcW w:w="617" w:type="dxa"/>
          </w:tcPr>
          <w:p>
            <w:pPr>
              <w:pStyle w:val="TableParagraph"/>
              <w:spacing w:before="108"/>
              <w:ind w:right="127"/>
              <w:jc w:val="right"/>
              <w:rPr>
                <w:sz w:val="20"/>
              </w:rPr>
            </w:pPr>
            <w:r>
              <w:rPr>
                <w:sz w:val="20"/>
              </w:rPr>
              <w:t>67.6</w:t>
            </w:r>
          </w:p>
        </w:tc>
        <w:tc>
          <w:tcPr>
            <w:tcW w:w="617" w:type="dxa"/>
          </w:tcPr>
          <w:p>
            <w:pPr>
              <w:pStyle w:val="TableParagraph"/>
              <w:spacing w:before="108"/>
              <w:ind w:left="108" w:right="108"/>
              <w:rPr>
                <w:sz w:val="20"/>
              </w:rPr>
            </w:pPr>
            <w:r>
              <w:rPr>
                <w:sz w:val="20"/>
              </w:rPr>
              <w:t>36.2</w:t>
            </w:r>
          </w:p>
        </w:tc>
        <w:tc>
          <w:tcPr>
            <w:tcW w:w="614" w:type="dxa"/>
          </w:tcPr>
          <w:p>
            <w:pPr>
              <w:pStyle w:val="TableParagraph"/>
              <w:spacing w:before="108"/>
              <w:ind w:right="127"/>
              <w:jc w:val="right"/>
              <w:rPr>
                <w:sz w:val="20"/>
              </w:rPr>
            </w:pPr>
            <w:r>
              <w:rPr>
                <w:sz w:val="20"/>
              </w:rPr>
              <w:t>36.8</w:t>
            </w:r>
          </w:p>
        </w:tc>
        <w:tc>
          <w:tcPr>
            <w:tcW w:w="617" w:type="dxa"/>
          </w:tcPr>
          <w:p>
            <w:pPr>
              <w:pStyle w:val="TableParagraph"/>
              <w:spacing w:before="108"/>
              <w:ind w:left="127"/>
              <w:jc w:val="left"/>
              <w:rPr>
                <w:sz w:val="20"/>
              </w:rPr>
            </w:pPr>
            <w:r>
              <w:rPr>
                <w:sz w:val="20"/>
              </w:rPr>
              <w:t>23.7</w:t>
            </w:r>
          </w:p>
        </w:tc>
        <w:tc>
          <w:tcPr>
            <w:tcW w:w="617" w:type="dxa"/>
          </w:tcPr>
          <w:p>
            <w:pPr>
              <w:pStyle w:val="TableParagraph"/>
              <w:spacing w:before="108"/>
              <w:ind w:left="108" w:right="109"/>
              <w:rPr>
                <w:sz w:val="20"/>
              </w:rPr>
            </w:pPr>
            <w:r>
              <w:rPr>
                <w:sz w:val="20"/>
              </w:rPr>
              <w:t>17.6</w:t>
            </w:r>
          </w:p>
        </w:tc>
        <w:tc>
          <w:tcPr>
            <w:tcW w:w="615" w:type="dxa"/>
          </w:tcPr>
          <w:p>
            <w:pPr>
              <w:pStyle w:val="TableParagraph"/>
              <w:spacing w:before="108"/>
              <w:ind w:right="125"/>
              <w:jc w:val="right"/>
              <w:rPr>
                <w:sz w:val="20"/>
              </w:rPr>
            </w:pPr>
            <w:r>
              <w:rPr>
                <w:sz w:val="20"/>
              </w:rPr>
              <w:t>14.0</w:t>
            </w:r>
          </w:p>
        </w:tc>
      </w:tr>
    </w:tbl>
    <w:p>
      <w:pPr>
        <w:spacing w:line="202" w:lineRule="exact" w:before="0"/>
        <w:ind w:left="102" w:right="119" w:firstLine="0"/>
        <w:jc w:val="left"/>
        <w:rPr>
          <w:sz w:val="18"/>
        </w:rPr>
      </w:pPr>
      <w:r>
        <w:rPr>
          <w:sz w:val="18"/>
        </w:rPr>
        <w:t>Fuente: Elaboración propia con datos del INEGI (varios años).</w:t>
      </w:r>
    </w:p>
    <w:p>
      <w:pPr>
        <w:spacing w:after="0" w:line="202" w:lineRule="exact"/>
        <w:jc w:val="left"/>
        <w:rPr>
          <w:sz w:val="18"/>
        </w:rPr>
        <w:sectPr>
          <w:pgSz w:w="12240" w:h="15840"/>
          <w:pgMar w:header="0" w:footer="1035" w:top="1360" w:bottom="1220" w:left="1600" w:right="1580"/>
        </w:sectPr>
      </w:pPr>
    </w:p>
    <w:p>
      <w:pPr>
        <w:pStyle w:val="BodyText"/>
        <w:spacing w:line="360" w:lineRule="auto" w:before="50"/>
        <w:ind w:left="122" w:right="118"/>
        <w:jc w:val="both"/>
      </w:pPr>
      <w:r>
        <w:rPr/>
        <w:t>En cuanto a la especialización en las actividades que conforman al sector automotriz a nivel nacional, la región centro, de acuerdo con el personal ocupado, en 1980 se especializaba en actividades como la fabricación de automóviles y camiones, en la fabricación de motores de gasolina y sus partes, en la fabricación de sistemas de frenos y en la fabricación de otras partes de vehículos automotores (véase cuadro 4.10).</w:t>
      </w:r>
    </w:p>
    <w:p>
      <w:pPr>
        <w:pStyle w:val="BodyText"/>
        <w:spacing w:before="4"/>
        <w:rPr>
          <w:sz w:val="21"/>
        </w:rPr>
      </w:pPr>
    </w:p>
    <w:p>
      <w:pPr>
        <w:pStyle w:val="BodyText"/>
        <w:spacing w:line="360" w:lineRule="auto" w:before="1"/>
        <w:ind w:left="122" w:right="116"/>
        <w:jc w:val="both"/>
      </w:pPr>
      <w:r>
        <w:rPr/>
        <w:t>Para el año 2008, el personal ocupado, se siguió especializando en la industria terminal, e incluso aumentó su especialización, pues presentó un índice de 2.9. Se especializó además, en la fabricación de carrocerías y remolques y en la fabricación de sistemas de dirección y de suspensión para vehículos automotrices donde obtuvo índices de 1.7 y 1.3 respectivamente, no obstante también dejó de especializarse en actividades como la fabricación de otras partes para vehículos automotrices pues presentó un coeficiente de 0.7 (véase cuadro 4.10).</w:t>
      </w:r>
    </w:p>
    <w:p>
      <w:pPr>
        <w:pStyle w:val="BodyText"/>
        <w:spacing w:before="7"/>
        <w:rPr>
          <w:sz w:val="21"/>
        </w:rPr>
      </w:pPr>
    </w:p>
    <w:p>
      <w:pPr>
        <w:pStyle w:val="Heading1"/>
        <w:spacing w:line="357" w:lineRule="auto" w:after="3"/>
        <w:ind w:left="1060" w:right="97" w:hanging="867"/>
      </w:pPr>
      <w:r>
        <w:rPr/>
        <w:t>Cuadro 4.10. Cocientes de localización de las actividades de la industria automotriz a nivel nacional de la Región Centro, 1980-2008</w:t>
      </w:r>
      <w:r>
        <w:rPr>
          <w:position w:val="8"/>
          <w:sz w:val="16"/>
        </w:rPr>
        <w:t>14  </w:t>
      </w:r>
      <w:r>
        <w:rPr/>
        <w:t>(Personal Ocupado)</w:t>
      </w:r>
    </w:p>
    <w:tbl>
      <w:tblPr>
        <w:tblW w:w="0" w:type="auto"/>
        <w:jc w:val="left"/>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18"/>
        <w:gridCol w:w="614"/>
        <w:gridCol w:w="617"/>
        <w:gridCol w:w="617"/>
        <w:gridCol w:w="614"/>
        <w:gridCol w:w="617"/>
        <w:gridCol w:w="617"/>
        <w:gridCol w:w="615"/>
      </w:tblGrid>
      <w:tr>
        <w:trPr>
          <w:trHeight w:val="310" w:hRule="exact"/>
        </w:trPr>
        <w:tc>
          <w:tcPr>
            <w:tcW w:w="4518" w:type="dxa"/>
            <w:tcBorders>
              <w:right w:val="nil"/>
            </w:tcBorders>
            <w:shd w:val="clear" w:color="auto" w:fill="A6A6A6"/>
          </w:tcPr>
          <w:p>
            <w:pPr/>
          </w:p>
        </w:tc>
        <w:tc>
          <w:tcPr>
            <w:tcW w:w="614" w:type="dxa"/>
            <w:tcBorders>
              <w:left w:val="nil"/>
              <w:right w:val="nil"/>
            </w:tcBorders>
            <w:shd w:val="clear" w:color="auto" w:fill="A6A6A6"/>
          </w:tcPr>
          <w:p>
            <w:pPr>
              <w:pStyle w:val="TableParagraph"/>
              <w:spacing w:before="34"/>
              <w:ind w:left="87" w:right="83"/>
              <w:rPr>
                <w:b/>
                <w:sz w:val="20"/>
              </w:rPr>
            </w:pPr>
            <w:r>
              <w:rPr>
                <w:b/>
                <w:sz w:val="20"/>
              </w:rPr>
              <w:t>1980</w:t>
            </w:r>
          </w:p>
        </w:tc>
        <w:tc>
          <w:tcPr>
            <w:tcW w:w="617" w:type="dxa"/>
            <w:tcBorders>
              <w:left w:val="nil"/>
              <w:right w:val="nil"/>
            </w:tcBorders>
            <w:shd w:val="clear" w:color="auto" w:fill="A6A6A6"/>
          </w:tcPr>
          <w:p>
            <w:pPr>
              <w:pStyle w:val="TableParagraph"/>
              <w:spacing w:before="34"/>
              <w:ind w:left="89" w:right="87"/>
              <w:rPr>
                <w:b/>
                <w:sz w:val="20"/>
              </w:rPr>
            </w:pPr>
            <w:r>
              <w:rPr>
                <w:b/>
                <w:sz w:val="20"/>
              </w:rPr>
              <w:t>1985</w:t>
            </w:r>
          </w:p>
        </w:tc>
        <w:tc>
          <w:tcPr>
            <w:tcW w:w="617" w:type="dxa"/>
            <w:tcBorders>
              <w:left w:val="nil"/>
              <w:right w:val="nil"/>
            </w:tcBorders>
            <w:shd w:val="clear" w:color="auto" w:fill="A6A6A6"/>
          </w:tcPr>
          <w:p>
            <w:pPr>
              <w:pStyle w:val="TableParagraph"/>
              <w:spacing w:before="34"/>
              <w:ind w:left="107"/>
              <w:jc w:val="left"/>
              <w:rPr>
                <w:b/>
                <w:sz w:val="20"/>
              </w:rPr>
            </w:pPr>
            <w:r>
              <w:rPr>
                <w:b/>
                <w:sz w:val="20"/>
              </w:rPr>
              <w:t>1988</w:t>
            </w:r>
          </w:p>
        </w:tc>
        <w:tc>
          <w:tcPr>
            <w:tcW w:w="614" w:type="dxa"/>
            <w:tcBorders>
              <w:left w:val="nil"/>
              <w:right w:val="nil"/>
            </w:tcBorders>
            <w:shd w:val="clear" w:color="auto" w:fill="A6A6A6"/>
          </w:tcPr>
          <w:p>
            <w:pPr>
              <w:pStyle w:val="TableParagraph"/>
              <w:spacing w:before="34"/>
              <w:ind w:left="85" w:right="85"/>
              <w:rPr>
                <w:b/>
                <w:sz w:val="20"/>
              </w:rPr>
            </w:pPr>
            <w:r>
              <w:rPr>
                <w:b/>
                <w:sz w:val="20"/>
              </w:rPr>
              <w:t>1993</w:t>
            </w:r>
          </w:p>
        </w:tc>
        <w:tc>
          <w:tcPr>
            <w:tcW w:w="617" w:type="dxa"/>
            <w:tcBorders>
              <w:left w:val="nil"/>
              <w:right w:val="nil"/>
            </w:tcBorders>
            <w:shd w:val="clear" w:color="auto" w:fill="A6A6A6"/>
          </w:tcPr>
          <w:p>
            <w:pPr>
              <w:pStyle w:val="TableParagraph"/>
              <w:spacing w:before="34"/>
              <w:ind w:right="103"/>
              <w:jc w:val="right"/>
              <w:rPr>
                <w:b/>
                <w:sz w:val="20"/>
              </w:rPr>
            </w:pPr>
            <w:r>
              <w:rPr>
                <w:b/>
                <w:sz w:val="20"/>
              </w:rPr>
              <w:t>1998</w:t>
            </w:r>
          </w:p>
        </w:tc>
        <w:tc>
          <w:tcPr>
            <w:tcW w:w="617" w:type="dxa"/>
            <w:tcBorders>
              <w:left w:val="nil"/>
              <w:right w:val="nil"/>
            </w:tcBorders>
            <w:shd w:val="clear" w:color="auto" w:fill="A6A6A6"/>
          </w:tcPr>
          <w:p>
            <w:pPr>
              <w:pStyle w:val="TableParagraph"/>
              <w:spacing w:before="34"/>
              <w:ind w:left="89" w:right="87"/>
              <w:rPr>
                <w:b/>
                <w:sz w:val="20"/>
              </w:rPr>
            </w:pPr>
            <w:r>
              <w:rPr>
                <w:b/>
                <w:sz w:val="20"/>
              </w:rPr>
              <w:t>2003</w:t>
            </w:r>
          </w:p>
        </w:tc>
        <w:tc>
          <w:tcPr>
            <w:tcW w:w="615" w:type="dxa"/>
            <w:tcBorders>
              <w:left w:val="nil"/>
            </w:tcBorders>
            <w:shd w:val="clear" w:color="auto" w:fill="A6A6A6"/>
          </w:tcPr>
          <w:p>
            <w:pPr>
              <w:pStyle w:val="TableParagraph"/>
              <w:spacing w:before="34"/>
              <w:ind w:left="89" w:right="80"/>
              <w:rPr>
                <w:b/>
                <w:sz w:val="20"/>
              </w:rPr>
            </w:pPr>
            <w:r>
              <w:rPr>
                <w:b/>
                <w:sz w:val="20"/>
              </w:rPr>
              <w:t>2008</w:t>
            </w:r>
          </w:p>
        </w:tc>
      </w:tr>
      <w:tr>
        <w:trPr>
          <w:trHeight w:val="312" w:hRule="exact"/>
        </w:trPr>
        <w:tc>
          <w:tcPr>
            <w:tcW w:w="4518" w:type="dxa"/>
          </w:tcPr>
          <w:p>
            <w:pPr>
              <w:pStyle w:val="TableParagraph"/>
              <w:spacing w:before="34"/>
              <w:ind w:left="103" w:right="130"/>
              <w:jc w:val="left"/>
              <w:rPr>
                <w:b/>
                <w:sz w:val="20"/>
              </w:rPr>
            </w:pPr>
            <w:r>
              <w:rPr>
                <w:b/>
                <w:sz w:val="20"/>
              </w:rPr>
              <w:t>Fabricación de automóviles y camiones</w:t>
            </w:r>
          </w:p>
        </w:tc>
        <w:tc>
          <w:tcPr>
            <w:tcW w:w="614" w:type="dxa"/>
          </w:tcPr>
          <w:p>
            <w:pPr>
              <w:pStyle w:val="TableParagraph"/>
              <w:spacing w:before="29"/>
              <w:ind w:left="106" w:right="106"/>
              <w:rPr>
                <w:sz w:val="20"/>
              </w:rPr>
            </w:pPr>
            <w:r>
              <w:rPr>
                <w:sz w:val="20"/>
              </w:rPr>
              <w:t>1.0</w:t>
            </w:r>
          </w:p>
        </w:tc>
        <w:tc>
          <w:tcPr>
            <w:tcW w:w="617" w:type="dxa"/>
          </w:tcPr>
          <w:p>
            <w:pPr>
              <w:pStyle w:val="TableParagraph"/>
              <w:spacing w:before="29"/>
              <w:ind w:left="108" w:right="109"/>
              <w:rPr>
                <w:sz w:val="20"/>
              </w:rPr>
            </w:pPr>
            <w:r>
              <w:rPr>
                <w:sz w:val="20"/>
              </w:rPr>
              <w:t>1.6</w:t>
            </w:r>
          </w:p>
        </w:tc>
        <w:tc>
          <w:tcPr>
            <w:tcW w:w="617" w:type="dxa"/>
          </w:tcPr>
          <w:p>
            <w:pPr>
              <w:pStyle w:val="TableParagraph"/>
              <w:spacing w:before="29"/>
              <w:ind w:left="177"/>
              <w:jc w:val="left"/>
              <w:rPr>
                <w:sz w:val="20"/>
              </w:rPr>
            </w:pPr>
            <w:r>
              <w:rPr>
                <w:sz w:val="20"/>
              </w:rPr>
              <w:t>2.2</w:t>
            </w:r>
          </w:p>
        </w:tc>
        <w:tc>
          <w:tcPr>
            <w:tcW w:w="614" w:type="dxa"/>
          </w:tcPr>
          <w:p>
            <w:pPr>
              <w:pStyle w:val="TableParagraph"/>
              <w:spacing w:before="29"/>
              <w:ind w:left="105" w:right="107"/>
              <w:rPr>
                <w:sz w:val="20"/>
              </w:rPr>
            </w:pPr>
            <w:r>
              <w:rPr>
                <w:sz w:val="20"/>
              </w:rPr>
              <w:t>2.1</w:t>
            </w:r>
          </w:p>
        </w:tc>
        <w:tc>
          <w:tcPr>
            <w:tcW w:w="617" w:type="dxa"/>
          </w:tcPr>
          <w:p>
            <w:pPr>
              <w:pStyle w:val="TableParagraph"/>
              <w:spacing w:before="29"/>
              <w:ind w:right="177"/>
              <w:jc w:val="right"/>
              <w:rPr>
                <w:sz w:val="20"/>
              </w:rPr>
            </w:pPr>
            <w:r>
              <w:rPr>
                <w:sz w:val="20"/>
              </w:rPr>
              <w:t>3.1</w:t>
            </w:r>
          </w:p>
        </w:tc>
        <w:tc>
          <w:tcPr>
            <w:tcW w:w="617" w:type="dxa"/>
          </w:tcPr>
          <w:p>
            <w:pPr>
              <w:pStyle w:val="TableParagraph"/>
              <w:spacing w:before="29"/>
              <w:ind w:left="108" w:right="109"/>
              <w:rPr>
                <w:sz w:val="20"/>
              </w:rPr>
            </w:pPr>
            <w:r>
              <w:rPr>
                <w:sz w:val="20"/>
              </w:rPr>
              <w:t>3.4</w:t>
            </w:r>
          </w:p>
        </w:tc>
        <w:tc>
          <w:tcPr>
            <w:tcW w:w="615" w:type="dxa"/>
          </w:tcPr>
          <w:p>
            <w:pPr>
              <w:pStyle w:val="TableParagraph"/>
              <w:spacing w:before="29"/>
              <w:ind w:left="157" w:right="157"/>
              <w:rPr>
                <w:sz w:val="20"/>
              </w:rPr>
            </w:pPr>
            <w:r>
              <w:rPr>
                <w:sz w:val="20"/>
              </w:rPr>
              <w:t>2.9</w:t>
            </w:r>
          </w:p>
        </w:tc>
      </w:tr>
      <w:tr>
        <w:trPr>
          <w:trHeight w:val="408" w:hRule="exact"/>
        </w:trPr>
        <w:tc>
          <w:tcPr>
            <w:tcW w:w="4518" w:type="dxa"/>
          </w:tcPr>
          <w:p>
            <w:pPr>
              <w:pStyle w:val="TableParagraph"/>
              <w:spacing w:before="82"/>
              <w:ind w:left="103" w:right="130"/>
              <w:jc w:val="left"/>
              <w:rPr>
                <w:b/>
                <w:sz w:val="20"/>
              </w:rPr>
            </w:pPr>
            <w:r>
              <w:rPr>
                <w:b/>
                <w:sz w:val="20"/>
              </w:rPr>
              <w:t>Fabricación de carrocerías y remolques</w:t>
            </w:r>
          </w:p>
        </w:tc>
        <w:tc>
          <w:tcPr>
            <w:tcW w:w="614" w:type="dxa"/>
          </w:tcPr>
          <w:p>
            <w:pPr>
              <w:pStyle w:val="TableParagraph"/>
              <w:spacing w:before="77"/>
              <w:ind w:left="106" w:right="106"/>
              <w:rPr>
                <w:sz w:val="20"/>
              </w:rPr>
            </w:pPr>
            <w:r>
              <w:rPr>
                <w:sz w:val="20"/>
              </w:rPr>
              <w:t>0.8</w:t>
            </w:r>
          </w:p>
        </w:tc>
        <w:tc>
          <w:tcPr>
            <w:tcW w:w="617" w:type="dxa"/>
          </w:tcPr>
          <w:p>
            <w:pPr>
              <w:pStyle w:val="TableParagraph"/>
              <w:spacing w:before="77"/>
              <w:ind w:left="108" w:right="109"/>
              <w:rPr>
                <w:sz w:val="20"/>
              </w:rPr>
            </w:pPr>
            <w:r>
              <w:rPr>
                <w:sz w:val="20"/>
              </w:rPr>
              <w:t>1.0</w:t>
            </w:r>
          </w:p>
        </w:tc>
        <w:tc>
          <w:tcPr>
            <w:tcW w:w="617" w:type="dxa"/>
          </w:tcPr>
          <w:p>
            <w:pPr>
              <w:pStyle w:val="TableParagraph"/>
              <w:spacing w:before="77"/>
              <w:ind w:left="177"/>
              <w:jc w:val="left"/>
              <w:rPr>
                <w:sz w:val="20"/>
              </w:rPr>
            </w:pPr>
            <w:r>
              <w:rPr>
                <w:sz w:val="20"/>
              </w:rPr>
              <w:t>1.4</w:t>
            </w:r>
          </w:p>
        </w:tc>
        <w:tc>
          <w:tcPr>
            <w:tcW w:w="614" w:type="dxa"/>
          </w:tcPr>
          <w:p>
            <w:pPr>
              <w:pStyle w:val="TableParagraph"/>
              <w:spacing w:before="77"/>
              <w:ind w:left="105" w:right="107"/>
              <w:rPr>
                <w:sz w:val="20"/>
              </w:rPr>
            </w:pPr>
            <w:r>
              <w:rPr>
                <w:sz w:val="20"/>
              </w:rPr>
              <w:t>1.5</w:t>
            </w:r>
          </w:p>
        </w:tc>
        <w:tc>
          <w:tcPr>
            <w:tcW w:w="617" w:type="dxa"/>
          </w:tcPr>
          <w:p>
            <w:pPr>
              <w:pStyle w:val="TableParagraph"/>
              <w:spacing w:before="77"/>
              <w:ind w:right="177"/>
              <w:jc w:val="right"/>
              <w:rPr>
                <w:sz w:val="20"/>
              </w:rPr>
            </w:pPr>
            <w:r>
              <w:rPr>
                <w:sz w:val="20"/>
              </w:rPr>
              <w:t>2.2</w:t>
            </w:r>
          </w:p>
        </w:tc>
        <w:tc>
          <w:tcPr>
            <w:tcW w:w="617" w:type="dxa"/>
          </w:tcPr>
          <w:p>
            <w:pPr>
              <w:pStyle w:val="TableParagraph"/>
              <w:spacing w:before="77"/>
              <w:ind w:left="108" w:right="109"/>
              <w:rPr>
                <w:sz w:val="20"/>
              </w:rPr>
            </w:pPr>
            <w:r>
              <w:rPr>
                <w:sz w:val="20"/>
              </w:rPr>
              <w:t>2.4</w:t>
            </w:r>
          </w:p>
        </w:tc>
        <w:tc>
          <w:tcPr>
            <w:tcW w:w="615" w:type="dxa"/>
          </w:tcPr>
          <w:p>
            <w:pPr>
              <w:pStyle w:val="TableParagraph"/>
              <w:spacing w:before="77"/>
              <w:ind w:left="157" w:right="157"/>
              <w:rPr>
                <w:sz w:val="20"/>
              </w:rPr>
            </w:pPr>
            <w:r>
              <w:rPr>
                <w:sz w:val="20"/>
              </w:rPr>
              <w:t>1.7</w:t>
            </w:r>
          </w:p>
        </w:tc>
      </w:tr>
      <w:tr>
        <w:trPr>
          <w:trHeight w:val="470" w:hRule="exact"/>
        </w:trPr>
        <w:tc>
          <w:tcPr>
            <w:tcW w:w="4518" w:type="dxa"/>
          </w:tcPr>
          <w:p>
            <w:pPr>
              <w:pStyle w:val="TableParagraph"/>
              <w:ind w:left="103" w:right="130"/>
              <w:jc w:val="left"/>
              <w:rPr>
                <w:b/>
                <w:sz w:val="20"/>
              </w:rPr>
            </w:pPr>
            <w:r>
              <w:rPr>
                <w:b/>
                <w:sz w:val="20"/>
              </w:rPr>
              <w:t>Fabricación de motores de gasolina y sus partes para vehículos automotrices</w:t>
            </w:r>
          </w:p>
        </w:tc>
        <w:tc>
          <w:tcPr>
            <w:tcW w:w="614" w:type="dxa"/>
          </w:tcPr>
          <w:p>
            <w:pPr>
              <w:pStyle w:val="TableParagraph"/>
              <w:spacing w:before="108"/>
              <w:ind w:left="106" w:right="106"/>
              <w:rPr>
                <w:sz w:val="20"/>
              </w:rPr>
            </w:pPr>
            <w:r>
              <w:rPr>
                <w:sz w:val="20"/>
              </w:rPr>
              <w:t>1.5</w:t>
            </w:r>
          </w:p>
        </w:tc>
        <w:tc>
          <w:tcPr>
            <w:tcW w:w="617" w:type="dxa"/>
          </w:tcPr>
          <w:p>
            <w:pPr>
              <w:pStyle w:val="TableParagraph"/>
              <w:spacing w:before="108"/>
              <w:ind w:left="108" w:right="109"/>
              <w:rPr>
                <w:sz w:val="20"/>
              </w:rPr>
            </w:pPr>
            <w:r>
              <w:rPr>
                <w:sz w:val="20"/>
              </w:rPr>
              <w:t>0.7</w:t>
            </w:r>
          </w:p>
        </w:tc>
        <w:tc>
          <w:tcPr>
            <w:tcW w:w="617" w:type="dxa"/>
          </w:tcPr>
          <w:p>
            <w:pPr>
              <w:pStyle w:val="TableParagraph"/>
              <w:spacing w:before="108"/>
              <w:ind w:left="177"/>
              <w:jc w:val="left"/>
              <w:rPr>
                <w:sz w:val="20"/>
              </w:rPr>
            </w:pPr>
            <w:r>
              <w:rPr>
                <w:sz w:val="20"/>
              </w:rPr>
              <w:t>0.8</w:t>
            </w:r>
          </w:p>
        </w:tc>
        <w:tc>
          <w:tcPr>
            <w:tcW w:w="614" w:type="dxa"/>
          </w:tcPr>
          <w:p>
            <w:pPr>
              <w:pStyle w:val="TableParagraph"/>
              <w:spacing w:before="108"/>
              <w:ind w:left="105" w:right="107"/>
              <w:rPr>
                <w:sz w:val="20"/>
              </w:rPr>
            </w:pPr>
            <w:r>
              <w:rPr>
                <w:sz w:val="20"/>
              </w:rPr>
              <w:t>1.2</w:t>
            </w:r>
          </w:p>
        </w:tc>
        <w:tc>
          <w:tcPr>
            <w:tcW w:w="617" w:type="dxa"/>
          </w:tcPr>
          <w:p>
            <w:pPr>
              <w:pStyle w:val="TableParagraph"/>
              <w:spacing w:before="108"/>
              <w:ind w:right="177"/>
              <w:jc w:val="right"/>
              <w:rPr>
                <w:sz w:val="20"/>
              </w:rPr>
            </w:pPr>
            <w:r>
              <w:rPr>
                <w:sz w:val="20"/>
              </w:rPr>
              <w:t>1.7</w:t>
            </w:r>
          </w:p>
        </w:tc>
        <w:tc>
          <w:tcPr>
            <w:tcW w:w="617" w:type="dxa"/>
          </w:tcPr>
          <w:p>
            <w:pPr>
              <w:pStyle w:val="TableParagraph"/>
              <w:spacing w:before="108"/>
              <w:ind w:left="108" w:right="109"/>
              <w:rPr>
                <w:sz w:val="20"/>
              </w:rPr>
            </w:pPr>
            <w:r>
              <w:rPr>
                <w:sz w:val="20"/>
              </w:rPr>
              <w:t>2.5</w:t>
            </w:r>
          </w:p>
        </w:tc>
        <w:tc>
          <w:tcPr>
            <w:tcW w:w="615" w:type="dxa"/>
          </w:tcPr>
          <w:p>
            <w:pPr>
              <w:pStyle w:val="TableParagraph"/>
              <w:spacing w:before="108"/>
              <w:ind w:left="157" w:right="157"/>
              <w:rPr>
                <w:sz w:val="20"/>
              </w:rPr>
            </w:pPr>
            <w:r>
              <w:rPr>
                <w:sz w:val="20"/>
              </w:rPr>
              <w:t>1.8</w:t>
            </w:r>
          </w:p>
        </w:tc>
      </w:tr>
      <w:tr>
        <w:trPr>
          <w:trHeight w:val="274" w:hRule="exact"/>
        </w:trPr>
        <w:tc>
          <w:tcPr>
            <w:tcW w:w="4518" w:type="dxa"/>
          </w:tcPr>
          <w:p>
            <w:pPr>
              <w:pStyle w:val="TableParagraph"/>
              <w:spacing w:before="15"/>
              <w:ind w:left="103" w:right="130"/>
              <w:jc w:val="left"/>
              <w:rPr>
                <w:b/>
                <w:sz w:val="20"/>
              </w:rPr>
            </w:pPr>
            <w:r>
              <w:rPr>
                <w:b/>
                <w:sz w:val="20"/>
              </w:rPr>
              <w:t>Fabricación de partes de sistemas de transmisión</w:t>
            </w:r>
          </w:p>
        </w:tc>
        <w:tc>
          <w:tcPr>
            <w:tcW w:w="614" w:type="dxa"/>
          </w:tcPr>
          <w:p>
            <w:pPr>
              <w:pStyle w:val="TableParagraph"/>
              <w:spacing w:before="10"/>
              <w:ind w:left="106" w:right="106"/>
              <w:rPr>
                <w:sz w:val="20"/>
              </w:rPr>
            </w:pPr>
            <w:r>
              <w:rPr>
                <w:sz w:val="20"/>
              </w:rPr>
              <w:t>0.4</w:t>
            </w:r>
          </w:p>
        </w:tc>
        <w:tc>
          <w:tcPr>
            <w:tcW w:w="617" w:type="dxa"/>
          </w:tcPr>
          <w:p>
            <w:pPr>
              <w:pStyle w:val="TableParagraph"/>
              <w:spacing w:before="10"/>
              <w:ind w:left="108" w:right="109"/>
              <w:rPr>
                <w:sz w:val="20"/>
              </w:rPr>
            </w:pPr>
            <w:r>
              <w:rPr>
                <w:sz w:val="20"/>
              </w:rPr>
              <w:t>0.4</w:t>
            </w:r>
          </w:p>
        </w:tc>
        <w:tc>
          <w:tcPr>
            <w:tcW w:w="617" w:type="dxa"/>
          </w:tcPr>
          <w:p>
            <w:pPr>
              <w:pStyle w:val="TableParagraph"/>
              <w:spacing w:before="10"/>
              <w:ind w:left="177"/>
              <w:jc w:val="left"/>
              <w:rPr>
                <w:sz w:val="20"/>
              </w:rPr>
            </w:pPr>
            <w:r>
              <w:rPr>
                <w:sz w:val="20"/>
              </w:rPr>
              <w:t>0.9</w:t>
            </w:r>
          </w:p>
        </w:tc>
        <w:tc>
          <w:tcPr>
            <w:tcW w:w="614" w:type="dxa"/>
          </w:tcPr>
          <w:p>
            <w:pPr>
              <w:pStyle w:val="TableParagraph"/>
              <w:spacing w:before="10"/>
              <w:ind w:left="105" w:right="107"/>
              <w:rPr>
                <w:sz w:val="20"/>
              </w:rPr>
            </w:pPr>
            <w:r>
              <w:rPr>
                <w:sz w:val="20"/>
              </w:rPr>
              <w:t>1.0</w:t>
            </w:r>
          </w:p>
        </w:tc>
        <w:tc>
          <w:tcPr>
            <w:tcW w:w="617" w:type="dxa"/>
          </w:tcPr>
          <w:p>
            <w:pPr>
              <w:pStyle w:val="TableParagraph"/>
              <w:spacing w:before="10"/>
              <w:ind w:right="177"/>
              <w:jc w:val="right"/>
              <w:rPr>
                <w:sz w:val="20"/>
              </w:rPr>
            </w:pPr>
            <w:r>
              <w:rPr>
                <w:sz w:val="20"/>
              </w:rPr>
              <w:t>1.2</w:t>
            </w:r>
          </w:p>
        </w:tc>
        <w:tc>
          <w:tcPr>
            <w:tcW w:w="617" w:type="dxa"/>
          </w:tcPr>
          <w:p>
            <w:pPr>
              <w:pStyle w:val="TableParagraph"/>
              <w:spacing w:before="10"/>
              <w:ind w:left="108" w:right="109"/>
              <w:rPr>
                <w:sz w:val="20"/>
              </w:rPr>
            </w:pPr>
            <w:r>
              <w:rPr>
                <w:sz w:val="20"/>
              </w:rPr>
              <w:t>1.5</w:t>
            </w:r>
          </w:p>
        </w:tc>
        <w:tc>
          <w:tcPr>
            <w:tcW w:w="615" w:type="dxa"/>
          </w:tcPr>
          <w:p>
            <w:pPr>
              <w:pStyle w:val="TableParagraph"/>
              <w:spacing w:before="10"/>
              <w:ind w:left="157" w:right="157"/>
              <w:rPr>
                <w:sz w:val="20"/>
              </w:rPr>
            </w:pPr>
            <w:r>
              <w:rPr>
                <w:sz w:val="20"/>
              </w:rPr>
              <w:t>0.6</w:t>
            </w:r>
          </w:p>
        </w:tc>
      </w:tr>
      <w:tr>
        <w:trPr>
          <w:trHeight w:val="557" w:hRule="exact"/>
        </w:trPr>
        <w:tc>
          <w:tcPr>
            <w:tcW w:w="4518" w:type="dxa"/>
          </w:tcPr>
          <w:p>
            <w:pPr>
              <w:pStyle w:val="TableParagraph"/>
              <w:spacing w:before="43"/>
              <w:ind w:left="103" w:right="130"/>
              <w:jc w:val="left"/>
              <w:rPr>
                <w:b/>
                <w:sz w:val="20"/>
              </w:rPr>
            </w:pPr>
            <w:r>
              <w:rPr>
                <w:b/>
                <w:sz w:val="20"/>
              </w:rPr>
              <w:t>Fabricación de partes de sistemas de dirección y de suspensión para vehículos automotrices</w:t>
            </w:r>
          </w:p>
        </w:tc>
        <w:tc>
          <w:tcPr>
            <w:tcW w:w="614" w:type="dxa"/>
          </w:tcPr>
          <w:p>
            <w:pPr>
              <w:pStyle w:val="TableParagraph"/>
              <w:spacing w:before="154"/>
              <w:ind w:left="106" w:right="106"/>
              <w:rPr>
                <w:sz w:val="20"/>
              </w:rPr>
            </w:pPr>
            <w:r>
              <w:rPr>
                <w:sz w:val="20"/>
              </w:rPr>
              <w:t>0.6</w:t>
            </w:r>
          </w:p>
        </w:tc>
        <w:tc>
          <w:tcPr>
            <w:tcW w:w="617" w:type="dxa"/>
          </w:tcPr>
          <w:p>
            <w:pPr>
              <w:pStyle w:val="TableParagraph"/>
              <w:spacing w:before="154"/>
              <w:ind w:left="108" w:right="109"/>
              <w:rPr>
                <w:sz w:val="20"/>
              </w:rPr>
            </w:pPr>
            <w:r>
              <w:rPr>
                <w:sz w:val="20"/>
              </w:rPr>
              <w:t>0.8</w:t>
            </w:r>
          </w:p>
        </w:tc>
        <w:tc>
          <w:tcPr>
            <w:tcW w:w="617" w:type="dxa"/>
          </w:tcPr>
          <w:p>
            <w:pPr>
              <w:pStyle w:val="TableParagraph"/>
              <w:spacing w:before="154"/>
              <w:ind w:left="177"/>
              <w:jc w:val="left"/>
              <w:rPr>
                <w:sz w:val="20"/>
              </w:rPr>
            </w:pPr>
            <w:r>
              <w:rPr>
                <w:sz w:val="20"/>
              </w:rPr>
              <w:t>1.5</w:t>
            </w:r>
          </w:p>
        </w:tc>
        <w:tc>
          <w:tcPr>
            <w:tcW w:w="614" w:type="dxa"/>
          </w:tcPr>
          <w:p>
            <w:pPr>
              <w:pStyle w:val="TableParagraph"/>
              <w:spacing w:before="154"/>
              <w:ind w:left="105" w:right="107"/>
              <w:rPr>
                <w:sz w:val="20"/>
              </w:rPr>
            </w:pPr>
            <w:r>
              <w:rPr>
                <w:sz w:val="20"/>
              </w:rPr>
              <w:t>1.4</w:t>
            </w:r>
          </w:p>
        </w:tc>
        <w:tc>
          <w:tcPr>
            <w:tcW w:w="617" w:type="dxa"/>
          </w:tcPr>
          <w:p>
            <w:pPr>
              <w:pStyle w:val="TableParagraph"/>
              <w:spacing w:before="154"/>
              <w:ind w:right="177"/>
              <w:jc w:val="right"/>
              <w:rPr>
                <w:sz w:val="20"/>
              </w:rPr>
            </w:pPr>
            <w:r>
              <w:rPr>
                <w:sz w:val="20"/>
              </w:rPr>
              <w:t>1.5</w:t>
            </w:r>
          </w:p>
        </w:tc>
        <w:tc>
          <w:tcPr>
            <w:tcW w:w="617" w:type="dxa"/>
          </w:tcPr>
          <w:p>
            <w:pPr>
              <w:pStyle w:val="TableParagraph"/>
              <w:spacing w:before="154"/>
              <w:ind w:left="108" w:right="109"/>
              <w:rPr>
                <w:sz w:val="20"/>
              </w:rPr>
            </w:pPr>
            <w:r>
              <w:rPr>
                <w:sz w:val="20"/>
              </w:rPr>
              <w:t>1.7</w:t>
            </w:r>
          </w:p>
        </w:tc>
        <w:tc>
          <w:tcPr>
            <w:tcW w:w="615" w:type="dxa"/>
          </w:tcPr>
          <w:p>
            <w:pPr>
              <w:pStyle w:val="TableParagraph"/>
              <w:spacing w:before="154"/>
              <w:ind w:left="157" w:right="157"/>
              <w:rPr>
                <w:sz w:val="20"/>
              </w:rPr>
            </w:pPr>
            <w:r>
              <w:rPr>
                <w:sz w:val="20"/>
              </w:rPr>
              <w:t>1.3</w:t>
            </w:r>
          </w:p>
        </w:tc>
      </w:tr>
      <w:tr>
        <w:trPr>
          <w:trHeight w:val="512" w:hRule="exact"/>
        </w:trPr>
        <w:tc>
          <w:tcPr>
            <w:tcW w:w="4518" w:type="dxa"/>
          </w:tcPr>
          <w:p>
            <w:pPr>
              <w:pStyle w:val="TableParagraph"/>
              <w:spacing w:before="20"/>
              <w:ind w:left="103" w:right="130"/>
              <w:jc w:val="left"/>
              <w:rPr>
                <w:b/>
                <w:sz w:val="20"/>
              </w:rPr>
            </w:pPr>
            <w:r>
              <w:rPr>
                <w:b/>
                <w:sz w:val="20"/>
              </w:rPr>
              <w:t>Fabricación de partes de sistemas de frenos para vehículos automotrices</w:t>
            </w:r>
          </w:p>
        </w:tc>
        <w:tc>
          <w:tcPr>
            <w:tcW w:w="614" w:type="dxa"/>
          </w:tcPr>
          <w:p>
            <w:pPr>
              <w:pStyle w:val="TableParagraph"/>
              <w:spacing w:before="130"/>
              <w:ind w:left="106" w:right="106"/>
              <w:rPr>
                <w:sz w:val="20"/>
              </w:rPr>
            </w:pPr>
            <w:r>
              <w:rPr>
                <w:sz w:val="20"/>
              </w:rPr>
              <w:t>1.2</w:t>
            </w:r>
          </w:p>
        </w:tc>
        <w:tc>
          <w:tcPr>
            <w:tcW w:w="617" w:type="dxa"/>
          </w:tcPr>
          <w:p>
            <w:pPr>
              <w:pStyle w:val="TableParagraph"/>
              <w:spacing w:before="130"/>
              <w:ind w:left="108" w:right="109"/>
              <w:rPr>
                <w:sz w:val="20"/>
              </w:rPr>
            </w:pPr>
            <w:r>
              <w:rPr>
                <w:sz w:val="20"/>
              </w:rPr>
              <w:t>1.2</w:t>
            </w:r>
          </w:p>
        </w:tc>
        <w:tc>
          <w:tcPr>
            <w:tcW w:w="617" w:type="dxa"/>
          </w:tcPr>
          <w:p>
            <w:pPr>
              <w:pStyle w:val="TableParagraph"/>
              <w:spacing w:before="130"/>
              <w:ind w:left="177"/>
              <w:jc w:val="left"/>
              <w:rPr>
                <w:sz w:val="20"/>
              </w:rPr>
            </w:pPr>
            <w:r>
              <w:rPr>
                <w:sz w:val="20"/>
              </w:rPr>
              <w:t>1.9</w:t>
            </w:r>
          </w:p>
        </w:tc>
        <w:tc>
          <w:tcPr>
            <w:tcW w:w="614" w:type="dxa"/>
          </w:tcPr>
          <w:p>
            <w:pPr>
              <w:pStyle w:val="TableParagraph"/>
              <w:spacing w:before="130"/>
              <w:ind w:left="105" w:right="107"/>
              <w:rPr>
                <w:sz w:val="20"/>
              </w:rPr>
            </w:pPr>
            <w:r>
              <w:rPr>
                <w:sz w:val="20"/>
              </w:rPr>
              <w:t>1.8</w:t>
            </w:r>
          </w:p>
        </w:tc>
        <w:tc>
          <w:tcPr>
            <w:tcW w:w="617" w:type="dxa"/>
          </w:tcPr>
          <w:p>
            <w:pPr>
              <w:pStyle w:val="TableParagraph"/>
              <w:spacing w:before="130"/>
              <w:ind w:right="177"/>
              <w:jc w:val="right"/>
              <w:rPr>
                <w:sz w:val="20"/>
              </w:rPr>
            </w:pPr>
            <w:r>
              <w:rPr>
                <w:sz w:val="20"/>
              </w:rPr>
              <w:t>2.6</w:t>
            </w:r>
          </w:p>
        </w:tc>
        <w:tc>
          <w:tcPr>
            <w:tcW w:w="617" w:type="dxa"/>
          </w:tcPr>
          <w:p>
            <w:pPr>
              <w:pStyle w:val="TableParagraph"/>
              <w:spacing w:before="130"/>
              <w:ind w:left="108" w:right="109"/>
              <w:rPr>
                <w:sz w:val="20"/>
              </w:rPr>
            </w:pPr>
            <w:r>
              <w:rPr>
                <w:sz w:val="20"/>
              </w:rPr>
              <w:t>3.7</w:t>
            </w:r>
          </w:p>
        </w:tc>
        <w:tc>
          <w:tcPr>
            <w:tcW w:w="615" w:type="dxa"/>
          </w:tcPr>
          <w:p>
            <w:pPr>
              <w:pStyle w:val="TableParagraph"/>
              <w:spacing w:before="130"/>
              <w:ind w:left="157" w:right="157"/>
              <w:rPr>
                <w:sz w:val="20"/>
              </w:rPr>
            </w:pPr>
            <w:r>
              <w:rPr>
                <w:sz w:val="20"/>
              </w:rPr>
              <w:t>1.8</w:t>
            </w:r>
          </w:p>
        </w:tc>
      </w:tr>
      <w:tr>
        <w:trPr>
          <w:trHeight w:val="559" w:hRule="exact"/>
        </w:trPr>
        <w:tc>
          <w:tcPr>
            <w:tcW w:w="4518" w:type="dxa"/>
          </w:tcPr>
          <w:p>
            <w:pPr>
              <w:pStyle w:val="TableParagraph"/>
              <w:spacing w:before="43"/>
              <w:ind w:left="103"/>
              <w:jc w:val="left"/>
              <w:rPr>
                <w:b/>
                <w:sz w:val="20"/>
              </w:rPr>
            </w:pPr>
            <w:r>
              <w:rPr>
                <w:b/>
                <w:sz w:val="20"/>
              </w:rPr>
              <w:t>Fabricación de equipo eléctrico y electrónico para vehículos automotores</w:t>
            </w:r>
          </w:p>
        </w:tc>
        <w:tc>
          <w:tcPr>
            <w:tcW w:w="614" w:type="dxa"/>
          </w:tcPr>
          <w:p>
            <w:pPr>
              <w:pStyle w:val="TableParagraph"/>
              <w:spacing w:before="154"/>
              <w:ind w:left="106" w:right="106"/>
              <w:rPr>
                <w:sz w:val="20"/>
              </w:rPr>
            </w:pPr>
            <w:r>
              <w:rPr>
                <w:sz w:val="20"/>
              </w:rPr>
              <w:t>0.7</w:t>
            </w:r>
          </w:p>
        </w:tc>
        <w:tc>
          <w:tcPr>
            <w:tcW w:w="617" w:type="dxa"/>
          </w:tcPr>
          <w:p>
            <w:pPr>
              <w:pStyle w:val="TableParagraph"/>
              <w:spacing w:before="154"/>
              <w:ind w:left="108" w:right="109"/>
              <w:rPr>
                <w:sz w:val="20"/>
              </w:rPr>
            </w:pPr>
            <w:r>
              <w:rPr>
                <w:sz w:val="20"/>
              </w:rPr>
              <w:t>0.5</w:t>
            </w:r>
          </w:p>
        </w:tc>
        <w:tc>
          <w:tcPr>
            <w:tcW w:w="617" w:type="dxa"/>
          </w:tcPr>
          <w:p>
            <w:pPr>
              <w:pStyle w:val="TableParagraph"/>
              <w:spacing w:before="154"/>
              <w:ind w:left="177"/>
              <w:jc w:val="left"/>
              <w:rPr>
                <w:sz w:val="20"/>
              </w:rPr>
            </w:pPr>
            <w:r>
              <w:rPr>
                <w:sz w:val="20"/>
              </w:rPr>
              <w:t>0.3</w:t>
            </w:r>
          </w:p>
        </w:tc>
        <w:tc>
          <w:tcPr>
            <w:tcW w:w="614" w:type="dxa"/>
          </w:tcPr>
          <w:p>
            <w:pPr>
              <w:pStyle w:val="TableParagraph"/>
              <w:spacing w:before="154"/>
              <w:ind w:left="105" w:right="107"/>
              <w:rPr>
                <w:sz w:val="20"/>
              </w:rPr>
            </w:pPr>
            <w:r>
              <w:rPr>
                <w:sz w:val="20"/>
              </w:rPr>
              <w:t>0.2</w:t>
            </w:r>
          </w:p>
        </w:tc>
        <w:tc>
          <w:tcPr>
            <w:tcW w:w="617" w:type="dxa"/>
          </w:tcPr>
          <w:p>
            <w:pPr>
              <w:pStyle w:val="TableParagraph"/>
              <w:spacing w:before="154"/>
              <w:ind w:right="177"/>
              <w:jc w:val="right"/>
              <w:rPr>
                <w:sz w:val="20"/>
              </w:rPr>
            </w:pPr>
            <w:r>
              <w:rPr>
                <w:sz w:val="20"/>
              </w:rPr>
              <w:t>0.2</w:t>
            </w:r>
          </w:p>
        </w:tc>
        <w:tc>
          <w:tcPr>
            <w:tcW w:w="617" w:type="dxa"/>
          </w:tcPr>
          <w:p>
            <w:pPr>
              <w:pStyle w:val="TableParagraph"/>
              <w:spacing w:before="154"/>
              <w:ind w:left="108" w:right="109"/>
              <w:rPr>
                <w:sz w:val="20"/>
              </w:rPr>
            </w:pPr>
            <w:r>
              <w:rPr>
                <w:sz w:val="20"/>
              </w:rPr>
              <w:t>0.2</w:t>
            </w:r>
          </w:p>
        </w:tc>
        <w:tc>
          <w:tcPr>
            <w:tcW w:w="615" w:type="dxa"/>
          </w:tcPr>
          <w:p>
            <w:pPr>
              <w:pStyle w:val="TableParagraph"/>
              <w:spacing w:before="154"/>
              <w:ind w:left="157" w:right="157"/>
              <w:rPr>
                <w:sz w:val="20"/>
              </w:rPr>
            </w:pPr>
            <w:r>
              <w:rPr>
                <w:sz w:val="20"/>
              </w:rPr>
              <w:t>0.3</w:t>
            </w:r>
          </w:p>
        </w:tc>
      </w:tr>
      <w:tr>
        <w:trPr>
          <w:trHeight w:val="516" w:hRule="exact"/>
        </w:trPr>
        <w:tc>
          <w:tcPr>
            <w:tcW w:w="4518" w:type="dxa"/>
          </w:tcPr>
          <w:p>
            <w:pPr>
              <w:pStyle w:val="TableParagraph"/>
              <w:spacing w:before="22"/>
              <w:ind w:left="103" w:right="130"/>
              <w:jc w:val="left"/>
              <w:rPr>
                <w:b/>
                <w:sz w:val="20"/>
              </w:rPr>
            </w:pPr>
            <w:r>
              <w:rPr>
                <w:b/>
                <w:sz w:val="20"/>
              </w:rPr>
              <w:t>Fabricación de otras partes para vehículos automotrices</w:t>
            </w:r>
          </w:p>
        </w:tc>
        <w:tc>
          <w:tcPr>
            <w:tcW w:w="614" w:type="dxa"/>
          </w:tcPr>
          <w:p>
            <w:pPr>
              <w:pStyle w:val="TableParagraph"/>
              <w:spacing w:before="132"/>
              <w:ind w:left="106" w:right="106"/>
              <w:rPr>
                <w:sz w:val="20"/>
              </w:rPr>
            </w:pPr>
            <w:r>
              <w:rPr>
                <w:sz w:val="20"/>
              </w:rPr>
              <w:t>1.0</w:t>
            </w:r>
          </w:p>
        </w:tc>
        <w:tc>
          <w:tcPr>
            <w:tcW w:w="617" w:type="dxa"/>
          </w:tcPr>
          <w:p>
            <w:pPr>
              <w:pStyle w:val="TableParagraph"/>
              <w:spacing w:before="132"/>
              <w:ind w:left="108" w:right="109"/>
              <w:rPr>
                <w:sz w:val="20"/>
              </w:rPr>
            </w:pPr>
            <w:r>
              <w:rPr>
                <w:sz w:val="20"/>
              </w:rPr>
              <w:t>1.3</w:t>
            </w:r>
          </w:p>
        </w:tc>
        <w:tc>
          <w:tcPr>
            <w:tcW w:w="617" w:type="dxa"/>
          </w:tcPr>
          <w:p>
            <w:pPr>
              <w:pStyle w:val="TableParagraph"/>
              <w:spacing w:before="132"/>
              <w:ind w:left="177"/>
              <w:jc w:val="left"/>
              <w:rPr>
                <w:sz w:val="20"/>
              </w:rPr>
            </w:pPr>
            <w:r>
              <w:rPr>
                <w:sz w:val="20"/>
              </w:rPr>
              <w:t>1.0</w:t>
            </w:r>
          </w:p>
        </w:tc>
        <w:tc>
          <w:tcPr>
            <w:tcW w:w="614" w:type="dxa"/>
          </w:tcPr>
          <w:p>
            <w:pPr>
              <w:pStyle w:val="TableParagraph"/>
              <w:spacing w:before="132"/>
              <w:ind w:left="105" w:right="107"/>
              <w:rPr>
                <w:sz w:val="20"/>
              </w:rPr>
            </w:pPr>
            <w:r>
              <w:rPr>
                <w:sz w:val="20"/>
              </w:rPr>
              <w:t>1.1</w:t>
            </w:r>
          </w:p>
        </w:tc>
        <w:tc>
          <w:tcPr>
            <w:tcW w:w="617" w:type="dxa"/>
          </w:tcPr>
          <w:p>
            <w:pPr>
              <w:pStyle w:val="TableParagraph"/>
              <w:spacing w:before="132"/>
              <w:ind w:right="177"/>
              <w:jc w:val="right"/>
              <w:rPr>
                <w:sz w:val="20"/>
              </w:rPr>
            </w:pPr>
            <w:r>
              <w:rPr>
                <w:sz w:val="20"/>
              </w:rPr>
              <w:t>1.1</w:t>
            </w:r>
          </w:p>
        </w:tc>
        <w:tc>
          <w:tcPr>
            <w:tcW w:w="617" w:type="dxa"/>
          </w:tcPr>
          <w:p>
            <w:pPr>
              <w:pStyle w:val="TableParagraph"/>
              <w:spacing w:before="132"/>
              <w:ind w:left="108" w:right="109"/>
              <w:rPr>
                <w:sz w:val="20"/>
              </w:rPr>
            </w:pPr>
            <w:r>
              <w:rPr>
                <w:sz w:val="20"/>
              </w:rPr>
              <w:t>1.1</w:t>
            </w:r>
          </w:p>
        </w:tc>
        <w:tc>
          <w:tcPr>
            <w:tcW w:w="615" w:type="dxa"/>
          </w:tcPr>
          <w:p>
            <w:pPr>
              <w:pStyle w:val="TableParagraph"/>
              <w:spacing w:before="132"/>
              <w:ind w:left="157" w:right="157"/>
              <w:rPr>
                <w:sz w:val="20"/>
              </w:rPr>
            </w:pPr>
            <w:r>
              <w:rPr>
                <w:sz w:val="20"/>
              </w:rPr>
              <w:t>0.7</w:t>
            </w:r>
          </w:p>
        </w:tc>
      </w:tr>
    </w:tbl>
    <w:p>
      <w:pPr>
        <w:spacing w:line="202" w:lineRule="exact" w:before="0"/>
        <w:ind w:left="122" w:right="97" w:firstLine="0"/>
        <w:jc w:val="left"/>
        <w:rPr>
          <w:sz w:val="18"/>
        </w:rPr>
      </w:pPr>
      <w:r>
        <w:rPr>
          <w:sz w:val="18"/>
        </w:rPr>
        <w:t>Fuente: Elaboración propia con datos de INEGI (varios años).</w:t>
      </w:r>
    </w:p>
    <w:p>
      <w:pPr>
        <w:pStyle w:val="BodyText"/>
        <w:rPr>
          <w:sz w:val="20"/>
        </w:rPr>
      </w:pPr>
    </w:p>
    <w:p>
      <w:pPr>
        <w:pStyle w:val="BodyText"/>
        <w:rPr>
          <w:sz w:val="20"/>
        </w:rPr>
      </w:pPr>
    </w:p>
    <w:p>
      <w:pPr>
        <w:pStyle w:val="BodyText"/>
        <w:rPr>
          <w:sz w:val="20"/>
        </w:rPr>
      </w:pPr>
    </w:p>
    <w:p>
      <w:pPr>
        <w:pStyle w:val="BodyText"/>
        <w:spacing w:before="3"/>
        <w:rPr>
          <w:sz w:val="12"/>
        </w:rPr>
      </w:pPr>
      <w:r>
        <w:rPr/>
        <w:pict>
          <v:line style="position:absolute;mso-position-horizontal-relative:page;mso-position-vertical-relative:paragraph;z-index:8776;mso-wrap-distance-left:0;mso-wrap-distance-right:0" from="85.103996pt,9.336169pt" to="229.123996pt,9.336169pt" stroked="true" strokeweight=".599980pt" strokecolor="#000000">
            <w10:wrap type="topAndBottom"/>
          </v:line>
        </w:pict>
      </w:r>
    </w:p>
    <w:p>
      <w:pPr>
        <w:spacing w:before="70"/>
        <w:ind w:left="122" w:right="121" w:firstLine="0"/>
        <w:jc w:val="both"/>
        <w:rPr>
          <w:sz w:val="20"/>
        </w:rPr>
      </w:pPr>
      <w:r>
        <w:rPr>
          <w:position w:val="7"/>
          <w:sz w:val="13"/>
        </w:rPr>
        <w:t>14 </w:t>
      </w:r>
      <w:r>
        <w:rPr>
          <w:sz w:val="20"/>
        </w:rPr>
        <w:t>De 1980 a 1993, la fabricación de automóviles y camiones no desglosaba a las actividades de fabricación de automóviles y camionetas y la fabricación de camiones y tracto camiones, esto sucedió hasta 1999 por lo que para fines de la elaboración de los cocientes de localización los censos de 1998 a 2008 engloban a las dos actividades anteriores en la fabricación de automóviles y camiones. Es importante señalar que antes de 1999, dentro de las actividades de la industria automotriz en México, no se consideraba a la fabricación de asientos para vehículos automotores y la fabricación de piezas metálicas troqueladas, por lo que no aparecen en el cuadro.</w:t>
      </w:r>
    </w:p>
    <w:p>
      <w:pPr>
        <w:spacing w:after="0"/>
        <w:jc w:val="both"/>
        <w:rPr>
          <w:sz w:val="20"/>
        </w:rPr>
        <w:sectPr>
          <w:pgSz w:w="12240" w:h="15840"/>
          <w:pgMar w:header="0" w:footer="1035" w:top="1360" w:bottom="1220" w:left="1580" w:right="1580"/>
        </w:sectPr>
      </w:pPr>
    </w:p>
    <w:p>
      <w:pPr>
        <w:pStyle w:val="BodyText"/>
        <w:spacing w:line="360" w:lineRule="auto" w:before="50"/>
        <w:ind w:left="122" w:right="118"/>
        <w:jc w:val="both"/>
      </w:pPr>
      <w:r>
        <w:rPr/>
        <w:t>Por el lado del valor agregado censal bruto, de acuerdo con el cuadro 4.11, se encuentra que la región centro durante 1980 se especializaba en tres actividades específicamente las</w:t>
      </w:r>
      <w:r>
        <w:rPr>
          <w:spacing w:val="-22"/>
        </w:rPr>
        <w:t> </w:t>
      </w:r>
      <w:r>
        <w:rPr/>
        <w:t>cuales son la fabricación de automóviles y camiones, de motores de gasolina y sus partes para vehículos automotrices y la fabricación de partes de sistemas de frenos para vehículos automotrices, donde presentó coeficientes de 1.1, 1.2 y 1.0</w:t>
      </w:r>
      <w:r>
        <w:rPr>
          <w:spacing w:val="-10"/>
        </w:rPr>
        <w:t> </w:t>
      </w:r>
      <w:r>
        <w:rPr/>
        <w:t>respectivamente.</w:t>
      </w:r>
    </w:p>
    <w:p>
      <w:pPr>
        <w:pStyle w:val="BodyText"/>
        <w:spacing w:before="4"/>
        <w:rPr>
          <w:sz w:val="21"/>
        </w:rPr>
      </w:pPr>
    </w:p>
    <w:p>
      <w:pPr>
        <w:pStyle w:val="BodyText"/>
        <w:spacing w:line="360" w:lineRule="auto" w:before="1"/>
        <w:ind w:left="122" w:right="116"/>
        <w:jc w:val="both"/>
      </w:pPr>
      <w:r>
        <w:rPr/>
        <w:t>En 2008 la región centro se especializó de igual manera en la fabricación de automóviles y camiones,</w:t>
      </w:r>
      <w:r>
        <w:rPr>
          <w:spacing w:val="-6"/>
        </w:rPr>
        <w:t> </w:t>
      </w:r>
      <w:r>
        <w:rPr/>
        <w:t>es</w:t>
      </w:r>
      <w:r>
        <w:rPr>
          <w:spacing w:val="-6"/>
        </w:rPr>
        <w:t> </w:t>
      </w:r>
      <w:r>
        <w:rPr/>
        <w:t>decir</w:t>
      </w:r>
      <w:r>
        <w:rPr>
          <w:spacing w:val="-4"/>
        </w:rPr>
        <w:t> </w:t>
      </w:r>
      <w:r>
        <w:rPr/>
        <w:t>en</w:t>
      </w:r>
      <w:r>
        <w:rPr>
          <w:spacing w:val="-6"/>
        </w:rPr>
        <w:t> </w:t>
      </w:r>
      <w:r>
        <w:rPr/>
        <w:t>la</w:t>
      </w:r>
      <w:r>
        <w:rPr>
          <w:spacing w:val="-7"/>
        </w:rPr>
        <w:t> </w:t>
      </w:r>
      <w:r>
        <w:rPr/>
        <w:t>industria</w:t>
      </w:r>
      <w:r>
        <w:rPr>
          <w:spacing w:val="-7"/>
        </w:rPr>
        <w:t> </w:t>
      </w:r>
      <w:r>
        <w:rPr/>
        <w:t>terminal</w:t>
      </w:r>
      <w:r>
        <w:rPr>
          <w:spacing w:val="-1"/>
        </w:rPr>
        <w:t> </w:t>
      </w:r>
      <w:r>
        <w:rPr/>
        <w:t>y</w:t>
      </w:r>
      <w:r>
        <w:rPr>
          <w:spacing w:val="-11"/>
        </w:rPr>
        <w:t> </w:t>
      </w:r>
      <w:r>
        <w:rPr/>
        <w:t>en</w:t>
      </w:r>
      <w:r>
        <w:rPr>
          <w:spacing w:val="-6"/>
        </w:rPr>
        <w:t> </w:t>
      </w:r>
      <w:r>
        <w:rPr/>
        <w:t>la</w:t>
      </w:r>
      <w:r>
        <w:rPr>
          <w:spacing w:val="-7"/>
        </w:rPr>
        <w:t> </w:t>
      </w:r>
      <w:r>
        <w:rPr/>
        <w:t>fabricación</w:t>
      </w:r>
      <w:r>
        <w:rPr>
          <w:spacing w:val="-6"/>
        </w:rPr>
        <w:t> </w:t>
      </w:r>
      <w:r>
        <w:rPr/>
        <w:t>de</w:t>
      </w:r>
      <w:r>
        <w:rPr>
          <w:spacing w:val="-7"/>
        </w:rPr>
        <w:t> </w:t>
      </w:r>
      <w:r>
        <w:rPr/>
        <w:t>partes</w:t>
      </w:r>
      <w:r>
        <w:rPr>
          <w:spacing w:val="-6"/>
        </w:rPr>
        <w:t> </w:t>
      </w:r>
      <w:r>
        <w:rPr/>
        <w:t>de</w:t>
      </w:r>
      <w:r>
        <w:rPr>
          <w:spacing w:val="-5"/>
        </w:rPr>
        <w:t> </w:t>
      </w:r>
      <w:r>
        <w:rPr/>
        <w:t>sistemas</w:t>
      </w:r>
      <w:r>
        <w:rPr>
          <w:spacing w:val="-6"/>
        </w:rPr>
        <w:t> </w:t>
      </w:r>
      <w:r>
        <w:rPr/>
        <w:t>de</w:t>
      </w:r>
      <w:r>
        <w:rPr>
          <w:spacing w:val="-7"/>
        </w:rPr>
        <w:t> </w:t>
      </w:r>
      <w:r>
        <w:rPr/>
        <w:t>frenos para vehículos automotrices, así como en la fabricación de carrocerías y remolques,</w:t>
      </w:r>
      <w:r>
        <w:rPr>
          <w:spacing w:val="-21"/>
        </w:rPr>
        <w:t> </w:t>
      </w:r>
      <w:r>
        <w:rPr/>
        <w:t>dejando atrás su especialización en motores de gasolina y sus partes donde obtuvo un coeficiente</w:t>
      </w:r>
      <w:r>
        <w:rPr>
          <w:spacing w:val="48"/>
        </w:rPr>
        <w:t> </w:t>
      </w:r>
      <w:r>
        <w:rPr/>
        <w:t>de</w:t>
      </w:r>
    </w:p>
    <w:p>
      <w:pPr>
        <w:pStyle w:val="BodyText"/>
        <w:spacing w:before="6"/>
        <w:ind w:left="122"/>
        <w:jc w:val="both"/>
      </w:pPr>
      <w:r>
        <w:rPr/>
        <w:t>0.8 (véase cuadro 4.11).</w:t>
      </w:r>
    </w:p>
    <w:p>
      <w:pPr>
        <w:pStyle w:val="BodyText"/>
        <w:spacing w:before="2"/>
        <w:rPr>
          <w:sz w:val="33"/>
        </w:rPr>
      </w:pPr>
    </w:p>
    <w:p>
      <w:pPr>
        <w:pStyle w:val="Heading1"/>
        <w:spacing w:line="357" w:lineRule="auto" w:after="3"/>
        <w:ind w:left="474" w:right="174" w:hanging="281"/>
      </w:pPr>
      <w:r>
        <w:rPr/>
        <w:t>Cuadro 4.11. Cocientes de localización de las actividades de la industria automotriz a nivel nacional de la Región Centro, 1980-2008</w:t>
      </w:r>
      <w:r>
        <w:rPr>
          <w:position w:val="8"/>
          <w:sz w:val="16"/>
        </w:rPr>
        <w:t>15  </w:t>
      </w:r>
      <w:r>
        <w:rPr/>
        <w:t>(Valor Agregado Censal Bruto)</w:t>
      </w:r>
    </w:p>
    <w:tbl>
      <w:tblPr>
        <w:tblW w:w="0" w:type="auto"/>
        <w:jc w:val="left"/>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18"/>
        <w:gridCol w:w="614"/>
        <w:gridCol w:w="617"/>
        <w:gridCol w:w="617"/>
        <w:gridCol w:w="614"/>
        <w:gridCol w:w="617"/>
        <w:gridCol w:w="617"/>
        <w:gridCol w:w="615"/>
      </w:tblGrid>
      <w:tr>
        <w:trPr>
          <w:trHeight w:val="240" w:hRule="exact"/>
        </w:trPr>
        <w:tc>
          <w:tcPr>
            <w:tcW w:w="4518" w:type="dxa"/>
            <w:tcBorders>
              <w:right w:val="nil"/>
            </w:tcBorders>
            <w:shd w:val="clear" w:color="auto" w:fill="A6A6A6"/>
          </w:tcPr>
          <w:p>
            <w:pPr/>
          </w:p>
        </w:tc>
        <w:tc>
          <w:tcPr>
            <w:tcW w:w="614" w:type="dxa"/>
            <w:tcBorders>
              <w:left w:val="nil"/>
              <w:right w:val="nil"/>
            </w:tcBorders>
            <w:shd w:val="clear" w:color="auto" w:fill="A6A6A6"/>
          </w:tcPr>
          <w:p>
            <w:pPr>
              <w:pStyle w:val="TableParagraph"/>
              <w:spacing w:line="228" w:lineRule="exact"/>
              <w:ind w:left="87" w:right="83"/>
              <w:rPr>
                <w:b/>
                <w:sz w:val="20"/>
              </w:rPr>
            </w:pPr>
            <w:r>
              <w:rPr>
                <w:b/>
                <w:sz w:val="20"/>
              </w:rPr>
              <w:t>1980</w:t>
            </w:r>
          </w:p>
        </w:tc>
        <w:tc>
          <w:tcPr>
            <w:tcW w:w="617" w:type="dxa"/>
            <w:tcBorders>
              <w:left w:val="nil"/>
              <w:right w:val="nil"/>
            </w:tcBorders>
            <w:shd w:val="clear" w:color="auto" w:fill="A6A6A6"/>
          </w:tcPr>
          <w:p>
            <w:pPr>
              <w:pStyle w:val="TableParagraph"/>
              <w:spacing w:line="228" w:lineRule="exact"/>
              <w:ind w:left="89" w:right="87"/>
              <w:rPr>
                <w:b/>
                <w:sz w:val="20"/>
              </w:rPr>
            </w:pPr>
            <w:r>
              <w:rPr>
                <w:b/>
                <w:sz w:val="20"/>
              </w:rPr>
              <w:t>1985</w:t>
            </w:r>
          </w:p>
        </w:tc>
        <w:tc>
          <w:tcPr>
            <w:tcW w:w="617" w:type="dxa"/>
            <w:tcBorders>
              <w:left w:val="nil"/>
              <w:right w:val="nil"/>
            </w:tcBorders>
            <w:shd w:val="clear" w:color="auto" w:fill="A6A6A6"/>
          </w:tcPr>
          <w:p>
            <w:pPr>
              <w:pStyle w:val="TableParagraph"/>
              <w:spacing w:line="228" w:lineRule="exact"/>
              <w:ind w:left="107"/>
              <w:jc w:val="left"/>
              <w:rPr>
                <w:b/>
                <w:sz w:val="20"/>
              </w:rPr>
            </w:pPr>
            <w:r>
              <w:rPr>
                <w:b/>
                <w:sz w:val="20"/>
              </w:rPr>
              <w:t>1988</w:t>
            </w:r>
          </w:p>
        </w:tc>
        <w:tc>
          <w:tcPr>
            <w:tcW w:w="614" w:type="dxa"/>
            <w:tcBorders>
              <w:left w:val="nil"/>
              <w:right w:val="nil"/>
            </w:tcBorders>
            <w:shd w:val="clear" w:color="auto" w:fill="A6A6A6"/>
          </w:tcPr>
          <w:p>
            <w:pPr>
              <w:pStyle w:val="TableParagraph"/>
              <w:spacing w:line="228" w:lineRule="exact"/>
              <w:ind w:left="85" w:right="85"/>
              <w:rPr>
                <w:b/>
                <w:sz w:val="20"/>
              </w:rPr>
            </w:pPr>
            <w:r>
              <w:rPr>
                <w:b/>
                <w:sz w:val="20"/>
              </w:rPr>
              <w:t>1993</w:t>
            </w:r>
          </w:p>
        </w:tc>
        <w:tc>
          <w:tcPr>
            <w:tcW w:w="617" w:type="dxa"/>
            <w:tcBorders>
              <w:left w:val="nil"/>
              <w:right w:val="nil"/>
            </w:tcBorders>
            <w:shd w:val="clear" w:color="auto" w:fill="A6A6A6"/>
          </w:tcPr>
          <w:p>
            <w:pPr>
              <w:pStyle w:val="TableParagraph"/>
              <w:spacing w:line="228" w:lineRule="exact"/>
              <w:ind w:right="103"/>
              <w:jc w:val="right"/>
              <w:rPr>
                <w:b/>
                <w:sz w:val="20"/>
              </w:rPr>
            </w:pPr>
            <w:r>
              <w:rPr>
                <w:b/>
                <w:sz w:val="20"/>
              </w:rPr>
              <w:t>1998</w:t>
            </w:r>
          </w:p>
        </w:tc>
        <w:tc>
          <w:tcPr>
            <w:tcW w:w="617" w:type="dxa"/>
            <w:tcBorders>
              <w:left w:val="nil"/>
              <w:right w:val="nil"/>
            </w:tcBorders>
            <w:shd w:val="clear" w:color="auto" w:fill="A6A6A6"/>
          </w:tcPr>
          <w:p>
            <w:pPr>
              <w:pStyle w:val="TableParagraph"/>
              <w:spacing w:line="228" w:lineRule="exact"/>
              <w:ind w:left="89" w:right="87"/>
              <w:rPr>
                <w:b/>
                <w:sz w:val="20"/>
              </w:rPr>
            </w:pPr>
            <w:r>
              <w:rPr>
                <w:b/>
                <w:sz w:val="20"/>
              </w:rPr>
              <w:t>2003</w:t>
            </w:r>
          </w:p>
        </w:tc>
        <w:tc>
          <w:tcPr>
            <w:tcW w:w="615" w:type="dxa"/>
            <w:tcBorders>
              <w:left w:val="nil"/>
            </w:tcBorders>
            <w:shd w:val="clear" w:color="auto" w:fill="A6A6A6"/>
          </w:tcPr>
          <w:p>
            <w:pPr>
              <w:pStyle w:val="TableParagraph"/>
              <w:spacing w:line="228" w:lineRule="exact"/>
              <w:ind w:left="89" w:right="80"/>
              <w:rPr>
                <w:b/>
                <w:sz w:val="20"/>
              </w:rPr>
            </w:pPr>
            <w:r>
              <w:rPr>
                <w:b/>
                <w:sz w:val="20"/>
              </w:rPr>
              <w:t>2008</w:t>
            </w:r>
          </w:p>
        </w:tc>
      </w:tr>
      <w:tr>
        <w:trPr>
          <w:trHeight w:val="418" w:hRule="exact"/>
        </w:trPr>
        <w:tc>
          <w:tcPr>
            <w:tcW w:w="4518" w:type="dxa"/>
          </w:tcPr>
          <w:p>
            <w:pPr>
              <w:pStyle w:val="TableParagraph"/>
              <w:spacing w:before="87"/>
              <w:ind w:left="103" w:right="130"/>
              <w:jc w:val="left"/>
              <w:rPr>
                <w:b/>
                <w:sz w:val="20"/>
              </w:rPr>
            </w:pPr>
            <w:r>
              <w:rPr>
                <w:b/>
                <w:sz w:val="20"/>
              </w:rPr>
              <w:t>Fabricación de automóviles y camiones</w:t>
            </w:r>
          </w:p>
        </w:tc>
        <w:tc>
          <w:tcPr>
            <w:tcW w:w="614" w:type="dxa"/>
          </w:tcPr>
          <w:p>
            <w:pPr>
              <w:pStyle w:val="TableParagraph"/>
              <w:spacing w:before="82"/>
              <w:ind w:left="106" w:right="106"/>
              <w:rPr>
                <w:sz w:val="20"/>
              </w:rPr>
            </w:pPr>
            <w:r>
              <w:rPr>
                <w:sz w:val="20"/>
              </w:rPr>
              <w:t>1.1</w:t>
            </w:r>
          </w:p>
        </w:tc>
        <w:tc>
          <w:tcPr>
            <w:tcW w:w="617" w:type="dxa"/>
          </w:tcPr>
          <w:p>
            <w:pPr>
              <w:pStyle w:val="TableParagraph"/>
              <w:spacing w:before="82"/>
              <w:ind w:left="108" w:right="109"/>
              <w:rPr>
                <w:sz w:val="20"/>
              </w:rPr>
            </w:pPr>
            <w:r>
              <w:rPr>
                <w:sz w:val="20"/>
              </w:rPr>
              <w:t>0.8</w:t>
            </w:r>
          </w:p>
        </w:tc>
        <w:tc>
          <w:tcPr>
            <w:tcW w:w="617" w:type="dxa"/>
          </w:tcPr>
          <w:p>
            <w:pPr>
              <w:pStyle w:val="TableParagraph"/>
              <w:spacing w:before="82"/>
              <w:ind w:left="177"/>
              <w:jc w:val="left"/>
              <w:rPr>
                <w:sz w:val="20"/>
              </w:rPr>
            </w:pPr>
            <w:r>
              <w:rPr>
                <w:sz w:val="20"/>
              </w:rPr>
              <w:t>1.5</w:t>
            </w:r>
          </w:p>
        </w:tc>
        <w:tc>
          <w:tcPr>
            <w:tcW w:w="614" w:type="dxa"/>
          </w:tcPr>
          <w:p>
            <w:pPr>
              <w:pStyle w:val="TableParagraph"/>
              <w:spacing w:before="82"/>
              <w:ind w:left="105" w:right="107"/>
              <w:rPr>
                <w:sz w:val="20"/>
              </w:rPr>
            </w:pPr>
            <w:r>
              <w:rPr>
                <w:sz w:val="20"/>
              </w:rPr>
              <w:t>1.5</w:t>
            </w:r>
          </w:p>
        </w:tc>
        <w:tc>
          <w:tcPr>
            <w:tcW w:w="617" w:type="dxa"/>
          </w:tcPr>
          <w:p>
            <w:pPr>
              <w:pStyle w:val="TableParagraph"/>
              <w:spacing w:before="82"/>
              <w:ind w:right="177"/>
              <w:jc w:val="right"/>
              <w:rPr>
                <w:sz w:val="20"/>
              </w:rPr>
            </w:pPr>
            <w:r>
              <w:rPr>
                <w:sz w:val="20"/>
              </w:rPr>
              <w:t>1.0</w:t>
            </w:r>
          </w:p>
        </w:tc>
        <w:tc>
          <w:tcPr>
            <w:tcW w:w="617" w:type="dxa"/>
          </w:tcPr>
          <w:p>
            <w:pPr>
              <w:pStyle w:val="TableParagraph"/>
              <w:spacing w:before="82"/>
              <w:ind w:left="108" w:right="109"/>
              <w:rPr>
                <w:sz w:val="20"/>
              </w:rPr>
            </w:pPr>
            <w:r>
              <w:rPr>
                <w:sz w:val="20"/>
              </w:rPr>
              <w:t>1.6</w:t>
            </w:r>
          </w:p>
        </w:tc>
        <w:tc>
          <w:tcPr>
            <w:tcW w:w="615" w:type="dxa"/>
          </w:tcPr>
          <w:p>
            <w:pPr>
              <w:pStyle w:val="TableParagraph"/>
              <w:spacing w:before="82"/>
              <w:ind w:left="157" w:right="157"/>
              <w:rPr>
                <w:sz w:val="20"/>
              </w:rPr>
            </w:pPr>
            <w:r>
              <w:rPr>
                <w:sz w:val="20"/>
              </w:rPr>
              <w:t>1.6</w:t>
            </w:r>
          </w:p>
        </w:tc>
      </w:tr>
      <w:tr>
        <w:trPr>
          <w:trHeight w:val="420" w:hRule="exact"/>
        </w:trPr>
        <w:tc>
          <w:tcPr>
            <w:tcW w:w="4518" w:type="dxa"/>
          </w:tcPr>
          <w:p>
            <w:pPr>
              <w:pStyle w:val="TableParagraph"/>
              <w:spacing w:before="87"/>
              <w:ind w:left="103" w:right="130"/>
              <w:jc w:val="left"/>
              <w:rPr>
                <w:b/>
                <w:sz w:val="20"/>
              </w:rPr>
            </w:pPr>
            <w:r>
              <w:rPr>
                <w:b/>
                <w:sz w:val="20"/>
              </w:rPr>
              <w:t>Fabricación de carrocerías y remolques</w:t>
            </w:r>
          </w:p>
        </w:tc>
        <w:tc>
          <w:tcPr>
            <w:tcW w:w="614" w:type="dxa"/>
          </w:tcPr>
          <w:p>
            <w:pPr>
              <w:pStyle w:val="TableParagraph"/>
              <w:spacing w:before="82"/>
              <w:ind w:left="106" w:right="106"/>
              <w:rPr>
                <w:sz w:val="20"/>
              </w:rPr>
            </w:pPr>
            <w:r>
              <w:rPr>
                <w:sz w:val="20"/>
              </w:rPr>
              <w:t>0.6</w:t>
            </w:r>
          </w:p>
        </w:tc>
        <w:tc>
          <w:tcPr>
            <w:tcW w:w="617" w:type="dxa"/>
          </w:tcPr>
          <w:p>
            <w:pPr>
              <w:pStyle w:val="TableParagraph"/>
              <w:spacing w:before="82"/>
              <w:ind w:left="108" w:right="109"/>
              <w:rPr>
                <w:sz w:val="20"/>
              </w:rPr>
            </w:pPr>
            <w:r>
              <w:rPr>
                <w:sz w:val="20"/>
              </w:rPr>
              <w:t>0.9</w:t>
            </w:r>
          </w:p>
        </w:tc>
        <w:tc>
          <w:tcPr>
            <w:tcW w:w="617" w:type="dxa"/>
          </w:tcPr>
          <w:p>
            <w:pPr>
              <w:pStyle w:val="TableParagraph"/>
              <w:spacing w:before="82"/>
              <w:ind w:left="177"/>
              <w:jc w:val="left"/>
              <w:rPr>
                <w:sz w:val="20"/>
              </w:rPr>
            </w:pPr>
            <w:r>
              <w:rPr>
                <w:sz w:val="20"/>
              </w:rPr>
              <w:t>0.7</w:t>
            </w:r>
          </w:p>
        </w:tc>
        <w:tc>
          <w:tcPr>
            <w:tcW w:w="614" w:type="dxa"/>
          </w:tcPr>
          <w:p>
            <w:pPr>
              <w:pStyle w:val="TableParagraph"/>
              <w:spacing w:before="82"/>
              <w:ind w:left="105" w:right="107"/>
              <w:rPr>
                <w:sz w:val="20"/>
              </w:rPr>
            </w:pPr>
            <w:r>
              <w:rPr>
                <w:sz w:val="20"/>
              </w:rPr>
              <w:t>1.1</w:t>
            </w:r>
          </w:p>
        </w:tc>
        <w:tc>
          <w:tcPr>
            <w:tcW w:w="617" w:type="dxa"/>
          </w:tcPr>
          <w:p>
            <w:pPr>
              <w:pStyle w:val="TableParagraph"/>
              <w:spacing w:before="82"/>
              <w:ind w:right="177"/>
              <w:jc w:val="right"/>
              <w:rPr>
                <w:sz w:val="20"/>
              </w:rPr>
            </w:pPr>
            <w:r>
              <w:rPr>
                <w:sz w:val="20"/>
              </w:rPr>
              <w:t>1.7</w:t>
            </w:r>
          </w:p>
        </w:tc>
        <w:tc>
          <w:tcPr>
            <w:tcW w:w="617" w:type="dxa"/>
          </w:tcPr>
          <w:p>
            <w:pPr>
              <w:pStyle w:val="TableParagraph"/>
              <w:spacing w:before="82"/>
              <w:ind w:left="108" w:right="109"/>
              <w:rPr>
                <w:sz w:val="20"/>
              </w:rPr>
            </w:pPr>
            <w:r>
              <w:rPr>
                <w:sz w:val="20"/>
              </w:rPr>
              <w:t>1.3</w:t>
            </w:r>
          </w:p>
        </w:tc>
        <w:tc>
          <w:tcPr>
            <w:tcW w:w="615" w:type="dxa"/>
          </w:tcPr>
          <w:p>
            <w:pPr>
              <w:pStyle w:val="TableParagraph"/>
              <w:spacing w:before="82"/>
              <w:ind w:left="157" w:right="157"/>
              <w:rPr>
                <w:sz w:val="20"/>
              </w:rPr>
            </w:pPr>
            <w:r>
              <w:rPr>
                <w:sz w:val="20"/>
              </w:rPr>
              <w:t>1.4</w:t>
            </w:r>
          </w:p>
        </w:tc>
      </w:tr>
      <w:tr>
        <w:trPr>
          <w:trHeight w:val="468" w:hRule="exact"/>
        </w:trPr>
        <w:tc>
          <w:tcPr>
            <w:tcW w:w="4518" w:type="dxa"/>
          </w:tcPr>
          <w:p>
            <w:pPr>
              <w:pStyle w:val="TableParagraph"/>
              <w:ind w:left="103" w:right="130"/>
              <w:jc w:val="left"/>
              <w:rPr>
                <w:b/>
                <w:sz w:val="20"/>
              </w:rPr>
            </w:pPr>
            <w:r>
              <w:rPr>
                <w:b/>
                <w:sz w:val="20"/>
              </w:rPr>
              <w:t>Fabricación de motores de gasolina y sus partes para vehículos automotrices</w:t>
            </w:r>
          </w:p>
        </w:tc>
        <w:tc>
          <w:tcPr>
            <w:tcW w:w="614" w:type="dxa"/>
          </w:tcPr>
          <w:p>
            <w:pPr>
              <w:pStyle w:val="TableParagraph"/>
              <w:spacing w:before="108"/>
              <w:ind w:left="106" w:right="106"/>
              <w:rPr>
                <w:sz w:val="20"/>
              </w:rPr>
            </w:pPr>
            <w:r>
              <w:rPr>
                <w:sz w:val="20"/>
              </w:rPr>
              <w:t>1.2</w:t>
            </w:r>
          </w:p>
        </w:tc>
        <w:tc>
          <w:tcPr>
            <w:tcW w:w="617" w:type="dxa"/>
          </w:tcPr>
          <w:p>
            <w:pPr>
              <w:pStyle w:val="TableParagraph"/>
              <w:spacing w:before="108"/>
              <w:ind w:left="108" w:right="109"/>
              <w:rPr>
                <w:sz w:val="20"/>
              </w:rPr>
            </w:pPr>
            <w:r>
              <w:rPr>
                <w:sz w:val="20"/>
              </w:rPr>
              <w:t>0.3</w:t>
            </w:r>
          </w:p>
        </w:tc>
        <w:tc>
          <w:tcPr>
            <w:tcW w:w="617" w:type="dxa"/>
          </w:tcPr>
          <w:p>
            <w:pPr>
              <w:pStyle w:val="TableParagraph"/>
              <w:spacing w:before="108"/>
              <w:ind w:left="177"/>
              <w:jc w:val="left"/>
              <w:rPr>
                <w:sz w:val="20"/>
              </w:rPr>
            </w:pPr>
            <w:r>
              <w:rPr>
                <w:sz w:val="20"/>
              </w:rPr>
              <w:t>0.4</w:t>
            </w:r>
          </w:p>
        </w:tc>
        <w:tc>
          <w:tcPr>
            <w:tcW w:w="614" w:type="dxa"/>
          </w:tcPr>
          <w:p>
            <w:pPr>
              <w:pStyle w:val="TableParagraph"/>
              <w:spacing w:before="108"/>
              <w:ind w:left="105" w:right="107"/>
              <w:rPr>
                <w:sz w:val="20"/>
              </w:rPr>
            </w:pPr>
            <w:r>
              <w:rPr>
                <w:sz w:val="20"/>
              </w:rPr>
              <w:t>0.5</w:t>
            </w:r>
          </w:p>
        </w:tc>
        <w:tc>
          <w:tcPr>
            <w:tcW w:w="617" w:type="dxa"/>
          </w:tcPr>
          <w:p>
            <w:pPr>
              <w:pStyle w:val="TableParagraph"/>
              <w:spacing w:before="108"/>
              <w:ind w:right="177"/>
              <w:jc w:val="right"/>
              <w:rPr>
                <w:sz w:val="20"/>
              </w:rPr>
            </w:pPr>
            <w:r>
              <w:rPr>
                <w:sz w:val="20"/>
              </w:rPr>
              <w:t>1.1</w:t>
            </w:r>
          </w:p>
        </w:tc>
        <w:tc>
          <w:tcPr>
            <w:tcW w:w="617" w:type="dxa"/>
          </w:tcPr>
          <w:p>
            <w:pPr>
              <w:pStyle w:val="TableParagraph"/>
              <w:spacing w:before="108"/>
              <w:ind w:left="108" w:right="109"/>
              <w:rPr>
                <w:sz w:val="20"/>
              </w:rPr>
            </w:pPr>
            <w:r>
              <w:rPr>
                <w:sz w:val="20"/>
              </w:rPr>
              <w:t>1.2</w:t>
            </w:r>
          </w:p>
        </w:tc>
        <w:tc>
          <w:tcPr>
            <w:tcW w:w="615" w:type="dxa"/>
          </w:tcPr>
          <w:p>
            <w:pPr>
              <w:pStyle w:val="TableParagraph"/>
              <w:spacing w:before="108"/>
              <w:ind w:left="157" w:right="157"/>
              <w:rPr>
                <w:sz w:val="20"/>
              </w:rPr>
            </w:pPr>
            <w:r>
              <w:rPr>
                <w:sz w:val="20"/>
              </w:rPr>
              <w:t>0.8</w:t>
            </w:r>
          </w:p>
        </w:tc>
      </w:tr>
      <w:tr>
        <w:trPr>
          <w:trHeight w:val="394" w:hRule="exact"/>
        </w:trPr>
        <w:tc>
          <w:tcPr>
            <w:tcW w:w="4518" w:type="dxa"/>
          </w:tcPr>
          <w:p>
            <w:pPr>
              <w:pStyle w:val="TableParagraph"/>
              <w:spacing w:before="75"/>
              <w:ind w:left="103" w:right="130"/>
              <w:jc w:val="left"/>
              <w:rPr>
                <w:b/>
                <w:sz w:val="20"/>
              </w:rPr>
            </w:pPr>
            <w:r>
              <w:rPr>
                <w:b/>
                <w:sz w:val="20"/>
              </w:rPr>
              <w:t>Fabricación de partes de sistemas de transmisión</w:t>
            </w:r>
          </w:p>
        </w:tc>
        <w:tc>
          <w:tcPr>
            <w:tcW w:w="614" w:type="dxa"/>
          </w:tcPr>
          <w:p>
            <w:pPr>
              <w:pStyle w:val="TableParagraph"/>
              <w:spacing w:before="70"/>
              <w:ind w:left="106" w:right="106"/>
              <w:rPr>
                <w:sz w:val="20"/>
              </w:rPr>
            </w:pPr>
            <w:r>
              <w:rPr>
                <w:sz w:val="20"/>
              </w:rPr>
              <w:t>0.6</w:t>
            </w:r>
          </w:p>
        </w:tc>
        <w:tc>
          <w:tcPr>
            <w:tcW w:w="617" w:type="dxa"/>
          </w:tcPr>
          <w:p>
            <w:pPr>
              <w:pStyle w:val="TableParagraph"/>
              <w:spacing w:before="70"/>
              <w:ind w:left="108" w:right="109"/>
              <w:rPr>
                <w:sz w:val="20"/>
              </w:rPr>
            </w:pPr>
            <w:r>
              <w:rPr>
                <w:sz w:val="20"/>
              </w:rPr>
              <w:t>0.4</w:t>
            </w:r>
          </w:p>
        </w:tc>
        <w:tc>
          <w:tcPr>
            <w:tcW w:w="617" w:type="dxa"/>
          </w:tcPr>
          <w:p>
            <w:pPr>
              <w:pStyle w:val="TableParagraph"/>
              <w:spacing w:before="70"/>
              <w:ind w:left="177"/>
              <w:jc w:val="left"/>
              <w:rPr>
                <w:sz w:val="20"/>
              </w:rPr>
            </w:pPr>
            <w:r>
              <w:rPr>
                <w:sz w:val="20"/>
              </w:rPr>
              <w:t>0.7</w:t>
            </w:r>
          </w:p>
        </w:tc>
        <w:tc>
          <w:tcPr>
            <w:tcW w:w="614" w:type="dxa"/>
          </w:tcPr>
          <w:p>
            <w:pPr>
              <w:pStyle w:val="TableParagraph"/>
              <w:spacing w:before="70"/>
              <w:ind w:left="105" w:right="107"/>
              <w:rPr>
                <w:sz w:val="20"/>
              </w:rPr>
            </w:pPr>
            <w:r>
              <w:rPr>
                <w:sz w:val="20"/>
              </w:rPr>
              <w:t>0.5</w:t>
            </w:r>
          </w:p>
        </w:tc>
        <w:tc>
          <w:tcPr>
            <w:tcW w:w="617" w:type="dxa"/>
          </w:tcPr>
          <w:p>
            <w:pPr>
              <w:pStyle w:val="TableParagraph"/>
              <w:spacing w:before="70"/>
              <w:ind w:right="177"/>
              <w:jc w:val="right"/>
              <w:rPr>
                <w:sz w:val="20"/>
              </w:rPr>
            </w:pPr>
            <w:r>
              <w:rPr>
                <w:sz w:val="20"/>
              </w:rPr>
              <w:t>0.5</w:t>
            </w:r>
          </w:p>
        </w:tc>
        <w:tc>
          <w:tcPr>
            <w:tcW w:w="617" w:type="dxa"/>
          </w:tcPr>
          <w:p>
            <w:pPr>
              <w:pStyle w:val="TableParagraph"/>
              <w:spacing w:before="70"/>
              <w:ind w:left="108" w:right="109"/>
              <w:rPr>
                <w:sz w:val="20"/>
              </w:rPr>
            </w:pPr>
            <w:r>
              <w:rPr>
                <w:sz w:val="20"/>
              </w:rPr>
              <w:t>0.6</w:t>
            </w:r>
          </w:p>
        </w:tc>
        <w:tc>
          <w:tcPr>
            <w:tcW w:w="615" w:type="dxa"/>
          </w:tcPr>
          <w:p>
            <w:pPr>
              <w:pStyle w:val="TableParagraph"/>
              <w:spacing w:before="70"/>
              <w:ind w:left="157" w:right="157"/>
              <w:rPr>
                <w:sz w:val="20"/>
              </w:rPr>
            </w:pPr>
            <w:r>
              <w:rPr>
                <w:sz w:val="20"/>
              </w:rPr>
              <w:t>0.2</w:t>
            </w:r>
          </w:p>
        </w:tc>
      </w:tr>
      <w:tr>
        <w:trPr>
          <w:trHeight w:val="470" w:hRule="exact"/>
        </w:trPr>
        <w:tc>
          <w:tcPr>
            <w:tcW w:w="4518" w:type="dxa"/>
          </w:tcPr>
          <w:p>
            <w:pPr>
              <w:pStyle w:val="TableParagraph"/>
              <w:ind w:left="103" w:right="130"/>
              <w:jc w:val="left"/>
              <w:rPr>
                <w:b/>
                <w:sz w:val="20"/>
              </w:rPr>
            </w:pPr>
            <w:r>
              <w:rPr>
                <w:b/>
                <w:sz w:val="20"/>
              </w:rPr>
              <w:t>Fabricación de partes de sistemas de dirección y de suspensión para vehículos automotrices</w:t>
            </w:r>
          </w:p>
        </w:tc>
        <w:tc>
          <w:tcPr>
            <w:tcW w:w="614" w:type="dxa"/>
          </w:tcPr>
          <w:p>
            <w:pPr>
              <w:pStyle w:val="TableParagraph"/>
              <w:spacing w:before="108"/>
              <w:ind w:left="106" w:right="106"/>
              <w:rPr>
                <w:sz w:val="20"/>
              </w:rPr>
            </w:pPr>
            <w:r>
              <w:rPr>
                <w:sz w:val="20"/>
              </w:rPr>
              <w:t>0.5</w:t>
            </w:r>
          </w:p>
        </w:tc>
        <w:tc>
          <w:tcPr>
            <w:tcW w:w="617" w:type="dxa"/>
          </w:tcPr>
          <w:p>
            <w:pPr>
              <w:pStyle w:val="TableParagraph"/>
              <w:spacing w:before="108"/>
              <w:ind w:left="108" w:right="109"/>
              <w:rPr>
                <w:sz w:val="20"/>
              </w:rPr>
            </w:pPr>
            <w:r>
              <w:rPr>
                <w:sz w:val="20"/>
              </w:rPr>
              <w:t>0.8</w:t>
            </w:r>
          </w:p>
        </w:tc>
        <w:tc>
          <w:tcPr>
            <w:tcW w:w="617" w:type="dxa"/>
          </w:tcPr>
          <w:p>
            <w:pPr>
              <w:pStyle w:val="TableParagraph"/>
              <w:spacing w:before="108"/>
              <w:ind w:left="177"/>
              <w:jc w:val="left"/>
              <w:rPr>
                <w:sz w:val="20"/>
              </w:rPr>
            </w:pPr>
            <w:r>
              <w:rPr>
                <w:sz w:val="20"/>
              </w:rPr>
              <w:t>0.9</w:t>
            </w:r>
          </w:p>
        </w:tc>
        <w:tc>
          <w:tcPr>
            <w:tcW w:w="614" w:type="dxa"/>
          </w:tcPr>
          <w:p>
            <w:pPr>
              <w:pStyle w:val="TableParagraph"/>
              <w:spacing w:before="108"/>
              <w:ind w:left="105" w:right="107"/>
              <w:rPr>
                <w:sz w:val="20"/>
              </w:rPr>
            </w:pPr>
            <w:r>
              <w:rPr>
                <w:sz w:val="20"/>
              </w:rPr>
              <w:t>0.4</w:t>
            </w:r>
          </w:p>
        </w:tc>
        <w:tc>
          <w:tcPr>
            <w:tcW w:w="617" w:type="dxa"/>
          </w:tcPr>
          <w:p>
            <w:pPr>
              <w:pStyle w:val="TableParagraph"/>
              <w:spacing w:before="108"/>
              <w:ind w:right="177"/>
              <w:jc w:val="right"/>
              <w:rPr>
                <w:sz w:val="20"/>
              </w:rPr>
            </w:pPr>
            <w:r>
              <w:rPr>
                <w:sz w:val="20"/>
              </w:rPr>
              <w:t>1.4</w:t>
            </w:r>
          </w:p>
        </w:tc>
        <w:tc>
          <w:tcPr>
            <w:tcW w:w="617" w:type="dxa"/>
          </w:tcPr>
          <w:p>
            <w:pPr>
              <w:pStyle w:val="TableParagraph"/>
              <w:spacing w:before="108"/>
              <w:ind w:left="108" w:right="109"/>
              <w:rPr>
                <w:sz w:val="20"/>
              </w:rPr>
            </w:pPr>
            <w:r>
              <w:rPr>
                <w:sz w:val="20"/>
              </w:rPr>
              <w:t>0.9</w:t>
            </w:r>
          </w:p>
        </w:tc>
        <w:tc>
          <w:tcPr>
            <w:tcW w:w="615" w:type="dxa"/>
          </w:tcPr>
          <w:p>
            <w:pPr>
              <w:pStyle w:val="TableParagraph"/>
              <w:spacing w:before="108"/>
              <w:ind w:left="157" w:right="157"/>
              <w:rPr>
                <w:sz w:val="20"/>
              </w:rPr>
            </w:pPr>
            <w:r>
              <w:rPr>
                <w:sz w:val="20"/>
              </w:rPr>
              <w:t>0.6</w:t>
            </w:r>
          </w:p>
        </w:tc>
      </w:tr>
      <w:tr>
        <w:trPr>
          <w:trHeight w:val="468" w:hRule="exact"/>
        </w:trPr>
        <w:tc>
          <w:tcPr>
            <w:tcW w:w="4518" w:type="dxa"/>
          </w:tcPr>
          <w:p>
            <w:pPr>
              <w:pStyle w:val="TableParagraph"/>
              <w:ind w:left="103" w:right="130"/>
              <w:jc w:val="left"/>
              <w:rPr>
                <w:b/>
                <w:sz w:val="20"/>
              </w:rPr>
            </w:pPr>
            <w:r>
              <w:rPr>
                <w:b/>
                <w:sz w:val="20"/>
              </w:rPr>
              <w:t>Fabricación de partes de sistemas de frenos para vehículos automotrices</w:t>
            </w:r>
          </w:p>
        </w:tc>
        <w:tc>
          <w:tcPr>
            <w:tcW w:w="614" w:type="dxa"/>
          </w:tcPr>
          <w:p>
            <w:pPr>
              <w:pStyle w:val="TableParagraph"/>
              <w:spacing w:before="108"/>
              <w:ind w:left="106" w:right="106"/>
              <w:rPr>
                <w:sz w:val="20"/>
              </w:rPr>
            </w:pPr>
            <w:r>
              <w:rPr>
                <w:sz w:val="20"/>
              </w:rPr>
              <w:t>1.0</w:t>
            </w:r>
          </w:p>
        </w:tc>
        <w:tc>
          <w:tcPr>
            <w:tcW w:w="617" w:type="dxa"/>
          </w:tcPr>
          <w:p>
            <w:pPr>
              <w:pStyle w:val="TableParagraph"/>
              <w:spacing w:before="108"/>
              <w:ind w:left="108" w:right="109"/>
              <w:rPr>
                <w:sz w:val="20"/>
              </w:rPr>
            </w:pPr>
            <w:r>
              <w:rPr>
                <w:sz w:val="20"/>
              </w:rPr>
              <w:t>0.9</w:t>
            </w:r>
          </w:p>
        </w:tc>
        <w:tc>
          <w:tcPr>
            <w:tcW w:w="617" w:type="dxa"/>
          </w:tcPr>
          <w:p>
            <w:pPr>
              <w:pStyle w:val="TableParagraph"/>
              <w:spacing w:before="108"/>
              <w:ind w:left="177"/>
              <w:jc w:val="left"/>
              <w:rPr>
                <w:sz w:val="20"/>
              </w:rPr>
            </w:pPr>
            <w:r>
              <w:rPr>
                <w:sz w:val="20"/>
              </w:rPr>
              <w:t>1.8</w:t>
            </w:r>
          </w:p>
        </w:tc>
        <w:tc>
          <w:tcPr>
            <w:tcW w:w="614" w:type="dxa"/>
          </w:tcPr>
          <w:p>
            <w:pPr>
              <w:pStyle w:val="TableParagraph"/>
              <w:spacing w:before="108"/>
              <w:ind w:left="105" w:right="107"/>
              <w:rPr>
                <w:sz w:val="20"/>
              </w:rPr>
            </w:pPr>
            <w:r>
              <w:rPr>
                <w:sz w:val="20"/>
              </w:rPr>
              <w:t>1.3</w:t>
            </w:r>
          </w:p>
        </w:tc>
        <w:tc>
          <w:tcPr>
            <w:tcW w:w="617" w:type="dxa"/>
          </w:tcPr>
          <w:p>
            <w:pPr>
              <w:pStyle w:val="TableParagraph"/>
              <w:spacing w:before="108"/>
              <w:ind w:right="177"/>
              <w:jc w:val="right"/>
              <w:rPr>
                <w:sz w:val="20"/>
              </w:rPr>
            </w:pPr>
            <w:r>
              <w:rPr>
                <w:sz w:val="20"/>
              </w:rPr>
              <w:t>2.2</w:t>
            </w:r>
          </w:p>
        </w:tc>
        <w:tc>
          <w:tcPr>
            <w:tcW w:w="617" w:type="dxa"/>
          </w:tcPr>
          <w:p>
            <w:pPr>
              <w:pStyle w:val="TableParagraph"/>
              <w:spacing w:before="108"/>
              <w:ind w:left="108" w:right="109"/>
              <w:rPr>
                <w:sz w:val="20"/>
              </w:rPr>
            </w:pPr>
            <w:r>
              <w:rPr>
                <w:sz w:val="20"/>
              </w:rPr>
              <w:t>2.0</w:t>
            </w:r>
          </w:p>
        </w:tc>
        <w:tc>
          <w:tcPr>
            <w:tcW w:w="615" w:type="dxa"/>
          </w:tcPr>
          <w:p>
            <w:pPr>
              <w:pStyle w:val="TableParagraph"/>
              <w:spacing w:before="108"/>
              <w:ind w:left="157" w:right="157"/>
              <w:rPr>
                <w:sz w:val="20"/>
              </w:rPr>
            </w:pPr>
            <w:r>
              <w:rPr>
                <w:sz w:val="20"/>
              </w:rPr>
              <w:t>1.6</w:t>
            </w:r>
          </w:p>
        </w:tc>
      </w:tr>
      <w:tr>
        <w:trPr>
          <w:trHeight w:val="470" w:hRule="exact"/>
        </w:trPr>
        <w:tc>
          <w:tcPr>
            <w:tcW w:w="4518" w:type="dxa"/>
          </w:tcPr>
          <w:p>
            <w:pPr>
              <w:pStyle w:val="TableParagraph"/>
              <w:ind w:left="103"/>
              <w:jc w:val="left"/>
              <w:rPr>
                <w:b/>
                <w:sz w:val="20"/>
              </w:rPr>
            </w:pPr>
            <w:r>
              <w:rPr>
                <w:b/>
                <w:sz w:val="20"/>
              </w:rPr>
              <w:t>Fabricación de equipo eléctrico y electrónico para vehículos automotores</w:t>
            </w:r>
          </w:p>
        </w:tc>
        <w:tc>
          <w:tcPr>
            <w:tcW w:w="614" w:type="dxa"/>
          </w:tcPr>
          <w:p>
            <w:pPr>
              <w:pStyle w:val="TableParagraph"/>
              <w:spacing w:before="108"/>
              <w:ind w:left="106" w:right="106"/>
              <w:rPr>
                <w:sz w:val="20"/>
              </w:rPr>
            </w:pPr>
            <w:r>
              <w:rPr>
                <w:sz w:val="20"/>
              </w:rPr>
              <w:t>0.8</w:t>
            </w:r>
          </w:p>
        </w:tc>
        <w:tc>
          <w:tcPr>
            <w:tcW w:w="617" w:type="dxa"/>
          </w:tcPr>
          <w:p>
            <w:pPr>
              <w:pStyle w:val="TableParagraph"/>
              <w:spacing w:before="108"/>
              <w:ind w:left="108" w:right="109"/>
              <w:rPr>
                <w:sz w:val="20"/>
              </w:rPr>
            </w:pPr>
            <w:r>
              <w:rPr>
                <w:sz w:val="20"/>
              </w:rPr>
              <w:t>0.4</w:t>
            </w:r>
          </w:p>
        </w:tc>
        <w:tc>
          <w:tcPr>
            <w:tcW w:w="617" w:type="dxa"/>
          </w:tcPr>
          <w:p>
            <w:pPr>
              <w:pStyle w:val="TableParagraph"/>
              <w:spacing w:before="108"/>
              <w:ind w:left="177"/>
              <w:jc w:val="left"/>
              <w:rPr>
                <w:sz w:val="20"/>
              </w:rPr>
            </w:pPr>
            <w:r>
              <w:rPr>
                <w:sz w:val="20"/>
              </w:rPr>
              <w:t>0.4</w:t>
            </w:r>
          </w:p>
        </w:tc>
        <w:tc>
          <w:tcPr>
            <w:tcW w:w="614" w:type="dxa"/>
          </w:tcPr>
          <w:p>
            <w:pPr>
              <w:pStyle w:val="TableParagraph"/>
              <w:spacing w:before="108"/>
              <w:ind w:left="105" w:right="107"/>
              <w:rPr>
                <w:sz w:val="20"/>
              </w:rPr>
            </w:pPr>
            <w:r>
              <w:rPr>
                <w:sz w:val="20"/>
              </w:rPr>
              <w:t>0.2</w:t>
            </w:r>
          </w:p>
        </w:tc>
        <w:tc>
          <w:tcPr>
            <w:tcW w:w="617" w:type="dxa"/>
          </w:tcPr>
          <w:p>
            <w:pPr>
              <w:pStyle w:val="TableParagraph"/>
              <w:spacing w:before="108"/>
              <w:ind w:right="177"/>
              <w:jc w:val="right"/>
              <w:rPr>
                <w:sz w:val="20"/>
              </w:rPr>
            </w:pPr>
            <w:r>
              <w:rPr>
                <w:sz w:val="20"/>
              </w:rPr>
              <w:t>0.7</w:t>
            </w:r>
          </w:p>
        </w:tc>
        <w:tc>
          <w:tcPr>
            <w:tcW w:w="617" w:type="dxa"/>
          </w:tcPr>
          <w:p>
            <w:pPr>
              <w:pStyle w:val="TableParagraph"/>
              <w:spacing w:before="108"/>
              <w:ind w:left="108" w:right="109"/>
              <w:rPr>
                <w:sz w:val="20"/>
              </w:rPr>
            </w:pPr>
            <w:r>
              <w:rPr>
                <w:sz w:val="20"/>
              </w:rPr>
              <w:t>0.4</w:t>
            </w:r>
          </w:p>
        </w:tc>
        <w:tc>
          <w:tcPr>
            <w:tcW w:w="615" w:type="dxa"/>
          </w:tcPr>
          <w:p>
            <w:pPr>
              <w:pStyle w:val="TableParagraph"/>
              <w:spacing w:before="108"/>
              <w:ind w:left="157" w:right="157"/>
              <w:rPr>
                <w:sz w:val="20"/>
              </w:rPr>
            </w:pPr>
            <w:r>
              <w:rPr>
                <w:sz w:val="20"/>
              </w:rPr>
              <w:t>0.5</w:t>
            </w:r>
          </w:p>
        </w:tc>
      </w:tr>
      <w:tr>
        <w:trPr>
          <w:trHeight w:val="471" w:hRule="exact"/>
        </w:trPr>
        <w:tc>
          <w:tcPr>
            <w:tcW w:w="4518" w:type="dxa"/>
          </w:tcPr>
          <w:p>
            <w:pPr>
              <w:pStyle w:val="TableParagraph"/>
              <w:ind w:left="103" w:right="130"/>
              <w:jc w:val="left"/>
              <w:rPr>
                <w:b/>
                <w:sz w:val="20"/>
              </w:rPr>
            </w:pPr>
            <w:r>
              <w:rPr>
                <w:b/>
                <w:sz w:val="20"/>
              </w:rPr>
              <w:t>Fabricación de otras partes para vehículos automotrices</w:t>
            </w:r>
          </w:p>
        </w:tc>
        <w:tc>
          <w:tcPr>
            <w:tcW w:w="614" w:type="dxa"/>
          </w:tcPr>
          <w:p>
            <w:pPr>
              <w:pStyle w:val="TableParagraph"/>
              <w:spacing w:before="109"/>
              <w:ind w:left="106" w:right="106"/>
              <w:rPr>
                <w:sz w:val="20"/>
              </w:rPr>
            </w:pPr>
            <w:r>
              <w:rPr>
                <w:sz w:val="20"/>
              </w:rPr>
              <w:t>0.7</w:t>
            </w:r>
          </w:p>
        </w:tc>
        <w:tc>
          <w:tcPr>
            <w:tcW w:w="617" w:type="dxa"/>
          </w:tcPr>
          <w:p>
            <w:pPr>
              <w:pStyle w:val="TableParagraph"/>
              <w:spacing w:before="109"/>
              <w:ind w:left="108" w:right="109"/>
              <w:rPr>
                <w:sz w:val="20"/>
              </w:rPr>
            </w:pPr>
            <w:r>
              <w:rPr>
                <w:sz w:val="20"/>
              </w:rPr>
              <w:t>1.4</w:t>
            </w:r>
          </w:p>
        </w:tc>
        <w:tc>
          <w:tcPr>
            <w:tcW w:w="617" w:type="dxa"/>
          </w:tcPr>
          <w:p>
            <w:pPr>
              <w:pStyle w:val="TableParagraph"/>
              <w:spacing w:before="109"/>
              <w:ind w:left="177"/>
              <w:jc w:val="left"/>
              <w:rPr>
                <w:sz w:val="20"/>
              </w:rPr>
            </w:pPr>
            <w:r>
              <w:rPr>
                <w:sz w:val="20"/>
              </w:rPr>
              <w:t>0.7</w:t>
            </w:r>
          </w:p>
        </w:tc>
        <w:tc>
          <w:tcPr>
            <w:tcW w:w="614" w:type="dxa"/>
          </w:tcPr>
          <w:p>
            <w:pPr>
              <w:pStyle w:val="TableParagraph"/>
              <w:spacing w:before="109"/>
              <w:ind w:left="105" w:right="107"/>
              <w:rPr>
                <w:sz w:val="20"/>
              </w:rPr>
            </w:pPr>
            <w:r>
              <w:rPr>
                <w:sz w:val="20"/>
              </w:rPr>
              <w:t>0.7</w:t>
            </w:r>
          </w:p>
        </w:tc>
        <w:tc>
          <w:tcPr>
            <w:tcW w:w="617" w:type="dxa"/>
          </w:tcPr>
          <w:p>
            <w:pPr>
              <w:pStyle w:val="TableParagraph"/>
              <w:spacing w:before="109"/>
              <w:ind w:right="177"/>
              <w:jc w:val="right"/>
              <w:rPr>
                <w:sz w:val="20"/>
              </w:rPr>
            </w:pPr>
            <w:r>
              <w:rPr>
                <w:sz w:val="20"/>
              </w:rPr>
              <w:t>1.1</w:t>
            </w:r>
          </w:p>
        </w:tc>
        <w:tc>
          <w:tcPr>
            <w:tcW w:w="617" w:type="dxa"/>
          </w:tcPr>
          <w:p>
            <w:pPr>
              <w:pStyle w:val="TableParagraph"/>
              <w:spacing w:before="109"/>
              <w:ind w:left="108" w:right="109"/>
              <w:rPr>
                <w:sz w:val="20"/>
              </w:rPr>
            </w:pPr>
            <w:r>
              <w:rPr>
                <w:sz w:val="20"/>
              </w:rPr>
              <w:t>0.6</w:t>
            </w:r>
          </w:p>
        </w:tc>
        <w:tc>
          <w:tcPr>
            <w:tcW w:w="615" w:type="dxa"/>
          </w:tcPr>
          <w:p>
            <w:pPr>
              <w:pStyle w:val="TableParagraph"/>
              <w:spacing w:before="109"/>
              <w:ind w:left="157" w:right="157"/>
              <w:rPr>
                <w:sz w:val="20"/>
              </w:rPr>
            </w:pPr>
            <w:r>
              <w:rPr>
                <w:sz w:val="20"/>
              </w:rPr>
              <w:t>0.5</w:t>
            </w:r>
          </w:p>
        </w:tc>
      </w:tr>
    </w:tbl>
    <w:p>
      <w:pPr>
        <w:spacing w:line="202" w:lineRule="exact" w:before="0"/>
        <w:ind w:left="122" w:right="97" w:firstLine="0"/>
        <w:jc w:val="left"/>
        <w:rPr>
          <w:sz w:val="18"/>
        </w:rPr>
      </w:pPr>
      <w:r>
        <w:rPr>
          <w:sz w:val="18"/>
        </w:rPr>
        <w:t>Fuente: Elaboración propia con datos de INEGI (varios años).</w:t>
      </w:r>
    </w:p>
    <w:p>
      <w:pPr>
        <w:pStyle w:val="BodyText"/>
        <w:rPr>
          <w:sz w:val="18"/>
        </w:rPr>
      </w:pPr>
    </w:p>
    <w:p>
      <w:pPr>
        <w:pStyle w:val="BodyText"/>
        <w:spacing w:line="360" w:lineRule="auto" w:before="137"/>
        <w:ind w:left="122" w:right="97"/>
      </w:pPr>
      <w:r>
        <w:rPr/>
        <w:t>El caso de la región centro es un caso especial, pues pese a que sigue siendo una importante región</w:t>
      </w:r>
      <w:r>
        <w:rPr>
          <w:spacing w:val="-11"/>
        </w:rPr>
        <w:t> </w:t>
      </w:r>
      <w:r>
        <w:rPr/>
        <w:t>para</w:t>
      </w:r>
      <w:r>
        <w:rPr>
          <w:spacing w:val="-10"/>
        </w:rPr>
        <w:t> </w:t>
      </w:r>
      <w:r>
        <w:rPr/>
        <w:t>el</w:t>
      </w:r>
      <w:r>
        <w:rPr>
          <w:spacing w:val="-11"/>
        </w:rPr>
        <w:t> </w:t>
      </w:r>
      <w:r>
        <w:rPr/>
        <w:t>sector</w:t>
      </w:r>
      <w:r>
        <w:rPr>
          <w:spacing w:val="-11"/>
        </w:rPr>
        <w:t> </w:t>
      </w:r>
      <w:r>
        <w:rPr/>
        <w:t>automotriz</w:t>
      </w:r>
      <w:r>
        <w:rPr>
          <w:spacing w:val="-8"/>
        </w:rPr>
        <w:t> </w:t>
      </w:r>
      <w:r>
        <w:rPr/>
        <w:t>y</w:t>
      </w:r>
      <w:r>
        <w:rPr>
          <w:spacing w:val="-18"/>
        </w:rPr>
        <w:t> </w:t>
      </w:r>
      <w:r>
        <w:rPr/>
        <w:t>para</w:t>
      </w:r>
      <w:r>
        <w:rPr>
          <w:spacing w:val="-13"/>
        </w:rPr>
        <w:t> </w:t>
      </w:r>
      <w:r>
        <w:rPr/>
        <w:t>la</w:t>
      </w:r>
      <w:r>
        <w:rPr>
          <w:spacing w:val="-12"/>
        </w:rPr>
        <w:t> </w:t>
      </w:r>
      <w:r>
        <w:rPr/>
        <w:t>manufactura</w:t>
      </w:r>
      <w:r>
        <w:rPr>
          <w:spacing w:val="-13"/>
        </w:rPr>
        <w:t> </w:t>
      </w:r>
      <w:r>
        <w:rPr/>
        <w:t>nacional,</w:t>
      </w:r>
      <w:r>
        <w:rPr>
          <w:spacing w:val="-11"/>
        </w:rPr>
        <w:t> </w:t>
      </w:r>
      <w:r>
        <w:rPr/>
        <w:t>ha</w:t>
      </w:r>
      <w:r>
        <w:rPr>
          <w:spacing w:val="-12"/>
        </w:rPr>
        <w:t> </w:t>
      </w:r>
      <w:r>
        <w:rPr/>
        <w:t>perdido</w:t>
      </w:r>
      <w:r>
        <w:rPr>
          <w:spacing w:val="-11"/>
        </w:rPr>
        <w:t> </w:t>
      </w:r>
      <w:r>
        <w:rPr/>
        <w:t>el</w:t>
      </w:r>
      <w:r>
        <w:rPr>
          <w:spacing w:val="-11"/>
        </w:rPr>
        <w:t> </w:t>
      </w:r>
      <w:r>
        <w:rPr/>
        <w:t>dinamismo</w:t>
      </w:r>
      <w:r>
        <w:rPr>
          <w:spacing w:val="-11"/>
        </w:rPr>
        <w:t> </w:t>
      </w:r>
      <w:r>
        <w:rPr/>
        <w:t>que</w:t>
      </w:r>
    </w:p>
    <w:p>
      <w:pPr>
        <w:pStyle w:val="BodyText"/>
        <w:rPr>
          <w:sz w:val="20"/>
        </w:rPr>
      </w:pPr>
    </w:p>
    <w:p>
      <w:pPr>
        <w:pStyle w:val="BodyText"/>
        <w:spacing w:before="5"/>
        <w:rPr>
          <w:sz w:val="11"/>
        </w:rPr>
      </w:pPr>
      <w:r>
        <w:rPr/>
        <w:pict>
          <v:line style="position:absolute;mso-position-horizontal-relative:page;mso-position-vertical-relative:paragraph;z-index:8800;mso-wrap-distance-left:0;mso-wrap-distance-right:0" from="85.103996pt,8.840721pt" to="229.123996pt,8.840721pt" stroked="true" strokeweight=".60004pt" strokecolor="#000000">
            <w10:wrap type="topAndBottom"/>
          </v:line>
        </w:pict>
      </w:r>
    </w:p>
    <w:p>
      <w:pPr>
        <w:spacing w:before="70"/>
        <w:ind w:left="122" w:right="119" w:firstLine="0"/>
        <w:jc w:val="both"/>
        <w:rPr>
          <w:sz w:val="20"/>
        </w:rPr>
      </w:pPr>
      <w:r>
        <w:rPr>
          <w:position w:val="7"/>
          <w:sz w:val="13"/>
        </w:rPr>
        <w:t>15 </w:t>
      </w:r>
      <w:r>
        <w:rPr>
          <w:sz w:val="20"/>
        </w:rPr>
        <w:t>De 1980 a 1993, la fabricación de automóviles y camiones no desglosaba a las actividades de fabricación de automóviles y camionetas y la fabricación de camiones y tracto camiones, esto sucedió hasta 1999 por lo que para fines de la elaboración de los cocientes de localización los censos de 1998 a 2008 engloban a las dos actividades anteriores en la fabricación de automóviles y camiones. Es importante señalar que antes de 1999, dentro de las actividades de la industria automotriz en México, no se consideraba a la fabricación de asientos para vehículos automotores y la fabricación de piezas metálicas troqueladas, por lo que no aparecen en el cuadro.</w:t>
      </w:r>
    </w:p>
    <w:p>
      <w:pPr>
        <w:spacing w:after="0"/>
        <w:jc w:val="both"/>
        <w:rPr>
          <w:sz w:val="20"/>
        </w:rPr>
        <w:sectPr>
          <w:pgSz w:w="12240" w:h="15840"/>
          <w:pgMar w:header="0" w:footer="1035" w:top="1360" w:bottom="1220" w:left="1580" w:right="1580"/>
        </w:sectPr>
      </w:pPr>
    </w:p>
    <w:p>
      <w:pPr>
        <w:pStyle w:val="BodyText"/>
        <w:spacing w:line="360" w:lineRule="auto" w:before="50"/>
        <w:ind w:left="102" w:right="115"/>
        <w:jc w:val="both"/>
      </w:pPr>
      <w:r>
        <w:rPr/>
        <w:t>lo</w:t>
      </w:r>
      <w:r>
        <w:rPr>
          <w:spacing w:val="-4"/>
        </w:rPr>
        <w:t> </w:t>
      </w:r>
      <w:r>
        <w:rPr/>
        <w:t>caracterizó</w:t>
      </w:r>
      <w:r>
        <w:rPr>
          <w:spacing w:val="-5"/>
        </w:rPr>
        <w:t> </w:t>
      </w:r>
      <w:r>
        <w:rPr/>
        <w:t>en</w:t>
      </w:r>
      <w:r>
        <w:rPr>
          <w:spacing w:val="-5"/>
        </w:rPr>
        <w:t> </w:t>
      </w:r>
      <w:r>
        <w:rPr/>
        <w:t>otras</w:t>
      </w:r>
      <w:r>
        <w:rPr>
          <w:spacing w:val="-5"/>
        </w:rPr>
        <w:t> </w:t>
      </w:r>
      <w:r>
        <w:rPr/>
        <w:t>épocas.</w:t>
      </w:r>
      <w:r>
        <w:rPr>
          <w:spacing w:val="-5"/>
        </w:rPr>
        <w:t> </w:t>
      </w:r>
      <w:r>
        <w:rPr/>
        <w:t>Al</w:t>
      </w:r>
      <w:r>
        <w:rPr>
          <w:spacing w:val="-5"/>
        </w:rPr>
        <w:t> </w:t>
      </w:r>
      <w:r>
        <w:rPr/>
        <w:t>respecto</w:t>
      </w:r>
      <w:r>
        <w:rPr>
          <w:spacing w:val="-4"/>
        </w:rPr>
        <w:t> </w:t>
      </w:r>
      <w:r>
        <w:rPr/>
        <w:t>Carbajal</w:t>
      </w:r>
      <w:r>
        <w:rPr>
          <w:spacing w:val="-2"/>
        </w:rPr>
        <w:t> </w:t>
      </w:r>
      <w:r>
        <w:rPr/>
        <w:t>y</w:t>
      </w:r>
      <w:r>
        <w:rPr>
          <w:spacing w:val="-12"/>
        </w:rPr>
        <w:t> </w:t>
      </w:r>
      <w:r>
        <w:rPr/>
        <w:t>de</w:t>
      </w:r>
      <w:r>
        <w:rPr>
          <w:spacing w:val="-6"/>
        </w:rPr>
        <w:t> </w:t>
      </w:r>
      <w:r>
        <w:rPr/>
        <w:t>Jesús,</w:t>
      </w:r>
      <w:r>
        <w:rPr>
          <w:spacing w:val="-4"/>
        </w:rPr>
        <w:t> </w:t>
      </w:r>
      <w:r>
        <w:rPr/>
        <w:t>2013,</w:t>
      </w:r>
      <w:r>
        <w:rPr>
          <w:spacing w:val="-2"/>
        </w:rPr>
        <w:t> </w:t>
      </w:r>
      <w:r>
        <w:rPr/>
        <w:t>mencionan</w:t>
      </w:r>
      <w:r>
        <w:rPr>
          <w:spacing w:val="-5"/>
        </w:rPr>
        <w:t> </w:t>
      </w:r>
      <w:r>
        <w:rPr/>
        <w:t>que</w:t>
      </w:r>
      <w:r>
        <w:rPr>
          <w:spacing w:val="-6"/>
        </w:rPr>
        <w:t> </w:t>
      </w:r>
      <w:r>
        <w:rPr/>
        <w:t>no</w:t>
      </w:r>
      <w:r>
        <w:rPr>
          <w:spacing w:val="-5"/>
        </w:rPr>
        <w:t> </w:t>
      </w:r>
      <w:r>
        <w:rPr/>
        <w:t>sólo se</w:t>
      </w:r>
      <w:r>
        <w:rPr>
          <w:spacing w:val="-5"/>
        </w:rPr>
        <w:t> </w:t>
      </w:r>
      <w:r>
        <w:rPr/>
        <w:t>trata</w:t>
      </w:r>
      <w:r>
        <w:rPr>
          <w:spacing w:val="-4"/>
        </w:rPr>
        <w:t> </w:t>
      </w:r>
      <w:r>
        <w:rPr/>
        <w:t>del</w:t>
      </w:r>
      <w:r>
        <w:rPr>
          <w:spacing w:val="-3"/>
        </w:rPr>
        <w:t> </w:t>
      </w:r>
      <w:r>
        <w:rPr/>
        <w:t>caso</w:t>
      </w:r>
      <w:r>
        <w:rPr>
          <w:spacing w:val="-4"/>
        </w:rPr>
        <w:t> </w:t>
      </w:r>
      <w:r>
        <w:rPr/>
        <w:t>del</w:t>
      </w:r>
      <w:r>
        <w:rPr>
          <w:spacing w:val="-3"/>
        </w:rPr>
        <w:t> </w:t>
      </w:r>
      <w:r>
        <w:rPr/>
        <w:t>sector</w:t>
      </w:r>
      <w:r>
        <w:rPr>
          <w:spacing w:val="-5"/>
        </w:rPr>
        <w:t> </w:t>
      </w:r>
      <w:r>
        <w:rPr/>
        <w:t>automotriz,</w:t>
      </w:r>
      <w:r>
        <w:rPr>
          <w:spacing w:val="-4"/>
        </w:rPr>
        <w:t> </w:t>
      </w:r>
      <w:r>
        <w:rPr/>
        <w:t>sino</w:t>
      </w:r>
      <w:r>
        <w:rPr>
          <w:spacing w:val="-3"/>
        </w:rPr>
        <w:t> </w:t>
      </w:r>
      <w:r>
        <w:rPr/>
        <w:t>también</w:t>
      </w:r>
      <w:r>
        <w:rPr>
          <w:spacing w:val="-4"/>
        </w:rPr>
        <w:t> </w:t>
      </w:r>
      <w:r>
        <w:rPr/>
        <w:t>de</w:t>
      </w:r>
      <w:r>
        <w:rPr>
          <w:spacing w:val="-5"/>
        </w:rPr>
        <w:t> </w:t>
      </w:r>
      <w:r>
        <w:rPr/>
        <w:t>la</w:t>
      </w:r>
      <w:r>
        <w:rPr>
          <w:spacing w:val="-4"/>
        </w:rPr>
        <w:t> </w:t>
      </w:r>
      <w:r>
        <w:rPr/>
        <w:t>manufactura</w:t>
      </w:r>
      <w:r>
        <w:rPr>
          <w:spacing w:val="-5"/>
        </w:rPr>
        <w:t> </w:t>
      </w:r>
      <w:r>
        <w:rPr/>
        <w:t>en</w:t>
      </w:r>
      <w:r>
        <w:rPr>
          <w:spacing w:val="-4"/>
        </w:rPr>
        <w:t> </w:t>
      </w:r>
      <w:r>
        <w:rPr/>
        <w:t>general,</w:t>
      </w:r>
      <w:r>
        <w:rPr>
          <w:spacing w:val="-3"/>
        </w:rPr>
        <w:t> </w:t>
      </w:r>
      <w:r>
        <w:rPr/>
        <w:t>sobre</w:t>
      </w:r>
      <w:r>
        <w:rPr>
          <w:spacing w:val="-3"/>
        </w:rPr>
        <w:t> </w:t>
      </w:r>
      <w:r>
        <w:rPr/>
        <w:t>este punto</w:t>
      </w:r>
      <w:r>
        <w:rPr>
          <w:spacing w:val="-13"/>
        </w:rPr>
        <w:t> </w:t>
      </w:r>
      <w:r>
        <w:rPr/>
        <w:t>destacan</w:t>
      </w:r>
      <w:r>
        <w:rPr>
          <w:spacing w:val="-13"/>
        </w:rPr>
        <w:t> </w:t>
      </w:r>
      <w:r>
        <w:rPr/>
        <w:t>dos</w:t>
      </w:r>
      <w:r>
        <w:rPr>
          <w:spacing w:val="-13"/>
        </w:rPr>
        <w:t> </w:t>
      </w:r>
      <w:r>
        <w:rPr/>
        <w:t>situaciones,</w:t>
      </w:r>
      <w:r>
        <w:rPr>
          <w:spacing w:val="-14"/>
        </w:rPr>
        <w:t> </w:t>
      </w:r>
      <w:r>
        <w:rPr/>
        <w:t>la</w:t>
      </w:r>
      <w:r>
        <w:rPr>
          <w:spacing w:val="-14"/>
        </w:rPr>
        <w:t> </w:t>
      </w:r>
      <w:r>
        <w:rPr/>
        <w:t>primera</w:t>
      </w:r>
      <w:r>
        <w:rPr>
          <w:spacing w:val="-15"/>
        </w:rPr>
        <w:t> </w:t>
      </w:r>
      <w:r>
        <w:rPr/>
        <w:t>que</w:t>
      </w:r>
      <w:r>
        <w:rPr>
          <w:spacing w:val="-14"/>
        </w:rPr>
        <w:t> </w:t>
      </w:r>
      <w:r>
        <w:rPr/>
        <w:t>tiene</w:t>
      </w:r>
      <w:r>
        <w:rPr>
          <w:spacing w:val="-14"/>
        </w:rPr>
        <w:t> </w:t>
      </w:r>
      <w:r>
        <w:rPr/>
        <w:t>que</w:t>
      </w:r>
      <w:r>
        <w:rPr>
          <w:spacing w:val="-14"/>
        </w:rPr>
        <w:t> </w:t>
      </w:r>
      <w:r>
        <w:rPr/>
        <w:t>ver</w:t>
      </w:r>
      <w:r>
        <w:rPr>
          <w:spacing w:val="-14"/>
        </w:rPr>
        <w:t> </w:t>
      </w:r>
      <w:r>
        <w:rPr/>
        <w:t>con</w:t>
      </w:r>
      <w:r>
        <w:rPr>
          <w:spacing w:val="-13"/>
        </w:rPr>
        <w:t> </w:t>
      </w:r>
      <w:r>
        <w:rPr/>
        <w:t>las</w:t>
      </w:r>
      <w:r>
        <w:rPr>
          <w:spacing w:val="-14"/>
        </w:rPr>
        <w:t> </w:t>
      </w:r>
      <w:r>
        <w:rPr/>
        <w:t>dificultades</w:t>
      </w:r>
      <w:r>
        <w:rPr>
          <w:spacing w:val="-13"/>
        </w:rPr>
        <w:t> </w:t>
      </w:r>
      <w:r>
        <w:rPr/>
        <w:t>que</w:t>
      </w:r>
      <w:r>
        <w:rPr>
          <w:spacing w:val="-14"/>
        </w:rPr>
        <w:t> </w:t>
      </w:r>
      <w:r>
        <w:rPr/>
        <w:t>ha</w:t>
      </w:r>
      <w:r>
        <w:rPr>
          <w:spacing w:val="-14"/>
        </w:rPr>
        <w:t> </w:t>
      </w:r>
      <w:r>
        <w:rPr/>
        <w:t>tenido la industria del Estado de México para adaptarse a los cambios instrumentados a partir del proceso de apertura comercial y la segunda es la pérdida de atractivo del Estado de México para las empresas transnacionales ante el nuevo orden económico vinculado a los mercados externos.</w:t>
      </w:r>
    </w:p>
    <w:p>
      <w:pPr>
        <w:pStyle w:val="BodyText"/>
        <w:spacing w:before="5"/>
        <w:rPr>
          <w:sz w:val="21"/>
        </w:rPr>
      </w:pPr>
    </w:p>
    <w:p>
      <w:pPr>
        <w:pStyle w:val="BodyText"/>
        <w:spacing w:line="360" w:lineRule="auto"/>
        <w:ind w:left="102" w:right="118"/>
        <w:jc w:val="both"/>
      </w:pPr>
      <w:r>
        <w:rPr/>
        <w:t>En términos generales se puede decir que la industria automotriz de la región centro pese a la disminución de su participación tanto en el sector automotriz como en la industria manufacturera, no deja de ser una región importante para ambas industrias, pues se trata de una región de gran tradición industrial, que puede retomar su papel protagónico a nivel nacional,</w:t>
      </w:r>
      <w:r>
        <w:rPr>
          <w:spacing w:val="-4"/>
        </w:rPr>
        <w:t> </w:t>
      </w:r>
      <w:r>
        <w:rPr/>
        <w:t>prueba</w:t>
      </w:r>
      <w:r>
        <w:rPr>
          <w:spacing w:val="-5"/>
        </w:rPr>
        <w:t> </w:t>
      </w:r>
      <w:r>
        <w:rPr/>
        <w:t>de</w:t>
      </w:r>
      <w:r>
        <w:rPr>
          <w:spacing w:val="-5"/>
        </w:rPr>
        <w:t> </w:t>
      </w:r>
      <w:r>
        <w:rPr/>
        <w:t>ello</w:t>
      </w:r>
      <w:r>
        <w:rPr>
          <w:spacing w:val="-4"/>
        </w:rPr>
        <w:t> </w:t>
      </w:r>
      <w:r>
        <w:rPr/>
        <w:t>es</w:t>
      </w:r>
      <w:r>
        <w:rPr>
          <w:spacing w:val="-4"/>
        </w:rPr>
        <w:t> </w:t>
      </w:r>
      <w:r>
        <w:rPr/>
        <w:t>que</w:t>
      </w:r>
      <w:r>
        <w:rPr>
          <w:spacing w:val="-5"/>
        </w:rPr>
        <w:t> </w:t>
      </w:r>
      <w:r>
        <w:rPr/>
        <w:t>en</w:t>
      </w:r>
      <w:r>
        <w:rPr>
          <w:spacing w:val="-4"/>
        </w:rPr>
        <w:t> </w:t>
      </w:r>
      <w:r>
        <w:rPr/>
        <w:t>el</w:t>
      </w:r>
      <w:r>
        <w:rPr>
          <w:spacing w:val="-3"/>
        </w:rPr>
        <w:t> </w:t>
      </w:r>
      <w:r>
        <w:rPr/>
        <w:t>año</w:t>
      </w:r>
      <w:r>
        <w:rPr>
          <w:spacing w:val="-4"/>
        </w:rPr>
        <w:t> </w:t>
      </w:r>
      <w:r>
        <w:rPr/>
        <w:t>2013</w:t>
      </w:r>
      <w:r>
        <w:rPr>
          <w:spacing w:val="-4"/>
        </w:rPr>
        <w:t> </w:t>
      </w:r>
      <w:r>
        <w:rPr/>
        <w:t>el</w:t>
      </w:r>
      <w:r>
        <w:rPr>
          <w:spacing w:val="-3"/>
        </w:rPr>
        <w:t> </w:t>
      </w:r>
      <w:r>
        <w:rPr/>
        <w:t>Estado</w:t>
      </w:r>
      <w:r>
        <w:rPr>
          <w:spacing w:val="-4"/>
        </w:rPr>
        <w:t> </w:t>
      </w:r>
      <w:r>
        <w:rPr/>
        <w:t>de</w:t>
      </w:r>
      <w:r>
        <w:rPr>
          <w:spacing w:val="-5"/>
        </w:rPr>
        <w:t> </w:t>
      </w:r>
      <w:r>
        <w:rPr/>
        <w:t>México</w:t>
      </w:r>
      <w:r>
        <w:rPr>
          <w:spacing w:val="-4"/>
        </w:rPr>
        <w:t> </w:t>
      </w:r>
      <w:r>
        <w:rPr/>
        <w:t>registró</w:t>
      </w:r>
      <w:r>
        <w:rPr>
          <w:spacing w:val="-5"/>
        </w:rPr>
        <w:t> </w:t>
      </w:r>
      <w:r>
        <w:rPr/>
        <w:t>una</w:t>
      </w:r>
      <w:r>
        <w:rPr>
          <w:spacing w:val="-5"/>
        </w:rPr>
        <w:t> </w:t>
      </w:r>
      <w:r>
        <w:rPr/>
        <w:t>inversión</w:t>
      </w:r>
      <w:r>
        <w:rPr>
          <w:spacing w:val="-3"/>
        </w:rPr>
        <w:t> </w:t>
      </w:r>
      <w:r>
        <w:rPr/>
        <w:t>de 211 mdd por parte de la empresa General Motors, con el fin de expandir sus operaciones en Toluca</w:t>
      </w:r>
      <w:r>
        <w:rPr>
          <w:spacing w:val="-1"/>
        </w:rPr>
        <w:t> </w:t>
      </w:r>
      <w:r>
        <w:rPr/>
        <w:t>y</w:t>
      </w:r>
      <w:r>
        <w:rPr>
          <w:spacing w:val="-8"/>
        </w:rPr>
        <w:t> </w:t>
      </w:r>
      <w:r>
        <w:rPr/>
        <w:t>45</w:t>
      </w:r>
      <w:r>
        <w:rPr>
          <w:spacing w:val="-5"/>
        </w:rPr>
        <w:t> </w:t>
      </w:r>
      <w:r>
        <w:rPr/>
        <w:t>mdd</w:t>
      </w:r>
      <w:r>
        <w:rPr>
          <w:spacing w:val="-5"/>
        </w:rPr>
        <w:t> </w:t>
      </w:r>
      <w:r>
        <w:rPr/>
        <w:t>de</w:t>
      </w:r>
      <w:r>
        <w:rPr>
          <w:spacing w:val="-6"/>
        </w:rPr>
        <w:t> </w:t>
      </w:r>
      <w:r>
        <w:rPr/>
        <w:t>Daimler</w:t>
      </w:r>
      <w:r>
        <w:rPr>
          <w:spacing w:val="-6"/>
        </w:rPr>
        <w:t> </w:t>
      </w:r>
      <w:r>
        <w:rPr/>
        <w:t>para</w:t>
      </w:r>
      <w:r>
        <w:rPr>
          <w:spacing w:val="-4"/>
        </w:rPr>
        <w:t> </w:t>
      </w:r>
      <w:r>
        <w:rPr/>
        <w:t>ampliar</w:t>
      </w:r>
      <w:r>
        <w:rPr>
          <w:spacing w:val="-6"/>
        </w:rPr>
        <w:t> </w:t>
      </w:r>
      <w:r>
        <w:rPr/>
        <w:t>la</w:t>
      </w:r>
      <w:r>
        <w:rPr>
          <w:spacing w:val="-4"/>
        </w:rPr>
        <w:t> </w:t>
      </w:r>
      <w:r>
        <w:rPr/>
        <w:t>planta</w:t>
      </w:r>
      <w:r>
        <w:rPr>
          <w:spacing w:val="-6"/>
        </w:rPr>
        <w:t> </w:t>
      </w:r>
      <w:r>
        <w:rPr/>
        <w:t>de</w:t>
      </w:r>
      <w:r>
        <w:rPr>
          <w:spacing w:val="-6"/>
        </w:rPr>
        <w:t> </w:t>
      </w:r>
      <w:r>
        <w:rPr/>
        <w:t>Santiago</w:t>
      </w:r>
      <w:r>
        <w:rPr>
          <w:spacing w:val="-5"/>
        </w:rPr>
        <w:t> </w:t>
      </w:r>
      <w:r>
        <w:rPr/>
        <w:t>Tianguistenco,</w:t>
      </w:r>
      <w:r>
        <w:rPr>
          <w:spacing w:val="-5"/>
        </w:rPr>
        <w:t> </w:t>
      </w:r>
      <w:r>
        <w:rPr/>
        <w:t>con</w:t>
      </w:r>
      <w:r>
        <w:rPr>
          <w:spacing w:val="-3"/>
        </w:rPr>
        <w:t> </w:t>
      </w:r>
      <w:r>
        <w:rPr/>
        <w:t>lo</w:t>
      </w:r>
      <w:r>
        <w:rPr>
          <w:spacing w:val="-5"/>
        </w:rPr>
        <w:t> </w:t>
      </w:r>
      <w:r>
        <w:rPr/>
        <w:t>que</w:t>
      </w:r>
      <w:r>
        <w:rPr>
          <w:spacing w:val="-4"/>
        </w:rPr>
        <w:t> </w:t>
      </w:r>
      <w:r>
        <w:rPr/>
        <w:t>se espera que inyecte un mayor dinamismo a la industria automotriz y al sector manufacturero de la</w:t>
      </w:r>
      <w:r>
        <w:rPr>
          <w:spacing w:val="-4"/>
        </w:rPr>
        <w:t> </w:t>
      </w:r>
      <w:r>
        <w:rPr/>
        <w:t>región.</w:t>
      </w:r>
    </w:p>
    <w:p>
      <w:pPr>
        <w:pStyle w:val="BodyText"/>
        <w:spacing w:before="2"/>
        <w:rPr>
          <w:sz w:val="21"/>
        </w:rPr>
      </w:pPr>
    </w:p>
    <w:p>
      <w:pPr>
        <w:pStyle w:val="BodyText"/>
        <w:spacing w:line="360" w:lineRule="auto"/>
        <w:ind w:left="102" w:right="117"/>
        <w:jc w:val="both"/>
      </w:pPr>
      <w:r>
        <w:rPr/>
        <w:t>Lo anterior nos permite, afirmar que la industria automotriz de la región centro así como de las</w:t>
      </w:r>
      <w:r>
        <w:rPr>
          <w:spacing w:val="-11"/>
        </w:rPr>
        <w:t> </w:t>
      </w:r>
      <w:r>
        <w:rPr/>
        <w:t>entidades</w:t>
      </w:r>
      <w:r>
        <w:rPr>
          <w:spacing w:val="-11"/>
        </w:rPr>
        <w:t> </w:t>
      </w:r>
      <w:r>
        <w:rPr/>
        <w:t>que</w:t>
      </w:r>
      <w:r>
        <w:rPr>
          <w:spacing w:val="-12"/>
        </w:rPr>
        <w:t> </w:t>
      </w:r>
      <w:r>
        <w:rPr/>
        <w:t>la</w:t>
      </w:r>
      <w:r>
        <w:rPr>
          <w:spacing w:val="-12"/>
        </w:rPr>
        <w:t> </w:t>
      </w:r>
      <w:r>
        <w:rPr/>
        <w:t>componen</w:t>
      </w:r>
      <w:r>
        <w:rPr>
          <w:spacing w:val="-11"/>
        </w:rPr>
        <w:t> </w:t>
      </w:r>
      <w:r>
        <w:rPr/>
        <w:t>han</w:t>
      </w:r>
      <w:r>
        <w:rPr>
          <w:spacing w:val="-11"/>
        </w:rPr>
        <w:t> </w:t>
      </w:r>
      <w:r>
        <w:rPr/>
        <w:t>jugado</w:t>
      </w:r>
      <w:r>
        <w:rPr>
          <w:spacing w:val="-12"/>
        </w:rPr>
        <w:t> </w:t>
      </w:r>
      <w:r>
        <w:rPr/>
        <w:t>un</w:t>
      </w:r>
      <w:r>
        <w:rPr>
          <w:spacing w:val="-11"/>
        </w:rPr>
        <w:t> </w:t>
      </w:r>
      <w:r>
        <w:rPr/>
        <w:t>papel</w:t>
      </w:r>
      <w:r>
        <w:rPr>
          <w:spacing w:val="-8"/>
        </w:rPr>
        <w:t> </w:t>
      </w:r>
      <w:r>
        <w:rPr/>
        <w:t>muy</w:t>
      </w:r>
      <w:r>
        <w:rPr>
          <w:spacing w:val="-16"/>
        </w:rPr>
        <w:t> </w:t>
      </w:r>
      <w:r>
        <w:rPr/>
        <w:t>importante</w:t>
      </w:r>
      <w:r>
        <w:rPr>
          <w:spacing w:val="-11"/>
        </w:rPr>
        <w:t> </w:t>
      </w:r>
      <w:r>
        <w:rPr/>
        <w:t>dentro</w:t>
      </w:r>
      <w:r>
        <w:rPr>
          <w:spacing w:val="-11"/>
        </w:rPr>
        <w:t> </w:t>
      </w:r>
      <w:r>
        <w:rPr/>
        <w:t>de</w:t>
      </w:r>
      <w:r>
        <w:rPr>
          <w:spacing w:val="-12"/>
        </w:rPr>
        <w:t> </w:t>
      </w:r>
      <w:r>
        <w:rPr/>
        <w:t>la</w:t>
      </w:r>
      <w:r>
        <w:rPr>
          <w:spacing w:val="-12"/>
        </w:rPr>
        <w:t> </w:t>
      </w:r>
      <w:r>
        <w:rPr/>
        <w:t>manufactura nacional y regional, si bien ha perdido dinamismo, ello no significa que deje de ser un detonante de crecimiento sobre todo en la manufactura</w:t>
      </w:r>
      <w:r>
        <w:rPr>
          <w:spacing w:val="-9"/>
        </w:rPr>
        <w:t> </w:t>
      </w:r>
      <w:r>
        <w:rPr/>
        <w:t>regional.</w:t>
      </w:r>
    </w:p>
    <w:p>
      <w:pPr>
        <w:pStyle w:val="BodyText"/>
        <w:spacing w:before="7"/>
        <w:rPr>
          <w:sz w:val="21"/>
        </w:rPr>
      </w:pPr>
    </w:p>
    <w:p>
      <w:pPr>
        <w:pStyle w:val="Heading1"/>
        <w:numPr>
          <w:ilvl w:val="2"/>
          <w:numId w:val="28"/>
        </w:numPr>
        <w:tabs>
          <w:tab w:pos="729" w:val="left" w:leader="none"/>
        </w:tabs>
        <w:spacing w:line="360" w:lineRule="auto" w:before="1" w:after="0"/>
        <w:ind w:left="102" w:right="116" w:firstLine="0"/>
        <w:jc w:val="both"/>
      </w:pPr>
      <w:r>
        <w:rPr/>
        <w:t>Desempeño de la industria automotriz y el sector manufacturero de la Región Norte</w:t>
      </w:r>
    </w:p>
    <w:p>
      <w:pPr>
        <w:pStyle w:val="BodyText"/>
        <w:spacing w:before="9"/>
        <w:rPr>
          <w:b/>
          <w:sz w:val="20"/>
        </w:rPr>
      </w:pPr>
    </w:p>
    <w:p>
      <w:pPr>
        <w:spacing w:line="360" w:lineRule="auto" w:before="0"/>
        <w:ind w:left="102" w:right="116" w:firstLine="0"/>
        <w:jc w:val="both"/>
        <w:rPr>
          <w:sz w:val="24"/>
        </w:rPr>
      </w:pPr>
      <w:r>
        <w:rPr>
          <w:sz w:val="24"/>
        </w:rPr>
        <w:t>A partir de que se inicia la etapa exportadora de la industria manufacturera y en específico del sector automotriz, impulsado por el </w:t>
      </w:r>
      <w:r>
        <w:rPr>
          <w:i/>
          <w:sz w:val="24"/>
        </w:rPr>
        <w:t>Decreto para el Fomento de la Industria</w:t>
      </w:r>
      <w:r>
        <w:rPr>
          <w:i/>
          <w:spacing w:val="-23"/>
          <w:sz w:val="24"/>
        </w:rPr>
        <w:t> </w:t>
      </w:r>
      <w:r>
        <w:rPr>
          <w:i/>
          <w:sz w:val="24"/>
        </w:rPr>
        <w:t>Automotriz </w:t>
      </w:r>
      <w:r>
        <w:rPr>
          <w:sz w:val="24"/>
        </w:rPr>
        <w:t>(1977)</w:t>
      </w:r>
      <w:r>
        <w:rPr>
          <w:spacing w:val="-9"/>
          <w:sz w:val="24"/>
        </w:rPr>
        <w:t> </w:t>
      </w:r>
      <w:r>
        <w:rPr>
          <w:sz w:val="24"/>
        </w:rPr>
        <w:t>y</w:t>
      </w:r>
      <w:r>
        <w:rPr>
          <w:spacing w:val="-16"/>
          <w:sz w:val="24"/>
        </w:rPr>
        <w:t> </w:t>
      </w:r>
      <w:r>
        <w:rPr>
          <w:sz w:val="24"/>
        </w:rPr>
        <w:t>el</w:t>
      </w:r>
      <w:r>
        <w:rPr>
          <w:spacing w:val="-13"/>
          <w:sz w:val="24"/>
        </w:rPr>
        <w:t> </w:t>
      </w:r>
      <w:r>
        <w:rPr>
          <w:i/>
          <w:sz w:val="24"/>
        </w:rPr>
        <w:t>Decreto</w:t>
      </w:r>
      <w:r>
        <w:rPr>
          <w:i/>
          <w:spacing w:val="-13"/>
          <w:sz w:val="24"/>
        </w:rPr>
        <w:t> </w:t>
      </w:r>
      <w:r>
        <w:rPr>
          <w:i/>
          <w:sz w:val="24"/>
        </w:rPr>
        <w:t>para</w:t>
      </w:r>
      <w:r>
        <w:rPr>
          <w:i/>
          <w:spacing w:val="-11"/>
          <w:sz w:val="24"/>
        </w:rPr>
        <w:t> </w:t>
      </w:r>
      <w:r>
        <w:rPr>
          <w:i/>
          <w:sz w:val="24"/>
        </w:rPr>
        <w:t>la</w:t>
      </w:r>
      <w:r>
        <w:rPr>
          <w:i/>
          <w:spacing w:val="-13"/>
          <w:sz w:val="24"/>
        </w:rPr>
        <w:t> </w:t>
      </w:r>
      <w:r>
        <w:rPr>
          <w:i/>
          <w:sz w:val="24"/>
        </w:rPr>
        <w:t>Racionalización</w:t>
      </w:r>
      <w:r>
        <w:rPr>
          <w:i/>
          <w:spacing w:val="-13"/>
          <w:sz w:val="24"/>
        </w:rPr>
        <w:t> </w:t>
      </w:r>
      <w:r>
        <w:rPr>
          <w:i/>
          <w:sz w:val="24"/>
        </w:rPr>
        <w:t>de</w:t>
      </w:r>
      <w:r>
        <w:rPr>
          <w:i/>
          <w:spacing w:val="-14"/>
          <w:sz w:val="24"/>
        </w:rPr>
        <w:t> </w:t>
      </w:r>
      <w:r>
        <w:rPr>
          <w:i/>
          <w:sz w:val="24"/>
        </w:rPr>
        <w:t>la</w:t>
      </w:r>
      <w:r>
        <w:rPr>
          <w:i/>
          <w:spacing w:val="-13"/>
          <w:sz w:val="24"/>
        </w:rPr>
        <w:t> </w:t>
      </w:r>
      <w:r>
        <w:rPr>
          <w:i/>
          <w:sz w:val="24"/>
        </w:rPr>
        <w:t>Industria</w:t>
      </w:r>
      <w:r>
        <w:rPr>
          <w:i/>
          <w:spacing w:val="-13"/>
          <w:sz w:val="24"/>
        </w:rPr>
        <w:t> </w:t>
      </w:r>
      <w:r>
        <w:rPr>
          <w:i/>
          <w:sz w:val="24"/>
        </w:rPr>
        <w:t>Automotriz</w:t>
      </w:r>
      <w:r>
        <w:rPr>
          <w:i/>
          <w:spacing w:val="-10"/>
          <w:sz w:val="24"/>
        </w:rPr>
        <w:t> </w:t>
      </w:r>
      <w:r>
        <w:rPr>
          <w:sz w:val="24"/>
        </w:rPr>
        <w:t>(1983),</w:t>
      </w:r>
      <w:r>
        <w:rPr>
          <w:spacing w:val="-14"/>
          <w:sz w:val="24"/>
        </w:rPr>
        <w:t> </w:t>
      </w:r>
      <w:r>
        <w:rPr>
          <w:sz w:val="24"/>
        </w:rPr>
        <w:t>se</w:t>
      </w:r>
      <w:r>
        <w:rPr>
          <w:spacing w:val="-12"/>
          <w:sz w:val="24"/>
        </w:rPr>
        <w:t> </w:t>
      </w:r>
      <w:r>
        <w:rPr>
          <w:sz w:val="24"/>
        </w:rPr>
        <w:t>comienzan a dar cambios en la localización geográfica de las empresas automotrices, sobretodo de las empresas norteamericanas, las cuales comienzan a instalar nuevas y modernas plantas en la zona norte del</w:t>
      </w:r>
      <w:r>
        <w:rPr>
          <w:spacing w:val="-3"/>
          <w:sz w:val="24"/>
        </w:rPr>
        <w:t> </w:t>
      </w:r>
      <w:r>
        <w:rPr>
          <w:sz w:val="24"/>
        </w:rPr>
        <w:t>país.</w:t>
      </w:r>
    </w:p>
    <w:p>
      <w:pPr>
        <w:spacing w:after="0" w:line="360" w:lineRule="auto"/>
        <w:jc w:val="both"/>
        <w:rPr>
          <w:sz w:val="24"/>
        </w:rPr>
        <w:sectPr>
          <w:pgSz w:w="12240" w:h="15840"/>
          <w:pgMar w:header="0" w:footer="1035" w:top="1360" w:bottom="1220" w:left="1600" w:right="1580"/>
        </w:sectPr>
      </w:pPr>
    </w:p>
    <w:p>
      <w:pPr>
        <w:pStyle w:val="BodyText"/>
        <w:spacing w:line="360" w:lineRule="auto" w:before="50"/>
        <w:ind w:left="102" w:right="115"/>
        <w:jc w:val="both"/>
      </w:pPr>
      <w:r>
        <w:rPr/>
        <w:t>Con la firma del TLCAN, la región norte de México se ha convertido en una de las regiones económicamente más destacadas, su cercanía con Estados Unidos, uno de los mercados</w:t>
      </w:r>
      <w:r>
        <w:rPr>
          <w:spacing w:val="-21"/>
        </w:rPr>
        <w:t> </w:t>
      </w:r>
      <w:r>
        <w:rPr/>
        <w:t>más grandes del mundo, la coloca en una posición envidiable para fortalecer la industrialización y el avance del país. Así el desplazamiento, del sector automotriz de la región del centro hacia la región norte de México, se volvió una necesidad, pues dicha región cuenta con mayores ventajas comparativas que les permitió operar bajo el nuevo sistema de producción flexible o “toyotista, integrándose al mercado</w:t>
      </w:r>
      <w:r>
        <w:rPr>
          <w:spacing w:val="-9"/>
        </w:rPr>
        <w:t> </w:t>
      </w:r>
      <w:r>
        <w:rPr/>
        <w:t>mundial.</w:t>
      </w:r>
    </w:p>
    <w:p>
      <w:pPr>
        <w:pStyle w:val="BodyText"/>
        <w:spacing w:before="5"/>
        <w:rPr>
          <w:sz w:val="21"/>
        </w:rPr>
      </w:pPr>
    </w:p>
    <w:p>
      <w:pPr>
        <w:pStyle w:val="BodyText"/>
        <w:spacing w:line="360" w:lineRule="auto"/>
        <w:ind w:left="102" w:right="116" w:hanging="1"/>
        <w:jc w:val="center"/>
      </w:pPr>
      <w:r>
        <w:rPr/>
        <w:t>Actualmente, la región norte se ha convertido en la región que mayor aportación realiza al sector manufacturero nacional, al observar el cuadro 4.12, encontramos que pese a que la variable de unidades económicas de la región ha presentado una disminución en su participación</w:t>
      </w:r>
      <w:r>
        <w:rPr>
          <w:spacing w:val="-8"/>
        </w:rPr>
        <w:t> </w:t>
      </w:r>
      <w:r>
        <w:rPr/>
        <w:t>dentro</w:t>
      </w:r>
      <w:r>
        <w:rPr>
          <w:spacing w:val="-9"/>
        </w:rPr>
        <w:t> </w:t>
      </w:r>
      <w:r>
        <w:rPr/>
        <w:t>del</w:t>
      </w:r>
      <w:r>
        <w:rPr>
          <w:spacing w:val="-8"/>
        </w:rPr>
        <w:t> </w:t>
      </w:r>
      <w:r>
        <w:rPr/>
        <w:t>sector</w:t>
      </w:r>
      <w:r>
        <w:rPr>
          <w:spacing w:val="-9"/>
        </w:rPr>
        <w:t> </w:t>
      </w:r>
      <w:r>
        <w:rPr/>
        <w:t>manufacturero</w:t>
      </w:r>
      <w:r>
        <w:rPr>
          <w:spacing w:val="-9"/>
        </w:rPr>
        <w:t> </w:t>
      </w:r>
      <w:r>
        <w:rPr/>
        <w:t>nacional,</w:t>
      </w:r>
      <w:r>
        <w:rPr>
          <w:spacing w:val="-8"/>
        </w:rPr>
        <w:t> </w:t>
      </w:r>
      <w:r>
        <w:rPr/>
        <w:t>al</w:t>
      </w:r>
      <w:r>
        <w:rPr>
          <w:spacing w:val="-8"/>
        </w:rPr>
        <w:t> </w:t>
      </w:r>
      <w:r>
        <w:rPr/>
        <w:t>pasar</w:t>
      </w:r>
      <w:r>
        <w:rPr>
          <w:spacing w:val="-7"/>
        </w:rPr>
        <w:t> </w:t>
      </w:r>
      <w:r>
        <w:rPr/>
        <w:t>del</w:t>
      </w:r>
      <w:r>
        <w:rPr>
          <w:spacing w:val="44"/>
        </w:rPr>
        <w:t> </w:t>
      </w:r>
      <w:r>
        <w:rPr/>
        <w:t>13.4%</w:t>
      </w:r>
      <w:r>
        <w:rPr>
          <w:spacing w:val="-7"/>
        </w:rPr>
        <w:t> </w:t>
      </w:r>
      <w:r>
        <w:rPr/>
        <w:t>en</w:t>
      </w:r>
      <w:r>
        <w:rPr>
          <w:spacing w:val="-9"/>
        </w:rPr>
        <w:t> </w:t>
      </w:r>
      <w:r>
        <w:rPr/>
        <w:t>1980</w:t>
      </w:r>
      <w:r>
        <w:rPr>
          <w:spacing w:val="-9"/>
        </w:rPr>
        <w:t> </w:t>
      </w:r>
      <w:r>
        <w:rPr/>
        <w:t>al</w:t>
      </w:r>
      <w:r>
        <w:rPr>
          <w:spacing w:val="-8"/>
        </w:rPr>
        <w:t> </w:t>
      </w:r>
      <w:r>
        <w:rPr/>
        <w:t>12.1% en 2009, la región se ha vuelto más productiva, ya que las variables de personal ocupado, producción bruta total y valor agregado censal bruto han aumentado su participación dentro de la manufactura a nivel nacional, con crecimientos de 13, 11.7 y 14.3%,</w:t>
      </w:r>
      <w:r>
        <w:rPr>
          <w:spacing w:val="-12"/>
        </w:rPr>
        <w:t> </w:t>
      </w:r>
      <w:r>
        <w:rPr/>
        <w:t>respectivamente.</w:t>
      </w:r>
    </w:p>
    <w:p>
      <w:pPr>
        <w:pStyle w:val="BodyText"/>
        <w:spacing w:before="7"/>
        <w:rPr>
          <w:sz w:val="21"/>
        </w:rPr>
      </w:pPr>
    </w:p>
    <w:p>
      <w:pPr>
        <w:pStyle w:val="Heading1"/>
        <w:spacing w:line="360" w:lineRule="auto" w:after="5"/>
        <w:ind w:left="244" w:right="258"/>
        <w:jc w:val="center"/>
      </w:pPr>
      <w:r>
        <w:rPr/>
        <w:t>Cuadro 4.12. Participación porcentual del sector manufacturero de la Región Norte en el total de la manufactura nacional, 1980 y 2008 (principales características)</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51"/>
        <w:gridCol w:w="1052"/>
        <w:gridCol w:w="893"/>
        <w:gridCol w:w="890"/>
        <w:gridCol w:w="1114"/>
        <w:gridCol w:w="1111"/>
        <w:gridCol w:w="1361"/>
        <w:gridCol w:w="1356"/>
      </w:tblGrid>
      <w:tr>
        <w:trPr>
          <w:trHeight w:val="470" w:hRule="exact"/>
        </w:trPr>
        <w:tc>
          <w:tcPr>
            <w:tcW w:w="2103" w:type="dxa"/>
            <w:gridSpan w:val="2"/>
            <w:shd w:val="clear" w:color="auto" w:fill="A6A6A6"/>
          </w:tcPr>
          <w:p>
            <w:pPr>
              <w:pStyle w:val="TableParagraph"/>
              <w:spacing w:before="113"/>
              <w:ind w:left="110"/>
              <w:jc w:val="left"/>
              <w:rPr>
                <w:b/>
                <w:sz w:val="20"/>
              </w:rPr>
            </w:pPr>
            <w:r>
              <w:rPr>
                <w:b/>
                <w:sz w:val="20"/>
              </w:rPr>
              <w:t>Unidades Económicas</w:t>
            </w:r>
          </w:p>
        </w:tc>
        <w:tc>
          <w:tcPr>
            <w:tcW w:w="1783" w:type="dxa"/>
            <w:gridSpan w:val="2"/>
            <w:shd w:val="clear" w:color="auto" w:fill="A6A6A6"/>
          </w:tcPr>
          <w:p>
            <w:pPr>
              <w:pStyle w:val="TableParagraph"/>
              <w:ind w:left="496" w:right="479" w:firstLine="16"/>
              <w:jc w:val="left"/>
              <w:rPr>
                <w:b/>
                <w:sz w:val="20"/>
              </w:rPr>
            </w:pPr>
            <w:r>
              <w:rPr>
                <w:b/>
                <w:sz w:val="20"/>
              </w:rPr>
              <w:t>Personal Ocupado</w:t>
            </w:r>
          </w:p>
        </w:tc>
        <w:tc>
          <w:tcPr>
            <w:tcW w:w="2225" w:type="dxa"/>
            <w:gridSpan w:val="2"/>
            <w:shd w:val="clear" w:color="auto" w:fill="A6A6A6"/>
          </w:tcPr>
          <w:p>
            <w:pPr>
              <w:pStyle w:val="TableParagraph"/>
              <w:ind w:left="878" w:hanging="536"/>
              <w:jc w:val="left"/>
              <w:rPr>
                <w:b/>
                <w:sz w:val="20"/>
              </w:rPr>
            </w:pPr>
            <w:r>
              <w:rPr>
                <w:b/>
                <w:sz w:val="20"/>
              </w:rPr>
              <w:t>Producción Bruta Total</w:t>
            </w:r>
          </w:p>
        </w:tc>
        <w:tc>
          <w:tcPr>
            <w:tcW w:w="2718" w:type="dxa"/>
            <w:gridSpan w:val="2"/>
            <w:shd w:val="clear" w:color="auto" w:fill="A6A6A6"/>
          </w:tcPr>
          <w:p>
            <w:pPr>
              <w:pStyle w:val="TableParagraph"/>
              <w:ind w:left="1104" w:right="336" w:hanging="752"/>
              <w:jc w:val="left"/>
              <w:rPr>
                <w:b/>
                <w:sz w:val="20"/>
              </w:rPr>
            </w:pPr>
            <w:r>
              <w:rPr>
                <w:b/>
                <w:sz w:val="20"/>
              </w:rPr>
              <w:t>Valor Agregado Censal Bruto</w:t>
            </w:r>
          </w:p>
        </w:tc>
      </w:tr>
      <w:tr>
        <w:trPr>
          <w:trHeight w:val="310" w:hRule="exact"/>
        </w:trPr>
        <w:tc>
          <w:tcPr>
            <w:tcW w:w="1051" w:type="dxa"/>
            <w:tcBorders>
              <w:top w:val="single" w:sz="50" w:space="0" w:color="A6A6A6"/>
            </w:tcBorders>
            <w:shd w:val="clear" w:color="auto" w:fill="E1EED9"/>
          </w:tcPr>
          <w:p>
            <w:pPr>
              <w:pStyle w:val="TableParagraph"/>
              <w:spacing w:line="206" w:lineRule="exact"/>
              <w:ind w:left="300" w:right="300"/>
              <w:rPr>
                <w:b/>
                <w:sz w:val="20"/>
              </w:rPr>
            </w:pPr>
            <w:r>
              <w:rPr>
                <w:b/>
                <w:sz w:val="20"/>
              </w:rPr>
              <w:t>1980</w:t>
            </w:r>
          </w:p>
        </w:tc>
        <w:tc>
          <w:tcPr>
            <w:tcW w:w="1052" w:type="dxa"/>
            <w:tcBorders>
              <w:top w:val="single" w:sz="50" w:space="0" w:color="A6A6A6"/>
            </w:tcBorders>
            <w:shd w:val="clear" w:color="auto" w:fill="E1EED9"/>
          </w:tcPr>
          <w:p>
            <w:pPr>
              <w:pStyle w:val="TableParagraph"/>
              <w:spacing w:line="206" w:lineRule="exact"/>
              <w:ind w:left="316"/>
              <w:jc w:val="left"/>
              <w:rPr>
                <w:b/>
                <w:sz w:val="20"/>
              </w:rPr>
            </w:pPr>
            <w:r>
              <w:rPr>
                <w:b/>
                <w:sz w:val="20"/>
              </w:rPr>
              <w:t>2008</w:t>
            </w:r>
          </w:p>
        </w:tc>
        <w:tc>
          <w:tcPr>
            <w:tcW w:w="893" w:type="dxa"/>
            <w:shd w:val="clear" w:color="auto" w:fill="E1EED9"/>
          </w:tcPr>
          <w:p>
            <w:pPr>
              <w:pStyle w:val="TableParagraph"/>
              <w:spacing w:before="34"/>
              <w:ind w:left="239"/>
              <w:jc w:val="left"/>
              <w:rPr>
                <w:b/>
                <w:sz w:val="20"/>
              </w:rPr>
            </w:pPr>
            <w:r>
              <w:rPr>
                <w:b/>
                <w:sz w:val="20"/>
              </w:rPr>
              <w:t>1980</w:t>
            </w:r>
          </w:p>
        </w:tc>
        <w:tc>
          <w:tcPr>
            <w:tcW w:w="890" w:type="dxa"/>
            <w:shd w:val="clear" w:color="auto" w:fill="E1EED9"/>
          </w:tcPr>
          <w:p>
            <w:pPr>
              <w:pStyle w:val="TableParagraph"/>
              <w:spacing w:before="34"/>
              <w:ind w:left="219" w:right="219"/>
              <w:rPr>
                <w:b/>
                <w:sz w:val="20"/>
              </w:rPr>
            </w:pPr>
            <w:r>
              <w:rPr>
                <w:b/>
                <w:sz w:val="20"/>
              </w:rPr>
              <w:t>2008</w:t>
            </w:r>
          </w:p>
        </w:tc>
        <w:tc>
          <w:tcPr>
            <w:tcW w:w="1114" w:type="dxa"/>
            <w:shd w:val="clear" w:color="auto" w:fill="E1EED9"/>
          </w:tcPr>
          <w:p>
            <w:pPr>
              <w:pStyle w:val="TableParagraph"/>
              <w:spacing w:before="34"/>
              <w:ind w:left="350"/>
              <w:jc w:val="left"/>
              <w:rPr>
                <w:b/>
                <w:sz w:val="20"/>
              </w:rPr>
            </w:pPr>
            <w:r>
              <w:rPr>
                <w:b/>
                <w:sz w:val="20"/>
              </w:rPr>
              <w:t>1980</w:t>
            </w:r>
          </w:p>
        </w:tc>
        <w:tc>
          <w:tcPr>
            <w:tcW w:w="1111" w:type="dxa"/>
            <w:shd w:val="clear" w:color="auto" w:fill="E1EED9"/>
          </w:tcPr>
          <w:p>
            <w:pPr>
              <w:pStyle w:val="TableParagraph"/>
              <w:spacing w:before="34"/>
              <w:ind w:left="347"/>
              <w:jc w:val="left"/>
              <w:rPr>
                <w:b/>
                <w:sz w:val="20"/>
              </w:rPr>
            </w:pPr>
            <w:r>
              <w:rPr>
                <w:b/>
                <w:sz w:val="20"/>
              </w:rPr>
              <w:t>2008</w:t>
            </w:r>
          </w:p>
        </w:tc>
        <w:tc>
          <w:tcPr>
            <w:tcW w:w="1361" w:type="dxa"/>
            <w:shd w:val="clear" w:color="auto" w:fill="E1EED9"/>
          </w:tcPr>
          <w:p>
            <w:pPr>
              <w:pStyle w:val="TableParagraph"/>
              <w:spacing w:before="34"/>
              <w:ind w:left="475"/>
              <w:jc w:val="left"/>
              <w:rPr>
                <w:b/>
                <w:sz w:val="20"/>
              </w:rPr>
            </w:pPr>
            <w:r>
              <w:rPr>
                <w:b/>
                <w:sz w:val="20"/>
              </w:rPr>
              <w:t>1980</w:t>
            </w:r>
          </w:p>
        </w:tc>
        <w:tc>
          <w:tcPr>
            <w:tcW w:w="1356" w:type="dxa"/>
            <w:shd w:val="clear" w:color="auto" w:fill="E1EED9"/>
          </w:tcPr>
          <w:p>
            <w:pPr>
              <w:pStyle w:val="TableParagraph"/>
              <w:spacing w:before="34"/>
              <w:ind w:left="470"/>
              <w:jc w:val="left"/>
              <w:rPr>
                <w:b/>
                <w:sz w:val="20"/>
              </w:rPr>
            </w:pPr>
            <w:r>
              <w:rPr>
                <w:b/>
                <w:sz w:val="20"/>
              </w:rPr>
              <w:t>2008</w:t>
            </w:r>
          </w:p>
        </w:tc>
      </w:tr>
      <w:tr>
        <w:trPr>
          <w:trHeight w:val="538" w:hRule="exact"/>
        </w:trPr>
        <w:tc>
          <w:tcPr>
            <w:tcW w:w="1051" w:type="dxa"/>
          </w:tcPr>
          <w:p>
            <w:pPr>
              <w:pStyle w:val="TableParagraph"/>
              <w:spacing w:before="142"/>
              <w:ind w:left="298" w:right="300"/>
              <w:rPr>
                <w:sz w:val="20"/>
              </w:rPr>
            </w:pPr>
            <w:r>
              <w:rPr>
                <w:sz w:val="20"/>
              </w:rPr>
              <w:t>13.4</w:t>
            </w:r>
          </w:p>
        </w:tc>
        <w:tc>
          <w:tcPr>
            <w:tcW w:w="1052" w:type="dxa"/>
          </w:tcPr>
          <w:p>
            <w:pPr>
              <w:pStyle w:val="TableParagraph"/>
              <w:spacing w:before="142"/>
              <w:ind w:left="343"/>
              <w:jc w:val="left"/>
              <w:rPr>
                <w:sz w:val="20"/>
              </w:rPr>
            </w:pPr>
            <w:r>
              <w:rPr>
                <w:sz w:val="20"/>
              </w:rPr>
              <w:t>12.1</w:t>
            </w:r>
          </w:p>
        </w:tc>
        <w:tc>
          <w:tcPr>
            <w:tcW w:w="893" w:type="dxa"/>
          </w:tcPr>
          <w:p>
            <w:pPr>
              <w:pStyle w:val="TableParagraph"/>
              <w:spacing w:before="142"/>
              <w:ind w:left="266"/>
              <w:jc w:val="left"/>
              <w:rPr>
                <w:sz w:val="20"/>
              </w:rPr>
            </w:pPr>
            <w:r>
              <w:rPr>
                <w:sz w:val="20"/>
              </w:rPr>
              <w:t>20.9</w:t>
            </w:r>
          </w:p>
        </w:tc>
        <w:tc>
          <w:tcPr>
            <w:tcW w:w="890" w:type="dxa"/>
          </w:tcPr>
          <w:p>
            <w:pPr>
              <w:pStyle w:val="TableParagraph"/>
              <w:spacing w:before="142"/>
              <w:ind w:left="218" w:right="219"/>
              <w:rPr>
                <w:sz w:val="20"/>
              </w:rPr>
            </w:pPr>
            <w:r>
              <w:rPr>
                <w:sz w:val="20"/>
              </w:rPr>
              <w:t>33.9</w:t>
            </w:r>
          </w:p>
        </w:tc>
        <w:tc>
          <w:tcPr>
            <w:tcW w:w="1114" w:type="dxa"/>
          </w:tcPr>
          <w:p>
            <w:pPr>
              <w:pStyle w:val="TableParagraph"/>
              <w:spacing w:before="142"/>
              <w:ind w:left="374"/>
              <w:jc w:val="left"/>
              <w:rPr>
                <w:sz w:val="20"/>
              </w:rPr>
            </w:pPr>
            <w:r>
              <w:rPr>
                <w:sz w:val="20"/>
              </w:rPr>
              <w:t>19.2</w:t>
            </w:r>
          </w:p>
        </w:tc>
        <w:tc>
          <w:tcPr>
            <w:tcW w:w="1111" w:type="dxa"/>
          </w:tcPr>
          <w:p>
            <w:pPr>
              <w:pStyle w:val="TableParagraph"/>
              <w:spacing w:before="142"/>
              <w:ind w:left="371"/>
              <w:jc w:val="left"/>
              <w:rPr>
                <w:sz w:val="20"/>
              </w:rPr>
            </w:pPr>
            <w:r>
              <w:rPr>
                <w:sz w:val="20"/>
              </w:rPr>
              <w:t>30.9</w:t>
            </w:r>
          </w:p>
        </w:tc>
        <w:tc>
          <w:tcPr>
            <w:tcW w:w="1361" w:type="dxa"/>
          </w:tcPr>
          <w:p>
            <w:pPr>
              <w:pStyle w:val="TableParagraph"/>
              <w:spacing w:before="142"/>
              <w:ind w:left="499"/>
              <w:jc w:val="left"/>
              <w:rPr>
                <w:sz w:val="20"/>
              </w:rPr>
            </w:pPr>
            <w:r>
              <w:rPr>
                <w:sz w:val="20"/>
              </w:rPr>
              <w:t>18.6</w:t>
            </w:r>
          </w:p>
        </w:tc>
        <w:tc>
          <w:tcPr>
            <w:tcW w:w="1356" w:type="dxa"/>
          </w:tcPr>
          <w:p>
            <w:pPr>
              <w:pStyle w:val="TableParagraph"/>
              <w:spacing w:before="142"/>
              <w:ind w:left="496"/>
              <w:jc w:val="left"/>
              <w:rPr>
                <w:sz w:val="20"/>
              </w:rPr>
            </w:pPr>
            <w:r>
              <w:rPr>
                <w:sz w:val="20"/>
              </w:rPr>
              <w:t>32.9</w:t>
            </w:r>
          </w:p>
        </w:tc>
      </w:tr>
    </w:tbl>
    <w:p>
      <w:pPr>
        <w:spacing w:line="202" w:lineRule="exact" w:before="0"/>
        <w:ind w:left="102" w:right="0" w:firstLine="0"/>
        <w:jc w:val="both"/>
        <w:rPr>
          <w:sz w:val="18"/>
        </w:rPr>
      </w:pPr>
      <w:r>
        <w:rPr>
          <w:sz w:val="18"/>
        </w:rPr>
        <w:t>Fuente: Elaboración propia con datos del INEGI (1980 y 2009).</w:t>
      </w:r>
    </w:p>
    <w:p>
      <w:pPr>
        <w:pStyle w:val="BodyText"/>
        <w:rPr>
          <w:sz w:val="18"/>
        </w:rPr>
      </w:pPr>
    </w:p>
    <w:p>
      <w:pPr>
        <w:pStyle w:val="BodyText"/>
        <w:spacing w:line="360" w:lineRule="auto" w:before="135"/>
        <w:ind w:left="102" w:right="117"/>
        <w:jc w:val="both"/>
      </w:pPr>
      <w:r>
        <w:rPr/>
        <w:t>Asimismo, la industria automotriz de la región norte ha tenido una evolución importante en su participación dentro de la industria automotriz a nivel nacional. En 1980 la región solo contaba</w:t>
      </w:r>
      <w:r>
        <w:rPr>
          <w:spacing w:val="-8"/>
        </w:rPr>
        <w:t> </w:t>
      </w:r>
      <w:r>
        <w:rPr/>
        <w:t>con</w:t>
      </w:r>
      <w:r>
        <w:rPr>
          <w:spacing w:val="-9"/>
        </w:rPr>
        <w:t> </w:t>
      </w:r>
      <w:r>
        <w:rPr/>
        <w:t>252</w:t>
      </w:r>
      <w:r>
        <w:rPr>
          <w:spacing w:val="-7"/>
        </w:rPr>
        <w:t> </w:t>
      </w:r>
      <w:r>
        <w:rPr/>
        <w:t>unidades</w:t>
      </w:r>
      <w:r>
        <w:rPr>
          <w:spacing w:val="-8"/>
        </w:rPr>
        <w:t> </w:t>
      </w:r>
      <w:r>
        <w:rPr/>
        <w:t>económicas</w:t>
      </w:r>
      <w:r>
        <w:rPr>
          <w:spacing w:val="-1"/>
        </w:rPr>
        <w:t> </w:t>
      </w:r>
      <w:r>
        <w:rPr/>
        <w:t>y</w:t>
      </w:r>
      <w:r>
        <w:rPr>
          <w:spacing w:val="-13"/>
        </w:rPr>
        <w:t> </w:t>
      </w:r>
      <w:r>
        <w:rPr/>
        <w:t>para</w:t>
      </w:r>
      <w:r>
        <w:rPr>
          <w:spacing w:val="-8"/>
        </w:rPr>
        <w:t> </w:t>
      </w:r>
      <w:r>
        <w:rPr/>
        <w:t>el</w:t>
      </w:r>
      <w:r>
        <w:rPr>
          <w:spacing w:val="-8"/>
        </w:rPr>
        <w:t> </w:t>
      </w:r>
      <w:r>
        <w:rPr/>
        <w:t>2009</w:t>
      </w:r>
      <w:r>
        <w:rPr>
          <w:spacing w:val="-9"/>
        </w:rPr>
        <w:t> </w:t>
      </w:r>
      <w:r>
        <w:rPr/>
        <w:t>la</w:t>
      </w:r>
      <w:r>
        <w:rPr>
          <w:spacing w:val="-9"/>
        </w:rPr>
        <w:t> </w:t>
      </w:r>
      <w:r>
        <w:rPr/>
        <w:t>cifra</w:t>
      </w:r>
      <w:r>
        <w:rPr>
          <w:spacing w:val="-7"/>
        </w:rPr>
        <w:t> </w:t>
      </w:r>
      <w:r>
        <w:rPr/>
        <w:t>aumentó</w:t>
      </w:r>
      <w:r>
        <w:rPr>
          <w:spacing w:val="-6"/>
        </w:rPr>
        <w:t> </w:t>
      </w:r>
      <w:r>
        <w:rPr/>
        <w:t>a</w:t>
      </w:r>
      <w:r>
        <w:rPr>
          <w:spacing w:val="-10"/>
        </w:rPr>
        <w:t> </w:t>
      </w:r>
      <w:r>
        <w:rPr/>
        <w:t>613</w:t>
      </w:r>
      <w:r>
        <w:rPr>
          <w:spacing w:val="-7"/>
        </w:rPr>
        <w:t> </w:t>
      </w:r>
      <w:r>
        <w:rPr/>
        <w:t>unidades,</w:t>
      </w:r>
      <w:r>
        <w:rPr>
          <w:spacing w:val="-8"/>
        </w:rPr>
        <w:t> </w:t>
      </w:r>
      <w:r>
        <w:rPr/>
        <w:t>lo</w:t>
      </w:r>
      <w:r>
        <w:rPr>
          <w:spacing w:val="-6"/>
        </w:rPr>
        <w:t> </w:t>
      </w:r>
      <w:r>
        <w:rPr/>
        <w:t>que representó el 31% del sector automotriz del país. Con ello, el personal ocupado creció de 1980 a 2009 un 41.2%, por lo que la región norte se convirtió en la mayor generadora de empleos dentro del sector automotriz a nivel nacional, pues al 2008 representó el 57.7%, es decir</w:t>
      </w:r>
      <w:r>
        <w:rPr>
          <w:spacing w:val="-7"/>
        </w:rPr>
        <w:t> </w:t>
      </w:r>
      <w:r>
        <w:rPr/>
        <w:t>generó</w:t>
      </w:r>
      <w:r>
        <w:rPr>
          <w:spacing w:val="-7"/>
        </w:rPr>
        <w:t> </w:t>
      </w:r>
      <w:r>
        <w:rPr/>
        <w:t>más</w:t>
      </w:r>
      <w:r>
        <w:rPr>
          <w:spacing w:val="-7"/>
        </w:rPr>
        <w:t> </w:t>
      </w:r>
      <w:r>
        <w:rPr/>
        <w:t>de</w:t>
      </w:r>
      <w:r>
        <w:rPr>
          <w:spacing w:val="-7"/>
        </w:rPr>
        <w:t> </w:t>
      </w:r>
      <w:r>
        <w:rPr/>
        <w:t>la</w:t>
      </w:r>
      <w:r>
        <w:rPr>
          <w:spacing w:val="-7"/>
        </w:rPr>
        <w:t> </w:t>
      </w:r>
      <w:r>
        <w:rPr/>
        <w:t>mitad</w:t>
      </w:r>
      <w:r>
        <w:rPr>
          <w:spacing w:val="-7"/>
        </w:rPr>
        <w:t> </w:t>
      </w:r>
      <w:r>
        <w:rPr/>
        <w:t>de</w:t>
      </w:r>
      <w:r>
        <w:rPr>
          <w:spacing w:val="-7"/>
        </w:rPr>
        <w:t> </w:t>
      </w:r>
      <w:r>
        <w:rPr/>
        <w:t>los</w:t>
      </w:r>
      <w:r>
        <w:rPr>
          <w:spacing w:val="-6"/>
        </w:rPr>
        <w:t> </w:t>
      </w:r>
      <w:r>
        <w:rPr/>
        <w:t>empleos</w:t>
      </w:r>
      <w:r>
        <w:rPr>
          <w:spacing w:val="-6"/>
        </w:rPr>
        <w:t> </w:t>
      </w:r>
      <w:r>
        <w:rPr/>
        <w:t>dentro</w:t>
      </w:r>
      <w:r>
        <w:rPr>
          <w:spacing w:val="-6"/>
        </w:rPr>
        <w:t> </w:t>
      </w:r>
      <w:r>
        <w:rPr/>
        <w:t>de</w:t>
      </w:r>
      <w:r>
        <w:rPr>
          <w:spacing w:val="-7"/>
        </w:rPr>
        <w:t> </w:t>
      </w:r>
      <w:r>
        <w:rPr/>
        <w:t>la</w:t>
      </w:r>
      <w:r>
        <w:rPr>
          <w:spacing w:val="-5"/>
        </w:rPr>
        <w:t> </w:t>
      </w:r>
      <w:r>
        <w:rPr/>
        <w:t>industria</w:t>
      </w:r>
      <w:r>
        <w:rPr>
          <w:spacing w:val="-7"/>
        </w:rPr>
        <w:t> </w:t>
      </w:r>
      <w:r>
        <w:rPr/>
        <w:t>automotriz</w:t>
      </w:r>
      <w:r>
        <w:rPr>
          <w:spacing w:val="-5"/>
        </w:rPr>
        <w:t> </w:t>
      </w:r>
      <w:r>
        <w:rPr/>
        <w:t>de</w:t>
      </w:r>
      <w:r>
        <w:rPr>
          <w:spacing w:val="-7"/>
        </w:rPr>
        <w:t> </w:t>
      </w:r>
      <w:r>
        <w:rPr/>
        <w:t>México.</w:t>
      </w:r>
      <w:r>
        <w:rPr>
          <w:spacing w:val="-7"/>
        </w:rPr>
        <w:t> </w:t>
      </w:r>
      <w:r>
        <w:rPr/>
        <w:t>De igual forma se incrementó la producción bruta total y el valor agregado censal bruto en 34.7 y 39.5%, respectivamente (véase cuadro</w:t>
      </w:r>
      <w:r>
        <w:rPr>
          <w:spacing w:val="-8"/>
        </w:rPr>
        <w:t> </w:t>
      </w:r>
      <w:r>
        <w:rPr/>
        <w:t>4.13).</w:t>
      </w:r>
    </w:p>
    <w:p>
      <w:pPr>
        <w:spacing w:after="0" w:line="360" w:lineRule="auto"/>
        <w:jc w:val="both"/>
        <w:sectPr>
          <w:pgSz w:w="12240" w:h="15840"/>
          <w:pgMar w:header="0" w:footer="1035" w:top="1360" w:bottom="1220" w:left="1600" w:right="1580"/>
        </w:sectPr>
      </w:pPr>
    </w:p>
    <w:p>
      <w:pPr>
        <w:pStyle w:val="BodyText"/>
        <w:spacing w:line="360" w:lineRule="auto" w:before="50"/>
        <w:ind w:left="102" w:right="116"/>
        <w:jc w:val="both"/>
      </w:pPr>
      <w:r>
        <w:rPr/>
        <w:t>Con respecto a las entidades federativas, se observa que, el estado de Baja California ha tenido</w:t>
      </w:r>
      <w:r>
        <w:rPr>
          <w:spacing w:val="-5"/>
        </w:rPr>
        <w:t> </w:t>
      </w:r>
      <w:r>
        <w:rPr/>
        <w:t>una</w:t>
      </w:r>
      <w:r>
        <w:rPr>
          <w:spacing w:val="-6"/>
        </w:rPr>
        <w:t> </w:t>
      </w:r>
      <w:r>
        <w:rPr/>
        <w:t>evolución</w:t>
      </w:r>
      <w:r>
        <w:rPr>
          <w:spacing w:val="-5"/>
        </w:rPr>
        <w:t> </w:t>
      </w:r>
      <w:r>
        <w:rPr/>
        <w:t>importante</w:t>
      </w:r>
      <w:r>
        <w:rPr>
          <w:spacing w:val="-5"/>
        </w:rPr>
        <w:t> </w:t>
      </w:r>
      <w:r>
        <w:rPr/>
        <w:t>en</w:t>
      </w:r>
      <w:r>
        <w:rPr>
          <w:spacing w:val="-5"/>
        </w:rPr>
        <w:t> </w:t>
      </w:r>
      <w:r>
        <w:rPr/>
        <w:t>su</w:t>
      </w:r>
      <w:r>
        <w:rPr>
          <w:spacing w:val="-5"/>
        </w:rPr>
        <w:t> </w:t>
      </w:r>
      <w:r>
        <w:rPr/>
        <w:t>participación</w:t>
      </w:r>
      <w:r>
        <w:rPr>
          <w:spacing w:val="-5"/>
        </w:rPr>
        <w:t> </w:t>
      </w:r>
      <w:r>
        <w:rPr/>
        <w:t>dentro</w:t>
      </w:r>
      <w:r>
        <w:rPr>
          <w:spacing w:val="-5"/>
        </w:rPr>
        <w:t> </w:t>
      </w:r>
      <w:r>
        <w:rPr/>
        <w:t>de</w:t>
      </w:r>
      <w:r>
        <w:rPr>
          <w:spacing w:val="-6"/>
        </w:rPr>
        <w:t> </w:t>
      </w:r>
      <w:r>
        <w:rPr/>
        <w:t>la</w:t>
      </w:r>
      <w:r>
        <w:rPr>
          <w:spacing w:val="-5"/>
        </w:rPr>
        <w:t> </w:t>
      </w:r>
      <w:r>
        <w:rPr/>
        <w:t>industria</w:t>
      </w:r>
      <w:r>
        <w:rPr>
          <w:spacing w:val="-6"/>
        </w:rPr>
        <w:t> </w:t>
      </w:r>
      <w:r>
        <w:rPr/>
        <w:t>automotriz</w:t>
      </w:r>
      <w:r>
        <w:rPr>
          <w:spacing w:val="-5"/>
        </w:rPr>
        <w:t> </w:t>
      </w:r>
      <w:r>
        <w:rPr/>
        <w:t>a</w:t>
      </w:r>
      <w:r>
        <w:rPr>
          <w:spacing w:val="-6"/>
        </w:rPr>
        <w:t> </w:t>
      </w:r>
      <w:r>
        <w:rPr/>
        <w:t>nivel nacional, pese a que su porcentaje en cuanto a las unidades económicas disminuyó en 1.6%, el personal ocupado muestra un crecimiento en 0.8%. En este sentido, en 1980 esta entidad generó 1,409 empleos directos en la industria automotriz y en 2008 la cifra aumentó a 10,466, es decir tuvo un crecimiento de 643% en el empleo generado en la industria de la entidad. De este modo, la producción bruta total y el valor agregado censal bruto incrementaron su participación en 3.4 y 2.1%, respectivamente (véase cuadro</w:t>
      </w:r>
      <w:r>
        <w:rPr>
          <w:spacing w:val="-8"/>
        </w:rPr>
        <w:t> </w:t>
      </w:r>
      <w:r>
        <w:rPr/>
        <w:t>4.13).</w:t>
      </w:r>
    </w:p>
    <w:p>
      <w:pPr>
        <w:pStyle w:val="BodyText"/>
        <w:spacing w:before="2"/>
        <w:rPr>
          <w:sz w:val="21"/>
        </w:rPr>
      </w:pPr>
    </w:p>
    <w:p>
      <w:pPr>
        <w:pStyle w:val="BodyText"/>
        <w:spacing w:line="360" w:lineRule="auto"/>
        <w:ind w:left="102" w:right="118"/>
        <w:jc w:val="both"/>
      </w:pPr>
      <w:r>
        <w:rPr/>
        <w:t>En la actualidad, en Baja California, específicamente en el municipio de Tecate, se ubica la única</w:t>
      </w:r>
      <w:r>
        <w:rPr>
          <w:spacing w:val="-8"/>
        </w:rPr>
        <w:t> </w:t>
      </w:r>
      <w:r>
        <w:rPr/>
        <w:t>planta</w:t>
      </w:r>
      <w:r>
        <w:rPr>
          <w:spacing w:val="-7"/>
        </w:rPr>
        <w:t> </w:t>
      </w:r>
      <w:r>
        <w:rPr/>
        <w:t>ensambladora</w:t>
      </w:r>
      <w:r>
        <w:rPr>
          <w:spacing w:val="-7"/>
        </w:rPr>
        <w:t> </w:t>
      </w:r>
      <w:r>
        <w:rPr/>
        <w:t>de</w:t>
      </w:r>
      <w:r>
        <w:rPr>
          <w:spacing w:val="-7"/>
        </w:rPr>
        <w:t> </w:t>
      </w:r>
      <w:r>
        <w:rPr/>
        <w:t>la</w:t>
      </w:r>
      <w:r>
        <w:rPr>
          <w:spacing w:val="-7"/>
        </w:rPr>
        <w:t> </w:t>
      </w:r>
      <w:r>
        <w:rPr/>
        <w:t>firma</w:t>
      </w:r>
      <w:r>
        <w:rPr>
          <w:spacing w:val="-7"/>
        </w:rPr>
        <w:t> </w:t>
      </w:r>
      <w:r>
        <w:rPr/>
        <w:t>Toyota</w:t>
      </w:r>
      <w:r>
        <w:rPr>
          <w:spacing w:val="-7"/>
        </w:rPr>
        <w:t> </w:t>
      </w:r>
      <w:r>
        <w:rPr/>
        <w:t>de</w:t>
      </w:r>
      <w:r>
        <w:rPr>
          <w:spacing w:val="-7"/>
        </w:rPr>
        <w:t> </w:t>
      </w:r>
      <w:r>
        <w:rPr/>
        <w:t>nuestro</w:t>
      </w:r>
      <w:r>
        <w:rPr>
          <w:spacing w:val="-6"/>
        </w:rPr>
        <w:t> </w:t>
      </w:r>
      <w:r>
        <w:rPr/>
        <w:t>país,</w:t>
      </w:r>
      <w:r>
        <w:rPr>
          <w:spacing w:val="-6"/>
        </w:rPr>
        <w:t> </w:t>
      </w:r>
      <w:r>
        <w:rPr/>
        <w:t>en</w:t>
      </w:r>
      <w:r>
        <w:rPr>
          <w:spacing w:val="-6"/>
        </w:rPr>
        <w:t> </w:t>
      </w:r>
      <w:r>
        <w:rPr/>
        <w:t>ella</w:t>
      </w:r>
      <w:r>
        <w:rPr>
          <w:spacing w:val="-7"/>
        </w:rPr>
        <w:t> </w:t>
      </w:r>
      <w:r>
        <w:rPr/>
        <w:t>se</w:t>
      </w:r>
      <w:r>
        <w:rPr>
          <w:spacing w:val="-7"/>
        </w:rPr>
        <w:t> </w:t>
      </w:r>
      <w:r>
        <w:rPr/>
        <w:t>fabrica</w:t>
      </w:r>
      <w:r>
        <w:rPr>
          <w:spacing w:val="-7"/>
        </w:rPr>
        <w:t> </w:t>
      </w:r>
      <w:r>
        <w:rPr/>
        <w:t>la</w:t>
      </w:r>
      <w:r>
        <w:rPr>
          <w:spacing w:val="-7"/>
        </w:rPr>
        <w:t> </w:t>
      </w:r>
      <w:r>
        <w:rPr/>
        <w:t>camioneta pick-up</w:t>
      </w:r>
      <w:r>
        <w:rPr>
          <w:spacing w:val="-9"/>
        </w:rPr>
        <w:t> </w:t>
      </w:r>
      <w:r>
        <w:rPr/>
        <w:t>Tacoma;</w:t>
      </w:r>
      <w:r>
        <w:rPr>
          <w:spacing w:val="-6"/>
        </w:rPr>
        <w:t> </w:t>
      </w:r>
      <w:r>
        <w:rPr/>
        <w:t>además</w:t>
      </w:r>
      <w:r>
        <w:rPr>
          <w:spacing w:val="-4"/>
        </w:rPr>
        <w:t> </w:t>
      </w:r>
      <w:r>
        <w:rPr/>
        <w:t>en</w:t>
      </w:r>
      <w:r>
        <w:rPr>
          <w:spacing w:val="-9"/>
        </w:rPr>
        <w:t> </w:t>
      </w:r>
      <w:r>
        <w:rPr/>
        <w:t>Mexicali</w:t>
      </w:r>
      <w:r>
        <w:rPr>
          <w:spacing w:val="-8"/>
        </w:rPr>
        <w:t> </w:t>
      </w:r>
      <w:r>
        <w:rPr/>
        <w:t>se</w:t>
      </w:r>
      <w:r>
        <w:rPr>
          <w:spacing w:val="-7"/>
        </w:rPr>
        <w:t> </w:t>
      </w:r>
      <w:r>
        <w:rPr/>
        <w:t>localiza</w:t>
      </w:r>
      <w:r>
        <w:rPr>
          <w:spacing w:val="-10"/>
        </w:rPr>
        <w:t> </w:t>
      </w:r>
      <w:r>
        <w:rPr/>
        <w:t>la</w:t>
      </w:r>
      <w:r>
        <w:rPr>
          <w:spacing w:val="-7"/>
        </w:rPr>
        <w:t> </w:t>
      </w:r>
      <w:r>
        <w:rPr/>
        <w:t>planta</w:t>
      </w:r>
      <w:r>
        <w:rPr>
          <w:spacing w:val="-9"/>
        </w:rPr>
        <w:t> </w:t>
      </w:r>
      <w:r>
        <w:rPr/>
        <w:t>de</w:t>
      </w:r>
      <w:r>
        <w:rPr>
          <w:spacing w:val="-7"/>
        </w:rPr>
        <w:t> </w:t>
      </w:r>
      <w:r>
        <w:rPr/>
        <w:t>camiones</w:t>
      </w:r>
      <w:r>
        <w:rPr>
          <w:spacing w:val="-6"/>
        </w:rPr>
        <w:t> </w:t>
      </w:r>
      <w:r>
        <w:rPr/>
        <w:t>Kenworth.</w:t>
      </w:r>
      <w:r>
        <w:rPr>
          <w:spacing w:val="-8"/>
        </w:rPr>
        <w:t> </w:t>
      </w:r>
      <w:r>
        <w:rPr/>
        <w:t>En</w:t>
      </w:r>
      <w:r>
        <w:rPr>
          <w:spacing w:val="-7"/>
        </w:rPr>
        <w:t> </w:t>
      </w:r>
      <w:r>
        <w:rPr/>
        <w:t>cuanto a la industria de autopartes el estado alberga a más de 25 empresas de autopartes, entre las que destacan: Delphi, Bosch y</w:t>
      </w:r>
      <w:r>
        <w:rPr>
          <w:spacing w:val="-6"/>
        </w:rPr>
        <w:t> </w:t>
      </w:r>
      <w:r>
        <w:rPr/>
        <w:t>Hyndai.</w:t>
      </w:r>
    </w:p>
    <w:p>
      <w:pPr>
        <w:pStyle w:val="BodyText"/>
        <w:spacing w:before="5"/>
        <w:rPr>
          <w:sz w:val="21"/>
        </w:rPr>
      </w:pPr>
    </w:p>
    <w:p>
      <w:pPr>
        <w:pStyle w:val="BodyText"/>
        <w:spacing w:line="360" w:lineRule="auto"/>
        <w:ind w:left="102" w:right="118"/>
        <w:jc w:val="both"/>
      </w:pPr>
      <w:r>
        <w:rPr/>
        <w:t>En un caso similar se encuentra el estado de Chihuahua que en 1980 apenas representaba el 0.7%</w:t>
      </w:r>
      <w:r>
        <w:rPr>
          <w:spacing w:val="-7"/>
        </w:rPr>
        <w:t> </w:t>
      </w:r>
      <w:r>
        <w:rPr/>
        <w:t>del</w:t>
      </w:r>
      <w:r>
        <w:rPr>
          <w:spacing w:val="-6"/>
        </w:rPr>
        <w:t> </w:t>
      </w:r>
      <w:r>
        <w:rPr/>
        <w:t>valor</w:t>
      </w:r>
      <w:r>
        <w:rPr>
          <w:spacing w:val="-7"/>
        </w:rPr>
        <w:t> </w:t>
      </w:r>
      <w:r>
        <w:rPr/>
        <w:t>agregado</w:t>
      </w:r>
      <w:r>
        <w:rPr>
          <w:spacing w:val="-4"/>
        </w:rPr>
        <w:t> </w:t>
      </w:r>
      <w:r>
        <w:rPr/>
        <w:t>censal</w:t>
      </w:r>
      <w:r>
        <w:rPr>
          <w:spacing w:val="-6"/>
        </w:rPr>
        <w:t> </w:t>
      </w:r>
      <w:r>
        <w:rPr/>
        <w:t>bruto,</w:t>
      </w:r>
      <w:r>
        <w:rPr>
          <w:spacing w:val="-6"/>
        </w:rPr>
        <w:t> </w:t>
      </w:r>
      <w:r>
        <w:rPr/>
        <w:t>el</w:t>
      </w:r>
      <w:r>
        <w:rPr>
          <w:spacing w:val="-6"/>
        </w:rPr>
        <w:t> </w:t>
      </w:r>
      <w:r>
        <w:rPr/>
        <w:t>0.1%</w:t>
      </w:r>
      <w:r>
        <w:rPr>
          <w:spacing w:val="-7"/>
        </w:rPr>
        <w:t> </w:t>
      </w:r>
      <w:r>
        <w:rPr/>
        <w:t>de</w:t>
      </w:r>
      <w:r>
        <w:rPr>
          <w:spacing w:val="-7"/>
        </w:rPr>
        <w:t> </w:t>
      </w:r>
      <w:r>
        <w:rPr/>
        <w:t>la</w:t>
      </w:r>
      <w:r>
        <w:rPr>
          <w:spacing w:val="-7"/>
        </w:rPr>
        <w:t> </w:t>
      </w:r>
      <w:r>
        <w:rPr/>
        <w:t>producción</w:t>
      </w:r>
      <w:r>
        <w:rPr>
          <w:spacing w:val="-6"/>
        </w:rPr>
        <w:t> </w:t>
      </w:r>
      <w:r>
        <w:rPr/>
        <w:t>bruta</w:t>
      </w:r>
      <w:r>
        <w:rPr>
          <w:spacing w:val="-7"/>
        </w:rPr>
        <w:t> </w:t>
      </w:r>
      <w:r>
        <w:rPr/>
        <w:t>total,</w:t>
      </w:r>
      <w:r>
        <w:rPr>
          <w:spacing w:val="-6"/>
        </w:rPr>
        <w:t> </w:t>
      </w:r>
      <w:r>
        <w:rPr/>
        <w:t>pero</w:t>
      </w:r>
      <w:r>
        <w:rPr>
          <w:spacing w:val="-7"/>
        </w:rPr>
        <w:t> </w:t>
      </w:r>
      <w:r>
        <w:rPr/>
        <w:t>para</w:t>
      </w:r>
      <w:r>
        <w:rPr>
          <w:spacing w:val="-7"/>
        </w:rPr>
        <w:t> </w:t>
      </w:r>
      <w:r>
        <w:rPr/>
        <w:t>el</w:t>
      </w:r>
      <w:r>
        <w:rPr>
          <w:spacing w:val="-6"/>
        </w:rPr>
        <w:t> </w:t>
      </w:r>
      <w:r>
        <w:rPr/>
        <w:t>2008 la</w:t>
      </w:r>
      <w:r>
        <w:rPr>
          <w:spacing w:val="-16"/>
        </w:rPr>
        <w:t> </w:t>
      </w:r>
      <w:r>
        <w:rPr/>
        <w:t>entidad</w:t>
      </w:r>
      <w:r>
        <w:rPr>
          <w:spacing w:val="-16"/>
        </w:rPr>
        <w:t> </w:t>
      </w:r>
      <w:r>
        <w:rPr/>
        <w:t>incrementó</w:t>
      </w:r>
      <w:r>
        <w:rPr>
          <w:spacing w:val="-16"/>
        </w:rPr>
        <w:t> </w:t>
      </w:r>
      <w:r>
        <w:rPr/>
        <w:t>su</w:t>
      </w:r>
      <w:r>
        <w:rPr>
          <w:spacing w:val="-13"/>
        </w:rPr>
        <w:t> </w:t>
      </w:r>
      <w:r>
        <w:rPr/>
        <w:t>participación</w:t>
      </w:r>
      <w:r>
        <w:rPr>
          <w:spacing w:val="-13"/>
        </w:rPr>
        <w:t> </w:t>
      </w:r>
      <w:r>
        <w:rPr/>
        <w:t>a</w:t>
      </w:r>
      <w:r>
        <w:rPr>
          <w:spacing w:val="-17"/>
        </w:rPr>
        <w:t> </w:t>
      </w:r>
      <w:r>
        <w:rPr/>
        <w:t>5.2</w:t>
      </w:r>
      <w:r>
        <w:rPr>
          <w:spacing w:val="-11"/>
        </w:rPr>
        <w:t> </w:t>
      </w:r>
      <w:r>
        <w:rPr/>
        <w:t>y</w:t>
      </w:r>
      <w:r>
        <w:rPr>
          <w:spacing w:val="-18"/>
        </w:rPr>
        <w:t> </w:t>
      </w:r>
      <w:r>
        <w:rPr/>
        <w:t>10.6</w:t>
      </w:r>
      <w:r>
        <w:rPr>
          <w:spacing w:val="-13"/>
        </w:rPr>
        <w:t> </w:t>
      </w:r>
      <w:r>
        <w:rPr/>
        <w:t>%,</w:t>
      </w:r>
      <w:r>
        <w:rPr>
          <w:spacing w:val="-16"/>
        </w:rPr>
        <w:t> </w:t>
      </w:r>
      <w:r>
        <w:rPr/>
        <w:t>respectivamente.</w:t>
      </w:r>
      <w:r>
        <w:rPr>
          <w:spacing w:val="-14"/>
        </w:rPr>
        <w:t> </w:t>
      </w:r>
      <w:r>
        <w:rPr/>
        <w:t>Es</w:t>
      </w:r>
      <w:r>
        <w:rPr>
          <w:spacing w:val="-16"/>
        </w:rPr>
        <w:t> </w:t>
      </w:r>
      <w:r>
        <w:rPr/>
        <w:t>importante</w:t>
      </w:r>
      <w:r>
        <w:rPr>
          <w:spacing w:val="-16"/>
        </w:rPr>
        <w:t> </w:t>
      </w:r>
      <w:r>
        <w:rPr/>
        <w:t>resaltar el hecho de que Chihuahua es el tercer estado más importante en cuanto a su participación en el valor agregado censal bruto de la industria automotriz nacional, ubicándose solo por debajo</w:t>
      </w:r>
      <w:r>
        <w:rPr>
          <w:spacing w:val="-6"/>
        </w:rPr>
        <w:t> </w:t>
      </w:r>
      <w:r>
        <w:rPr/>
        <w:t>de</w:t>
      </w:r>
      <w:r>
        <w:rPr>
          <w:spacing w:val="-5"/>
        </w:rPr>
        <w:t> </w:t>
      </w:r>
      <w:r>
        <w:rPr/>
        <w:t>Coahuila</w:t>
      </w:r>
      <w:r>
        <w:rPr>
          <w:spacing w:val="-2"/>
        </w:rPr>
        <w:t> </w:t>
      </w:r>
      <w:r>
        <w:rPr/>
        <w:t>y</w:t>
      </w:r>
      <w:r>
        <w:rPr>
          <w:spacing w:val="-11"/>
        </w:rPr>
        <w:t> </w:t>
      </w:r>
      <w:r>
        <w:rPr/>
        <w:t>Puebla.</w:t>
      </w:r>
      <w:r>
        <w:rPr>
          <w:spacing w:val="-7"/>
        </w:rPr>
        <w:t> </w:t>
      </w:r>
      <w:r>
        <w:rPr/>
        <w:t>Asimismo,</w:t>
      </w:r>
      <w:r>
        <w:rPr>
          <w:spacing w:val="-6"/>
        </w:rPr>
        <w:t> </w:t>
      </w:r>
      <w:r>
        <w:rPr/>
        <w:t>es</w:t>
      </w:r>
      <w:r>
        <w:rPr>
          <w:spacing w:val="-6"/>
        </w:rPr>
        <w:t> </w:t>
      </w:r>
      <w:r>
        <w:rPr/>
        <w:t>la</w:t>
      </w:r>
      <w:r>
        <w:rPr>
          <w:spacing w:val="-2"/>
        </w:rPr>
        <w:t> </w:t>
      </w:r>
      <w:r>
        <w:rPr/>
        <w:t>entidad</w:t>
      </w:r>
      <w:r>
        <w:rPr>
          <w:spacing w:val="-6"/>
        </w:rPr>
        <w:t> </w:t>
      </w:r>
      <w:r>
        <w:rPr/>
        <w:t>que</w:t>
      </w:r>
      <w:r>
        <w:rPr>
          <w:spacing w:val="-5"/>
        </w:rPr>
        <w:t> </w:t>
      </w:r>
      <w:r>
        <w:rPr/>
        <w:t>mayor</w:t>
      </w:r>
      <w:r>
        <w:rPr>
          <w:spacing w:val="-5"/>
        </w:rPr>
        <w:t> </w:t>
      </w:r>
      <w:r>
        <w:rPr/>
        <w:t>número</w:t>
      </w:r>
      <w:r>
        <w:rPr>
          <w:spacing w:val="-6"/>
        </w:rPr>
        <w:t> </w:t>
      </w:r>
      <w:r>
        <w:rPr/>
        <w:t>de</w:t>
      </w:r>
      <w:r>
        <w:rPr>
          <w:spacing w:val="-7"/>
        </w:rPr>
        <w:t> </w:t>
      </w:r>
      <w:r>
        <w:rPr/>
        <w:t>empleos</w:t>
      </w:r>
      <w:r>
        <w:rPr>
          <w:spacing w:val="-4"/>
        </w:rPr>
        <w:t> </w:t>
      </w:r>
      <w:r>
        <w:rPr/>
        <w:t>genera dentro de la industria automotriz, al 2008, empleó a 108,340 trabajadores (véase cuadro 4.13).</w:t>
      </w:r>
    </w:p>
    <w:p>
      <w:pPr>
        <w:pStyle w:val="BodyText"/>
        <w:spacing w:before="4"/>
        <w:rPr>
          <w:sz w:val="21"/>
        </w:rPr>
      </w:pPr>
    </w:p>
    <w:p>
      <w:pPr>
        <w:pStyle w:val="BodyText"/>
        <w:spacing w:line="360" w:lineRule="auto" w:before="1"/>
        <w:ind w:left="102" w:right="119"/>
        <w:jc w:val="both"/>
      </w:pPr>
      <w:r>
        <w:rPr/>
        <w:t>Este</w:t>
      </w:r>
      <w:r>
        <w:rPr>
          <w:spacing w:val="-14"/>
        </w:rPr>
        <w:t> </w:t>
      </w:r>
      <w:r>
        <w:rPr/>
        <w:t>sobresaliente</w:t>
      </w:r>
      <w:r>
        <w:rPr>
          <w:spacing w:val="-14"/>
        </w:rPr>
        <w:t> </w:t>
      </w:r>
      <w:r>
        <w:rPr/>
        <w:t>comportamiento</w:t>
      </w:r>
      <w:r>
        <w:rPr>
          <w:spacing w:val="-13"/>
        </w:rPr>
        <w:t> </w:t>
      </w:r>
      <w:r>
        <w:rPr/>
        <w:t>del</w:t>
      </w:r>
      <w:r>
        <w:rPr>
          <w:spacing w:val="-11"/>
        </w:rPr>
        <w:t> </w:t>
      </w:r>
      <w:r>
        <w:rPr/>
        <w:t>estado</w:t>
      </w:r>
      <w:r>
        <w:rPr>
          <w:spacing w:val="-14"/>
        </w:rPr>
        <w:t> </w:t>
      </w:r>
      <w:r>
        <w:rPr/>
        <w:t>de</w:t>
      </w:r>
      <w:r>
        <w:rPr>
          <w:spacing w:val="-14"/>
        </w:rPr>
        <w:t> </w:t>
      </w:r>
      <w:r>
        <w:rPr/>
        <w:t>Chihuahua</w:t>
      </w:r>
      <w:r>
        <w:rPr>
          <w:spacing w:val="-15"/>
        </w:rPr>
        <w:t> </w:t>
      </w:r>
      <w:r>
        <w:rPr/>
        <w:t>se</w:t>
      </w:r>
      <w:r>
        <w:rPr>
          <w:spacing w:val="-12"/>
        </w:rPr>
        <w:t> </w:t>
      </w:r>
      <w:r>
        <w:rPr/>
        <w:t>debe</w:t>
      </w:r>
      <w:r>
        <w:rPr>
          <w:spacing w:val="-12"/>
        </w:rPr>
        <w:t> </w:t>
      </w:r>
      <w:r>
        <w:rPr/>
        <w:t>al</w:t>
      </w:r>
      <w:r>
        <w:rPr>
          <w:spacing w:val="-13"/>
        </w:rPr>
        <w:t> </w:t>
      </w:r>
      <w:r>
        <w:rPr/>
        <w:t>papel</w:t>
      </w:r>
      <w:r>
        <w:rPr>
          <w:spacing w:val="-11"/>
        </w:rPr>
        <w:t> </w:t>
      </w:r>
      <w:r>
        <w:rPr/>
        <w:t>protagónico</w:t>
      </w:r>
      <w:r>
        <w:rPr>
          <w:spacing w:val="-14"/>
        </w:rPr>
        <w:t> </w:t>
      </w:r>
      <w:r>
        <w:rPr/>
        <w:t>que tiene a industria de autopartes, actualmente se encuentran ubicadas más de 170 empresas de autopartes,</w:t>
      </w:r>
      <w:r>
        <w:rPr>
          <w:spacing w:val="-4"/>
        </w:rPr>
        <w:t> </w:t>
      </w:r>
      <w:r>
        <w:rPr/>
        <w:t>destacando</w:t>
      </w:r>
      <w:r>
        <w:rPr>
          <w:spacing w:val="-2"/>
        </w:rPr>
        <w:t> </w:t>
      </w:r>
      <w:r>
        <w:rPr/>
        <w:t>las</w:t>
      </w:r>
      <w:r>
        <w:rPr>
          <w:spacing w:val="-4"/>
        </w:rPr>
        <w:t> </w:t>
      </w:r>
      <w:r>
        <w:rPr/>
        <w:t>empresas</w:t>
      </w:r>
      <w:r>
        <w:rPr>
          <w:spacing w:val="-2"/>
        </w:rPr>
        <w:t> </w:t>
      </w:r>
      <w:r>
        <w:rPr/>
        <w:t>Delphi,</w:t>
      </w:r>
      <w:r>
        <w:rPr>
          <w:spacing w:val="-2"/>
        </w:rPr>
        <w:t> </w:t>
      </w:r>
      <w:r>
        <w:rPr/>
        <w:t>Lear,</w:t>
      </w:r>
      <w:r>
        <w:rPr>
          <w:spacing w:val="-2"/>
        </w:rPr>
        <w:t> </w:t>
      </w:r>
      <w:r>
        <w:rPr/>
        <w:t>Yazaki</w:t>
      </w:r>
      <w:r>
        <w:rPr>
          <w:spacing w:val="-2"/>
        </w:rPr>
        <w:t> </w:t>
      </w:r>
      <w:r>
        <w:rPr/>
        <w:t>y</w:t>
      </w:r>
      <w:r>
        <w:rPr>
          <w:spacing w:val="-8"/>
        </w:rPr>
        <w:t> </w:t>
      </w:r>
      <w:r>
        <w:rPr/>
        <w:t>la</w:t>
      </w:r>
      <w:r>
        <w:rPr>
          <w:spacing w:val="-5"/>
        </w:rPr>
        <w:t> </w:t>
      </w:r>
      <w:r>
        <w:rPr/>
        <w:t>planta</w:t>
      </w:r>
      <w:r>
        <w:rPr>
          <w:spacing w:val="-5"/>
        </w:rPr>
        <w:t> </w:t>
      </w:r>
      <w:r>
        <w:rPr/>
        <w:t>de</w:t>
      </w:r>
      <w:r>
        <w:rPr>
          <w:spacing w:val="-5"/>
        </w:rPr>
        <w:t> </w:t>
      </w:r>
      <w:r>
        <w:rPr/>
        <w:t>motores y</w:t>
      </w:r>
      <w:r>
        <w:rPr>
          <w:spacing w:val="-9"/>
        </w:rPr>
        <w:t> </w:t>
      </w:r>
      <w:r>
        <w:rPr/>
        <w:t>fundición de Ford. En general, la producción de autopartes del estado se enfoca en la fabricación de arneses y vestiduras</w:t>
      </w:r>
      <w:r>
        <w:rPr>
          <w:spacing w:val="-8"/>
        </w:rPr>
        <w:t> </w:t>
      </w:r>
      <w:r>
        <w:rPr/>
        <w:t>automotrices.</w:t>
      </w:r>
    </w:p>
    <w:p>
      <w:pPr>
        <w:pStyle w:val="BodyText"/>
        <w:spacing w:before="2"/>
        <w:rPr>
          <w:sz w:val="21"/>
        </w:rPr>
      </w:pPr>
    </w:p>
    <w:p>
      <w:pPr>
        <w:pStyle w:val="BodyText"/>
        <w:spacing w:line="360" w:lineRule="auto" w:before="1"/>
        <w:ind w:left="102" w:right="117"/>
        <w:jc w:val="both"/>
      </w:pPr>
      <w:r>
        <w:rPr/>
        <w:t>La industria automotriz del estado de Coahuila ha mostrado un avance importante en</w:t>
      </w:r>
      <w:r>
        <w:rPr>
          <w:spacing w:val="-16"/>
        </w:rPr>
        <w:t> </w:t>
      </w:r>
      <w:r>
        <w:rPr/>
        <w:t>cuanto a sus aportaciones a la industria automotriz nacional. En primer lugar, las unidades económicas</w:t>
      </w:r>
      <w:r>
        <w:rPr>
          <w:spacing w:val="-11"/>
        </w:rPr>
        <w:t> </w:t>
      </w:r>
      <w:r>
        <w:rPr/>
        <w:t>automotrices</w:t>
      </w:r>
      <w:r>
        <w:rPr>
          <w:spacing w:val="-11"/>
        </w:rPr>
        <w:t> </w:t>
      </w:r>
      <w:r>
        <w:rPr/>
        <w:t>crecieron</w:t>
      </w:r>
      <w:r>
        <w:rPr>
          <w:spacing w:val="-12"/>
        </w:rPr>
        <w:t> </w:t>
      </w:r>
      <w:r>
        <w:rPr/>
        <w:t>de</w:t>
      </w:r>
      <w:r>
        <w:rPr>
          <w:spacing w:val="-12"/>
        </w:rPr>
        <w:t> </w:t>
      </w:r>
      <w:r>
        <w:rPr/>
        <w:t>1980</w:t>
      </w:r>
      <w:r>
        <w:rPr>
          <w:spacing w:val="-11"/>
        </w:rPr>
        <w:t> </w:t>
      </w:r>
      <w:r>
        <w:rPr/>
        <w:t>a</w:t>
      </w:r>
      <w:r>
        <w:rPr>
          <w:spacing w:val="-12"/>
        </w:rPr>
        <w:t> </w:t>
      </w:r>
      <w:r>
        <w:rPr/>
        <w:t>2009</w:t>
      </w:r>
      <w:r>
        <w:rPr>
          <w:spacing w:val="-9"/>
        </w:rPr>
        <w:t> </w:t>
      </w:r>
      <w:r>
        <w:rPr/>
        <w:t>2.3%</w:t>
      </w:r>
      <w:r>
        <w:rPr>
          <w:spacing w:val="-12"/>
        </w:rPr>
        <w:t> </w:t>
      </w:r>
      <w:r>
        <w:rPr/>
        <w:t>lo</w:t>
      </w:r>
      <w:r>
        <w:rPr>
          <w:spacing w:val="-11"/>
        </w:rPr>
        <w:t> </w:t>
      </w:r>
      <w:r>
        <w:rPr/>
        <w:t>que</w:t>
      </w:r>
      <w:r>
        <w:rPr>
          <w:spacing w:val="-12"/>
        </w:rPr>
        <w:t> </w:t>
      </w:r>
      <w:r>
        <w:rPr/>
        <w:t>le</w:t>
      </w:r>
      <w:r>
        <w:rPr>
          <w:spacing w:val="-12"/>
        </w:rPr>
        <w:t> </w:t>
      </w:r>
      <w:r>
        <w:rPr/>
        <w:t>permitió</w:t>
      </w:r>
      <w:r>
        <w:rPr>
          <w:spacing w:val="-11"/>
        </w:rPr>
        <w:t> </w:t>
      </w:r>
      <w:r>
        <w:rPr/>
        <w:t>al</w:t>
      </w:r>
      <w:r>
        <w:rPr>
          <w:spacing w:val="-11"/>
        </w:rPr>
        <w:t> </w:t>
      </w:r>
      <w:r>
        <w:rPr/>
        <w:t>estado</w:t>
      </w:r>
      <w:r>
        <w:rPr>
          <w:spacing w:val="-11"/>
        </w:rPr>
        <w:t> </w:t>
      </w:r>
      <w:r>
        <w:rPr/>
        <w:t>emplear</w:t>
      </w:r>
    </w:p>
    <w:p>
      <w:pPr>
        <w:spacing w:after="0" w:line="360" w:lineRule="auto"/>
        <w:jc w:val="both"/>
        <w:sectPr>
          <w:pgSz w:w="12240" w:h="15840"/>
          <w:pgMar w:header="0" w:footer="1035" w:top="1360" w:bottom="1220" w:left="1600" w:right="1580"/>
        </w:sectPr>
      </w:pPr>
    </w:p>
    <w:p>
      <w:pPr>
        <w:pStyle w:val="BodyText"/>
        <w:spacing w:line="360" w:lineRule="auto" w:before="50"/>
        <w:ind w:left="102" w:right="117"/>
        <w:jc w:val="both"/>
      </w:pPr>
      <w:r>
        <w:rPr/>
        <w:t>al</w:t>
      </w:r>
      <w:r>
        <w:rPr>
          <w:spacing w:val="-15"/>
        </w:rPr>
        <w:t> </w:t>
      </w:r>
      <w:r>
        <w:rPr/>
        <w:t>11.6%</w:t>
      </w:r>
      <w:r>
        <w:rPr>
          <w:spacing w:val="-17"/>
        </w:rPr>
        <w:t> </w:t>
      </w:r>
      <w:r>
        <w:rPr/>
        <w:t>del</w:t>
      </w:r>
      <w:r>
        <w:rPr>
          <w:spacing w:val="-15"/>
        </w:rPr>
        <w:t> </w:t>
      </w:r>
      <w:r>
        <w:rPr/>
        <w:t>personal</w:t>
      </w:r>
      <w:r>
        <w:rPr>
          <w:spacing w:val="-15"/>
        </w:rPr>
        <w:t> </w:t>
      </w:r>
      <w:r>
        <w:rPr/>
        <w:t>ocupado</w:t>
      </w:r>
      <w:r>
        <w:rPr>
          <w:spacing w:val="-16"/>
        </w:rPr>
        <w:t> </w:t>
      </w:r>
      <w:r>
        <w:rPr/>
        <w:t>del</w:t>
      </w:r>
      <w:r>
        <w:rPr>
          <w:spacing w:val="-15"/>
        </w:rPr>
        <w:t> </w:t>
      </w:r>
      <w:r>
        <w:rPr/>
        <w:t>sector</w:t>
      </w:r>
      <w:r>
        <w:rPr>
          <w:spacing w:val="-16"/>
        </w:rPr>
        <w:t> </w:t>
      </w:r>
      <w:r>
        <w:rPr/>
        <w:t>automotriz</w:t>
      </w:r>
      <w:r>
        <w:rPr>
          <w:spacing w:val="-15"/>
        </w:rPr>
        <w:t> </w:t>
      </w:r>
      <w:r>
        <w:rPr/>
        <w:t>a</w:t>
      </w:r>
      <w:r>
        <w:rPr>
          <w:spacing w:val="-17"/>
        </w:rPr>
        <w:t> </w:t>
      </w:r>
      <w:r>
        <w:rPr/>
        <w:t>nivel</w:t>
      </w:r>
      <w:r>
        <w:rPr>
          <w:spacing w:val="-16"/>
        </w:rPr>
        <w:t> </w:t>
      </w:r>
      <w:r>
        <w:rPr/>
        <w:t>nacional.</w:t>
      </w:r>
      <w:r>
        <w:rPr>
          <w:spacing w:val="-16"/>
        </w:rPr>
        <w:t> </w:t>
      </w:r>
      <w:r>
        <w:rPr/>
        <w:t>Con</w:t>
      </w:r>
      <w:r>
        <w:rPr>
          <w:spacing w:val="-16"/>
        </w:rPr>
        <w:t> </w:t>
      </w:r>
      <w:r>
        <w:rPr/>
        <w:t>ello,</w:t>
      </w:r>
      <w:r>
        <w:rPr>
          <w:spacing w:val="-16"/>
        </w:rPr>
        <w:t> </w:t>
      </w:r>
      <w:r>
        <w:rPr/>
        <w:t>el</w:t>
      </w:r>
      <w:r>
        <w:rPr>
          <w:spacing w:val="-15"/>
        </w:rPr>
        <w:t> </w:t>
      </w:r>
      <w:r>
        <w:rPr/>
        <w:t>crecimiento de la producción bruta que en 1980 apenas representaba el 0.6% en 2008 representó el 17.7%, y el valor agregado censal bruto que creció en 15.5%. Además es la entidad que ocupa el segundo lugar después de Chihuahua que mayor número de empleos genera en el sector a nivel nacional, al 2008 empleaba a cerca de 60 mil personas (véase cuadro</w:t>
      </w:r>
      <w:r>
        <w:rPr>
          <w:spacing w:val="-16"/>
        </w:rPr>
        <w:t> </w:t>
      </w:r>
      <w:r>
        <w:rPr/>
        <w:t>4.13).</w:t>
      </w:r>
    </w:p>
    <w:p>
      <w:pPr>
        <w:pStyle w:val="BodyText"/>
        <w:spacing w:before="4"/>
        <w:rPr>
          <w:sz w:val="21"/>
        </w:rPr>
      </w:pPr>
    </w:p>
    <w:p>
      <w:pPr>
        <w:pStyle w:val="BodyText"/>
        <w:spacing w:line="360" w:lineRule="auto" w:before="1"/>
        <w:ind w:left="102" w:right="117"/>
        <w:jc w:val="both"/>
      </w:pPr>
      <w:r>
        <w:rPr/>
        <w:t>Asimismo, Coahuila ocupa el primer lugar en cuanto al valor agregado censal bruto y producción</w:t>
      </w:r>
      <w:r>
        <w:rPr>
          <w:spacing w:val="-8"/>
        </w:rPr>
        <w:t> </w:t>
      </w:r>
      <w:r>
        <w:rPr/>
        <w:t>bruta</w:t>
      </w:r>
      <w:r>
        <w:rPr>
          <w:spacing w:val="-10"/>
        </w:rPr>
        <w:t> </w:t>
      </w:r>
      <w:r>
        <w:rPr/>
        <w:t>total,</w:t>
      </w:r>
      <w:r>
        <w:rPr>
          <w:spacing w:val="-8"/>
        </w:rPr>
        <w:t> </w:t>
      </w:r>
      <w:r>
        <w:rPr/>
        <w:t>pues</w:t>
      </w:r>
      <w:r>
        <w:rPr>
          <w:spacing w:val="-8"/>
        </w:rPr>
        <w:t> </w:t>
      </w:r>
      <w:r>
        <w:rPr/>
        <w:t>para</w:t>
      </w:r>
      <w:r>
        <w:rPr>
          <w:spacing w:val="-10"/>
        </w:rPr>
        <w:t> </w:t>
      </w:r>
      <w:r>
        <w:rPr/>
        <w:t>el</w:t>
      </w:r>
      <w:r>
        <w:rPr>
          <w:spacing w:val="-8"/>
        </w:rPr>
        <w:t> </w:t>
      </w:r>
      <w:r>
        <w:rPr/>
        <w:t>2008,</w:t>
      </w:r>
      <w:r>
        <w:rPr>
          <w:spacing w:val="-7"/>
        </w:rPr>
        <w:t> </w:t>
      </w:r>
      <w:r>
        <w:rPr/>
        <w:t>la</w:t>
      </w:r>
      <w:r>
        <w:rPr>
          <w:spacing w:val="-9"/>
        </w:rPr>
        <w:t> </w:t>
      </w:r>
      <w:r>
        <w:rPr/>
        <w:t>entidad</w:t>
      </w:r>
      <w:r>
        <w:rPr>
          <w:spacing w:val="-9"/>
        </w:rPr>
        <w:t> </w:t>
      </w:r>
      <w:r>
        <w:rPr/>
        <w:t>aportó</w:t>
      </w:r>
      <w:r>
        <w:rPr>
          <w:spacing w:val="-6"/>
        </w:rPr>
        <w:t> </w:t>
      </w:r>
      <w:r>
        <w:rPr/>
        <w:t>a</w:t>
      </w:r>
      <w:r>
        <w:rPr>
          <w:spacing w:val="-10"/>
        </w:rPr>
        <w:t> </w:t>
      </w:r>
      <w:r>
        <w:rPr/>
        <w:t>la</w:t>
      </w:r>
      <w:r>
        <w:rPr>
          <w:spacing w:val="-9"/>
        </w:rPr>
        <w:t> </w:t>
      </w:r>
      <w:r>
        <w:rPr/>
        <w:t>industria</w:t>
      </w:r>
      <w:r>
        <w:rPr>
          <w:spacing w:val="-7"/>
        </w:rPr>
        <w:t> </w:t>
      </w:r>
      <w:r>
        <w:rPr/>
        <w:t>automotriz</w:t>
      </w:r>
      <w:r>
        <w:rPr>
          <w:spacing w:val="-7"/>
        </w:rPr>
        <w:t> </w:t>
      </w:r>
      <w:r>
        <w:rPr/>
        <w:t>nacional el</w:t>
      </w:r>
      <w:r>
        <w:rPr>
          <w:spacing w:val="-4"/>
        </w:rPr>
        <w:t> </w:t>
      </w:r>
      <w:r>
        <w:rPr/>
        <w:t>16.3</w:t>
      </w:r>
      <w:r>
        <w:rPr>
          <w:spacing w:val="-2"/>
        </w:rPr>
        <w:t> </w:t>
      </w:r>
      <w:r>
        <w:rPr/>
        <w:t>y</w:t>
      </w:r>
      <w:r>
        <w:rPr>
          <w:spacing w:val="-12"/>
        </w:rPr>
        <w:t> </w:t>
      </w:r>
      <w:r>
        <w:rPr/>
        <w:t>el</w:t>
      </w:r>
      <w:r>
        <w:rPr>
          <w:spacing w:val="-4"/>
        </w:rPr>
        <w:t> </w:t>
      </w:r>
      <w:r>
        <w:rPr/>
        <w:t>17.7%,</w:t>
      </w:r>
      <w:r>
        <w:rPr>
          <w:spacing w:val="-5"/>
        </w:rPr>
        <w:t> </w:t>
      </w:r>
      <w:r>
        <w:rPr/>
        <w:t>respectivamente</w:t>
      </w:r>
      <w:r>
        <w:rPr>
          <w:spacing w:val="-6"/>
        </w:rPr>
        <w:t> </w:t>
      </w:r>
      <w:r>
        <w:rPr/>
        <w:t>dejando</w:t>
      </w:r>
      <w:r>
        <w:rPr>
          <w:spacing w:val="-5"/>
        </w:rPr>
        <w:t> </w:t>
      </w:r>
      <w:r>
        <w:rPr/>
        <w:t>atrás</w:t>
      </w:r>
      <w:r>
        <w:rPr>
          <w:spacing w:val="-2"/>
        </w:rPr>
        <w:t> </w:t>
      </w:r>
      <w:r>
        <w:rPr/>
        <w:t>estados</w:t>
      </w:r>
      <w:r>
        <w:rPr>
          <w:spacing w:val="-5"/>
        </w:rPr>
        <w:t> </w:t>
      </w:r>
      <w:r>
        <w:rPr/>
        <w:t>como</w:t>
      </w:r>
      <w:r>
        <w:rPr>
          <w:spacing w:val="-4"/>
        </w:rPr>
        <w:t> </w:t>
      </w:r>
      <w:r>
        <w:rPr/>
        <w:t>Puebla,</w:t>
      </w:r>
      <w:r>
        <w:rPr>
          <w:spacing w:val="-5"/>
        </w:rPr>
        <w:t> </w:t>
      </w:r>
      <w:r>
        <w:rPr/>
        <w:t>Chihuahua</w:t>
      </w:r>
      <w:r>
        <w:rPr>
          <w:spacing w:val="-4"/>
        </w:rPr>
        <w:t> </w:t>
      </w:r>
      <w:r>
        <w:rPr/>
        <w:t>y</w:t>
      </w:r>
      <w:r>
        <w:rPr>
          <w:spacing w:val="-10"/>
        </w:rPr>
        <w:t> </w:t>
      </w:r>
      <w:r>
        <w:rPr/>
        <w:t>Estado de México, este caso de éxito se debe a la presencia de la planta de ensamble de autos de General Motors que desde 1981, se ubica en el municipio de Ramos Arizpe, y al planta de Chrysler en el municipio de Saltillo, que de igual forma inició operaciones en 1981. De manera más reciente, en febrero de 2009 inició operaciones la planta armadora de camiones pesados</w:t>
      </w:r>
      <w:r>
        <w:rPr>
          <w:spacing w:val="-8"/>
        </w:rPr>
        <w:t> </w:t>
      </w:r>
      <w:r>
        <w:rPr/>
        <w:t>Freightliner,</w:t>
      </w:r>
      <w:r>
        <w:rPr>
          <w:spacing w:val="-7"/>
        </w:rPr>
        <w:t> </w:t>
      </w:r>
      <w:r>
        <w:rPr/>
        <w:t>además</w:t>
      </w:r>
      <w:r>
        <w:rPr>
          <w:spacing w:val="-9"/>
        </w:rPr>
        <w:t> </w:t>
      </w:r>
      <w:r>
        <w:rPr/>
        <w:t>de</w:t>
      </w:r>
      <w:r>
        <w:rPr>
          <w:spacing w:val="-10"/>
        </w:rPr>
        <w:t> </w:t>
      </w:r>
      <w:r>
        <w:rPr/>
        <w:t>que</w:t>
      </w:r>
      <w:r>
        <w:rPr>
          <w:spacing w:val="-7"/>
        </w:rPr>
        <w:t> </w:t>
      </w:r>
      <w:r>
        <w:rPr/>
        <w:t>el</w:t>
      </w:r>
      <w:r>
        <w:rPr>
          <w:spacing w:val="-8"/>
        </w:rPr>
        <w:t> </w:t>
      </w:r>
      <w:r>
        <w:rPr/>
        <w:t>estado</w:t>
      </w:r>
      <w:r>
        <w:rPr>
          <w:spacing w:val="-7"/>
        </w:rPr>
        <w:t> </w:t>
      </w:r>
      <w:r>
        <w:rPr/>
        <w:t>cuenta</w:t>
      </w:r>
      <w:r>
        <w:rPr>
          <w:spacing w:val="-9"/>
        </w:rPr>
        <w:t> </w:t>
      </w:r>
      <w:r>
        <w:rPr/>
        <w:t>con</w:t>
      </w:r>
      <w:r>
        <w:rPr>
          <w:spacing w:val="-9"/>
        </w:rPr>
        <w:t> </w:t>
      </w:r>
      <w:r>
        <w:rPr/>
        <w:t>más</w:t>
      </w:r>
      <w:r>
        <w:rPr>
          <w:spacing w:val="-8"/>
        </w:rPr>
        <w:t> </w:t>
      </w:r>
      <w:r>
        <w:rPr/>
        <w:t>de</w:t>
      </w:r>
      <w:r>
        <w:rPr>
          <w:spacing w:val="-7"/>
        </w:rPr>
        <w:t> </w:t>
      </w:r>
      <w:r>
        <w:rPr/>
        <w:t>139</w:t>
      </w:r>
      <w:r>
        <w:rPr>
          <w:spacing w:val="-6"/>
        </w:rPr>
        <w:t> </w:t>
      </w:r>
      <w:r>
        <w:rPr/>
        <w:t>empresas</w:t>
      </w:r>
      <w:r>
        <w:rPr>
          <w:spacing w:val="-8"/>
        </w:rPr>
        <w:t> </w:t>
      </w:r>
      <w:r>
        <w:rPr/>
        <w:t>de</w:t>
      </w:r>
      <w:r>
        <w:rPr>
          <w:spacing w:val="-7"/>
        </w:rPr>
        <w:t> </w:t>
      </w:r>
      <w:r>
        <w:rPr/>
        <w:t>autopartes instaladas (AMIA,</w:t>
      </w:r>
      <w:r>
        <w:rPr>
          <w:spacing w:val="-4"/>
        </w:rPr>
        <w:t> </w:t>
      </w:r>
      <w:r>
        <w:rPr/>
        <w:t>2015).</w:t>
      </w:r>
    </w:p>
    <w:p>
      <w:pPr>
        <w:pStyle w:val="BodyText"/>
        <w:spacing w:before="2"/>
        <w:rPr>
          <w:sz w:val="21"/>
        </w:rPr>
      </w:pPr>
    </w:p>
    <w:p>
      <w:pPr>
        <w:pStyle w:val="BodyText"/>
        <w:spacing w:line="360" w:lineRule="auto" w:before="1"/>
        <w:ind w:left="102" w:right="120"/>
        <w:jc w:val="both"/>
      </w:pPr>
      <w:r>
        <w:rPr/>
        <w:t>En</w:t>
      </w:r>
      <w:r>
        <w:rPr>
          <w:spacing w:val="-16"/>
        </w:rPr>
        <w:t> </w:t>
      </w:r>
      <w:r>
        <w:rPr/>
        <w:t>cuanto</w:t>
      </w:r>
      <w:r>
        <w:rPr>
          <w:spacing w:val="-14"/>
        </w:rPr>
        <w:t> </w:t>
      </w:r>
      <w:r>
        <w:rPr/>
        <w:t>al</w:t>
      </w:r>
      <w:r>
        <w:rPr>
          <w:spacing w:val="-16"/>
        </w:rPr>
        <w:t> </w:t>
      </w:r>
      <w:r>
        <w:rPr/>
        <w:t>el</w:t>
      </w:r>
      <w:r>
        <w:rPr>
          <w:spacing w:val="-16"/>
        </w:rPr>
        <w:t> </w:t>
      </w:r>
      <w:r>
        <w:rPr/>
        <w:t>Estado</w:t>
      </w:r>
      <w:r>
        <w:rPr>
          <w:spacing w:val="-15"/>
        </w:rPr>
        <w:t> </w:t>
      </w:r>
      <w:r>
        <w:rPr/>
        <w:t>de</w:t>
      </w:r>
      <w:r>
        <w:rPr>
          <w:spacing w:val="-15"/>
        </w:rPr>
        <w:t> </w:t>
      </w:r>
      <w:r>
        <w:rPr/>
        <w:t>Nuevo</w:t>
      </w:r>
      <w:r>
        <w:rPr>
          <w:spacing w:val="-14"/>
        </w:rPr>
        <w:t> </w:t>
      </w:r>
      <w:r>
        <w:rPr/>
        <w:t>León,</w:t>
      </w:r>
      <w:r>
        <w:rPr>
          <w:spacing w:val="-15"/>
        </w:rPr>
        <w:t> </w:t>
      </w:r>
      <w:r>
        <w:rPr/>
        <w:t>de</w:t>
      </w:r>
      <w:r>
        <w:rPr>
          <w:spacing w:val="-15"/>
        </w:rPr>
        <w:t> </w:t>
      </w:r>
      <w:r>
        <w:rPr/>
        <w:t>acuerdo</w:t>
      </w:r>
      <w:r>
        <w:rPr>
          <w:spacing w:val="-15"/>
        </w:rPr>
        <w:t> </w:t>
      </w:r>
      <w:r>
        <w:rPr/>
        <w:t>con</w:t>
      </w:r>
      <w:r>
        <w:rPr>
          <w:spacing w:val="-16"/>
        </w:rPr>
        <w:t> </w:t>
      </w:r>
      <w:r>
        <w:rPr/>
        <w:t>el</w:t>
      </w:r>
      <w:r>
        <w:rPr>
          <w:spacing w:val="-12"/>
        </w:rPr>
        <w:t> </w:t>
      </w:r>
      <w:r>
        <w:rPr/>
        <w:t>INEGI</w:t>
      </w:r>
      <w:r>
        <w:rPr>
          <w:spacing w:val="-17"/>
        </w:rPr>
        <w:t> </w:t>
      </w:r>
      <w:r>
        <w:rPr/>
        <w:t>(2009),</w:t>
      </w:r>
      <w:r>
        <w:rPr>
          <w:spacing w:val="-15"/>
        </w:rPr>
        <w:t> </w:t>
      </w:r>
      <w:r>
        <w:rPr/>
        <w:t>es</w:t>
      </w:r>
      <w:r>
        <w:rPr>
          <w:spacing w:val="-16"/>
        </w:rPr>
        <w:t> </w:t>
      </w:r>
      <w:r>
        <w:rPr/>
        <w:t>la</w:t>
      </w:r>
      <w:r>
        <w:rPr>
          <w:spacing w:val="-17"/>
        </w:rPr>
        <w:t> </w:t>
      </w:r>
      <w:r>
        <w:rPr/>
        <w:t>segunda</w:t>
      </w:r>
      <w:r>
        <w:rPr>
          <w:spacing w:val="-16"/>
        </w:rPr>
        <w:t> </w:t>
      </w:r>
      <w:r>
        <w:rPr/>
        <w:t>entidad más</w:t>
      </w:r>
      <w:r>
        <w:rPr>
          <w:spacing w:val="-16"/>
        </w:rPr>
        <w:t> </w:t>
      </w:r>
      <w:r>
        <w:rPr/>
        <w:t>importante</w:t>
      </w:r>
      <w:r>
        <w:rPr>
          <w:spacing w:val="-16"/>
        </w:rPr>
        <w:t> </w:t>
      </w:r>
      <w:r>
        <w:rPr/>
        <w:t>por</w:t>
      </w:r>
      <w:r>
        <w:rPr>
          <w:spacing w:val="-17"/>
        </w:rPr>
        <w:t> </w:t>
      </w:r>
      <w:r>
        <w:rPr/>
        <w:t>las</w:t>
      </w:r>
      <w:r>
        <w:rPr>
          <w:spacing w:val="-16"/>
        </w:rPr>
        <w:t> </w:t>
      </w:r>
      <w:r>
        <w:rPr/>
        <w:t>unidades</w:t>
      </w:r>
      <w:r>
        <w:rPr>
          <w:spacing w:val="-16"/>
        </w:rPr>
        <w:t> </w:t>
      </w:r>
      <w:r>
        <w:rPr/>
        <w:t>económicas</w:t>
      </w:r>
      <w:r>
        <w:rPr>
          <w:spacing w:val="-16"/>
        </w:rPr>
        <w:t> </w:t>
      </w:r>
      <w:r>
        <w:rPr/>
        <w:t>dedicadas</w:t>
      </w:r>
      <w:r>
        <w:rPr>
          <w:spacing w:val="-16"/>
        </w:rPr>
        <w:t> </w:t>
      </w:r>
      <w:r>
        <w:rPr/>
        <w:t>a</w:t>
      </w:r>
      <w:r>
        <w:rPr>
          <w:spacing w:val="-14"/>
        </w:rPr>
        <w:t> </w:t>
      </w:r>
      <w:r>
        <w:rPr/>
        <w:t>esta</w:t>
      </w:r>
      <w:r>
        <w:rPr>
          <w:spacing w:val="-16"/>
        </w:rPr>
        <w:t> </w:t>
      </w:r>
      <w:r>
        <w:rPr/>
        <w:t>industria,</w:t>
      </w:r>
      <w:r>
        <w:rPr>
          <w:spacing w:val="-16"/>
        </w:rPr>
        <w:t> </w:t>
      </w:r>
      <w:r>
        <w:rPr/>
        <w:t>solo</w:t>
      </w:r>
      <w:r>
        <w:rPr>
          <w:spacing w:val="-15"/>
        </w:rPr>
        <w:t> </w:t>
      </w:r>
      <w:r>
        <w:rPr/>
        <w:t>detrás</w:t>
      </w:r>
      <w:r>
        <w:rPr>
          <w:spacing w:val="-16"/>
        </w:rPr>
        <w:t> </w:t>
      </w:r>
      <w:r>
        <w:rPr/>
        <w:t>del</w:t>
      </w:r>
      <w:r>
        <w:rPr>
          <w:spacing w:val="-15"/>
        </w:rPr>
        <w:t> </w:t>
      </w:r>
      <w:r>
        <w:rPr/>
        <w:t>Estado de México, pese a que dicha variable disminuyó de 12.3 a 8.9%. El crecimiento más significativo de esta entidad se dio en la variable de valor agregado censal bruto, al pasar</w:t>
      </w:r>
      <w:r>
        <w:rPr>
          <w:spacing w:val="4"/>
        </w:rPr>
        <w:t> </w:t>
      </w:r>
      <w:r>
        <w:rPr/>
        <w:t>de</w:t>
      </w:r>
    </w:p>
    <w:p>
      <w:pPr>
        <w:pStyle w:val="BodyText"/>
        <w:spacing w:line="360" w:lineRule="auto" w:before="4"/>
        <w:ind w:left="102" w:right="117"/>
        <w:jc w:val="both"/>
      </w:pPr>
      <w:r>
        <w:rPr/>
        <w:t>5.7 a 7.6 puntos porcentuales (véase cuadro 4.13). Hoy en día en el estado de Nuevo León, cuenta con empresas productoras de autobuses y camiones, Mercedes-Benz en el municipio de</w:t>
      </w:r>
      <w:r>
        <w:rPr>
          <w:spacing w:val="-7"/>
        </w:rPr>
        <w:t> </w:t>
      </w:r>
      <w:r>
        <w:rPr/>
        <w:t>García,</w:t>
      </w:r>
      <w:r>
        <w:rPr>
          <w:spacing w:val="-1"/>
        </w:rPr>
        <w:t> </w:t>
      </w:r>
      <w:r>
        <w:rPr/>
        <w:t>y</w:t>
      </w:r>
      <w:r>
        <w:rPr>
          <w:spacing w:val="-12"/>
        </w:rPr>
        <w:t> </w:t>
      </w:r>
      <w:r>
        <w:rPr/>
        <w:t>Navistar</w:t>
      </w:r>
      <w:r>
        <w:rPr>
          <w:spacing w:val="-7"/>
        </w:rPr>
        <w:t> </w:t>
      </w:r>
      <w:r>
        <w:rPr/>
        <w:t>en</w:t>
      </w:r>
      <w:r>
        <w:rPr>
          <w:spacing w:val="-4"/>
        </w:rPr>
        <w:t> </w:t>
      </w:r>
      <w:r>
        <w:rPr/>
        <w:t>el</w:t>
      </w:r>
      <w:r>
        <w:rPr>
          <w:spacing w:val="-6"/>
        </w:rPr>
        <w:t> </w:t>
      </w:r>
      <w:r>
        <w:rPr/>
        <w:t>municipio</w:t>
      </w:r>
      <w:r>
        <w:rPr>
          <w:spacing w:val="-6"/>
        </w:rPr>
        <w:t> </w:t>
      </w:r>
      <w:r>
        <w:rPr/>
        <w:t>de</w:t>
      </w:r>
      <w:r>
        <w:rPr>
          <w:spacing w:val="-7"/>
        </w:rPr>
        <w:t> </w:t>
      </w:r>
      <w:r>
        <w:rPr/>
        <w:t>Escobedo,</w:t>
      </w:r>
      <w:r>
        <w:rPr>
          <w:spacing w:val="-6"/>
        </w:rPr>
        <w:t> </w:t>
      </w:r>
      <w:r>
        <w:rPr/>
        <w:t>por</w:t>
      </w:r>
      <w:r>
        <w:rPr>
          <w:spacing w:val="-7"/>
        </w:rPr>
        <w:t> </w:t>
      </w:r>
      <w:r>
        <w:rPr/>
        <w:t>el</w:t>
      </w:r>
      <w:r>
        <w:rPr>
          <w:spacing w:val="-6"/>
        </w:rPr>
        <w:t> </w:t>
      </w:r>
      <w:r>
        <w:rPr/>
        <w:t>lado</w:t>
      </w:r>
      <w:r>
        <w:rPr>
          <w:spacing w:val="-7"/>
        </w:rPr>
        <w:t> </w:t>
      </w:r>
      <w:r>
        <w:rPr/>
        <w:t>de</w:t>
      </w:r>
      <w:r>
        <w:rPr>
          <w:spacing w:val="-7"/>
        </w:rPr>
        <w:t> </w:t>
      </w:r>
      <w:r>
        <w:rPr/>
        <w:t>las</w:t>
      </w:r>
      <w:r>
        <w:rPr>
          <w:spacing w:val="-7"/>
        </w:rPr>
        <w:t> </w:t>
      </w:r>
      <w:r>
        <w:rPr/>
        <w:t>empresas</w:t>
      </w:r>
      <w:r>
        <w:rPr>
          <w:spacing w:val="-6"/>
        </w:rPr>
        <w:t> </w:t>
      </w:r>
      <w:r>
        <w:rPr/>
        <w:t>de</w:t>
      </w:r>
      <w:r>
        <w:rPr>
          <w:spacing w:val="-7"/>
        </w:rPr>
        <w:t> </w:t>
      </w:r>
      <w:r>
        <w:rPr/>
        <w:t>autopartes se ubican en el estado más de</w:t>
      </w:r>
      <w:r>
        <w:rPr>
          <w:spacing w:val="-5"/>
        </w:rPr>
        <w:t> </w:t>
      </w:r>
      <w:r>
        <w:rPr/>
        <w:t>143.</w:t>
      </w:r>
    </w:p>
    <w:p>
      <w:pPr>
        <w:pStyle w:val="BodyText"/>
        <w:spacing w:before="2"/>
        <w:rPr>
          <w:sz w:val="21"/>
        </w:rPr>
      </w:pPr>
    </w:p>
    <w:p>
      <w:pPr>
        <w:pStyle w:val="BodyText"/>
        <w:spacing w:line="360" w:lineRule="auto"/>
        <w:ind w:left="102" w:right="117"/>
        <w:jc w:val="both"/>
      </w:pPr>
      <w:r>
        <w:rPr/>
        <w:t>Por otro lado, el estado de Sonora ha crecido de manera importante en todas sus variables, especialmente en la producción bruta total, el personal ocupado y valor agregado censal bruto, con incrementos de 7.1, 6.1 y 6.4%, respectivamente (véase cuadro 4.13). Un dato importante es que en 1980 solo 17 empresas pertenecían al ramo automotriz mientras que para el 2008 aumento a 55. En Hermosillo, Sonora se ubica desde 1986 una planta de ensamble de Ford, en la que se fabrican los autos Ford</w:t>
      </w:r>
      <w:r>
        <w:rPr>
          <w:spacing w:val="-42"/>
        </w:rPr>
        <w:t> </w:t>
      </w:r>
      <w:r>
        <w:rPr/>
        <w:t>Fusion y Lincoln MKZ, así como sus versiones híbridas, asimismo la entidad cuenta con aproximadamente 60 empresas de autopartes (AMIA,</w:t>
      </w:r>
      <w:r>
        <w:rPr>
          <w:spacing w:val="-5"/>
        </w:rPr>
        <w:t> </w:t>
      </w:r>
      <w:r>
        <w:rPr/>
        <w:t>2015).</w:t>
      </w:r>
    </w:p>
    <w:p>
      <w:pPr>
        <w:pStyle w:val="BodyText"/>
        <w:spacing w:before="28"/>
        <w:ind w:right="117"/>
        <w:jc w:val="right"/>
      </w:pPr>
      <w:r>
        <w:rPr/>
        <w:t>110</w:t>
      </w:r>
    </w:p>
    <w:p>
      <w:pPr>
        <w:spacing w:after="0"/>
        <w:jc w:val="right"/>
        <w:sectPr>
          <w:footerReference w:type="default" r:id="rId70"/>
          <w:pgSz w:w="12240" w:h="15840"/>
          <w:pgMar w:footer="0" w:header="0" w:top="1360" w:bottom="280" w:left="1600" w:right="1580"/>
        </w:sectPr>
      </w:pPr>
    </w:p>
    <w:p>
      <w:pPr>
        <w:pStyle w:val="BodyText"/>
        <w:spacing w:line="360" w:lineRule="auto" w:before="50"/>
        <w:ind w:left="102" w:right="118"/>
        <w:jc w:val="both"/>
      </w:pPr>
      <w:r>
        <w:rPr/>
        <w:t>Finalmente el estado de Tamaulipas, también ha crecido en todas sus variables, durante el periodo</w:t>
      </w:r>
      <w:r>
        <w:rPr>
          <w:spacing w:val="-7"/>
        </w:rPr>
        <w:t> </w:t>
      </w:r>
      <w:r>
        <w:rPr/>
        <w:t>de</w:t>
      </w:r>
      <w:r>
        <w:rPr>
          <w:spacing w:val="-8"/>
        </w:rPr>
        <w:t> </w:t>
      </w:r>
      <w:r>
        <w:rPr/>
        <w:t>análisis,</w:t>
      </w:r>
      <w:r>
        <w:rPr>
          <w:spacing w:val="-7"/>
        </w:rPr>
        <w:t> </w:t>
      </w:r>
      <w:r>
        <w:rPr/>
        <w:t>en</w:t>
      </w:r>
      <w:r>
        <w:rPr>
          <w:spacing w:val="-7"/>
        </w:rPr>
        <w:t> </w:t>
      </w:r>
      <w:r>
        <w:rPr/>
        <w:t>cuanto</w:t>
      </w:r>
      <w:r>
        <w:rPr>
          <w:spacing w:val="-7"/>
        </w:rPr>
        <w:t> </w:t>
      </w:r>
      <w:r>
        <w:rPr/>
        <w:t>a</w:t>
      </w:r>
      <w:r>
        <w:rPr>
          <w:spacing w:val="-8"/>
        </w:rPr>
        <w:t> </w:t>
      </w:r>
      <w:r>
        <w:rPr/>
        <w:t>las</w:t>
      </w:r>
      <w:r>
        <w:rPr>
          <w:spacing w:val="-8"/>
        </w:rPr>
        <w:t> </w:t>
      </w:r>
      <w:r>
        <w:rPr/>
        <w:t>unidades</w:t>
      </w:r>
      <w:r>
        <w:rPr>
          <w:spacing w:val="-7"/>
        </w:rPr>
        <w:t> </w:t>
      </w:r>
      <w:r>
        <w:rPr/>
        <w:t>económicas</w:t>
      </w:r>
      <w:r>
        <w:rPr>
          <w:spacing w:val="-7"/>
        </w:rPr>
        <w:t> </w:t>
      </w:r>
      <w:r>
        <w:rPr/>
        <w:t>dedicadas</w:t>
      </w:r>
      <w:r>
        <w:rPr>
          <w:spacing w:val="-7"/>
        </w:rPr>
        <w:t> </w:t>
      </w:r>
      <w:r>
        <w:rPr/>
        <w:t>a</w:t>
      </w:r>
      <w:r>
        <w:rPr>
          <w:spacing w:val="-8"/>
        </w:rPr>
        <w:t> </w:t>
      </w:r>
      <w:r>
        <w:rPr/>
        <w:t>la</w:t>
      </w:r>
      <w:r>
        <w:rPr>
          <w:spacing w:val="-8"/>
        </w:rPr>
        <w:t> </w:t>
      </w:r>
      <w:r>
        <w:rPr/>
        <w:t>industria</w:t>
      </w:r>
      <w:r>
        <w:rPr>
          <w:spacing w:val="-8"/>
        </w:rPr>
        <w:t> </w:t>
      </w:r>
      <w:r>
        <w:rPr/>
        <w:t>automotriz, en</w:t>
      </w:r>
      <w:r>
        <w:rPr>
          <w:spacing w:val="-9"/>
        </w:rPr>
        <w:t> </w:t>
      </w:r>
      <w:r>
        <w:rPr/>
        <w:t>1980</w:t>
      </w:r>
      <w:r>
        <w:rPr>
          <w:spacing w:val="-9"/>
        </w:rPr>
        <w:t> </w:t>
      </w:r>
      <w:r>
        <w:rPr/>
        <w:t>solo</w:t>
      </w:r>
      <w:r>
        <w:rPr>
          <w:spacing w:val="-8"/>
        </w:rPr>
        <w:t> </w:t>
      </w:r>
      <w:r>
        <w:rPr/>
        <w:t>se</w:t>
      </w:r>
      <w:r>
        <w:rPr>
          <w:spacing w:val="-9"/>
        </w:rPr>
        <w:t> </w:t>
      </w:r>
      <w:r>
        <w:rPr/>
        <w:t>encontraban</w:t>
      </w:r>
      <w:r>
        <w:rPr>
          <w:spacing w:val="-9"/>
        </w:rPr>
        <w:t> </w:t>
      </w:r>
      <w:r>
        <w:rPr/>
        <w:t>30</w:t>
      </w:r>
      <w:r>
        <w:rPr>
          <w:spacing w:val="-4"/>
        </w:rPr>
        <w:t> </w:t>
      </w:r>
      <w:r>
        <w:rPr/>
        <w:t>y</w:t>
      </w:r>
      <w:r>
        <w:rPr>
          <w:spacing w:val="-13"/>
        </w:rPr>
        <w:t> </w:t>
      </w:r>
      <w:r>
        <w:rPr/>
        <w:t>en</w:t>
      </w:r>
      <w:r>
        <w:rPr>
          <w:spacing w:val="-9"/>
        </w:rPr>
        <w:t> </w:t>
      </w:r>
      <w:r>
        <w:rPr/>
        <w:t>2008</w:t>
      </w:r>
      <w:r>
        <w:rPr>
          <w:spacing w:val="-6"/>
        </w:rPr>
        <w:t> </w:t>
      </w:r>
      <w:r>
        <w:rPr/>
        <w:t>aumentaron</w:t>
      </w:r>
      <w:r>
        <w:rPr>
          <w:spacing w:val="-9"/>
        </w:rPr>
        <w:t> </w:t>
      </w:r>
      <w:r>
        <w:rPr/>
        <w:t>a</w:t>
      </w:r>
      <w:r>
        <w:rPr>
          <w:spacing w:val="-10"/>
        </w:rPr>
        <w:t> </w:t>
      </w:r>
      <w:r>
        <w:rPr/>
        <w:t>96,</w:t>
      </w:r>
      <w:r>
        <w:rPr>
          <w:spacing w:val="-9"/>
        </w:rPr>
        <w:t> </w:t>
      </w:r>
      <w:r>
        <w:rPr/>
        <w:t>teniendo</w:t>
      </w:r>
      <w:r>
        <w:rPr>
          <w:spacing w:val="-9"/>
        </w:rPr>
        <w:t> </w:t>
      </w:r>
      <w:r>
        <w:rPr/>
        <w:t>una</w:t>
      </w:r>
      <w:r>
        <w:rPr>
          <w:spacing w:val="-10"/>
        </w:rPr>
        <w:t> </w:t>
      </w:r>
      <w:r>
        <w:rPr/>
        <w:t>tasa</w:t>
      </w:r>
      <w:r>
        <w:rPr>
          <w:spacing w:val="-9"/>
        </w:rPr>
        <w:t> </w:t>
      </w:r>
      <w:r>
        <w:rPr/>
        <w:t>de</w:t>
      </w:r>
      <w:r>
        <w:rPr>
          <w:spacing w:val="-10"/>
        </w:rPr>
        <w:t> </w:t>
      </w:r>
      <w:r>
        <w:rPr/>
        <w:t>crecimiento de 220%. Por el lado de los empleos, Tamaulipas incrementó de manera importante su participación de 1.0 a 8.5%., al respecto, en 1980 la entidad generó apenas 1, 280 empleos, mientras que en 2008, la cifra aumentó a 43,486 (véase cuadro 4.13). Si bien en la entidad no se ubica ninguna planta de la industria terminal, el estado cuenta con un gran número de empresas</w:t>
      </w:r>
      <w:r>
        <w:rPr>
          <w:spacing w:val="-9"/>
        </w:rPr>
        <w:t> </w:t>
      </w:r>
      <w:r>
        <w:rPr/>
        <w:t>de</w:t>
      </w:r>
      <w:r>
        <w:rPr>
          <w:spacing w:val="-10"/>
        </w:rPr>
        <w:t> </w:t>
      </w:r>
      <w:r>
        <w:rPr/>
        <w:t>autopartes,</w:t>
      </w:r>
      <w:r>
        <w:rPr>
          <w:spacing w:val="-9"/>
        </w:rPr>
        <w:t> </w:t>
      </w:r>
      <w:r>
        <w:rPr/>
        <w:t>entre</w:t>
      </w:r>
      <w:r>
        <w:rPr>
          <w:spacing w:val="-10"/>
        </w:rPr>
        <w:t> </w:t>
      </w:r>
      <w:r>
        <w:rPr/>
        <w:t>las</w:t>
      </w:r>
      <w:r>
        <w:rPr>
          <w:spacing w:val="-9"/>
        </w:rPr>
        <w:t> </w:t>
      </w:r>
      <w:r>
        <w:rPr/>
        <w:t>que</w:t>
      </w:r>
      <w:r>
        <w:rPr>
          <w:spacing w:val="-10"/>
        </w:rPr>
        <w:t> </w:t>
      </w:r>
      <w:r>
        <w:rPr/>
        <w:t>destacan</w:t>
      </w:r>
      <w:r>
        <w:rPr>
          <w:spacing w:val="-9"/>
        </w:rPr>
        <w:t> </w:t>
      </w:r>
      <w:r>
        <w:rPr/>
        <w:t>Delphi,</w:t>
      </w:r>
      <w:r>
        <w:rPr>
          <w:spacing w:val="-11"/>
        </w:rPr>
        <w:t> </w:t>
      </w:r>
      <w:r>
        <w:rPr/>
        <w:t>Johnson</w:t>
      </w:r>
      <w:r>
        <w:rPr>
          <w:spacing w:val="-11"/>
        </w:rPr>
        <w:t> </w:t>
      </w:r>
      <w:r>
        <w:rPr/>
        <w:t>Controls,</w:t>
      </w:r>
      <w:r>
        <w:rPr>
          <w:spacing w:val="-9"/>
        </w:rPr>
        <w:t> </w:t>
      </w:r>
      <w:r>
        <w:rPr/>
        <w:t>Valeo</w:t>
      </w:r>
      <w:r>
        <w:rPr>
          <w:spacing w:val="-8"/>
        </w:rPr>
        <w:t> </w:t>
      </w:r>
      <w:r>
        <w:rPr/>
        <w:t>y</w:t>
      </w:r>
      <w:r>
        <w:rPr>
          <w:spacing w:val="-13"/>
        </w:rPr>
        <w:t> </w:t>
      </w:r>
      <w:r>
        <w:rPr/>
        <w:t>Kongsberg Automotive.</w:t>
      </w:r>
    </w:p>
    <w:p>
      <w:pPr>
        <w:pStyle w:val="BodyText"/>
        <w:spacing w:before="9"/>
        <w:rPr>
          <w:sz w:val="21"/>
        </w:rPr>
      </w:pPr>
    </w:p>
    <w:p>
      <w:pPr>
        <w:pStyle w:val="Heading1"/>
        <w:spacing w:line="360" w:lineRule="auto" w:after="7"/>
        <w:ind w:left="1479" w:right="203" w:hanging="1275"/>
      </w:pPr>
      <w:r>
        <w:rPr/>
        <w:t>Cuadro 4.13. Participación porcentual de la industria automotriz de la Región Norte en el total nacional 1980 y 2008 (principales características)</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49"/>
        <w:gridCol w:w="828"/>
        <w:gridCol w:w="830"/>
        <w:gridCol w:w="864"/>
        <w:gridCol w:w="866"/>
        <w:gridCol w:w="994"/>
        <w:gridCol w:w="991"/>
        <w:gridCol w:w="754"/>
        <w:gridCol w:w="752"/>
      </w:tblGrid>
      <w:tr>
        <w:trPr>
          <w:trHeight w:val="470" w:hRule="exact"/>
        </w:trPr>
        <w:tc>
          <w:tcPr>
            <w:tcW w:w="1949" w:type="dxa"/>
            <w:shd w:val="clear" w:color="auto" w:fill="A6A6A6"/>
          </w:tcPr>
          <w:p>
            <w:pPr/>
          </w:p>
        </w:tc>
        <w:tc>
          <w:tcPr>
            <w:tcW w:w="1658" w:type="dxa"/>
            <w:gridSpan w:val="2"/>
            <w:shd w:val="clear" w:color="auto" w:fill="A6A6A6"/>
          </w:tcPr>
          <w:p>
            <w:pPr>
              <w:pStyle w:val="TableParagraph"/>
              <w:ind w:left="311" w:right="295" w:firstLine="112"/>
              <w:jc w:val="left"/>
              <w:rPr>
                <w:b/>
                <w:sz w:val="20"/>
              </w:rPr>
            </w:pPr>
            <w:r>
              <w:rPr>
                <w:b/>
                <w:sz w:val="20"/>
              </w:rPr>
              <w:t>Unidades Económicas</w:t>
            </w:r>
          </w:p>
        </w:tc>
        <w:tc>
          <w:tcPr>
            <w:tcW w:w="1731" w:type="dxa"/>
            <w:gridSpan w:val="2"/>
            <w:shd w:val="clear" w:color="auto" w:fill="A6A6A6"/>
          </w:tcPr>
          <w:p>
            <w:pPr>
              <w:pStyle w:val="TableParagraph"/>
              <w:ind w:left="355" w:right="340" w:firstLine="14"/>
              <w:jc w:val="left"/>
              <w:rPr>
                <w:b/>
                <w:sz w:val="20"/>
              </w:rPr>
            </w:pPr>
            <w:r>
              <w:rPr>
                <w:b/>
                <w:sz w:val="20"/>
              </w:rPr>
              <w:t>Producción Bruta Total</w:t>
            </w:r>
          </w:p>
        </w:tc>
        <w:tc>
          <w:tcPr>
            <w:tcW w:w="1985" w:type="dxa"/>
            <w:gridSpan w:val="2"/>
            <w:shd w:val="clear" w:color="auto" w:fill="A6A6A6"/>
          </w:tcPr>
          <w:p>
            <w:pPr>
              <w:pStyle w:val="TableParagraph"/>
              <w:ind w:left="422" w:right="284" w:hanging="123"/>
              <w:jc w:val="left"/>
              <w:rPr>
                <w:b/>
                <w:sz w:val="20"/>
              </w:rPr>
            </w:pPr>
            <w:r>
              <w:rPr>
                <w:b/>
                <w:sz w:val="20"/>
              </w:rPr>
              <w:t>Valor Agregado Censal Bruto</w:t>
            </w:r>
          </w:p>
        </w:tc>
        <w:tc>
          <w:tcPr>
            <w:tcW w:w="1505" w:type="dxa"/>
            <w:gridSpan w:val="2"/>
            <w:shd w:val="clear" w:color="auto" w:fill="A6A6A6"/>
          </w:tcPr>
          <w:p>
            <w:pPr>
              <w:pStyle w:val="TableParagraph"/>
              <w:ind w:left="359" w:right="356" w:firstLine="16"/>
              <w:jc w:val="left"/>
              <w:rPr>
                <w:b/>
                <w:sz w:val="20"/>
              </w:rPr>
            </w:pPr>
            <w:r>
              <w:rPr>
                <w:b/>
                <w:sz w:val="20"/>
              </w:rPr>
              <w:t>Personal </w:t>
            </w:r>
            <w:r>
              <w:rPr>
                <w:b/>
                <w:w w:val="95"/>
                <w:sz w:val="20"/>
              </w:rPr>
              <w:t>Ocupado</w:t>
            </w:r>
          </w:p>
        </w:tc>
      </w:tr>
      <w:tr>
        <w:trPr>
          <w:trHeight w:val="326" w:hRule="exact"/>
        </w:trPr>
        <w:tc>
          <w:tcPr>
            <w:tcW w:w="1949" w:type="dxa"/>
          </w:tcPr>
          <w:p>
            <w:pPr/>
          </w:p>
        </w:tc>
        <w:tc>
          <w:tcPr>
            <w:tcW w:w="828" w:type="dxa"/>
            <w:tcBorders>
              <w:bottom w:val="single" w:sz="13" w:space="0" w:color="D9D9D9"/>
            </w:tcBorders>
          </w:tcPr>
          <w:p>
            <w:pPr>
              <w:pStyle w:val="TableParagraph"/>
              <w:spacing w:before="31"/>
              <w:ind w:right="204"/>
              <w:jc w:val="right"/>
              <w:rPr>
                <w:b/>
                <w:sz w:val="20"/>
              </w:rPr>
            </w:pPr>
            <w:r>
              <w:rPr>
                <w:b/>
                <w:sz w:val="20"/>
              </w:rPr>
              <w:t>1980</w:t>
            </w:r>
          </w:p>
        </w:tc>
        <w:tc>
          <w:tcPr>
            <w:tcW w:w="830" w:type="dxa"/>
            <w:tcBorders>
              <w:bottom w:val="single" w:sz="13" w:space="0" w:color="D9D9D9"/>
            </w:tcBorders>
          </w:tcPr>
          <w:p>
            <w:pPr>
              <w:pStyle w:val="TableParagraph"/>
              <w:spacing w:before="31"/>
              <w:ind w:left="189" w:right="189"/>
              <w:rPr>
                <w:b/>
                <w:sz w:val="20"/>
              </w:rPr>
            </w:pPr>
            <w:r>
              <w:rPr>
                <w:b/>
                <w:sz w:val="20"/>
              </w:rPr>
              <w:t>2008</w:t>
            </w:r>
          </w:p>
        </w:tc>
        <w:tc>
          <w:tcPr>
            <w:tcW w:w="864" w:type="dxa"/>
            <w:tcBorders>
              <w:bottom w:val="single" w:sz="13" w:space="0" w:color="D9D9D9"/>
            </w:tcBorders>
          </w:tcPr>
          <w:p>
            <w:pPr>
              <w:pStyle w:val="TableParagraph"/>
              <w:spacing w:before="31"/>
              <w:ind w:left="207" w:right="207"/>
              <w:rPr>
                <w:b/>
                <w:sz w:val="20"/>
              </w:rPr>
            </w:pPr>
            <w:r>
              <w:rPr>
                <w:b/>
                <w:sz w:val="20"/>
              </w:rPr>
              <w:t>1980</w:t>
            </w:r>
          </w:p>
        </w:tc>
        <w:tc>
          <w:tcPr>
            <w:tcW w:w="866" w:type="dxa"/>
            <w:tcBorders>
              <w:bottom w:val="single" w:sz="13" w:space="0" w:color="D9D9D9"/>
            </w:tcBorders>
          </w:tcPr>
          <w:p>
            <w:pPr>
              <w:pStyle w:val="TableParagraph"/>
              <w:spacing w:before="31"/>
              <w:ind w:left="208" w:right="206"/>
              <w:rPr>
                <w:b/>
                <w:sz w:val="20"/>
              </w:rPr>
            </w:pPr>
            <w:r>
              <w:rPr>
                <w:b/>
                <w:sz w:val="20"/>
              </w:rPr>
              <w:t>2008</w:t>
            </w:r>
          </w:p>
        </w:tc>
        <w:tc>
          <w:tcPr>
            <w:tcW w:w="994" w:type="dxa"/>
            <w:tcBorders>
              <w:bottom w:val="single" w:sz="13" w:space="0" w:color="D9D9D9"/>
            </w:tcBorders>
          </w:tcPr>
          <w:p>
            <w:pPr>
              <w:pStyle w:val="TableParagraph"/>
              <w:spacing w:before="31"/>
              <w:ind w:left="272" w:right="272"/>
              <w:rPr>
                <w:b/>
                <w:sz w:val="20"/>
              </w:rPr>
            </w:pPr>
            <w:r>
              <w:rPr>
                <w:b/>
                <w:sz w:val="20"/>
              </w:rPr>
              <w:t>1980</w:t>
            </w:r>
          </w:p>
        </w:tc>
        <w:tc>
          <w:tcPr>
            <w:tcW w:w="991" w:type="dxa"/>
            <w:tcBorders>
              <w:bottom w:val="single" w:sz="13" w:space="0" w:color="D9D9D9"/>
            </w:tcBorders>
          </w:tcPr>
          <w:p>
            <w:pPr>
              <w:pStyle w:val="TableParagraph"/>
              <w:spacing w:before="31"/>
              <w:ind w:left="270" w:right="270"/>
              <w:rPr>
                <w:b/>
                <w:sz w:val="20"/>
              </w:rPr>
            </w:pPr>
            <w:r>
              <w:rPr>
                <w:b/>
                <w:sz w:val="20"/>
              </w:rPr>
              <w:t>2008</w:t>
            </w:r>
          </w:p>
        </w:tc>
        <w:tc>
          <w:tcPr>
            <w:tcW w:w="754" w:type="dxa"/>
            <w:tcBorders>
              <w:bottom w:val="single" w:sz="13" w:space="0" w:color="D9D9D9"/>
            </w:tcBorders>
          </w:tcPr>
          <w:p>
            <w:pPr>
              <w:pStyle w:val="TableParagraph"/>
              <w:spacing w:before="31"/>
              <w:ind w:left="152" w:right="152"/>
              <w:rPr>
                <w:b/>
                <w:sz w:val="20"/>
              </w:rPr>
            </w:pPr>
            <w:r>
              <w:rPr>
                <w:b/>
                <w:sz w:val="20"/>
              </w:rPr>
              <w:t>1980</w:t>
            </w:r>
          </w:p>
        </w:tc>
        <w:tc>
          <w:tcPr>
            <w:tcW w:w="752" w:type="dxa"/>
            <w:tcBorders>
              <w:bottom w:val="single" w:sz="13" w:space="0" w:color="D9D9D9"/>
            </w:tcBorders>
          </w:tcPr>
          <w:p>
            <w:pPr>
              <w:pStyle w:val="TableParagraph"/>
              <w:spacing w:before="31"/>
              <w:ind w:right="168"/>
              <w:jc w:val="right"/>
              <w:rPr>
                <w:b/>
                <w:sz w:val="20"/>
              </w:rPr>
            </w:pPr>
            <w:r>
              <w:rPr>
                <w:b/>
                <w:sz w:val="20"/>
              </w:rPr>
              <w:t>2008</w:t>
            </w:r>
          </w:p>
        </w:tc>
      </w:tr>
      <w:tr>
        <w:trPr>
          <w:trHeight w:val="275" w:hRule="exact"/>
        </w:trPr>
        <w:tc>
          <w:tcPr>
            <w:tcW w:w="1949" w:type="dxa"/>
            <w:shd w:val="clear" w:color="auto" w:fill="D9D9D9"/>
          </w:tcPr>
          <w:p>
            <w:pPr>
              <w:pStyle w:val="TableParagraph"/>
              <w:spacing w:line="211" w:lineRule="exact"/>
              <w:ind w:left="103"/>
              <w:jc w:val="left"/>
              <w:rPr>
                <w:b/>
                <w:sz w:val="20"/>
              </w:rPr>
            </w:pPr>
            <w:r>
              <w:rPr>
                <w:b/>
                <w:sz w:val="20"/>
              </w:rPr>
              <w:t>Región Norte</w:t>
            </w:r>
          </w:p>
        </w:tc>
        <w:tc>
          <w:tcPr>
            <w:tcW w:w="828" w:type="dxa"/>
            <w:shd w:val="clear" w:color="auto" w:fill="D9D9D9"/>
          </w:tcPr>
          <w:p>
            <w:pPr>
              <w:pStyle w:val="TableParagraph"/>
              <w:spacing w:before="10"/>
              <w:ind w:right="232"/>
              <w:jc w:val="right"/>
              <w:rPr>
                <w:sz w:val="20"/>
              </w:rPr>
            </w:pPr>
            <w:r>
              <w:rPr>
                <w:sz w:val="20"/>
              </w:rPr>
              <w:t>25.2</w:t>
            </w:r>
          </w:p>
        </w:tc>
        <w:tc>
          <w:tcPr>
            <w:tcW w:w="830" w:type="dxa"/>
            <w:shd w:val="clear" w:color="auto" w:fill="D9D9D9"/>
          </w:tcPr>
          <w:p>
            <w:pPr>
              <w:pStyle w:val="TableParagraph"/>
              <w:spacing w:before="10"/>
              <w:ind w:left="189" w:right="189"/>
              <w:rPr>
                <w:sz w:val="20"/>
              </w:rPr>
            </w:pPr>
            <w:r>
              <w:rPr>
                <w:sz w:val="20"/>
              </w:rPr>
              <w:t>31</w:t>
            </w:r>
          </w:p>
        </w:tc>
        <w:tc>
          <w:tcPr>
            <w:tcW w:w="864" w:type="dxa"/>
            <w:shd w:val="clear" w:color="auto" w:fill="D9D9D9"/>
          </w:tcPr>
          <w:p>
            <w:pPr>
              <w:pStyle w:val="TableParagraph"/>
              <w:spacing w:before="10"/>
              <w:ind w:left="205" w:right="207"/>
              <w:rPr>
                <w:sz w:val="20"/>
              </w:rPr>
            </w:pPr>
            <w:r>
              <w:rPr>
                <w:sz w:val="20"/>
              </w:rPr>
              <w:t>7.1</w:t>
            </w:r>
          </w:p>
        </w:tc>
        <w:tc>
          <w:tcPr>
            <w:tcW w:w="866" w:type="dxa"/>
            <w:shd w:val="clear" w:color="auto" w:fill="D9D9D9"/>
          </w:tcPr>
          <w:p>
            <w:pPr>
              <w:pStyle w:val="TableParagraph"/>
              <w:spacing w:before="10"/>
              <w:ind w:left="206" w:right="207"/>
              <w:rPr>
                <w:sz w:val="20"/>
              </w:rPr>
            </w:pPr>
            <w:r>
              <w:rPr>
                <w:sz w:val="20"/>
              </w:rPr>
              <w:t>1.8</w:t>
            </w:r>
          </w:p>
        </w:tc>
        <w:tc>
          <w:tcPr>
            <w:tcW w:w="994" w:type="dxa"/>
            <w:shd w:val="clear" w:color="auto" w:fill="D9D9D9"/>
          </w:tcPr>
          <w:p>
            <w:pPr>
              <w:pStyle w:val="TableParagraph"/>
              <w:spacing w:before="10"/>
              <w:ind w:left="270" w:right="272"/>
              <w:rPr>
                <w:sz w:val="20"/>
              </w:rPr>
            </w:pPr>
            <w:r>
              <w:rPr>
                <w:sz w:val="20"/>
              </w:rPr>
              <w:t>8.2</w:t>
            </w:r>
          </w:p>
        </w:tc>
        <w:tc>
          <w:tcPr>
            <w:tcW w:w="991" w:type="dxa"/>
            <w:shd w:val="clear" w:color="auto" w:fill="D9D9D9"/>
          </w:tcPr>
          <w:p>
            <w:pPr>
              <w:pStyle w:val="TableParagraph"/>
              <w:spacing w:before="10"/>
              <w:ind w:left="266" w:right="270"/>
              <w:rPr>
                <w:sz w:val="20"/>
              </w:rPr>
            </w:pPr>
            <w:r>
              <w:rPr>
                <w:sz w:val="20"/>
              </w:rPr>
              <w:t>47.7</w:t>
            </w:r>
          </w:p>
        </w:tc>
        <w:tc>
          <w:tcPr>
            <w:tcW w:w="754" w:type="dxa"/>
            <w:shd w:val="clear" w:color="auto" w:fill="D9D9D9"/>
          </w:tcPr>
          <w:p>
            <w:pPr>
              <w:pStyle w:val="TableParagraph"/>
              <w:spacing w:before="10"/>
              <w:ind w:left="152" w:right="152"/>
              <w:rPr>
                <w:sz w:val="20"/>
              </w:rPr>
            </w:pPr>
            <w:r>
              <w:rPr>
                <w:sz w:val="20"/>
              </w:rPr>
              <w:t>16.5</w:t>
            </w:r>
          </w:p>
        </w:tc>
        <w:tc>
          <w:tcPr>
            <w:tcW w:w="752" w:type="dxa"/>
            <w:shd w:val="clear" w:color="auto" w:fill="D9D9D9"/>
          </w:tcPr>
          <w:p>
            <w:pPr>
              <w:pStyle w:val="TableParagraph"/>
              <w:spacing w:before="10"/>
              <w:ind w:right="194"/>
              <w:jc w:val="right"/>
              <w:rPr>
                <w:sz w:val="20"/>
              </w:rPr>
            </w:pPr>
            <w:r>
              <w:rPr>
                <w:sz w:val="20"/>
              </w:rPr>
              <w:t>57.7</w:t>
            </w:r>
          </w:p>
        </w:tc>
      </w:tr>
      <w:tr>
        <w:trPr>
          <w:trHeight w:val="328" w:hRule="exact"/>
        </w:trPr>
        <w:tc>
          <w:tcPr>
            <w:tcW w:w="1949" w:type="dxa"/>
            <w:tcBorders>
              <w:top w:val="single" w:sz="28" w:space="0" w:color="D9D9D9"/>
            </w:tcBorders>
          </w:tcPr>
          <w:p>
            <w:pPr>
              <w:pStyle w:val="TableParagraph"/>
              <w:spacing w:line="211" w:lineRule="exact"/>
              <w:ind w:left="103"/>
              <w:jc w:val="left"/>
              <w:rPr>
                <w:sz w:val="20"/>
              </w:rPr>
            </w:pPr>
            <w:r>
              <w:rPr>
                <w:sz w:val="20"/>
              </w:rPr>
              <w:t>Baja California Norte</w:t>
            </w:r>
          </w:p>
        </w:tc>
        <w:tc>
          <w:tcPr>
            <w:tcW w:w="828" w:type="dxa"/>
            <w:tcBorders>
              <w:top w:val="single" w:sz="15" w:space="0" w:color="D9D9D9"/>
            </w:tcBorders>
          </w:tcPr>
          <w:p>
            <w:pPr>
              <w:pStyle w:val="TableParagraph"/>
              <w:spacing w:before="34"/>
              <w:ind w:left="261" w:right="262"/>
              <w:rPr>
                <w:sz w:val="20"/>
              </w:rPr>
            </w:pPr>
            <w:r>
              <w:rPr>
                <w:sz w:val="20"/>
              </w:rPr>
              <w:t>3.3</w:t>
            </w:r>
          </w:p>
        </w:tc>
        <w:tc>
          <w:tcPr>
            <w:tcW w:w="830" w:type="dxa"/>
            <w:tcBorders>
              <w:top w:val="single" w:sz="15" w:space="0" w:color="D9D9D9"/>
            </w:tcBorders>
          </w:tcPr>
          <w:p>
            <w:pPr>
              <w:pStyle w:val="TableParagraph"/>
              <w:spacing w:before="34"/>
              <w:ind w:left="188" w:right="190"/>
              <w:rPr>
                <w:sz w:val="20"/>
              </w:rPr>
            </w:pPr>
            <w:r>
              <w:rPr>
                <w:sz w:val="20"/>
              </w:rPr>
              <w:t>1.7</w:t>
            </w:r>
          </w:p>
        </w:tc>
        <w:tc>
          <w:tcPr>
            <w:tcW w:w="864" w:type="dxa"/>
            <w:tcBorders>
              <w:top w:val="single" w:sz="15" w:space="0" w:color="D9D9D9"/>
            </w:tcBorders>
          </w:tcPr>
          <w:p>
            <w:pPr>
              <w:pStyle w:val="TableParagraph"/>
              <w:spacing w:before="34"/>
              <w:ind w:left="205" w:right="207"/>
              <w:rPr>
                <w:sz w:val="20"/>
              </w:rPr>
            </w:pPr>
            <w:r>
              <w:rPr>
                <w:sz w:val="20"/>
              </w:rPr>
              <w:t>0.2</w:t>
            </w:r>
          </w:p>
        </w:tc>
        <w:tc>
          <w:tcPr>
            <w:tcW w:w="866" w:type="dxa"/>
            <w:tcBorders>
              <w:top w:val="single" w:sz="15" w:space="0" w:color="D9D9D9"/>
            </w:tcBorders>
          </w:tcPr>
          <w:p>
            <w:pPr>
              <w:pStyle w:val="TableParagraph"/>
              <w:spacing w:before="34"/>
              <w:ind w:left="206" w:right="207"/>
              <w:rPr>
                <w:sz w:val="20"/>
              </w:rPr>
            </w:pPr>
            <w:r>
              <w:rPr>
                <w:sz w:val="20"/>
              </w:rPr>
              <w:t>3.6</w:t>
            </w:r>
          </w:p>
        </w:tc>
        <w:tc>
          <w:tcPr>
            <w:tcW w:w="994" w:type="dxa"/>
            <w:tcBorders>
              <w:top w:val="single" w:sz="15" w:space="0" w:color="D9D9D9"/>
            </w:tcBorders>
          </w:tcPr>
          <w:p>
            <w:pPr>
              <w:pStyle w:val="TableParagraph"/>
              <w:spacing w:before="34"/>
              <w:ind w:left="270" w:right="272"/>
              <w:rPr>
                <w:sz w:val="20"/>
              </w:rPr>
            </w:pPr>
            <w:r>
              <w:rPr>
                <w:sz w:val="20"/>
              </w:rPr>
              <w:t>0.4</w:t>
            </w:r>
          </w:p>
        </w:tc>
        <w:tc>
          <w:tcPr>
            <w:tcW w:w="991" w:type="dxa"/>
            <w:tcBorders>
              <w:top w:val="single" w:sz="15" w:space="0" w:color="D9D9D9"/>
            </w:tcBorders>
          </w:tcPr>
          <w:p>
            <w:pPr>
              <w:pStyle w:val="TableParagraph"/>
              <w:spacing w:before="34"/>
              <w:ind w:left="266" w:right="270"/>
              <w:rPr>
                <w:sz w:val="20"/>
              </w:rPr>
            </w:pPr>
            <w:r>
              <w:rPr>
                <w:sz w:val="20"/>
              </w:rPr>
              <w:t>2.5</w:t>
            </w:r>
          </w:p>
        </w:tc>
        <w:tc>
          <w:tcPr>
            <w:tcW w:w="754" w:type="dxa"/>
            <w:tcBorders>
              <w:top w:val="single" w:sz="15" w:space="0" w:color="D9D9D9"/>
            </w:tcBorders>
          </w:tcPr>
          <w:p>
            <w:pPr>
              <w:pStyle w:val="TableParagraph"/>
              <w:spacing w:before="34"/>
              <w:ind w:left="152" w:right="152"/>
              <w:rPr>
                <w:sz w:val="20"/>
              </w:rPr>
            </w:pPr>
            <w:r>
              <w:rPr>
                <w:sz w:val="20"/>
              </w:rPr>
              <w:t>1.2</w:t>
            </w:r>
          </w:p>
        </w:tc>
        <w:tc>
          <w:tcPr>
            <w:tcW w:w="752" w:type="dxa"/>
            <w:tcBorders>
              <w:top w:val="single" w:sz="15" w:space="0" w:color="D9D9D9"/>
            </w:tcBorders>
          </w:tcPr>
          <w:p>
            <w:pPr>
              <w:pStyle w:val="TableParagraph"/>
              <w:spacing w:before="34"/>
              <w:ind w:right="3"/>
              <w:rPr>
                <w:sz w:val="20"/>
              </w:rPr>
            </w:pPr>
            <w:r>
              <w:rPr>
                <w:w w:val="99"/>
                <w:sz w:val="20"/>
              </w:rPr>
              <w:t>2</w:t>
            </w:r>
          </w:p>
        </w:tc>
      </w:tr>
      <w:tr>
        <w:trPr>
          <w:trHeight w:val="310" w:hRule="exact"/>
        </w:trPr>
        <w:tc>
          <w:tcPr>
            <w:tcW w:w="1949" w:type="dxa"/>
          </w:tcPr>
          <w:p>
            <w:pPr>
              <w:pStyle w:val="TableParagraph"/>
              <w:spacing w:line="223" w:lineRule="exact"/>
              <w:ind w:left="103"/>
              <w:jc w:val="left"/>
              <w:rPr>
                <w:sz w:val="20"/>
              </w:rPr>
            </w:pPr>
            <w:r>
              <w:rPr>
                <w:sz w:val="20"/>
              </w:rPr>
              <w:t>Chihuahua</w:t>
            </w:r>
          </w:p>
        </w:tc>
        <w:tc>
          <w:tcPr>
            <w:tcW w:w="828" w:type="dxa"/>
          </w:tcPr>
          <w:p>
            <w:pPr>
              <w:pStyle w:val="TableParagraph"/>
              <w:spacing w:before="29"/>
              <w:ind w:left="261" w:right="262"/>
              <w:rPr>
                <w:sz w:val="20"/>
              </w:rPr>
            </w:pPr>
            <w:r>
              <w:rPr>
                <w:sz w:val="20"/>
              </w:rPr>
              <w:t>1.9</w:t>
            </w:r>
          </w:p>
        </w:tc>
        <w:tc>
          <w:tcPr>
            <w:tcW w:w="830" w:type="dxa"/>
          </w:tcPr>
          <w:p>
            <w:pPr>
              <w:pStyle w:val="TableParagraph"/>
              <w:spacing w:before="29"/>
              <w:ind w:left="188" w:right="190"/>
              <w:rPr>
                <w:sz w:val="20"/>
              </w:rPr>
            </w:pPr>
            <w:r>
              <w:rPr>
                <w:sz w:val="20"/>
              </w:rPr>
              <w:t>7.5</w:t>
            </w:r>
          </w:p>
        </w:tc>
        <w:tc>
          <w:tcPr>
            <w:tcW w:w="864" w:type="dxa"/>
          </w:tcPr>
          <w:p>
            <w:pPr>
              <w:pStyle w:val="TableParagraph"/>
              <w:spacing w:before="29"/>
              <w:ind w:left="205" w:right="207"/>
              <w:rPr>
                <w:sz w:val="20"/>
              </w:rPr>
            </w:pPr>
            <w:r>
              <w:rPr>
                <w:sz w:val="20"/>
              </w:rPr>
              <w:t>0.1</w:t>
            </w:r>
          </w:p>
        </w:tc>
        <w:tc>
          <w:tcPr>
            <w:tcW w:w="866" w:type="dxa"/>
          </w:tcPr>
          <w:p>
            <w:pPr>
              <w:pStyle w:val="TableParagraph"/>
              <w:spacing w:before="29"/>
              <w:ind w:left="206" w:right="207"/>
              <w:rPr>
                <w:sz w:val="20"/>
              </w:rPr>
            </w:pPr>
            <w:r>
              <w:rPr>
                <w:sz w:val="20"/>
              </w:rPr>
              <w:t>5.2</w:t>
            </w:r>
          </w:p>
        </w:tc>
        <w:tc>
          <w:tcPr>
            <w:tcW w:w="994" w:type="dxa"/>
          </w:tcPr>
          <w:p>
            <w:pPr>
              <w:pStyle w:val="TableParagraph"/>
              <w:spacing w:before="29"/>
              <w:ind w:left="270" w:right="272"/>
              <w:rPr>
                <w:sz w:val="20"/>
              </w:rPr>
            </w:pPr>
            <w:r>
              <w:rPr>
                <w:sz w:val="20"/>
              </w:rPr>
              <w:t>0.7</w:t>
            </w:r>
          </w:p>
        </w:tc>
        <w:tc>
          <w:tcPr>
            <w:tcW w:w="991" w:type="dxa"/>
          </w:tcPr>
          <w:p>
            <w:pPr>
              <w:pStyle w:val="TableParagraph"/>
              <w:spacing w:before="29"/>
              <w:ind w:left="266" w:right="270"/>
              <w:rPr>
                <w:sz w:val="20"/>
              </w:rPr>
            </w:pPr>
            <w:r>
              <w:rPr>
                <w:sz w:val="20"/>
              </w:rPr>
              <w:t>10.6</w:t>
            </w:r>
          </w:p>
        </w:tc>
        <w:tc>
          <w:tcPr>
            <w:tcW w:w="754" w:type="dxa"/>
          </w:tcPr>
          <w:p>
            <w:pPr>
              <w:pStyle w:val="TableParagraph"/>
              <w:spacing w:before="29"/>
              <w:ind w:left="152" w:right="152"/>
              <w:rPr>
                <w:sz w:val="20"/>
              </w:rPr>
            </w:pPr>
            <w:r>
              <w:rPr>
                <w:sz w:val="20"/>
              </w:rPr>
              <w:t>2.7</w:t>
            </w:r>
          </w:p>
        </w:tc>
        <w:tc>
          <w:tcPr>
            <w:tcW w:w="752" w:type="dxa"/>
          </w:tcPr>
          <w:p>
            <w:pPr>
              <w:pStyle w:val="TableParagraph"/>
              <w:spacing w:before="29"/>
              <w:ind w:right="194"/>
              <w:jc w:val="right"/>
              <w:rPr>
                <w:sz w:val="20"/>
              </w:rPr>
            </w:pPr>
            <w:r>
              <w:rPr>
                <w:sz w:val="20"/>
              </w:rPr>
              <w:t>21.1</w:t>
            </w:r>
          </w:p>
        </w:tc>
      </w:tr>
      <w:tr>
        <w:trPr>
          <w:trHeight w:val="310" w:hRule="exact"/>
        </w:trPr>
        <w:tc>
          <w:tcPr>
            <w:tcW w:w="1949" w:type="dxa"/>
          </w:tcPr>
          <w:p>
            <w:pPr>
              <w:pStyle w:val="TableParagraph"/>
              <w:spacing w:line="223" w:lineRule="exact"/>
              <w:ind w:left="103"/>
              <w:jc w:val="left"/>
              <w:rPr>
                <w:sz w:val="20"/>
              </w:rPr>
            </w:pPr>
            <w:r>
              <w:rPr>
                <w:sz w:val="20"/>
              </w:rPr>
              <w:t>Coahuila</w:t>
            </w:r>
          </w:p>
        </w:tc>
        <w:tc>
          <w:tcPr>
            <w:tcW w:w="828" w:type="dxa"/>
          </w:tcPr>
          <w:p>
            <w:pPr>
              <w:pStyle w:val="TableParagraph"/>
              <w:spacing w:before="29"/>
              <w:ind w:right="1"/>
              <w:rPr>
                <w:sz w:val="20"/>
              </w:rPr>
            </w:pPr>
            <w:r>
              <w:rPr>
                <w:w w:val="99"/>
                <w:sz w:val="20"/>
              </w:rPr>
              <w:t>3</w:t>
            </w:r>
          </w:p>
        </w:tc>
        <w:tc>
          <w:tcPr>
            <w:tcW w:w="830" w:type="dxa"/>
          </w:tcPr>
          <w:p>
            <w:pPr>
              <w:pStyle w:val="TableParagraph"/>
              <w:spacing w:before="29"/>
              <w:ind w:left="188" w:right="190"/>
              <w:rPr>
                <w:sz w:val="20"/>
              </w:rPr>
            </w:pPr>
            <w:r>
              <w:rPr>
                <w:sz w:val="20"/>
              </w:rPr>
              <w:t>5.3</w:t>
            </w:r>
          </w:p>
        </w:tc>
        <w:tc>
          <w:tcPr>
            <w:tcW w:w="864" w:type="dxa"/>
          </w:tcPr>
          <w:p>
            <w:pPr>
              <w:pStyle w:val="TableParagraph"/>
              <w:spacing w:before="29"/>
              <w:ind w:left="205" w:right="207"/>
              <w:rPr>
                <w:sz w:val="20"/>
              </w:rPr>
            </w:pPr>
            <w:r>
              <w:rPr>
                <w:sz w:val="20"/>
              </w:rPr>
              <w:t>0.6</w:t>
            </w:r>
          </w:p>
        </w:tc>
        <w:tc>
          <w:tcPr>
            <w:tcW w:w="866" w:type="dxa"/>
          </w:tcPr>
          <w:p>
            <w:pPr>
              <w:pStyle w:val="TableParagraph"/>
              <w:spacing w:before="29"/>
              <w:ind w:left="206" w:right="207"/>
              <w:rPr>
                <w:sz w:val="20"/>
              </w:rPr>
            </w:pPr>
            <w:r>
              <w:rPr>
                <w:sz w:val="20"/>
              </w:rPr>
              <w:t>17.7</w:t>
            </w:r>
          </w:p>
        </w:tc>
        <w:tc>
          <w:tcPr>
            <w:tcW w:w="994" w:type="dxa"/>
          </w:tcPr>
          <w:p>
            <w:pPr>
              <w:pStyle w:val="TableParagraph"/>
              <w:spacing w:before="29"/>
              <w:ind w:left="270" w:right="272"/>
              <w:rPr>
                <w:sz w:val="20"/>
              </w:rPr>
            </w:pPr>
            <w:r>
              <w:rPr>
                <w:sz w:val="20"/>
              </w:rPr>
              <w:t>0.8</w:t>
            </w:r>
          </w:p>
        </w:tc>
        <w:tc>
          <w:tcPr>
            <w:tcW w:w="991" w:type="dxa"/>
          </w:tcPr>
          <w:p>
            <w:pPr>
              <w:pStyle w:val="TableParagraph"/>
              <w:spacing w:before="29"/>
              <w:ind w:left="266" w:right="270"/>
              <w:rPr>
                <w:sz w:val="20"/>
              </w:rPr>
            </w:pPr>
            <w:r>
              <w:rPr>
                <w:sz w:val="20"/>
              </w:rPr>
              <w:t>16.3</w:t>
            </w:r>
          </w:p>
        </w:tc>
        <w:tc>
          <w:tcPr>
            <w:tcW w:w="754" w:type="dxa"/>
          </w:tcPr>
          <w:p>
            <w:pPr>
              <w:pStyle w:val="TableParagraph"/>
              <w:spacing w:before="29"/>
              <w:ind w:left="152" w:right="152"/>
              <w:rPr>
                <w:sz w:val="20"/>
              </w:rPr>
            </w:pPr>
            <w:r>
              <w:rPr>
                <w:sz w:val="20"/>
              </w:rPr>
              <w:t>2.2</w:t>
            </w:r>
          </w:p>
        </w:tc>
        <w:tc>
          <w:tcPr>
            <w:tcW w:w="752" w:type="dxa"/>
          </w:tcPr>
          <w:p>
            <w:pPr>
              <w:pStyle w:val="TableParagraph"/>
              <w:spacing w:before="29"/>
              <w:ind w:right="194"/>
              <w:jc w:val="right"/>
              <w:rPr>
                <w:sz w:val="20"/>
              </w:rPr>
            </w:pPr>
            <w:r>
              <w:rPr>
                <w:sz w:val="20"/>
              </w:rPr>
              <w:t>11.6</w:t>
            </w:r>
          </w:p>
        </w:tc>
      </w:tr>
      <w:tr>
        <w:trPr>
          <w:trHeight w:val="312" w:hRule="exact"/>
        </w:trPr>
        <w:tc>
          <w:tcPr>
            <w:tcW w:w="1949" w:type="dxa"/>
          </w:tcPr>
          <w:p>
            <w:pPr>
              <w:pStyle w:val="TableParagraph"/>
              <w:spacing w:line="226" w:lineRule="exact"/>
              <w:ind w:left="103"/>
              <w:jc w:val="left"/>
              <w:rPr>
                <w:sz w:val="20"/>
              </w:rPr>
            </w:pPr>
            <w:r>
              <w:rPr>
                <w:sz w:val="20"/>
              </w:rPr>
              <w:t>Nuevo León</w:t>
            </w:r>
          </w:p>
        </w:tc>
        <w:tc>
          <w:tcPr>
            <w:tcW w:w="828" w:type="dxa"/>
          </w:tcPr>
          <w:p>
            <w:pPr>
              <w:pStyle w:val="TableParagraph"/>
              <w:spacing w:before="29"/>
              <w:ind w:right="232"/>
              <w:jc w:val="right"/>
              <w:rPr>
                <w:sz w:val="20"/>
              </w:rPr>
            </w:pPr>
            <w:r>
              <w:rPr>
                <w:sz w:val="20"/>
              </w:rPr>
              <w:t>12.3</w:t>
            </w:r>
          </w:p>
        </w:tc>
        <w:tc>
          <w:tcPr>
            <w:tcW w:w="830" w:type="dxa"/>
          </w:tcPr>
          <w:p>
            <w:pPr>
              <w:pStyle w:val="TableParagraph"/>
              <w:spacing w:before="29"/>
              <w:ind w:left="188" w:right="190"/>
              <w:rPr>
                <w:sz w:val="20"/>
              </w:rPr>
            </w:pPr>
            <w:r>
              <w:rPr>
                <w:sz w:val="20"/>
              </w:rPr>
              <w:t>8.9</w:t>
            </w:r>
          </w:p>
        </w:tc>
        <w:tc>
          <w:tcPr>
            <w:tcW w:w="864" w:type="dxa"/>
          </w:tcPr>
          <w:p>
            <w:pPr>
              <w:pStyle w:val="TableParagraph"/>
              <w:spacing w:before="29"/>
              <w:ind w:left="205" w:right="207"/>
              <w:rPr>
                <w:sz w:val="20"/>
              </w:rPr>
            </w:pPr>
            <w:r>
              <w:rPr>
                <w:sz w:val="20"/>
              </w:rPr>
              <w:t>5.8</w:t>
            </w:r>
          </w:p>
        </w:tc>
        <w:tc>
          <w:tcPr>
            <w:tcW w:w="866" w:type="dxa"/>
          </w:tcPr>
          <w:p>
            <w:pPr>
              <w:pStyle w:val="TableParagraph"/>
              <w:spacing w:before="29"/>
              <w:ind w:left="206" w:right="207"/>
              <w:rPr>
                <w:sz w:val="20"/>
              </w:rPr>
            </w:pPr>
            <w:r>
              <w:rPr>
                <w:sz w:val="20"/>
              </w:rPr>
              <w:t>6.2</w:t>
            </w:r>
          </w:p>
        </w:tc>
        <w:tc>
          <w:tcPr>
            <w:tcW w:w="994" w:type="dxa"/>
          </w:tcPr>
          <w:p>
            <w:pPr>
              <w:pStyle w:val="TableParagraph"/>
              <w:spacing w:before="29"/>
              <w:ind w:left="270" w:right="272"/>
              <w:rPr>
                <w:sz w:val="20"/>
              </w:rPr>
            </w:pPr>
            <w:r>
              <w:rPr>
                <w:sz w:val="20"/>
              </w:rPr>
              <w:t>5.7</w:t>
            </w:r>
          </w:p>
        </w:tc>
        <w:tc>
          <w:tcPr>
            <w:tcW w:w="991" w:type="dxa"/>
          </w:tcPr>
          <w:p>
            <w:pPr>
              <w:pStyle w:val="TableParagraph"/>
              <w:spacing w:before="29"/>
              <w:ind w:left="266" w:right="270"/>
              <w:rPr>
                <w:sz w:val="20"/>
              </w:rPr>
            </w:pPr>
            <w:r>
              <w:rPr>
                <w:sz w:val="20"/>
              </w:rPr>
              <w:t>7.6</w:t>
            </w:r>
          </w:p>
        </w:tc>
        <w:tc>
          <w:tcPr>
            <w:tcW w:w="754" w:type="dxa"/>
          </w:tcPr>
          <w:p>
            <w:pPr>
              <w:pStyle w:val="TableParagraph"/>
              <w:spacing w:before="29"/>
              <w:ind w:left="152" w:right="152"/>
              <w:rPr>
                <w:sz w:val="20"/>
              </w:rPr>
            </w:pPr>
            <w:r>
              <w:rPr>
                <w:sz w:val="20"/>
              </w:rPr>
              <w:t>9.2</w:t>
            </w:r>
          </w:p>
        </w:tc>
        <w:tc>
          <w:tcPr>
            <w:tcW w:w="752" w:type="dxa"/>
          </w:tcPr>
          <w:p>
            <w:pPr>
              <w:pStyle w:val="TableParagraph"/>
              <w:spacing w:before="29"/>
              <w:ind w:right="3"/>
              <w:rPr>
                <w:sz w:val="20"/>
              </w:rPr>
            </w:pPr>
            <w:r>
              <w:rPr>
                <w:w w:val="99"/>
                <w:sz w:val="20"/>
              </w:rPr>
              <w:t>8</w:t>
            </w:r>
          </w:p>
        </w:tc>
      </w:tr>
      <w:tr>
        <w:trPr>
          <w:trHeight w:val="310" w:hRule="exact"/>
        </w:trPr>
        <w:tc>
          <w:tcPr>
            <w:tcW w:w="1949" w:type="dxa"/>
          </w:tcPr>
          <w:p>
            <w:pPr>
              <w:pStyle w:val="TableParagraph"/>
              <w:spacing w:line="223" w:lineRule="exact"/>
              <w:ind w:left="103"/>
              <w:jc w:val="left"/>
              <w:rPr>
                <w:sz w:val="20"/>
              </w:rPr>
            </w:pPr>
            <w:r>
              <w:rPr>
                <w:sz w:val="20"/>
              </w:rPr>
              <w:t>Sonora</w:t>
            </w:r>
          </w:p>
        </w:tc>
        <w:tc>
          <w:tcPr>
            <w:tcW w:w="828" w:type="dxa"/>
          </w:tcPr>
          <w:p>
            <w:pPr>
              <w:pStyle w:val="TableParagraph"/>
              <w:spacing w:before="25"/>
              <w:ind w:left="261" w:right="263"/>
              <w:rPr>
                <w:rFonts w:ascii="Calibri"/>
                <w:sz w:val="20"/>
              </w:rPr>
            </w:pPr>
            <w:r>
              <w:rPr>
                <w:rFonts w:ascii="Calibri"/>
                <w:sz w:val="20"/>
              </w:rPr>
              <w:t>1.7</w:t>
            </w:r>
          </w:p>
        </w:tc>
        <w:tc>
          <w:tcPr>
            <w:tcW w:w="830" w:type="dxa"/>
          </w:tcPr>
          <w:p>
            <w:pPr>
              <w:pStyle w:val="TableParagraph"/>
              <w:spacing w:before="25"/>
              <w:ind w:left="186" w:right="190"/>
              <w:rPr>
                <w:rFonts w:ascii="Calibri"/>
                <w:sz w:val="20"/>
              </w:rPr>
            </w:pPr>
            <w:r>
              <w:rPr>
                <w:rFonts w:ascii="Calibri"/>
                <w:sz w:val="20"/>
              </w:rPr>
              <w:t>2.8</w:t>
            </w:r>
          </w:p>
        </w:tc>
        <w:tc>
          <w:tcPr>
            <w:tcW w:w="864" w:type="dxa"/>
          </w:tcPr>
          <w:p>
            <w:pPr>
              <w:pStyle w:val="TableParagraph"/>
              <w:spacing w:before="25"/>
              <w:ind w:left="202" w:right="207"/>
              <w:rPr>
                <w:rFonts w:ascii="Calibri"/>
                <w:sz w:val="20"/>
              </w:rPr>
            </w:pPr>
            <w:r>
              <w:rPr>
                <w:rFonts w:ascii="Calibri"/>
                <w:sz w:val="20"/>
              </w:rPr>
              <w:t>0.2</w:t>
            </w:r>
          </w:p>
        </w:tc>
        <w:tc>
          <w:tcPr>
            <w:tcW w:w="866" w:type="dxa"/>
          </w:tcPr>
          <w:p>
            <w:pPr>
              <w:pStyle w:val="TableParagraph"/>
              <w:spacing w:before="25"/>
              <w:ind w:left="205" w:right="207"/>
              <w:rPr>
                <w:rFonts w:ascii="Calibri"/>
                <w:sz w:val="20"/>
              </w:rPr>
            </w:pPr>
            <w:r>
              <w:rPr>
                <w:rFonts w:ascii="Calibri"/>
                <w:sz w:val="20"/>
              </w:rPr>
              <w:t>7.3</w:t>
            </w:r>
          </w:p>
        </w:tc>
        <w:tc>
          <w:tcPr>
            <w:tcW w:w="994" w:type="dxa"/>
          </w:tcPr>
          <w:p>
            <w:pPr>
              <w:pStyle w:val="TableParagraph"/>
              <w:spacing w:before="25"/>
              <w:ind w:left="267" w:right="272"/>
              <w:rPr>
                <w:rFonts w:ascii="Calibri"/>
                <w:sz w:val="20"/>
              </w:rPr>
            </w:pPr>
            <w:r>
              <w:rPr>
                <w:rFonts w:ascii="Calibri"/>
                <w:sz w:val="20"/>
              </w:rPr>
              <w:t>0.2</w:t>
            </w:r>
          </w:p>
        </w:tc>
        <w:tc>
          <w:tcPr>
            <w:tcW w:w="991" w:type="dxa"/>
          </w:tcPr>
          <w:p>
            <w:pPr>
              <w:pStyle w:val="TableParagraph"/>
              <w:spacing w:before="25"/>
              <w:ind w:left="263" w:right="270"/>
              <w:rPr>
                <w:rFonts w:ascii="Calibri"/>
                <w:sz w:val="20"/>
              </w:rPr>
            </w:pPr>
            <w:r>
              <w:rPr>
                <w:rFonts w:ascii="Calibri"/>
                <w:sz w:val="20"/>
              </w:rPr>
              <w:t>6.6</w:t>
            </w:r>
          </w:p>
        </w:tc>
        <w:tc>
          <w:tcPr>
            <w:tcW w:w="754" w:type="dxa"/>
          </w:tcPr>
          <w:p>
            <w:pPr>
              <w:pStyle w:val="TableParagraph"/>
              <w:spacing w:before="25"/>
              <w:ind w:left="152" w:right="152"/>
              <w:rPr>
                <w:rFonts w:ascii="Calibri"/>
                <w:sz w:val="20"/>
              </w:rPr>
            </w:pPr>
            <w:r>
              <w:rPr>
                <w:rFonts w:ascii="Calibri"/>
                <w:sz w:val="20"/>
              </w:rPr>
              <w:t>0.3</w:t>
            </w:r>
          </w:p>
        </w:tc>
        <w:tc>
          <w:tcPr>
            <w:tcW w:w="752" w:type="dxa"/>
          </w:tcPr>
          <w:p>
            <w:pPr>
              <w:pStyle w:val="TableParagraph"/>
              <w:spacing w:before="25"/>
              <w:ind w:right="245"/>
              <w:jc w:val="right"/>
              <w:rPr>
                <w:rFonts w:ascii="Calibri"/>
                <w:sz w:val="20"/>
              </w:rPr>
            </w:pPr>
            <w:r>
              <w:rPr>
                <w:rFonts w:ascii="Calibri"/>
                <w:w w:val="95"/>
                <w:sz w:val="20"/>
              </w:rPr>
              <w:t>6.4</w:t>
            </w:r>
          </w:p>
        </w:tc>
      </w:tr>
      <w:tr>
        <w:trPr>
          <w:trHeight w:val="310" w:hRule="exact"/>
        </w:trPr>
        <w:tc>
          <w:tcPr>
            <w:tcW w:w="1949" w:type="dxa"/>
          </w:tcPr>
          <w:p>
            <w:pPr>
              <w:pStyle w:val="TableParagraph"/>
              <w:spacing w:line="223" w:lineRule="exact"/>
              <w:ind w:left="103"/>
              <w:jc w:val="left"/>
              <w:rPr>
                <w:sz w:val="20"/>
              </w:rPr>
            </w:pPr>
            <w:r>
              <w:rPr>
                <w:sz w:val="20"/>
              </w:rPr>
              <w:t>Tamaulipas</w:t>
            </w:r>
          </w:p>
        </w:tc>
        <w:tc>
          <w:tcPr>
            <w:tcW w:w="828" w:type="dxa"/>
          </w:tcPr>
          <w:p>
            <w:pPr>
              <w:pStyle w:val="TableParagraph"/>
              <w:spacing w:before="28"/>
              <w:rPr>
                <w:rFonts w:ascii="Calibri"/>
                <w:sz w:val="20"/>
              </w:rPr>
            </w:pPr>
            <w:r>
              <w:rPr>
                <w:rFonts w:ascii="Calibri"/>
                <w:w w:val="99"/>
                <w:sz w:val="20"/>
              </w:rPr>
              <w:t>3</w:t>
            </w:r>
          </w:p>
        </w:tc>
        <w:tc>
          <w:tcPr>
            <w:tcW w:w="830" w:type="dxa"/>
          </w:tcPr>
          <w:p>
            <w:pPr>
              <w:pStyle w:val="TableParagraph"/>
              <w:spacing w:before="28"/>
              <w:ind w:left="186" w:right="190"/>
              <w:rPr>
                <w:rFonts w:ascii="Calibri"/>
                <w:sz w:val="20"/>
              </w:rPr>
            </w:pPr>
            <w:r>
              <w:rPr>
                <w:rFonts w:ascii="Calibri"/>
                <w:sz w:val="20"/>
              </w:rPr>
              <w:t>4.9</w:t>
            </w:r>
          </w:p>
        </w:tc>
        <w:tc>
          <w:tcPr>
            <w:tcW w:w="864" w:type="dxa"/>
          </w:tcPr>
          <w:p>
            <w:pPr>
              <w:pStyle w:val="TableParagraph"/>
              <w:spacing w:before="28"/>
              <w:ind w:left="202" w:right="207"/>
              <w:rPr>
                <w:rFonts w:ascii="Calibri"/>
                <w:sz w:val="20"/>
              </w:rPr>
            </w:pPr>
            <w:r>
              <w:rPr>
                <w:rFonts w:ascii="Calibri"/>
                <w:sz w:val="20"/>
              </w:rPr>
              <w:t>0.2</w:t>
            </w:r>
          </w:p>
        </w:tc>
        <w:tc>
          <w:tcPr>
            <w:tcW w:w="866" w:type="dxa"/>
          </w:tcPr>
          <w:p>
            <w:pPr>
              <w:pStyle w:val="TableParagraph"/>
              <w:spacing w:before="28"/>
              <w:ind w:left="205" w:right="207"/>
              <w:rPr>
                <w:rFonts w:ascii="Calibri"/>
                <w:sz w:val="20"/>
              </w:rPr>
            </w:pPr>
            <w:r>
              <w:rPr>
                <w:rFonts w:ascii="Calibri"/>
                <w:sz w:val="20"/>
              </w:rPr>
              <w:t>1.8</w:t>
            </w:r>
          </w:p>
        </w:tc>
        <w:tc>
          <w:tcPr>
            <w:tcW w:w="994" w:type="dxa"/>
          </w:tcPr>
          <w:p>
            <w:pPr>
              <w:pStyle w:val="TableParagraph"/>
              <w:spacing w:before="28"/>
              <w:ind w:left="267" w:right="272"/>
              <w:rPr>
                <w:rFonts w:ascii="Calibri"/>
                <w:sz w:val="20"/>
              </w:rPr>
            </w:pPr>
            <w:r>
              <w:rPr>
                <w:rFonts w:ascii="Calibri"/>
                <w:sz w:val="20"/>
              </w:rPr>
              <w:t>0.3</w:t>
            </w:r>
          </w:p>
        </w:tc>
        <w:tc>
          <w:tcPr>
            <w:tcW w:w="991" w:type="dxa"/>
          </w:tcPr>
          <w:p>
            <w:pPr>
              <w:pStyle w:val="TableParagraph"/>
              <w:spacing w:before="28"/>
              <w:ind w:left="263" w:right="270"/>
              <w:rPr>
                <w:rFonts w:ascii="Calibri"/>
                <w:sz w:val="20"/>
              </w:rPr>
            </w:pPr>
            <w:r>
              <w:rPr>
                <w:rFonts w:ascii="Calibri"/>
                <w:sz w:val="20"/>
              </w:rPr>
              <w:t>4.2</w:t>
            </w:r>
          </w:p>
        </w:tc>
        <w:tc>
          <w:tcPr>
            <w:tcW w:w="754" w:type="dxa"/>
          </w:tcPr>
          <w:p>
            <w:pPr>
              <w:pStyle w:val="TableParagraph"/>
              <w:spacing w:before="28"/>
              <w:rPr>
                <w:rFonts w:ascii="Calibri"/>
                <w:sz w:val="20"/>
              </w:rPr>
            </w:pPr>
            <w:r>
              <w:rPr>
                <w:rFonts w:ascii="Calibri"/>
                <w:w w:val="99"/>
                <w:sz w:val="20"/>
              </w:rPr>
              <w:t>1</w:t>
            </w:r>
          </w:p>
        </w:tc>
        <w:tc>
          <w:tcPr>
            <w:tcW w:w="752" w:type="dxa"/>
          </w:tcPr>
          <w:p>
            <w:pPr>
              <w:pStyle w:val="TableParagraph"/>
              <w:spacing w:before="28"/>
              <w:ind w:right="245"/>
              <w:jc w:val="right"/>
              <w:rPr>
                <w:rFonts w:ascii="Calibri"/>
                <w:sz w:val="20"/>
              </w:rPr>
            </w:pPr>
            <w:r>
              <w:rPr>
                <w:rFonts w:ascii="Calibri"/>
                <w:w w:val="95"/>
                <w:sz w:val="20"/>
              </w:rPr>
              <w:t>8.5</w:t>
            </w:r>
          </w:p>
        </w:tc>
      </w:tr>
    </w:tbl>
    <w:p>
      <w:pPr>
        <w:spacing w:line="202" w:lineRule="exact" w:before="0"/>
        <w:ind w:left="102" w:right="0" w:firstLine="0"/>
        <w:jc w:val="both"/>
        <w:rPr>
          <w:sz w:val="18"/>
        </w:rPr>
      </w:pPr>
      <w:r>
        <w:rPr>
          <w:sz w:val="18"/>
        </w:rPr>
        <w:t>Fuente: Elaboración propia con datos del INEGI (1980 y 2009).</w:t>
      </w:r>
    </w:p>
    <w:p>
      <w:pPr>
        <w:pStyle w:val="BodyText"/>
        <w:rPr>
          <w:sz w:val="18"/>
        </w:rPr>
      </w:pPr>
    </w:p>
    <w:p>
      <w:pPr>
        <w:pStyle w:val="BodyText"/>
        <w:spacing w:line="360" w:lineRule="auto" w:before="135"/>
        <w:ind w:left="102" w:right="116"/>
        <w:jc w:val="both"/>
      </w:pPr>
      <w:r>
        <w:rPr/>
        <w:t>En</w:t>
      </w:r>
      <w:r>
        <w:rPr>
          <w:spacing w:val="-11"/>
        </w:rPr>
        <w:t> </w:t>
      </w:r>
      <w:r>
        <w:rPr/>
        <w:t>cuanto</w:t>
      </w:r>
      <w:r>
        <w:rPr>
          <w:spacing w:val="-11"/>
        </w:rPr>
        <w:t> </w:t>
      </w:r>
      <w:r>
        <w:rPr/>
        <w:t>al</w:t>
      </w:r>
      <w:r>
        <w:rPr>
          <w:spacing w:val="-11"/>
        </w:rPr>
        <w:t> </w:t>
      </w:r>
      <w:r>
        <w:rPr/>
        <w:t>impacto</w:t>
      </w:r>
      <w:r>
        <w:rPr>
          <w:spacing w:val="-11"/>
        </w:rPr>
        <w:t> </w:t>
      </w:r>
      <w:r>
        <w:rPr/>
        <w:t>que</w:t>
      </w:r>
      <w:r>
        <w:rPr>
          <w:spacing w:val="-12"/>
        </w:rPr>
        <w:t> </w:t>
      </w:r>
      <w:r>
        <w:rPr/>
        <w:t>tiene</w:t>
      </w:r>
      <w:r>
        <w:rPr>
          <w:spacing w:val="-12"/>
        </w:rPr>
        <w:t> </w:t>
      </w:r>
      <w:r>
        <w:rPr/>
        <w:t>el</w:t>
      </w:r>
      <w:r>
        <w:rPr>
          <w:spacing w:val="-11"/>
        </w:rPr>
        <w:t> </w:t>
      </w:r>
      <w:r>
        <w:rPr/>
        <w:t>sector</w:t>
      </w:r>
      <w:r>
        <w:rPr>
          <w:spacing w:val="-11"/>
        </w:rPr>
        <w:t> </w:t>
      </w:r>
      <w:r>
        <w:rPr/>
        <w:t>automotriz</w:t>
      </w:r>
      <w:r>
        <w:rPr>
          <w:spacing w:val="-10"/>
        </w:rPr>
        <w:t> </w:t>
      </w:r>
      <w:r>
        <w:rPr/>
        <w:t>en</w:t>
      </w:r>
      <w:r>
        <w:rPr>
          <w:spacing w:val="-11"/>
        </w:rPr>
        <w:t> </w:t>
      </w:r>
      <w:r>
        <w:rPr/>
        <w:t>la</w:t>
      </w:r>
      <w:r>
        <w:rPr>
          <w:spacing w:val="-12"/>
        </w:rPr>
        <w:t> </w:t>
      </w:r>
      <w:r>
        <w:rPr/>
        <w:t>industria</w:t>
      </w:r>
      <w:r>
        <w:rPr>
          <w:spacing w:val="-12"/>
        </w:rPr>
        <w:t> </w:t>
      </w:r>
      <w:r>
        <w:rPr/>
        <w:t>manufacturera</w:t>
      </w:r>
      <w:r>
        <w:rPr>
          <w:spacing w:val="-13"/>
        </w:rPr>
        <w:t> </w:t>
      </w:r>
      <w:r>
        <w:rPr/>
        <w:t>de</w:t>
      </w:r>
      <w:r>
        <w:rPr>
          <w:spacing w:val="-12"/>
        </w:rPr>
        <w:t> </w:t>
      </w:r>
      <w:r>
        <w:rPr/>
        <w:t>la</w:t>
      </w:r>
      <w:r>
        <w:rPr>
          <w:spacing w:val="-12"/>
        </w:rPr>
        <w:t> </w:t>
      </w:r>
      <w:r>
        <w:rPr/>
        <w:t>región norte, se encontró que éste ha sido muy significativo, pues de acuerdo al cuadro 4.14, pese</w:t>
      </w:r>
      <w:r>
        <w:rPr>
          <w:spacing w:val="-21"/>
        </w:rPr>
        <w:t> </w:t>
      </w:r>
      <w:r>
        <w:rPr/>
        <w:t>a que las unidades económicas disminuyeron, de 1980 a 2009 en 0.3%, dato que como </w:t>
      </w:r>
      <w:r>
        <w:rPr>
          <w:spacing w:val="-3"/>
        </w:rPr>
        <w:t>ya </w:t>
      </w:r>
      <w:r>
        <w:rPr/>
        <w:t>se ha</w:t>
      </w:r>
      <w:r>
        <w:rPr>
          <w:spacing w:val="-17"/>
        </w:rPr>
        <w:t> </w:t>
      </w:r>
      <w:r>
        <w:rPr/>
        <w:t>mencionado</w:t>
      </w:r>
      <w:r>
        <w:rPr>
          <w:spacing w:val="-16"/>
        </w:rPr>
        <w:t> </w:t>
      </w:r>
      <w:r>
        <w:rPr/>
        <w:t>se</w:t>
      </w:r>
      <w:r>
        <w:rPr>
          <w:spacing w:val="-17"/>
        </w:rPr>
        <w:t> </w:t>
      </w:r>
      <w:r>
        <w:rPr/>
        <w:t>debe</w:t>
      </w:r>
      <w:r>
        <w:rPr>
          <w:spacing w:val="-17"/>
        </w:rPr>
        <w:t> </w:t>
      </w:r>
      <w:r>
        <w:rPr/>
        <w:t>tomar</w:t>
      </w:r>
      <w:r>
        <w:rPr>
          <w:spacing w:val="-17"/>
        </w:rPr>
        <w:t> </w:t>
      </w:r>
      <w:r>
        <w:rPr/>
        <w:t>con</w:t>
      </w:r>
      <w:r>
        <w:rPr>
          <w:spacing w:val="-16"/>
        </w:rPr>
        <w:t> </w:t>
      </w:r>
      <w:r>
        <w:rPr/>
        <w:t>ciertas</w:t>
      </w:r>
      <w:r>
        <w:rPr>
          <w:spacing w:val="-16"/>
        </w:rPr>
        <w:t> </w:t>
      </w:r>
      <w:r>
        <w:rPr/>
        <w:t>reservas,</w:t>
      </w:r>
      <w:r>
        <w:rPr>
          <w:spacing w:val="-16"/>
        </w:rPr>
        <w:t> </w:t>
      </w:r>
      <w:r>
        <w:rPr/>
        <w:t>la</w:t>
      </w:r>
      <w:r>
        <w:rPr>
          <w:spacing w:val="-17"/>
        </w:rPr>
        <w:t> </w:t>
      </w:r>
      <w:r>
        <w:rPr/>
        <w:t>región</w:t>
      </w:r>
      <w:r>
        <w:rPr>
          <w:spacing w:val="-15"/>
        </w:rPr>
        <w:t> </w:t>
      </w:r>
      <w:r>
        <w:rPr/>
        <w:t>norte</w:t>
      </w:r>
      <w:r>
        <w:rPr>
          <w:spacing w:val="-17"/>
        </w:rPr>
        <w:t> </w:t>
      </w:r>
      <w:r>
        <w:rPr/>
        <w:t>generó</w:t>
      </w:r>
      <w:r>
        <w:rPr>
          <w:spacing w:val="-14"/>
        </w:rPr>
        <w:t> </w:t>
      </w:r>
      <w:r>
        <w:rPr/>
        <w:t>el</w:t>
      </w:r>
      <w:r>
        <w:rPr>
          <w:spacing w:val="-15"/>
        </w:rPr>
        <w:t> </w:t>
      </w:r>
      <w:r>
        <w:rPr/>
        <w:t>18.7%</w:t>
      </w:r>
      <w:r>
        <w:rPr>
          <w:spacing w:val="-17"/>
        </w:rPr>
        <w:t> </w:t>
      </w:r>
      <w:r>
        <w:rPr/>
        <w:t>del</w:t>
      </w:r>
      <w:r>
        <w:rPr>
          <w:spacing w:val="-15"/>
        </w:rPr>
        <w:t> </w:t>
      </w:r>
      <w:r>
        <w:rPr/>
        <w:t>empleo en el sector manufacturero de la región, y con ello la producción bruta total y el valor agregado censal bruto tuvieron una participación del 20.9% en el sector manufacturero regional.</w:t>
      </w:r>
    </w:p>
    <w:p>
      <w:pPr>
        <w:pStyle w:val="BodyText"/>
        <w:spacing w:before="4"/>
        <w:rPr>
          <w:sz w:val="21"/>
        </w:rPr>
      </w:pPr>
    </w:p>
    <w:p>
      <w:pPr>
        <w:pStyle w:val="BodyText"/>
        <w:spacing w:line="360" w:lineRule="auto" w:before="1"/>
        <w:ind w:left="102" w:right="115"/>
        <w:jc w:val="both"/>
      </w:pPr>
      <w:r>
        <w:rPr/>
        <w:t>Al realizar el análisis por entidad federativa, se encuentra que el estado de Baja California disminuyó sus unidades económicas en 1%, sin embargo tanto la producción bruta total, el valor agregado censal bruto y el personal ocupado de la industria automotriz presentaron incrementos  en  su  participación  en  el  sector  manufacturero  de  la  entidad,  siendo     la</w:t>
      </w:r>
    </w:p>
    <w:p>
      <w:pPr>
        <w:spacing w:after="0" w:line="360" w:lineRule="auto"/>
        <w:jc w:val="both"/>
        <w:sectPr>
          <w:footerReference w:type="default" r:id="rId71"/>
          <w:pgSz w:w="12240" w:h="15840"/>
          <w:pgMar w:footer="1035" w:header="0" w:top="1360" w:bottom="1220" w:left="1600" w:right="1580"/>
          <w:pgNumType w:start="111"/>
        </w:sectPr>
      </w:pPr>
    </w:p>
    <w:p>
      <w:pPr>
        <w:pStyle w:val="BodyText"/>
        <w:spacing w:line="360" w:lineRule="auto" w:before="50"/>
        <w:ind w:left="102" w:right="120"/>
        <w:jc w:val="both"/>
      </w:pPr>
      <w:r>
        <w:rPr/>
        <w:t>producción bruta total la de mayor crecimiento pues en 1980 representaba solo el 1.6% del total de la producción en la manufactura, mientras que en 2008 representó el 19.8%.</w:t>
      </w:r>
    </w:p>
    <w:p>
      <w:pPr>
        <w:pStyle w:val="BodyText"/>
        <w:spacing w:before="2"/>
        <w:rPr>
          <w:sz w:val="21"/>
        </w:rPr>
      </w:pPr>
    </w:p>
    <w:p>
      <w:pPr>
        <w:pStyle w:val="BodyText"/>
        <w:spacing w:line="360" w:lineRule="auto"/>
        <w:ind w:left="102" w:right="118"/>
        <w:jc w:val="both"/>
      </w:pPr>
      <w:r>
        <w:rPr/>
        <w:t>Un estado que destaca dentro de la región norte es el Estado de Chihuahua, pues fue el que presentó</w:t>
      </w:r>
      <w:r>
        <w:rPr>
          <w:spacing w:val="-11"/>
        </w:rPr>
        <w:t> </w:t>
      </w:r>
      <w:r>
        <w:rPr/>
        <w:t>un</w:t>
      </w:r>
      <w:r>
        <w:rPr>
          <w:spacing w:val="-11"/>
        </w:rPr>
        <w:t> </w:t>
      </w:r>
      <w:r>
        <w:rPr/>
        <w:t>mayor</w:t>
      </w:r>
      <w:r>
        <w:rPr>
          <w:spacing w:val="-12"/>
        </w:rPr>
        <w:t> </w:t>
      </w:r>
      <w:r>
        <w:rPr/>
        <w:t>crecimiento</w:t>
      </w:r>
      <w:r>
        <w:rPr>
          <w:spacing w:val="-11"/>
        </w:rPr>
        <w:t> </w:t>
      </w:r>
      <w:r>
        <w:rPr/>
        <w:t>de</w:t>
      </w:r>
      <w:r>
        <w:rPr>
          <w:spacing w:val="-12"/>
        </w:rPr>
        <w:t> </w:t>
      </w:r>
      <w:r>
        <w:rPr/>
        <w:t>participación</w:t>
      </w:r>
      <w:r>
        <w:rPr>
          <w:spacing w:val="-11"/>
        </w:rPr>
        <w:t> </w:t>
      </w:r>
      <w:r>
        <w:rPr/>
        <w:t>en</w:t>
      </w:r>
      <w:r>
        <w:rPr>
          <w:spacing w:val="-11"/>
        </w:rPr>
        <w:t> </w:t>
      </w:r>
      <w:r>
        <w:rPr/>
        <w:t>cuanto</w:t>
      </w:r>
      <w:r>
        <w:rPr>
          <w:spacing w:val="-11"/>
        </w:rPr>
        <w:t> </w:t>
      </w:r>
      <w:r>
        <w:rPr/>
        <w:t>a</w:t>
      </w:r>
      <w:r>
        <w:rPr>
          <w:spacing w:val="-12"/>
        </w:rPr>
        <w:t> </w:t>
      </w:r>
      <w:r>
        <w:rPr/>
        <w:t>unidades</w:t>
      </w:r>
      <w:r>
        <w:rPr>
          <w:spacing w:val="-11"/>
        </w:rPr>
        <w:t> </w:t>
      </w:r>
      <w:r>
        <w:rPr/>
        <w:t>económicas,</w:t>
      </w:r>
      <w:r>
        <w:rPr>
          <w:spacing w:val="-8"/>
        </w:rPr>
        <w:t> </w:t>
      </w:r>
      <w:r>
        <w:rPr/>
        <w:t>y</w:t>
      </w:r>
      <w:r>
        <w:rPr>
          <w:spacing w:val="-13"/>
        </w:rPr>
        <w:t> </w:t>
      </w:r>
      <w:r>
        <w:rPr/>
        <w:t>personal ocupado. En 1980 la unidades económicas del sector automotriz de la entidad, sólo representaban el 0.7% del sector manufacturero, mientras que para el 2009 el porcentaje fue de 1.9 (véase cuadro 4.14). En cuanto al personal ocupado, el incremento fue de</w:t>
      </w:r>
      <w:r>
        <w:rPr>
          <w:spacing w:val="-10"/>
        </w:rPr>
        <w:t> </w:t>
      </w:r>
      <w:r>
        <w:rPr/>
        <w:t>26.2%.</w:t>
      </w:r>
    </w:p>
    <w:p>
      <w:pPr>
        <w:pStyle w:val="BodyText"/>
        <w:spacing w:before="4"/>
        <w:rPr>
          <w:sz w:val="21"/>
        </w:rPr>
      </w:pPr>
    </w:p>
    <w:p>
      <w:pPr>
        <w:pStyle w:val="BodyText"/>
        <w:spacing w:line="360" w:lineRule="auto" w:before="1"/>
        <w:ind w:left="102" w:right="115"/>
        <w:jc w:val="both"/>
      </w:pPr>
      <w:r>
        <w:rPr/>
        <w:t>Por el lado de la producción bruta total y el valor agregado censal bruto, la industria automotriz del estado de Coahuila fue el que más aumentó su participación dentro del</w:t>
      </w:r>
      <w:r>
        <w:rPr>
          <w:spacing w:val="-39"/>
        </w:rPr>
        <w:t> </w:t>
      </w:r>
      <w:r>
        <w:rPr/>
        <w:t>sector manufacturero estatal, pues generó el 36.7% del valor agregado censal bruto y el 39.7% de la producción bruta total, convirtiéndose así en el estado más productivo de la región. Esto nos aporta evidencia de la importancia que tiene Coahuila en la manufactura del estado, las empresas automotrices instaladas en él, han provocado un efecto de arrastre para el establecimiento de industrias proveedoras de insumos y productos intermedios, generando que las manufacturas de la región sean más</w:t>
      </w:r>
      <w:r>
        <w:rPr>
          <w:spacing w:val="-11"/>
        </w:rPr>
        <w:t> </w:t>
      </w:r>
      <w:r>
        <w:rPr/>
        <w:t>dinámicas.</w:t>
      </w:r>
    </w:p>
    <w:p>
      <w:pPr>
        <w:pStyle w:val="BodyText"/>
        <w:spacing w:before="4"/>
        <w:rPr>
          <w:sz w:val="21"/>
        </w:rPr>
      </w:pPr>
    </w:p>
    <w:p>
      <w:pPr>
        <w:pStyle w:val="BodyText"/>
        <w:spacing w:line="360" w:lineRule="auto" w:before="1"/>
        <w:ind w:left="102" w:right="117"/>
        <w:jc w:val="both"/>
      </w:pPr>
      <w:r>
        <w:rPr/>
        <w:t>El sector automotriz del Estado de Nuevo León redujo su participación en 0.8% cuanto a unidades</w:t>
      </w:r>
      <w:r>
        <w:rPr>
          <w:spacing w:val="-8"/>
        </w:rPr>
        <w:t> </w:t>
      </w:r>
      <w:r>
        <w:rPr/>
        <w:t>económicas</w:t>
      </w:r>
      <w:r>
        <w:rPr>
          <w:spacing w:val="-6"/>
        </w:rPr>
        <w:t> </w:t>
      </w:r>
      <w:r>
        <w:rPr/>
        <w:t>se</w:t>
      </w:r>
      <w:r>
        <w:rPr>
          <w:spacing w:val="-7"/>
        </w:rPr>
        <w:t> </w:t>
      </w:r>
      <w:r>
        <w:rPr/>
        <w:t>refiere,</w:t>
      </w:r>
      <w:r>
        <w:rPr>
          <w:spacing w:val="-9"/>
        </w:rPr>
        <w:t> </w:t>
      </w:r>
      <w:r>
        <w:rPr/>
        <w:t>lo</w:t>
      </w:r>
      <w:r>
        <w:rPr>
          <w:spacing w:val="-8"/>
        </w:rPr>
        <w:t> </w:t>
      </w:r>
      <w:r>
        <w:rPr/>
        <w:t>que</w:t>
      </w:r>
      <w:r>
        <w:rPr>
          <w:spacing w:val="-10"/>
        </w:rPr>
        <w:t> </w:t>
      </w:r>
      <w:r>
        <w:rPr/>
        <w:t>provocó</w:t>
      </w:r>
      <w:r>
        <w:rPr>
          <w:spacing w:val="-9"/>
        </w:rPr>
        <w:t> </w:t>
      </w:r>
      <w:r>
        <w:rPr/>
        <w:t>también</w:t>
      </w:r>
      <w:r>
        <w:rPr>
          <w:spacing w:val="-9"/>
        </w:rPr>
        <w:t> </w:t>
      </w:r>
      <w:r>
        <w:rPr/>
        <w:t>una</w:t>
      </w:r>
      <w:r>
        <w:rPr>
          <w:spacing w:val="-10"/>
        </w:rPr>
        <w:t> </w:t>
      </w:r>
      <w:r>
        <w:rPr/>
        <w:t>disminución</w:t>
      </w:r>
      <w:r>
        <w:rPr>
          <w:spacing w:val="-6"/>
        </w:rPr>
        <w:t> </w:t>
      </w:r>
      <w:r>
        <w:rPr/>
        <w:t>en</w:t>
      </w:r>
      <w:r>
        <w:rPr>
          <w:spacing w:val="-9"/>
        </w:rPr>
        <w:t> </w:t>
      </w:r>
      <w:r>
        <w:rPr/>
        <w:t>su</w:t>
      </w:r>
      <w:r>
        <w:rPr>
          <w:spacing w:val="-8"/>
        </w:rPr>
        <w:t> </w:t>
      </w:r>
      <w:r>
        <w:rPr/>
        <w:t>participación dentro del empleo a nivel estatal, pese a ello incrementó su participación en las variables de producción bruta total y valor agregado censal bruto en 4.1 y</w:t>
      </w:r>
      <w:r>
        <w:rPr>
          <w:spacing w:val="-12"/>
        </w:rPr>
        <w:t> </w:t>
      </w:r>
      <w:r>
        <w:rPr/>
        <w:t>6%.</w:t>
      </w:r>
    </w:p>
    <w:p>
      <w:pPr>
        <w:pStyle w:val="BodyText"/>
        <w:spacing w:before="5"/>
        <w:rPr>
          <w:sz w:val="21"/>
        </w:rPr>
      </w:pPr>
    </w:p>
    <w:p>
      <w:pPr>
        <w:pStyle w:val="BodyText"/>
        <w:spacing w:line="360" w:lineRule="auto"/>
        <w:ind w:left="102" w:right="115"/>
        <w:jc w:val="both"/>
      </w:pPr>
      <w:r>
        <w:rPr/>
        <w:t>La industria automotriz del estado de Sonora muestra un importante avance en cuanto a sus aportaciones a la manufactura del estado, se observa que en 1980 dicha industria no era significativa dentro de la manufactura, sin embargo para el 2008 la situación es completamente diferente, si bien las unidades económicas siguen siendo poco</w:t>
      </w:r>
      <w:r>
        <w:rPr>
          <w:spacing w:val="-37"/>
        </w:rPr>
        <w:t> </w:t>
      </w:r>
      <w:r>
        <w:rPr/>
        <w:t>significativas, el estado se convirtió en el tercer generador de empleos de la región dentro de las manufacturas a nivel estatal, y ello lo ubicó como el segundo estado con mayor aportación en</w:t>
      </w:r>
      <w:r>
        <w:rPr>
          <w:spacing w:val="-5"/>
        </w:rPr>
        <w:t> </w:t>
      </w:r>
      <w:r>
        <w:rPr/>
        <w:t>cuanto</w:t>
      </w:r>
      <w:r>
        <w:rPr>
          <w:spacing w:val="-4"/>
        </w:rPr>
        <w:t> </w:t>
      </w:r>
      <w:r>
        <w:rPr/>
        <w:t>a</w:t>
      </w:r>
      <w:r>
        <w:rPr>
          <w:spacing w:val="-6"/>
        </w:rPr>
        <w:t> </w:t>
      </w:r>
      <w:r>
        <w:rPr/>
        <w:t>la</w:t>
      </w:r>
      <w:r>
        <w:rPr>
          <w:spacing w:val="-5"/>
        </w:rPr>
        <w:t> </w:t>
      </w:r>
      <w:r>
        <w:rPr/>
        <w:t>producción</w:t>
      </w:r>
      <w:r>
        <w:rPr>
          <w:spacing w:val="-2"/>
        </w:rPr>
        <w:t> </w:t>
      </w:r>
      <w:r>
        <w:rPr/>
        <w:t>bruta</w:t>
      </w:r>
      <w:r>
        <w:rPr>
          <w:spacing w:val="-6"/>
        </w:rPr>
        <w:t> </w:t>
      </w:r>
      <w:r>
        <w:rPr/>
        <w:t>total,</w:t>
      </w:r>
      <w:r>
        <w:rPr>
          <w:spacing w:val="-4"/>
        </w:rPr>
        <w:t> </w:t>
      </w:r>
      <w:r>
        <w:rPr/>
        <w:t>solo</w:t>
      </w:r>
      <w:r>
        <w:rPr>
          <w:spacing w:val="-7"/>
        </w:rPr>
        <w:t> </w:t>
      </w:r>
      <w:r>
        <w:rPr/>
        <w:t>detrás</w:t>
      </w:r>
      <w:r>
        <w:rPr>
          <w:spacing w:val="-5"/>
        </w:rPr>
        <w:t> </w:t>
      </w:r>
      <w:r>
        <w:rPr/>
        <w:t>de</w:t>
      </w:r>
      <w:r>
        <w:rPr>
          <w:spacing w:val="-6"/>
        </w:rPr>
        <w:t> </w:t>
      </w:r>
      <w:r>
        <w:rPr/>
        <w:t>Coahuila,</w:t>
      </w:r>
      <w:r>
        <w:rPr>
          <w:spacing w:val="-2"/>
        </w:rPr>
        <w:t> </w:t>
      </w:r>
      <w:r>
        <w:rPr/>
        <w:t>y</w:t>
      </w:r>
      <w:r>
        <w:rPr>
          <w:spacing w:val="-10"/>
        </w:rPr>
        <w:t> </w:t>
      </w:r>
      <w:r>
        <w:rPr/>
        <w:t>en</w:t>
      </w:r>
      <w:r>
        <w:rPr>
          <w:spacing w:val="-5"/>
        </w:rPr>
        <w:t> </w:t>
      </w:r>
      <w:r>
        <w:rPr/>
        <w:t>el</w:t>
      </w:r>
      <w:r>
        <w:rPr>
          <w:spacing w:val="-4"/>
        </w:rPr>
        <w:t> </w:t>
      </w:r>
      <w:r>
        <w:rPr/>
        <w:t>tercer</w:t>
      </w:r>
      <w:r>
        <w:rPr>
          <w:spacing w:val="-2"/>
        </w:rPr>
        <w:t> </w:t>
      </w:r>
      <w:r>
        <w:rPr/>
        <w:t>estado</w:t>
      </w:r>
      <w:r>
        <w:rPr>
          <w:spacing w:val="-5"/>
        </w:rPr>
        <w:t> </w:t>
      </w:r>
      <w:r>
        <w:rPr/>
        <w:t>en</w:t>
      </w:r>
      <w:r>
        <w:rPr>
          <w:spacing w:val="-5"/>
        </w:rPr>
        <w:t> </w:t>
      </w:r>
      <w:r>
        <w:rPr/>
        <w:t>cuanto a sus aportaciones al valor agregado censal bruto de la manufactura a nivel</w:t>
      </w:r>
      <w:r>
        <w:rPr>
          <w:spacing w:val="-6"/>
        </w:rPr>
        <w:t> </w:t>
      </w:r>
      <w:r>
        <w:rPr/>
        <w:t>estatal.</w:t>
      </w:r>
    </w:p>
    <w:p>
      <w:pPr>
        <w:spacing w:after="0" w:line="360" w:lineRule="auto"/>
        <w:jc w:val="both"/>
        <w:sectPr>
          <w:pgSz w:w="12240" w:h="15840"/>
          <w:pgMar w:header="0" w:footer="1035" w:top="1360" w:bottom="1220" w:left="1600" w:right="1580"/>
        </w:sectPr>
      </w:pPr>
    </w:p>
    <w:p>
      <w:pPr>
        <w:pStyle w:val="BodyText"/>
        <w:spacing w:line="360" w:lineRule="auto" w:before="50"/>
        <w:ind w:left="102" w:right="117"/>
        <w:jc w:val="both"/>
      </w:pPr>
      <w:r>
        <w:rPr/>
        <w:t>Esto se debe en gran medida a la planta ensambladora de Ford, ubicada en el municipio de Hermosillo, que a partir de 1986 inyectó dinamismo en la región, pues desde la llegada de dicha</w:t>
      </w:r>
      <w:r>
        <w:rPr>
          <w:spacing w:val="-8"/>
        </w:rPr>
        <w:t> </w:t>
      </w:r>
      <w:r>
        <w:rPr/>
        <w:t>planta,</w:t>
      </w:r>
      <w:r>
        <w:rPr>
          <w:spacing w:val="-6"/>
        </w:rPr>
        <w:t> </w:t>
      </w:r>
      <w:r>
        <w:rPr/>
        <w:t>se</w:t>
      </w:r>
      <w:r>
        <w:rPr>
          <w:spacing w:val="-5"/>
        </w:rPr>
        <w:t> </w:t>
      </w:r>
      <w:r>
        <w:rPr/>
        <w:t>instaló</w:t>
      </w:r>
      <w:r>
        <w:rPr>
          <w:spacing w:val="-6"/>
        </w:rPr>
        <w:t> </w:t>
      </w:r>
      <w:r>
        <w:rPr/>
        <w:t>un</w:t>
      </w:r>
      <w:r>
        <w:rPr>
          <w:spacing w:val="-6"/>
        </w:rPr>
        <w:t> </w:t>
      </w:r>
      <w:r>
        <w:rPr/>
        <w:t>grupo</w:t>
      </w:r>
      <w:r>
        <w:rPr>
          <w:spacing w:val="-7"/>
        </w:rPr>
        <w:t> </w:t>
      </w:r>
      <w:r>
        <w:rPr/>
        <w:t>de</w:t>
      </w:r>
      <w:r>
        <w:rPr>
          <w:spacing w:val="-7"/>
        </w:rPr>
        <w:t> </w:t>
      </w:r>
      <w:r>
        <w:rPr/>
        <w:t>empresas</w:t>
      </w:r>
      <w:r>
        <w:rPr>
          <w:spacing w:val="-6"/>
        </w:rPr>
        <w:t> </w:t>
      </w:r>
      <w:r>
        <w:rPr/>
        <w:t>proveedoras</w:t>
      </w:r>
      <w:r>
        <w:rPr>
          <w:spacing w:val="-6"/>
        </w:rPr>
        <w:t> </w:t>
      </w:r>
      <w:r>
        <w:rPr/>
        <w:t>satélite</w:t>
      </w:r>
      <w:r>
        <w:rPr>
          <w:spacing w:val="-7"/>
        </w:rPr>
        <w:t> </w:t>
      </w:r>
      <w:r>
        <w:rPr/>
        <w:t>o</w:t>
      </w:r>
      <w:r>
        <w:rPr>
          <w:spacing w:val="-6"/>
        </w:rPr>
        <w:t> </w:t>
      </w:r>
      <w:r>
        <w:rPr/>
        <w:t>de</w:t>
      </w:r>
      <w:r>
        <w:rPr>
          <w:spacing w:val="-5"/>
        </w:rPr>
        <w:t> </w:t>
      </w:r>
      <w:r>
        <w:rPr/>
        <w:t>responsabilidad</w:t>
      </w:r>
      <w:r>
        <w:rPr>
          <w:spacing w:val="-7"/>
        </w:rPr>
        <w:t> </w:t>
      </w:r>
      <w:r>
        <w:rPr/>
        <w:t>total, debido, entre otras causas, al principio de justo a tiempo bajo el que operaría la planta y el cual demandaría cierta coordinación entre proveedores y</w:t>
      </w:r>
      <w:r>
        <w:rPr>
          <w:spacing w:val="-15"/>
        </w:rPr>
        <w:t> </w:t>
      </w:r>
      <w:r>
        <w:rPr/>
        <w:t>ensambladora.</w:t>
      </w:r>
    </w:p>
    <w:p>
      <w:pPr>
        <w:pStyle w:val="BodyText"/>
        <w:spacing w:before="4"/>
        <w:rPr>
          <w:sz w:val="21"/>
        </w:rPr>
      </w:pPr>
    </w:p>
    <w:p>
      <w:pPr>
        <w:pStyle w:val="BodyText"/>
        <w:spacing w:line="360" w:lineRule="auto" w:before="1"/>
        <w:ind w:left="102" w:right="116"/>
        <w:jc w:val="both"/>
      </w:pPr>
      <w:r>
        <w:rPr/>
        <w:t>El</w:t>
      </w:r>
      <w:r>
        <w:rPr>
          <w:spacing w:val="-11"/>
        </w:rPr>
        <w:t> </w:t>
      </w:r>
      <w:r>
        <w:rPr/>
        <w:t>caso</w:t>
      </w:r>
      <w:r>
        <w:rPr>
          <w:spacing w:val="-11"/>
        </w:rPr>
        <w:t> </w:t>
      </w:r>
      <w:r>
        <w:rPr/>
        <w:t>de</w:t>
      </w:r>
      <w:r>
        <w:rPr>
          <w:spacing w:val="-12"/>
        </w:rPr>
        <w:t> </w:t>
      </w:r>
      <w:r>
        <w:rPr/>
        <w:t>la</w:t>
      </w:r>
      <w:r>
        <w:rPr>
          <w:spacing w:val="-12"/>
        </w:rPr>
        <w:t> </w:t>
      </w:r>
      <w:r>
        <w:rPr/>
        <w:t>industria</w:t>
      </w:r>
      <w:r>
        <w:rPr>
          <w:spacing w:val="-12"/>
        </w:rPr>
        <w:t> </w:t>
      </w:r>
      <w:r>
        <w:rPr/>
        <w:t>automotriz</w:t>
      </w:r>
      <w:r>
        <w:rPr>
          <w:spacing w:val="-10"/>
        </w:rPr>
        <w:t> </w:t>
      </w:r>
      <w:r>
        <w:rPr/>
        <w:t>de</w:t>
      </w:r>
      <w:r>
        <w:rPr>
          <w:spacing w:val="-12"/>
        </w:rPr>
        <w:t> </w:t>
      </w:r>
      <w:r>
        <w:rPr/>
        <w:t>Tamaulipas</w:t>
      </w:r>
      <w:r>
        <w:rPr>
          <w:spacing w:val="-11"/>
        </w:rPr>
        <w:t> </w:t>
      </w:r>
      <w:r>
        <w:rPr/>
        <w:t>es</w:t>
      </w:r>
      <w:r>
        <w:rPr>
          <w:spacing w:val="-11"/>
        </w:rPr>
        <w:t> </w:t>
      </w:r>
      <w:r>
        <w:rPr/>
        <w:t>similar</w:t>
      </w:r>
      <w:r>
        <w:rPr>
          <w:spacing w:val="-12"/>
        </w:rPr>
        <w:t> </w:t>
      </w:r>
      <w:r>
        <w:rPr/>
        <w:t>al</w:t>
      </w:r>
      <w:r>
        <w:rPr>
          <w:spacing w:val="-11"/>
        </w:rPr>
        <w:t> </w:t>
      </w:r>
      <w:r>
        <w:rPr/>
        <w:t>de</w:t>
      </w:r>
      <w:r>
        <w:rPr>
          <w:spacing w:val="-12"/>
        </w:rPr>
        <w:t> </w:t>
      </w:r>
      <w:r>
        <w:rPr/>
        <w:t>Sonora,</w:t>
      </w:r>
      <w:r>
        <w:rPr>
          <w:spacing w:val="-11"/>
        </w:rPr>
        <w:t> </w:t>
      </w:r>
      <w:r>
        <w:rPr/>
        <w:t>pues</w:t>
      </w:r>
      <w:r>
        <w:rPr>
          <w:spacing w:val="-11"/>
        </w:rPr>
        <w:t> </w:t>
      </w:r>
      <w:r>
        <w:rPr/>
        <w:t>si</w:t>
      </w:r>
      <w:r>
        <w:rPr>
          <w:spacing w:val="-10"/>
        </w:rPr>
        <w:t> </w:t>
      </w:r>
      <w:r>
        <w:rPr/>
        <w:t>bien</w:t>
      </w:r>
      <w:r>
        <w:rPr>
          <w:spacing w:val="-11"/>
        </w:rPr>
        <w:t> </w:t>
      </w:r>
      <w:r>
        <w:rPr/>
        <w:t>en</w:t>
      </w:r>
      <w:r>
        <w:rPr>
          <w:spacing w:val="-11"/>
        </w:rPr>
        <w:t> </w:t>
      </w:r>
      <w:r>
        <w:rPr/>
        <w:t>1980 no era muy significativa, en 2008 la producción bruta total, el valor agregado censal bruto y el personal ocupado aumentaron su participación en la manufactura regional, pese al detrimento de las unidades</w:t>
      </w:r>
      <w:r>
        <w:rPr>
          <w:spacing w:val="-8"/>
        </w:rPr>
        <w:t> </w:t>
      </w:r>
      <w:r>
        <w:rPr/>
        <w:t>económicas.</w:t>
      </w:r>
    </w:p>
    <w:p>
      <w:pPr>
        <w:pStyle w:val="BodyText"/>
        <w:spacing w:before="7"/>
        <w:rPr>
          <w:sz w:val="21"/>
        </w:rPr>
      </w:pPr>
    </w:p>
    <w:p>
      <w:pPr>
        <w:pStyle w:val="Heading1"/>
        <w:ind w:left="185" w:right="199"/>
        <w:jc w:val="center"/>
      </w:pPr>
      <w:r>
        <w:rPr/>
        <w:t>Cuadro 4.14. Participación porcentual de la industria automotriz de la Región Norte en el total de la manufactura regional y por entidad federativa de la región norte, 1980 y 2008 (principales características)</w:t>
      </w:r>
    </w:p>
    <w:p>
      <w:pPr>
        <w:pStyle w:val="BodyText"/>
        <w:spacing w:before="1" w:after="1"/>
        <w:rPr>
          <w:b/>
          <w:sz w:val="21"/>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75"/>
        <w:gridCol w:w="874"/>
        <w:gridCol w:w="876"/>
        <w:gridCol w:w="872"/>
        <w:gridCol w:w="874"/>
        <w:gridCol w:w="866"/>
        <w:gridCol w:w="867"/>
        <w:gridCol w:w="864"/>
        <w:gridCol w:w="862"/>
      </w:tblGrid>
      <w:tr>
        <w:trPr>
          <w:trHeight w:val="497" w:hRule="exact"/>
        </w:trPr>
        <w:tc>
          <w:tcPr>
            <w:tcW w:w="1875" w:type="dxa"/>
            <w:shd w:val="clear" w:color="auto" w:fill="A6A6A6"/>
          </w:tcPr>
          <w:p>
            <w:pPr/>
          </w:p>
        </w:tc>
        <w:tc>
          <w:tcPr>
            <w:tcW w:w="1750" w:type="dxa"/>
            <w:gridSpan w:val="2"/>
            <w:shd w:val="clear" w:color="auto" w:fill="A6A6A6"/>
          </w:tcPr>
          <w:p>
            <w:pPr>
              <w:pStyle w:val="TableParagraph"/>
              <w:spacing w:line="252" w:lineRule="auto"/>
              <w:ind w:left="357" w:firstLine="112"/>
              <w:jc w:val="left"/>
              <w:rPr>
                <w:b/>
                <w:sz w:val="20"/>
              </w:rPr>
            </w:pPr>
            <w:r>
              <w:rPr>
                <w:b/>
                <w:sz w:val="20"/>
              </w:rPr>
              <w:t>Unidades </w:t>
            </w:r>
            <w:r>
              <w:rPr>
                <w:b/>
                <w:w w:val="95"/>
                <w:sz w:val="20"/>
              </w:rPr>
              <w:t>Económicas</w:t>
            </w:r>
          </w:p>
        </w:tc>
        <w:tc>
          <w:tcPr>
            <w:tcW w:w="1745" w:type="dxa"/>
            <w:gridSpan w:val="2"/>
            <w:shd w:val="clear" w:color="auto" w:fill="A6A6A6"/>
          </w:tcPr>
          <w:p>
            <w:pPr>
              <w:pStyle w:val="TableParagraph"/>
              <w:spacing w:line="252" w:lineRule="auto"/>
              <w:ind w:left="638" w:hanging="536"/>
              <w:jc w:val="left"/>
              <w:rPr>
                <w:b/>
                <w:sz w:val="20"/>
              </w:rPr>
            </w:pPr>
            <w:r>
              <w:rPr>
                <w:b/>
                <w:sz w:val="20"/>
              </w:rPr>
              <w:t>Producción Bruta Total</w:t>
            </w:r>
          </w:p>
        </w:tc>
        <w:tc>
          <w:tcPr>
            <w:tcW w:w="1733" w:type="dxa"/>
            <w:gridSpan w:val="2"/>
            <w:shd w:val="clear" w:color="auto" w:fill="A6A6A6"/>
          </w:tcPr>
          <w:p>
            <w:pPr>
              <w:pStyle w:val="TableParagraph"/>
              <w:spacing w:line="252" w:lineRule="auto"/>
              <w:ind w:left="295" w:right="159" w:hanging="123"/>
              <w:jc w:val="left"/>
              <w:rPr>
                <w:b/>
                <w:sz w:val="20"/>
              </w:rPr>
            </w:pPr>
            <w:r>
              <w:rPr>
                <w:b/>
                <w:sz w:val="20"/>
              </w:rPr>
              <w:t>Valor Agregado Censal Bruto</w:t>
            </w:r>
          </w:p>
        </w:tc>
        <w:tc>
          <w:tcPr>
            <w:tcW w:w="1726" w:type="dxa"/>
            <w:gridSpan w:val="2"/>
            <w:shd w:val="clear" w:color="auto" w:fill="A6A6A6"/>
          </w:tcPr>
          <w:p>
            <w:pPr>
              <w:pStyle w:val="TableParagraph"/>
              <w:spacing w:before="120"/>
              <w:ind w:left="72"/>
              <w:jc w:val="left"/>
              <w:rPr>
                <w:b/>
                <w:sz w:val="20"/>
              </w:rPr>
            </w:pPr>
            <w:r>
              <w:rPr>
                <w:b/>
                <w:sz w:val="20"/>
              </w:rPr>
              <w:t>Personal Ocupado</w:t>
            </w:r>
          </w:p>
        </w:tc>
      </w:tr>
      <w:tr>
        <w:trPr>
          <w:trHeight w:val="342" w:hRule="exact"/>
        </w:trPr>
        <w:tc>
          <w:tcPr>
            <w:tcW w:w="1875" w:type="dxa"/>
            <w:tcBorders>
              <w:bottom w:val="single" w:sz="18" w:space="0" w:color="D9D9D9"/>
            </w:tcBorders>
          </w:tcPr>
          <w:p>
            <w:pPr/>
          </w:p>
        </w:tc>
        <w:tc>
          <w:tcPr>
            <w:tcW w:w="874" w:type="dxa"/>
            <w:tcBorders>
              <w:bottom w:val="single" w:sz="18" w:space="0" w:color="D9D9D9"/>
            </w:tcBorders>
          </w:tcPr>
          <w:p>
            <w:pPr>
              <w:pStyle w:val="TableParagraph"/>
              <w:spacing w:before="34"/>
              <w:ind w:left="212" w:right="212"/>
              <w:rPr>
                <w:b/>
                <w:sz w:val="20"/>
              </w:rPr>
            </w:pPr>
            <w:r>
              <w:rPr>
                <w:b/>
                <w:sz w:val="20"/>
              </w:rPr>
              <w:t>1980</w:t>
            </w:r>
          </w:p>
        </w:tc>
        <w:tc>
          <w:tcPr>
            <w:tcW w:w="876" w:type="dxa"/>
            <w:tcBorders>
              <w:bottom w:val="single" w:sz="18" w:space="0" w:color="D9D9D9"/>
            </w:tcBorders>
          </w:tcPr>
          <w:p>
            <w:pPr>
              <w:pStyle w:val="TableParagraph"/>
              <w:spacing w:before="34"/>
              <w:ind w:left="214" w:right="212"/>
              <w:rPr>
                <w:b/>
                <w:sz w:val="20"/>
              </w:rPr>
            </w:pPr>
            <w:r>
              <w:rPr>
                <w:b/>
                <w:sz w:val="20"/>
              </w:rPr>
              <w:t>2008</w:t>
            </w:r>
          </w:p>
        </w:tc>
        <w:tc>
          <w:tcPr>
            <w:tcW w:w="872" w:type="dxa"/>
            <w:tcBorders>
              <w:bottom w:val="single" w:sz="18" w:space="0" w:color="D9D9D9"/>
            </w:tcBorders>
          </w:tcPr>
          <w:p>
            <w:pPr>
              <w:pStyle w:val="TableParagraph"/>
              <w:spacing w:before="34"/>
              <w:ind w:left="211" w:right="210"/>
              <w:rPr>
                <w:b/>
                <w:sz w:val="20"/>
              </w:rPr>
            </w:pPr>
            <w:r>
              <w:rPr>
                <w:b/>
                <w:sz w:val="20"/>
              </w:rPr>
              <w:t>1980</w:t>
            </w:r>
          </w:p>
        </w:tc>
        <w:tc>
          <w:tcPr>
            <w:tcW w:w="874" w:type="dxa"/>
            <w:tcBorders>
              <w:bottom w:val="single" w:sz="18" w:space="0" w:color="D9D9D9"/>
            </w:tcBorders>
          </w:tcPr>
          <w:p>
            <w:pPr>
              <w:pStyle w:val="TableParagraph"/>
              <w:spacing w:before="34"/>
              <w:ind w:right="228"/>
              <w:jc w:val="right"/>
              <w:rPr>
                <w:b/>
                <w:sz w:val="20"/>
              </w:rPr>
            </w:pPr>
            <w:r>
              <w:rPr>
                <w:b/>
                <w:sz w:val="20"/>
              </w:rPr>
              <w:t>2008</w:t>
            </w:r>
          </w:p>
        </w:tc>
        <w:tc>
          <w:tcPr>
            <w:tcW w:w="866" w:type="dxa"/>
            <w:tcBorders>
              <w:bottom w:val="single" w:sz="18" w:space="0" w:color="D9D9D9"/>
            </w:tcBorders>
          </w:tcPr>
          <w:p>
            <w:pPr>
              <w:pStyle w:val="TableParagraph"/>
              <w:spacing w:before="34"/>
              <w:ind w:left="207" w:right="207"/>
              <w:rPr>
                <w:b/>
                <w:sz w:val="20"/>
              </w:rPr>
            </w:pPr>
            <w:r>
              <w:rPr>
                <w:b/>
                <w:sz w:val="20"/>
              </w:rPr>
              <w:t>1980</w:t>
            </w:r>
          </w:p>
        </w:tc>
        <w:tc>
          <w:tcPr>
            <w:tcW w:w="867" w:type="dxa"/>
            <w:tcBorders>
              <w:bottom w:val="single" w:sz="18" w:space="0" w:color="D9D9D9"/>
            </w:tcBorders>
          </w:tcPr>
          <w:p>
            <w:pPr>
              <w:pStyle w:val="TableParagraph"/>
              <w:spacing w:before="34"/>
              <w:ind w:left="210" w:right="207"/>
              <w:rPr>
                <w:b/>
                <w:sz w:val="20"/>
              </w:rPr>
            </w:pPr>
            <w:r>
              <w:rPr>
                <w:b/>
                <w:sz w:val="20"/>
              </w:rPr>
              <w:t>2008</w:t>
            </w:r>
          </w:p>
        </w:tc>
        <w:tc>
          <w:tcPr>
            <w:tcW w:w="864" w:type="dxa"/>
            <w:tcBorders>
              <w:bottom w:val="single" w:sz="18" w:space="0" w:color="D9D9D9"/>
            </w:tcBorders>
          </w:tcPr>
          <w:p>
            <w:pPr>
              <w:pStyle w:val="TableParagraph"/>
              <w:spacing w:before="34"/>
              <w:ind w:left="207" w:right="207"/>
              <w:rPr>
                <w:b/>
                <w:sz w:val="20"/>
              </w:rPr>
            </w:pPr>
            <w:r>
              <w:rPr>
                <w:b/>
                <w:sz w:val="20"/>
              </w:rPr>
              <w:t>1980</w:t>
            </w:r>
          </w:p>
        </w:tc>
        <w:tc>
          <w:tcPr>
            <w:tcW w:w="862" w:type="dxa"/>
            <w:tcBorders>
              <w:bottom w:val="single" w:sz="18" w:space="0" w:color="D9D9D9"/>
            </w:tcBorders>
          </w:tcPr>
          <w:p>
            <w:pPr>
              <w:pStyle w:val="TableParagraph"/>
              <w:spacing w:before="34"/>
              <w:ind w:left="225"/>
              <w:jc w:val="left"/>
              <w:rPr>
                <w:b/>
                <w:sz w:val="20"/>
              </w:rPr>
            </w:pPr>
            <w:r>
              <w:rPr>
                <w:b/>
                <w:sz w:val="20"/>
              </w:rPr>
              <w:t>2008</w:t>
            </w:r>
          </w:p>
        </w:tc>
      </w:tr>
      <w:tr>
        <w:trPr>
          <w:trHeight w:val="290" w:hRule="exact"/>
        </w:trPr>
        <w:tc>
          <w:tcPr>
            <w:tcW w:w="1875" w:type="dxa"/>
            <w:shd w:val="clear" w:color="auto" w:fill="D9D9D9"/>
          </w:tcPr>
          <w:p>
            <w:pPr>
              <w:pStyle w:val="TableParagraph"/>
              <w:spacing w:before="16"/>
              <w:ind w:left="64"/>
              <w:jc w:val="left"/>
              <w:rPr>
                <w:b/>
                <w:sz w:val="20"/>
              </w:rPr>
            </w:pPr>
            <w:r>
              <w:rPr>
                <w:b/>
                <w:sz w:val="20"/>
              </w:rPr>
              <w:t>Región Norte</w:t>
            </w:r>
          </w:p>
        </w:tc>
        <w:tc>
          <w:tcPr>
            <w:tcW w:w="874" w:type="dxa"/>
            <w:shd w:val="clear" w:color="auto" w:fill="D9D9D9"/>
          </w:tcPr>
          <w:p>
            <w:pPr>
              <w:pStyle w:val="TableParagraph"/>
              <w:spacing w:before="11"/>
              <w:ind w:left="210" w:right="212"/>
              <w:rPr>
                <w:sz w:val="20"/>
              </w:rPr>
            </w:pPr>
            <w:r>
              <w:rPr>
                <w:sz w:val="20"/>
              </w:rPr>
              <w:t>1.5</w:t>
            </w:r>
          </w:p>
        </w:tc>
        <w:tc>
          <w:tcPr>
            <w:tcW w:w="876" w:type="dxa"/>
            <w:shd w:val="clear" w:color="auto" w:fill="D9D9D9"/>
          </w:tcPr>
          <w:p>
            <w:pPr>
              <w:pStyle w:val="TableParagraph"/>
              <w:spacing w:before="11"/>
              <w:ind w:left="211" w:right="212"/>
              <w:rPr>
                <w:sz w:val="20"/>
              </w:rPr>
            </w:pPr>
            <w:r>
              <w:rPr>
                <w:sz w:val="20"/>
              </w:rPr>
              <w:t>1.2</w:t>
            </w:r>
          </w:p>
        </w:tc>
        <w:tc>
          <w:tcPr>
            <w:tcW w:w="872" w:type="dxa"/>
            <w:shd w:val="clear" w:color="auto" w:fill="D9D9D9"/>
          </w:tcPr>
          <w:p>
            <w:pPr>
              <w:pStyle w:val="TableParagraph"/>
              <w:spacing w:before="11"/>
              <w:ind w:left="210" w:right="210"/>
              <w:rPr>
                <w:sz w:val="20"/>
              </w:rPr>
            </w:pPr>
            <w:r>
              <w:rPr>
                <w:sz w:val="20"/>
              </w:rPr>
              <w:t>3.5</w:t>
            </w:r>
          </w:p>
        </w:tc>
        <w:tc>
          <w:tcPr>
            <w:tcW w:w="874" w:type="dxa"/>
            <w:shd w:val="clear" w:color="auto" w:fill="D9D9D9"/>
          </w:tcPr>
          <w:p>
            <w:pPr>
              <w:pStyle w:val="TableParagraph"/>
              <w:spacing w:before="11"/>
              <w:ind w:right="254"/>
              <w:jc w:val="right"/>
              <w:rPr>
                <w:sz w:val="20"/>
              </w:rPr>
            </w:pPr>
            <w:r>
              <w:rPr>
                <w:sz w:val="20"/>
              </w:rPr>
              <w:t>20.9</w:t>
            </w:r>
          </w:p>
        </w:tc>
        <w:tc>
          <w:tcPr>
            <w:tcW w:w="866" w:type="dxa"/>
            <w:shd w:val="clear" w:color="auto" w:fill="D9D9D9"/>
          </w:tcPr>
          <w:p>
            <w:pPr>
              <w:pStyle w:val="TableParagraph"/>
              <w:spacing w:before="11"/>
              <w:ind w:left="206" w:right="207"/>
              <w:rPr>
                <w:sz w:val="20"/>
              </w:rPr>
            </w:pPr>
            <w:r>
              <w:rPr>
                <w:sz w:val="20"/>
              </w:rPr>
              <w:t>4.2</w:t>
            </w:r>
          </w:p>
        </w:tc>
        <w:tc>
          <w:tcPr>
            <w:tcW w:w="867" w:type="dxa"/>
            <w:shd w:val="clear" w:color="auto" w:fill="D9D9D9"/>
          </w:tcPr>
          <w:p>
            <w:pPr>
              <w:pStyle w:val="TableParagraph"/>
              <w:spacing w:before="11"/>
              <w:ind w:left="206" w:right="207"/>
              <w:rPr>
                <w:sz w:val="20"/>
              </w:rPr>
            </w:pPr>
            <w:r>
              <w:rPr>
                <w:sz w:val="20"/>
              </w:rPr>
              <w:t>20.9</w:t>
            </w:r>
          </w:p>
        </w:tc>
        <w:tc>
          <w:tcPr>
            <w:tcW w:w="864" w:type="dxa"/>
            <w:shd w:val="clear" w:color="auto" w:fill="D9D9D9"/>
          </w:tcPr>
          <w:p>
            <w:pPr>
              <w:pStyle w:val="TableParagraph"/>
              <w:spacing w:before="11"/>
              <w:ind w:left="207" w:right="207"/>
              <w:rPr>
                <w:sz w:val="20"/>
              </w:rPr>
            </w:pPr>
            <w:r>
              <w:rPr>
                <w:sz w:val="20"/>
              </w:rPr>
              <w:t>4.4</w:t>
            </w:r>
          </w:p>
        </w:tc>
        <w:tc>
          <w:tcPr>
            <w:tcW w:w="862" w:type="dxa"/>
            <w:shd w:val="clear" w:color="auto" w:fill="D9D9D9"/>
          </w:tcPr>
          <w:p>
            <w:pPr>
              <w:pStyle w:val="TableParagraph"/>
              <w:spacing w:before="11"/>
              <w:ind w:left="249"/>
              <w:jc w:val="left"/>
              <w:rPr>
                <w:sz w:val="20"/>
              </w:rPr>
            </w:pPr>
            <w:r>
              <w:rPr>
                <w:sz w:val="20"/>
              </w:rPr>
              <w:t>18.7</w:t>
            </w:r>
          </w:p>
        </w:tc>
      </w:tr>
      <w:tr>
        <w:trPr>
          <w:trHeight w:val="342" w:hRule="exact"/>
        </w:trPr>
        <w:tc>
          <w:tcPr>
            <w:tcW w:w="1875" w:type="dxa"/>
            <w:tcBorders>
              <w:top w:val="single" w:sz="14" w:space="0" w:color="D9D9D9"/>
            </w:tcBorders>
          </w:tcPr>
          <w:p>
            <w:pPr>
              <w:pStyle w:val="TableParagraph"/>
              <w:spacing w:before="34"/>
              <w:ind w:left="64"/>
              <w:jc w:val="left"/>
              <w:rPr>
                <w:sz w:val="20"/>
              </w:rPr>
            </w:pPr>
            <w:r>
              <w:rPr>
                <w:sz w:val="20"/>
              </w:rPr>
              <w:t>Baja California Norte</w:t>
            </w:r>
          </w:p>
        </w:tc>
        <w:tc>
          <w:tcPr>
            <w:tcW w:w="874" w:type="dxa"/>
            <w:tcBorders>
              <w:top w:val="single" w:sz="14" w:space="0" w:color="D9D9D9"/>
            </w:tcBorders>
          </w:tcPr>
          <w:p>
            <w:pPr>
              <w:pStyle w:val="TableParagraph"/>
              <w:spacing w:before="34"/>
              <w:ind w:left="210" w:right="212"/>
              <w:rPr>
                <w:sz w:val="20"/>
              </w:rPr>
            </w:pPr>
            <w:r>
              <w:rPr>
                <w:sz w:val="20"/>
              </w:rPr>
              <w:t>1.6</w:t>
            </w:r>
          </w:p>
        </w:tc>
        <w:tc>
          <w:tcPr>
            <w:tcW w:w="876" w:type="dxa"/>
            <w:tcBorders>
              <w:top w:val="single" w:sz="14" w:space="0" w:color="D9D9D9"/>
            </w:tcBorders>
          </w:tcPr>
          <w:p>
            <w:pPr>
              <w:pStyle w:val="TableParagraph"/>
              <w:spacing w:before="34"/>
              <w:ind w:left="211" w:right="212"/>
              <w:rPr>
                <w:sz w:val="20"/>
              </w:rPr>
            </w:pPr>
            <w:r>
              <w:rPr>
                <w:sz w:val="20"/>
              </w:rPr>
              <w:t>0.6</w:t>
            </w:r>
          </w:p>
        </w:tc>
        <w:tc>
          <w:tcPr>
            <w:tcW w:w="872" w:type="dxa"/>
            <w:tcBorders>
              <w:top w:val="single" w:sz="14" w:space="0" w:color="D9D9D9"/>
            </w:tcBorders>
          </w:tcPr>
          <w:p>
            <w:pPr>
              <w:pStyle w:val="TableParagraph"/>
              <w:spacing w:before="34"/>
              <w:ind w:left="210" w:right="210"/>
              <w:rPr>
                <w:sz w:val="20"/>
              </w:rPr>
            </w:pPr>
            <w:r>
              <w:rPr>
                <w:sz w:val="20"/>
              </w:rPr>
              <w:t>1.6</w:t>
            </w:r>
          </w:p>
        </w:tc>
        <w:tc>
          <w:tcPr>
            <w:tcW w:w="874" w:type="dxa"/>
            <w:tcBorders>
              <w:top w:val="single" w:sz="14" w:space="0" w:color="D9D9D9"/>
            </w:tcBorders>
          </w:tcPr>
          <w:p>
            <w:pPr>
              <w:pStyle w:val="TableParagraph"/>
              <w:spacing w:before="34"/>
              <w:ind w:right="254"/>
              <w:jc w:val="right"/>
              <w:rPr>
                <w:sz w:val="20"/>
              </w:rPr>
            </w:pPr>
            <w:r>
              <w:rPr>
                <w:sz w:val="20"/>
              </w:rPr>
              <w:t>19.8</w:t>
            </w:r>
          </w:p>
        </w:tc>
        <w:tc>
          <w:tcPr>
            <w:tcW w:w="866" w:type="dxa"/>
            <w:tcBorders>
              <w:top w:val="single" w:sz="14" w:space="0" w:color="D9D9D9"/>
            </w:tcBorders>
          </w:tcPr>
          <w:p>
            <w:pPr>
              <w:pStyle w:val="TableParagraph"/>
              <w:spacing w:before="34"/>
              <w:ind w:left="206" w:right="207"/>
              <w:rPr>
                <w:sz w:val="20"/>
              </w:rPr>
            </w:pPr>
            <w:r>
              <w:rPr>
                <w:sz w:val="20"/>
              </w:rPr>
              <w:t>2.5</w:t>
            </w:r>
          </w:p>
        </w:tc>
        <w:tc>
          <w:tcPr>
            <w:tcW w:w="867" w:type="dxa"/>
            <w:tcBorders>
              <w:top w:val="single" w:sz="14" w:space="0" w:color="D9D9D9"/>
            </w:tcBorders>
          </w:tcPr>
          <w:p>
            <w:pPr>
              <w:pStyle w:val="TableParagraph"/>
              <w:spacing w:before="34"/>
              <w:ind w:left="206" w:right="207"/>
              <w:rPr>
                <w:sz w:val="20"/>
              </w:rPr>
            </w:pPr>
            <w:r>
              <w:rPr>
                <w:sz w:val="20"/>
              </w:rPr>
              <w:t>8.7</w:t>
            </w:r>
          </w:p>
        </w:tc>
        <w:tc>
          <w:tcPr>
            <w:tcW w:w="864" w:type="dxa"/>
            <w:tcBorders>
              <w:top w:val="single" w:sz="14" w:space="0" w:color="D9D9D9"/>
            </w:tcBorders>
          </w:tcPr>
          <w:p>
            <w:pPr>
              <w:pStyle w:val="TableParagraph"/>
              <w:spacing w:before="34"/>
              <w:ind w:left="207" w:right="207"/>
              <w:rPr>
                <w:sz w:val="20"/>
              </w:rPr>
            </w:pPr>
            <w:r>
              <w:rPr>
                <w:sz w:val="20"/>
              </w:rPr>
              <w:t>3.2</w:t>
            </w:r>
          </w:p>
        </w:tc>
        <w:tc>
          <w:tcPr>
            <w:tcW w:w="862" w:type="dxa"/>
            <w:tcBorders>
              <w:top w:val="single" w:sz="14" w:space="0" w:color="D9D9D9"/>
            </w:tcBorders>
          </w:tcPr>
          <w:p>
            <w:pPr>
              <w:pStyle w:val="TableParagraph"/>
              <w:spacing w:before="34"/>
              <w:ind w:left="299"/>
              <w:jc w:val="left"/>
              <w:rPr>
                <w:sz w:val="20"/>
              </w:rPr>
            </w:pPr>
            <w:r>
              <w:rPr>
                <w:sz w:val="20"/>
              </w:rPr>
              <w:t>3.7</w:t>
            </w:r>
          </w:p>
        </w:tc>
      </w:tr>
      <w:tr>
        <w:trPr>
          <w:trHeight w:val="324" w:hRule="exact"/>
        </w:trPr>
        <w:tc>
          <w:tcPr>
            <w:tcW w:w="1875" w:type="dxa"/>
          </w:tcPr>
          <w:p>
            <w:pPr>
              <w:pStyle w:val="TableParagraph"/>
              <w:spacing w:before="29"/>
              <w:ind w:left="64"/>
              <w:jc w:val="left"/>
              <w:rPr>
                <w:sz w:val="20"/>
              </w:rPr>
            </w:pPr>
            <w:r>
              <w:rPr>
                <w:sz w:val="20"/>
              </w:rPr>
              <w:t>Chihuahua</w:t>
            </w:r>
          </w:p>
        </w:tc>
        <w:tc>
          <w:tcPr>
            <w:tcW w:w="874" w:type="dxa"/>
          </w:tcPr>
          <w:p>
            <w:pPr>
              <w:pStyle w:val="TableParagraph"/>
              <w:spacing w:before="29"/>
              <w:ind w:left="210" w:right="212"/>
              <w:rPr>
                <w:sz w:val="20"/>
              </w:rPr>
            </w:pPr>
            <w:r>
              <w:rPr>
                <w:sz w:val="20"/>
              </w:rPr>
              <w:t>0.7</w:t>
            </w:r>
          </w:p>
        </w:tc>
        <w:tc>
          <w:tcPr>
            <w:tcW w:w="876" w:type="dxa"/>
          </w:tcPr>
          <w:p>
            <w:pPr>
              <w:pStyle w:val="TableParagraph"/>
              <w:spacing w:before="29"/>
              <w:ind w:left="211" w:right="212"/>
              <w:rPr>
                <w:sz w:val="20"/>
              </w:rPr>
            </w:pPr>
            <w:r>
              <w:rPr>
                <w:sz w:val="20"/>
              </w:rPr>
              <w:t>1.9</w:t>
            </w:r>
          </w:p>
        </w:tc>
        <w:tc>
          <w:tcPr>
            <w:tcW w:w="872" w:type="dxa"/>
          </w:tcPr>
          <w:p>
            <w:pPr>
              <w:pStyle w:val="TableParagraph"/>
              <w:spacing w:before="29"/>
              <w:ind w:left="210" w:right="210"/>
              <w:rPr>
                <w:sz w:val="20"/>
              </w:rPr>
            </w:pPr>
            <w:r>
              <w:rPr>
                <w:sz w:val="20"/>
              </w:rPr>
              <w:t>0.4</w:t>
            </w:r>
          </w:p>
        </w:tc>
        <w:tc>
          <w:tcPr>
            <w:tcW w:w="874" w:type="dxa"/>
          </w:tcPr>
          <w:p>
            <w:pPr>
              <w:pStyle w:val="TableParagraph"/>
              <w:spacing w:before="29"/>
              <w:ind w:right="254"/>
              <w:jc w:val="right"/>
              <w:rPr>
                <w:sz w:val="20"/>
              </w:rPr>
            </w:pPr>
            <w:r>
              <w:rPr>
                <w:sz w:val="20"/>
              </w:rPr>
              <w:t>29.4</w:t>
            </w:r>
          </w:p>
        </w:tc>
        <w:tc>
          <w:tcPr>
            <w:tcW w:w="866" w:type="dxa"/>
          </w:tcPr>
          <w:p>
            <w:pPr>
              <w:pStyle w:val="TableParagraph"/>
              <w:spacing w:before="29"/>
              <w:ind w:right="1"/>
              <w:rPr>
                <w:sz w:val="20"/>
              </w:rPr>
            </w:pPr>
            <w:r>
              <w:rPr>
                <w:w w:val="99"/>
                <w:sz w:val="20"/>
              </w:rPr>
              <w:t>4</w:t>
            </w:r>
          </w:p>
        </w:tc>
        <w:tc>
          <w:tcPr>
            <w:tcW w:w="867" w:type="dxa"/>
          </w:tcPr>
          <w:p>
            <w:pPr>
              <w:pStyle w:val="TableParagraph"/>
              <w:spacing w:before="29"/>
              <w:ind w:left="206" w:right="207"/>
              <w:rPr>
                <w:sz w:val="20"/>
              </w:rPr>
            </w:pPr>
            <w:r>
              <w:rPr>
                <w:sz w:val="20"/>
              </w:rPr>
              <w:t>30.3</w:t>
            </w:r>
          </w:p>
        </w:tc>
        <w:tc>
          <w:tcPr>
            <w:tcW w:w="864" w:type="dxa"/>
          </w:tcPr>
          <w:p>
            <w:pPr>
              <w:pStyle w:val="TableParagraph"/>
              <w:spacing w:before="29"/>
              <w:ind w:left="207" w:right="207"/>
              <w:rPr>
                <w:sz w:val="20"/>
              </w:rPr>
            </w:pPr>
            <w:r>
              <w:rPr>
                <w:sz w:val="20"/>
              </w:rPr>
              <w:t>5.1</w:t>
            </w:r>
          </w:p>
        </w:tc>
        <w:tc>
          <w:tcPr>
            <w:tcW w:w="862" w:type="dxa"/>
          </w:tcPr>
          <w:p>
            <w:pPr>
              <w:pStyle w:val="TableParagraph"/>
              <w:spacing w:before="29"/>
              <w:ind w:left="249"/>
              <w:jc w:val="left"/>
              <w:rPr>
                <w:sz w:val="20"/>
              </w:rPr>
            </w:pPr>
            <w:r>
              <w:rPr>
                <w:sz w:val="20"/>
              </w:rPr>
              <w:t>31.3</w:t>
            </w:r>
          </w:p>
        </w:tc>
      </w:tr>
      <w:tr>
        <w:trPr>
          <w:trHeight w:val="326" w:hRule="exact"/>
        </w:trPr>
        <w:tc>
          <w:tcPr>
            <w:tcW w:w="1875" w:type="dxa"/>
          </w:tcPr>
          <w:p>
            <w:pPr>
              <w:pStyle w:val="TableParagraph"/>
              <w:spacing w:before="31"/>
              <w:ind w:left="64"/>
              <w:jc w:val="left"/>
              <w:rPr>
                <w:sz w:val="20"/>
              </w:rPr>
            </w:pPr>
            <w:r>
              <w:rPr>
                <w:sz w:val="20"/>
              </w:rPr>
              <w:t>Coahuila</w:t>
            </w:r>
          </w:p>
        </w:tc>
        <w:tc>
          <w:tcPr>
            <w:tcW w:w="874" w:type="dxa"/>
          </w:tcPr>
          <w:p>
            <w:pPr>
              <w:pStyle w:val="TableParagraph"/>
              <w:spacing w:before="31"/>
              <w:ind w:left="210" w:right="212"/>
              <w:rPr>
                <w:sz w:val="20"/>
              </w:rPr>
            </w:pPr>
            <w:r>
              <w:rPr>
                <w:sz w:val="20"/>
              </w:rPr>
              <w:t>1.4</w:t>
            </w:r>
          </w:p>
        </w:tc>
        <w:tc>
          <w:tcPr>
            <w:tcW w:w="876" w:type="dxa"/>
          </w:tcPr>
          <w:p>
            <w:pPr>
              <w:pStyle w:val="TableParagraph"/>
              <w:spacing w:before="31"/>
              <w:ind w:left="211" w:right="212"/>
              <w:rPr>
                <w:sz w:val="20"/>
              </w:rPr>
            </w:pPr>
            <w:r>
              <w:rPr>
                <w:sz w:val="20"/>
              </w:rPr>
              <w:t>1.3</w:t>
            </w:r>
          </w:p>
        </w:tc>
        <w:tc>
          <w:tcPr>
            <w:tcW w:w="872" w:type="dxa"/>
          </w:tcPr>
          <w:p>
            <w:pPr>
              <w:pStyle w:val="TableParagraph"/>
              <w:spacing w:before="31"/>
              <w:ind w:left="210" w:right="210"/>
              <w:rPr>
                <w:sz w:val="20"/>
              </w:rPr>
            </w:pPr>
            <w:r>
              <w:rPr>
                <w:sz w:val="20"/>
              </w:rPr>
              <w:t>1.5</w:t>
            </w:r>
          </w:p>
        </w:tc>
        <w:tc>
          <w:tcPr>
            <w:tcW w:w="874" w:type="dxa"/>
          </w:tcPr>
          <w:p>
            <w:pPr>
              <w:pStyle w:val="TableParagraph"/>
              <w:spacing w:before="31"/>
              <w:ind w:right="254"/>
              <w:jc w:val="right"/>
              <w:rPr>
                <w:sz w:val="20"/>
              </w:rPr>
            </w:pPr>
            <w:r>
              <w:rPr>
                <w:sz w:val="20"/>
              </w:rPr>
              <w:t>39.7</w:t>
            </w:r>
          </w:p>
        </w:tc>
        <w:tc>
          <w:tcPr>
            <w:tcW w:w="866" w:type="dxa"/>
          </w:tcPr>
          <w:p>
            <w:pPr>
              <w:pStyle w:val="TableParagraph"/>
              <w:spacing w:before="31"/>
              <w:ind w:left="206" w:right="207"/>
              <w:rPr>
                <w:sz w:val="20"/>
              </w:rPr>
            </w:pPr>
            <w:r>
              <w:rPr>
                <w:sz w:val="20"/>
              </w:rPr>
              <w:t>2.6</w:t>
            </w:r>
          </w:p>
        </w:tc>
        <w:tc>
          <w:tcPr>
            <w:tcW w:w="867" w:type="dxa"/>
          </w:tcPr>
          <w:p>
            <w:pPr>
              <w:pStyle w:val="TableParagraph"/>
              <w:spacing w:before="31"/>
              <w:ind w:left="206" w:right="207"/>
              <w:rPr>
                <w:sz w:val="20"/>
              </w:rPr>
            </w:pPr>
            <w:r>
              <w:rPr>
                <w:sz w:val="20"/>
              </w:rPr>
              <w:t>36.7</w:t>
            </w:r>
          </w:p>
        </w:tc>
        <w:tc>
          <w:tcPr>
            <w:tcW w:w="864" w:type="dxa"/>
          </w:tcPr>
          <w:p>
            <w:pPr>
              <w:pStyle w:val="TableParagraph"/>
              <w:spacing w:before="31"/>
              <w:ind w:left="207" w:right="207"/>
              <w:rPr>
                <w:sz w:val="20"/>
              </w:rPr>
            </w:pPr>
            <w:r>
              <w:rPr>
                <w:sz w:val="20"/>
              </w:rPr>
              <w:t>4.4</w:t>
            </w:r>
          </w:p>
        </w:tc>
        <w:tc>
          <w:tcPr>
            <w:tcW w:w="862" w:type="dxa"/>
          </w:tcPr>
          <w:p>
            <w:pPr>
              <w:pStyle w:val="TableParagraph"/>
              <w:spacing w:before="31"/>
              <w:ind w:left="249"/>
              <w:jc w:val="left"/>
              <w:rPr>
                <w:sz w:val="20"/>
              </w:rPr>
            </w:pPr>
            <w:r>
              <w:rPr>
                <w:sz w:val="20"/>
              </w:rPr>
              <w:t>29.4</w:t>
            </w:r>
          </w:p>
        </w:tc>
      </w:tr>
      <w:tr>
        <w:trPr>
          <w:trHeight w:val="324" w:hRule="exact"/>
        </w:trPr>
        <w:tc>
          <w:tcPr>
            <w:tcW w:w="1875" w:type="dxa"/>
          </w:tcPr>
          <w:p>
            <w:pPr>
              <w:pStyle w:val="TableParagraph"/>
              <w:spacing w:before="29"/>
              <w:ind w:left="64"/>
              <w:jc w:val="left"/>
              <w:rPr>
                <w:sz w:val="20"/>
              </w:rPr>
            </w:pPr>
            <w:r>
              <w:rPr>
                <w:sz w:val="20"/>
              </w:rPr>
              <w:t>Nuevo León</w:t>
            </w:r>
          </w:p>
        </w:tc>
        <w:tc>
          <w:tcPr>
            <w:tcW w:w="874" w:type="dxa"/>
          </w:tcPr>
          <w:p>
            <w:pPr>
              <w:pStyle w:val="TableParagraph"/>
              <w:spacing w:before="29"/>
              <w:ind w:left="210" w:right="212"/>
              <w:rPr>
                <w:sz w:val="20"/>
              </w:rPr>
            </w:pPr>
            <w:r>
              <w:rPr>
                <w:sz w:val="20"/>
              </w:rPr>
              <w:t>2.2</w:t>
            </w:r>
          </w:p>
        </w:tc>
        <w:tc>
          <w:tcPr>
            <w:tcW w:w="876" w:type="dxa"/>
          </w:tcPr>
          <w:p>
            <w:pPr>
              <w:pStyle w:val="TableParagraph"/>
              <w:spacing w:before="29"/>
              <w:ind w:left="211" w:right="212"/>
              <w:rPr>
                <w:sz w:val="20"/>
              </w:rPr>
            </w:pPr>
            <w:r>
              <w:rPr>
                <w:sz w:val="20"/>
              </w:rPr>
              <w:t>1.4</w:t>
            </w:r>
          </w:p>
        </w:tc>
        <w:tc>
          <w:tcPr>
            <w:tcW w:w="872" w:type="dxa"/>
          </w:tcPr>
          <w:p>
            <w:pPr>
              <w:pStyle w:val="TableParagraph"/>
              <w:spacing w:before="29"/>
              <w:ind w:right="2"/>
              <w:rPr>
                <w:sz w:val="20"/>
              </w:rPr>
            </w:pPr>
            <w:r>
              <w:rPr>
                <w:w w:val="99"/>
                <w:sz w:val="20"/>
              </w:rPr>
              <w:t>5</w:t>
            </w:r>
          </w:p>
        </w:tc>
        <w:tc>
          <w:tcPr>
            <w:tcW w:w="874" w:type="dxa"/>
          </w:tcPr>
          <w:p>
            <w:pPr>
              <w:pStyle w:val="TableParagraph"/>
              <w:spacing w:before="29"/>
              <w:ind w:right="304"/>
              <w:jc w:val="right"/>
              <w:rPr>
                <w:sz w:val="20"/>
              </w:rPr>
            </w:pPr>
            <w:r>
              <w:rPr>
                <w:sz w:val="20"/>
              </w:rPr>
              <w:t>9.1</w:t>
            </w:r>
          </w:p>
        </w:tc>
        <w:tc>
          <w:tcPr>
            <w:tcW w:w="866" w:type="dxa"/>
          </w:tcPr>
          <w:p>
            <w:pPr>
              <w:pStyle w:val="TableParagraph"/>
              <w:spacing w:before="29"/>
              <w:ind w:left="206" w:right="207"/>
              <w:rPr>
                <w:sz w:val="20"/>
              </w:rPr>
            </w:pPr>
            <w:r>
              <w:rPr>
                <w:sz w:val="20"/>
              </w:rPr>
              <w:t>5.1</w:t>
            </w:r>
          </w:p>
        </w:tc>
        <w:tc>
          <w:tcPr>
            <w:tcW w:w="867" w:type="dxa"/>
          </w:tcPr>
          <w:p>
            <w:pPr>
              <w:pStyle w:val="TableParagraph"/>
              <w:spacing w:before="29"/>
              <w:ind w:left="206" w:right="207"/>
              <w:rPr>
                <w:sz w:val="20"/>
              </w:rPr>
            </w:pPr>
            <w:r>
              <w:rPr>
                <w:sz w:val="20"/>
              </w:rPr>
              <w:t>11.1</w:t>
            </w:r>
          </w:p>
        </w:tc>
        <w:tc>
          <w:tcPr>
            <w:tcW w:w="864" w:type="dxa"/>
          </w:tcPr>
          <w:p>
            <w:pPr>
              <w:pStyle w:val="TableParagraph"/>
              <w:spacing w:before="29"/>
              <w:ind w:left="207" w:right="207"/>
              <w:rPr>
                <w:sz w:val="20"/>
              </w:rPr>
            </w:pPr>
            <w:r>
              <w:rPr>
                <w:sz w:val="20"/>
              </w:rPr>
              <w:t>5.7</w:t>
            </w:r>
          </w:p>
        </w:tc>
        <w:tc>
          <w:tcPr>
            <w:tcW w:w="862" w:type="dxa"/>
          </w:tcPr>
          <w:p>
            <w:pPr>
              <w:pStyle w:val="TableParagraph"/>
              <w:spacing w:before="29"/>
              <w:ind w:left="249"/>
              <w:jc w:val="left"/>
              <w:rPr>
                <w:sz w:val="20"/>
              </w:rPr>
            </w:pPr>
            <w:r>
              <w:rPr>
                <w:sz w:val="20"/>
              </w:rPr>
              <w:t>11.5</w:t>
            </w:r>
          </w:p>
        </w:tc>
      </w:tr>
      <w:tr>
        <w:trPr>
          <w:trHeight w:val="326" w:hRule="exact"/>
        </w:trPr>
        <w:tc>
          <w:tcPr>
            <w:tcW w:w="1875" w:type="dxa"/>
          </w:tcPr>
          <w:p>
            <w:pPr>
              <w:pStyle w:val="TableParagraph"/>
              <w:spacing w:before="29"/>
              <w:ind w:left="64"/>
              <w:jc w:val="left"/>
              <w:rPr>
                <w:sz w:val="20"/>
              </w:rPr>
            </w:pPr>
            <w:r>
              <w:rPr>
                <w:sz w:val="20"/>
              </w:rPr>
              <w:t>Sonora</w:t>
            </w:r>
          </w:p>
        </w:tc>
        <w:tc>
          <w:tcPr>
            <w:tcW w:w="874" w:type="dxa"/>
          </w:tcPr>
          <w:p>
            <w:pPr>
              <w:pStyle w:val="TableParagraph"/>
              <w:spacing w:before="29"/>
              <w:ind w:left="210" w:right="212"/>
              <w:rPr>
                <w:sz w:val="20"/>
              </w:rPr>
            </w:pPr>
            <w:r>
              <w:rPr>
                <w:sz w:val="20"/>
              </w:rPr>
              <w:t>0.8</w:t>
            </w:r>
          </w:p>
        </w:tc>
        <w:tc>
          <w:tcPr>
            <w:tcW w:w="876" w:type="dxa"/>
          </w:tcPr>
          <w:p>
            <w:pPr>
              <w:pStyle w:val="TableParagraph"/>
              <w:spacing w:before="29"/>
              <w:ind w:left="211" w:right="212"/>
              <w:rPr>
                <w:sz w:val="20"/>
              </w:rPr>
            </w:pPr>
            <w:r>
              <w:rPr>
                <w:sz w:val="20"/>
              </w:rPr>
              <w:t>0.6</w:t>
            </w:r>
          </w:p>
        </w:tc>
        <w:tc>
          <w:tcPr>
            <w:tcW w:w="872" w:type="dxa"/>
          </w:tcPr>
          <w:p>
            <w:pPr>
              <w:pStyle w:val="TableParagraph"/>
              <w:spacing w:before="29"/>
              <w:ind w:left="210" w:right="210"/>
              <w:rPr>
                <w:sz w:val="20"/>
              </w:rPr>
            </w:pPr>
            <w:r>
              <w:rPr>
                <w:sz w:val="20"/>
              </w:rPr>
              <w:t>2.1</w:t>
            </w:r>
          </w:p>
        </w:tc>
        <w:tc>
          <w:tcPr>
            <w:tcW w:w="874" w:type="dxa"/>
          </w:tcPr>
          <w:p>
            <w:pPr>
              <w:pStyle w:val="TableParagraph"/>
              <w:spacing w:before="29"/>
              <w:ind w:right="254"/>
              <w:jc w:val="right"/>
              <w:rPr>
                <w:sz w:val="20"/>
              </w:rPr>
            </w:pPr>
            <w:r>
              <w:rPr>
                <w:sz w:val="20"/>
              </w:rPr>
              <w:t>34.7</w:t>
            </w:r>
          </w:p>
        </w:tc>
        <w:tc>
          <w:tcPr>
            <w:tcW w:w="866" w:type="dxa"/>
          </w:tcPr>
          <w:p>
            <w:pPr>
              <w:pStyle w:val="TableParagraph"/>
              <w:spacing w:before="29"/>
              <w:ind w:left="206" w:right="207"/>
              <w:rPr>
                <w:sz w:val="20"/>
              </w:rPr>
            </w:pPr>
            <w:r>
              <w:rPr>
                <w:sz w:val="20"/>
              </w:rPr>
              <w:t>1.6</w:t>
            </w:r>
          </w:p>
        </w:tc>
        <w:tc>
          <w:tcPr>
            <w:tcW w:w="867" w:type="dxa"/>
          </w:tcPr>
          <w:p>
            <w:pPr>
              <w:pStyle w:val="TableParagraph"/>
              <w:spacing w:before="29"/>
              <w:ind w:left="206" w:right="207"/>
              <w:rPr>
                <w:sz w:val="20"/>
              </w:rPr>
            </w:pPr>
            <w:r>
              <w:rPr>
                <w:sz w:val="20"/>
              </w:rPr>
              <w:t>26.5</w:t>
            </w:r>
          </w:p>
        </w:tc>
        <w:tc>
          <w:tcPr>
            <w:tcW w:w="864" w:type="dxa"/>
          </w:tcPr>
          <w:p>
            <w:pPr>
              <w:pStyle w:val="TableParagraph"/>
              <w:spacing w:before="29"/>
              <w:ind w:right="1"/>
              <w:rPr>
                <w:sz w:val="20"/>
              </w:rPr>
            </w:pPr>
            <w:r>
              <w:rPr>
                <w:w w:val="99"/>
                <w:sz w:val="20"/>
              </w:rPr>
              <w:t>1</w:t>
            </w:r>
          </w:p>
        </w:tc>
        <w:tc>
          <w:tcPr>
            <w:tcW w:w="862" w:type="dxa"/>
          </w:tcPr>
          <w:p>
            <w:pPr>
              <w:pStyle w:val="TableParagraph"/>
              <w:spacing w:before="29"/>
              <w:ind w:left="249"/>
              <w:jc w:val="left"/>
              <w:rPr>
                <w:sz w:val="20"/>
              </w:rPr>
            </w:pPr>
            <w:r>
              <w:rPr>
                <w:sz w:val="20"/>
              </w:rPr>
              <w:t>20.6</w:t>
            </w:r>
          </w:p>
        </w:tc>
      </w:tr>
      <w:tr>
        <w:trPr>
          <w:trHeight w:val="324" w:hRule="exact"/>
        </w:trPr>
        <w:tc>
          <w:tcPr>
            <w:tcW w:w="1875" w:type="dxa"/>
          </w:tcPr>
          <w:p>
            <w:pPr>
              <w:pStyle w:val="TableParagraph"/>
              <w:spacing w:before="29"/>
              <w:ind w:left="64"/>
              <w:jc w:val="left"/>
              <w:rPr>
                <w:sz w:val="20"/>
              </w:rPr>
            </w:pPr>
            <w:r>
              <w:rPr>
                <w:sz w:val="20"/>
              </w:rPr>
              <w:t>Tamaulipas</w:t>
            </w:r>
          </w:p>
        </w:tc>
        <w:tc>
          <w:tcPr>
            <w:tcW w:w="874" w:type="dxa"/>
          </w:tcPr>
          <w:p>
            <w:pPr>
              <w:pStyle w:val="TableParagraph"/>
              <w:spacing w:before="29"/>
              <w:ind w:left="210" w:right="212"/>
              <w:rPr>
                <w:sz w:val="20"/>
              </w:rPr>
            </w:pPr>
            <w:r>
              <w:rPr>
                <w:sz w:val="20"/>
              </w:rPr>
              <w:t>1.3</w:t>
            </w:r>
          </w:p>
        </w:tc>
        <w:tc>
          <w:tcPr>
            <w:tcW w:w="876" w:type="dxa"/>
          </w:tcPr>
          <w:p>
            <w:pPr>
              <w:pStyle w:val="TableParagraph"/>
              <w:spacing w:before="29"/>
              <w:ind w:left="211" w:right="212"/>
              <w:rPr>
                <w:sz w:val="20"/>
              </w:rPr>
            </w:pPr>
            <w:r>
              <w:rPr>
                <w:sz w:val="20"/>
              </w:rPr>
              <w:t>1.1</w:t>
            </w:r>
          </w:p>
        </w:tc>
        <w:tc>
          <w:tcPr>
            <w:tcW w:w="872" w:type="dxa"/>
          </w:tcPr>
          <w:p>
            <w:pPr>
              <w:pStyle w:val="TableParagraph"/>
              <w:spacing w:before="29"/>
              <w:ind w:left="210" w:right="210"/>
              <w:rPr>
                <w:sz w:val="20"/>
              </w:rPr>
            </w:pPr>
            <w:r>
              <w:rPr>
                <w:sz w:val="20"/>
              </w:rPr>
              <w:t>1.2</w:t>
            </w:r>
          </w:p>
        </w:tc>
        <w:tc>
          <w:tcPr>
            <w:tcW w:w="874" w:type="dxa"/>
          </w:tcPr>
          <w:p>
            <w:pPr>
              <w:pStyle w:val="TableParagraph"/>
              <w:spacing w:before="29"/>
              <w:ind w:right="304"/>
              <w:jc w:val="right"/>
              <w:rPr>
                <w:sz w:val="20"/>
              </w:rPr>
            </w:pPr>
            <w:r>
              <w:rPr>
                <w:sz w:val="20"/>
              </w:rPr>
              <w:t>5.9</w:t>
            </w:r>
          </w:p>
        </w:tc>
        <w:tc>
          <w:tcPr>
            <w:tcW w:w="866" w:type="dxa"/>
          </w:tcPr>
          <w:p>
            <w:pPr>
              <w:pStyle w:val="TableParagraph"/>
              <w:spacing w:before="29"/>
              <w:ind w:left="206" w:right="207"/>
              <w:rPr>
                <w:sz w:val="20"/>
              </w:rPr>
            </w:pPr>
            <w:r>
              <w:rPr>
                <w:sz w:val="20"/>
              </w:rPr>
              <w:t>6.8</w:t>
            </w:r>
          </w:p>
        </w:tc>
        <w:tc>
          <w:tcPr>
            <w:tcW w:w="867" w:type="dxa"/>
          </w:tcPr>
          <w:p>
            <w:pPr>
              <w:pStyle w:val="TableParagraph"/>
              <w:spacing w:before="29"/>
              <w:ind w:left="206" w:right="207"/>
              <w:rPr>
                <w:sz w:val="20"/>
              </w:rPr>
            </w:pPr>
            <w:r>
              <w:rPr>
                <w:sz w:val="20"/>
              </w:rPr>
              <w:t>15.2</w:t>
            </w:r>
          </w:p>
        </w:tc>
        <w:tc>
          <w:tcPr>
            <w:tcW w:w="864" w:type="dxa"/>
          </w:tcPr>
          <w:p>
            <w:pPr>
              <w:pStyle w:val="TableParagraph"/>
              <w:spacing w:before="29"/>
              <w:ind w:left="207" w:right="207"/>
              <w:rPr>
                <w:sz w:val="20"/>
              </w:rPr>
            </w:pPr>
            <w:r>
              <w:rPr>
                <w:sz w:val="20"/>
              </w:rPr>
              <w:t>2.6</w:t>
            </w:r>
          </w:p>
        </w:tc>
        <w:tc>
          <w:tcPr>
            <w:tcW w:w="862" w:type="dxa"/>
          </w:tcPr>
          <w:p>
            <w:pPr>
              <w:pStyle w:val="TableParagraph"/>
              <w:spacing w:before="29"/>
              <w:ind w:left="249"/>
              <w:jc w:val="left"/>
              <w:rPr>
                <w:sz w:val="20"/>
              </w:rPr>
            </w:pPr>
            <w:r>
              <w:rPr>
                <w:sz w:val="20"/>
              </w:rPr>
              <w:t>18.6</w:t>
            </w:r>
          </w:p>
        </w:tc>
      </w:tr>
    </w:tbl>
    <w:p>
      <w:pPr>
        <w:spacing w:line="202" w:lineRule="exact" w:before="0"/>
        <w:ind w:left="102" w:right="0" w:firstLine="0"/>
        <w:jc w:val="both"/>
        <w:rPr>
          <w:sz w:val="18"/>
        </w:rPr>
      </w:pPr>
      <w:r>
        <w:rPr>
          <w:sz w:val="18"/>
        </w:rPr>
        <w:t>Fuente: Elaboración propia con datos del INEGI (1980 y 2009).</w:t>
      </w:r>
    </w:p>
    <w:p>
      <w:pPr>
        <w:pStyle w:val="BodyText"/>
        <w:rPr>
          <w:sz w:val="18"/>
        </w:rPr>
      </w:pPr>
    </w:p>
    <w:p>
      <w:pPr>
        <w:pStyle w:val="BodyText"/>
        <w:spacing w:line="360" w:lineRule="auto" w:before="138"/>
        <w:ind w:left="102" w:right="118"/>
        <w:jc w:val="both"/>
      </w:pPr>
      <w:r>
        <w:rPr/>
        <w:t>Con lo anterior, se puede observar que dos entidades que destacan por sus aportaciones a la producción bruta total y valor agregado censal bruto, son Chihuahua y Coahuila.</w:t>
      </w:r>
    </w:p>
    <w:p>
      <w:pPr>
        <w:pStyle w:val="BodyText"/>
        <w:spacing w:before="4"/>
        <w:rPr>
          <w:sz w:val="21"/>
        </w:rPr>
      </w:pPr>
    </w:p>
    <w:p>
      <w:pPr>
        <w:pStyle w:val="BodyText"/>
        <w:spacing w:line="360" w:lineRule="auto" w:before="1"/>
        <w:ind w:left="102" w:right="118"/>
        <w:jc w:val="both"/>
      </w:pPr>
      <w:r>
        <w:rPr/>
        <w:t>La evolución que ha tenido el estado de Chihuahua en cuanto al VACB dentro del total nacional ha sido muy significativo, si se observa la gráfica 4.10, para el año 1980, la manufactura del estado, sólo representaba el 1.7% de la manufactura nacional, y la industria automotriz, apenas el 0.2%. Sin embargo, para el 2003, se muestran cifras especialmente importantes, ya que por sí sola la industria manufactura y automotriz de Chihuahua, representaron el 7.5 y el 3.2% respectivamente de la manufactura total, convirtiéndose en el estado  con  mayor  participación.  Para  el  2008,  se  observa  una  disminución  de  dichas</w:t>
      </w:r>
    </w:p>
    <w:p>
      <w:pPr>
        <w:spacing w:after="0" w:line="360" w:lineRule="auto"/>
        <w:jc w:val="both"/>
        <w:sectPr>
          <w:pgSz w:w="12240" w:h="15840"/>
          <w:pgMar w:header="0" w:footer="1035" w:top="1360" w:bottom="1220" w:left="1600" w:right="1580"/>
        </w:sectPr>
      </w:pPr>
    </w:p>
    <w:p>
      <w:pPr>
        <w:pStyle w:val="BodyText"/>
        <w:spacing w:line="360" w:lineRule="auto" w:before="50"/>
        <w:ind w:left="102" w:right="126"/>
        <w:jc w:val="both"/>
      </w:pPr>
      <w:r>
        <w:rPr/>
        <w:t>participaciones, sin embargo esto obedece a la crisis económica mundial que existía en ese momento.</w:t>
      </w:r>
    </w:p>
    <w:p>
      <w:pPr>
        <w:pStyle w:val="BodyText"/>
        <w:spacing w:before="7"/>
        <w:rPr>
          <w:sz w:val="21"/>
        </w:rPr>
      </w:pPr>
    </w:p>
    <w:p>
      <w:pPr>
        <w:pStyle w:val="Heading1"/>
        <w:spacing w:line="360" w:lineRule="auto"/>
        <w:ind w:left="112" w:right="132"/>
        <w:jc w:val="center"/>
      </w:pPr>
      <w:r>
        <w:rPr/>
        <w:t>Gráfica 4.10. Participación porcentual de la industria manufacturera y automotriz de Chihuahua en la manufactura nacional, 1980-2008 (Valor Agregado Censal Bruto)</w:t>
      </w:r>
    </w:p>
    <w:p>
      <w:pPr>
        <w:pStyle w:val="BodyText"/>
        <w:ind w:left="538"/>
        <w:rPr>
          <w:sz w:val="20"/>
        </w:rPr>
      </w:pPr>
      <w:r>
        <w:rPr>
          <w:sz w:val="20"/>
        </w:rPr>
        <w:pict>
          <v:group style="width:397.6pt;height:170.8pt;mso-position-horizontal-relative:char;mso-position-vertical-relative:line" coordorigin="0,0" coordsize="7952,3416">
            <v:shape style="position:absolute;left:514;top:228;width:7210;height:2306" type="#_x0000_t75" stroked="false">
              <v:imagedata r:id="rId65" o:title=""/>
            </v:shape>
            <v:line style="position:absolute" from="7455,2247" to="7723,2247" stroked="true" strokeweight=".72pt" strokecolor="#d9d9d9"/>
            <v:line style="position:absolute" from="7167,2247" to="7253,2247" stroked="true" strokeweight=".72pt" strokecolor="#d9d9d9"/>
            <v:line style="position:absolute" from="6425,2247" to="6963,2247" stroked="true" strokeweight=".72pt" strokecolor="#d9d9d9"/>
            <v:line style="position:absolute" from="6135,2247" to="6223,2247" stroked="true" strokeweight=".72pt" strokecolor="#d9d9d9"/>
            <v:line style="position:absolute" from="5395,2247" to="5933,2247" stroked="true" strokeweight=".72pt" strokecolor="#d9d9d9"/>
            <v:line style="position:absolute" from="5105,2247" to="5194,2247" stroked="true" strokeweight=".72pt" strokecolor="#d9d9d9"/>
            <v:line style="position:absolute" from="4075,2247" to="4903,2247" stroked="true" strokeweight=".72pt" strokecolor="#d9d9d9"/>
            <v:line style="position:absolute" from="3334,2247" to="3874,2247" stroked="true" strokeweight=".72pt" strokecolor="#d9d9d9"/>
            <v:line style="position:absolute" from="3046,2247" to="3132,2247" stroked="true" strokeweight=".72pt" strokecolor="#d9d9d9"/>
            <v:line style="position:absolute" from="2016,2247" to="2844,2247" stroked="true" strokeweight=".72pt" strokecolor="#d9d9d9"/>
            <v:line style="position:absolute" from="987,2247" to="1815,2247" stroked="true" strokeweight=".72pt" strokecolor="#d9d9d9"/>
            <v:line style="position:absolute" from="514,2247" to="785,2247" stroked="true" strokeweight=".72pt" strokecolor="#d9d9d9"/>
            <v:line style="position:absolute" from="7167,1959" to="7723,1959" stroked="true" strokeweight=".72pt" strokecolor="#d9d9d9"/>
            <v:line style="position:absolute" from="6425,1959" to="6963,1959" stroked="true" strokeweight=".72pt" strokecolor="#d9d9d9"/>
            <v:line style="position:absolute" from="6135,1959" to="6223,1959" stroked="true" strokeweight=".72pt" strokecolor="#d9d9d9"/>
            <v:line style="position:absolute" from="5105,1959" to="5933,1959" stroked="true" strokeweight=".72pt" strokecolor="#d9d9d9"/>
            <v:line style="position:absolute" from="4075,1959" to="4903,1959" stroked="true" strokeweight=".72pt" strokecolor="#d9d9d9"/>
            <v:line style="position:absolute" from="3046,1959" to="3874,1959" stroked="true" strokeweight=".72pt" strokecolor="#d9d9d9"/>
            <v:line style="position:absolute" from="2016,1959" to="2844,1959" stroked="true" strokeweight=".72pt" strokecolor="#d9d9d9"/>
            <v:line style="position:absolute" from="514,1959" to="1815,1959" stroked="true" strokeweight=".72pt" strokecolor="#d9d9d9"/>
            <v:line style="position:absolute" from="7167,1671" to="7723,1671" stroked="true" strokeweight=".72pt" strokecolor="#d9d9d9"/>
            <v:line style="position:absolute" from="6425,1671" to="6963,1671" stroked="true" strokeweight=".72pt" strokecolor="#d9d9d9"/>
            <v:line style="position:absolute" from="6135,1671" to="6223,1671" stroked="true" strokeweight=".72pt" strokecolor="#d9d9d9"/>
            <v:line style="position:absolute" from="5105,1671" to="5933,1671" stroked="true" strokeweight=".72pt" strokecolor="#d9d9d9"/>
            <v:line style="position:absolute" from="4075,1671" to="4903,1671" stroked="true" strokeweight=".72pt" strokecolor="#d9d9d9"/>
            <v:line style="position:absolute" from="3046,1671" to="3874,1671" stroked="true" strokeweight=".72pt" strokecolor="#d9d9d9"/>
            <v:line style="position:absolute" from="514,1671" to="2844,1671" stroked="true" strokeweight=".72pt" strokecolor="#d9d9d9"/>
            <v:line style="position:absolute" from="7167,1383" to="7723,1383" stroked="true" strokeweight=".72pt" strokecolor="#d9d9d9"/>
            <v:line style="position:absolute" from="6135,1383" to="6963,1383" stroked="true" strokeweight=".72pt" strokecolor="#d9d9d9"/>
            <v:line style="position:absolute" from="5105,1383" to="5933,1383" stroked="true" strokeweight=".72pt" strokecolor="#d9d9d9"/>
            <v:line style="position:absolute" from="514,1383" to="4903,1383" stroked="true" strokeweight=".72pt" strokecolor="#d9d9d9"/>
            <v:line style="position:absolute" from="6135,1095" to="7723,1095" stroked="true" strokeweight=".72pt" strokecolor="#d9d9d9"/>
            <v:line style="position:absolute" from="514,1095" to="5933,1095" stroked="true" strokeweight=".72pt" strokecolor="#d9d9d9"/>
            <v:line style="position:absolute" from="6135,804" to="7723,804" stroked="true" strokeweight=".72pt" strokecolor="#d9d9d9"/>
            <v:line style="position:absolute" from="514,804" to="5933,804" stroked="true" strokeweight=".72pt" strokecolor="#d9d9d9"/>
            <v:line style="position:absolute" from="6135,516" to="7723,516" stroked="true" strokeweight=".72pt" strokecolor="#d9d9d9"/>
            <v:line style="position:absolute" from="514,516" to="5933,516" stroked="true" strokeweight=".72pt" strokecolor="#d9d9d9"/>
            <v:line style="position:absolute" from="514,228" to="7723,228" stroked="true" strokeweight=".72pt" strokecolor="#d9d9d9"/>
            <v:line style="position:absolute" from="514,228" to="514,2535" stroked="true" strokeweight=".72pt" strokecolor="#d9d9d9"/>
            <v:line style="position:absolute" from="1546,228" to="1546,2535" stroked="true" strokeweight=".72pt" strokecolor="#d9d9d9"/>
            <v:line style="position:absolute" from="2575,228" to="2575,2535" stroked="true" strokeweight=".72pt" strokecolor="#d9d9d9"/>
            <v:line style="position:absolute" from="3605,228" to="3605,2535" stroked="true" strokeweight=".72pt" strokecolor="#d9d9d9"/>
            <v:line style="position:absolute" from="4635,228" to="4635,2535" stroked="true" strokeweight=".72pt" strokecolor="#d9d9d9"/>
            <v:line style="position:absolute" from="5664,228" to="5664,2535" stroked="true" strokeweight=".72pt" strokecolor="#d9d9d9"/>
            <v:line style="position:absolute" from="6694,228" to="6694,2535" stroked="true" strokeweight=".72pt" strokecolor="#d9d9d9"/>
            <v:line style="position:absolute" from="7723,228" to="7723,2535" stroked="true" strokeweight=".72pt" strokecolor="#d9d9d9"/>
            <v:rect style="position:absolute;left:785;top:2052;width:202;height:482" filled="true" fillcolor="#539e39" stroked="false">
              <v:fill type="solid"/>
            </v:rect>
            <v:rect style="position:absolute;left:1815;top:1841;width:202;height:694" filled="true" fillcolor="#539e39" stroked="false">
              <v:fill type="solid"/>
            </v:rect>
            <v:rect style="position:absolute;left:2844;top:1515;width:202;height:1020" filled="true" fillcolor="#539e39" stroked="false">
              <v:fill type="solid"/>
            </v:rect>
            <v:rect style="position:absolute;left:3874;top:1575;width:202;height:960" filled="true" fillcolor="#539e39" stroked="false">
              <v:fill type="solid"/>
            </v:rect>
            <v:rect style="position:absolute;left:4904;top:1145;width:202;height:1390" filled="true" fillcolor="#539e39" stroked="false">
              <v:fill type="solid"/>
            </v:rect>
            <v:rect style="position:absolute;left:5933;top:372;width:202;height:2162" filled="true" fillcolor="#539e39" stroked="false">
              <v:fill type="solid"/>
            </v:rect>
            <v:rect style="position:absolute;left:6963;top:1092;width:204;height:1442" filled="true" fillcolor="#539e39" stroked="false">
              <v:fill type="solid"/>
            </v:rect>
            <v:line style="position:absolute" from="1073,2525" to="1275,2525" stroked="true" strokeweight=".96pt" strokecolor="#89b833"/>
            <v:rect style="position:absolute;left:2103;top:2417;width:202;height:118" filled="true" fillcolor="#89b833" stroked="false">
              <v:fill type="solid"/>
            </v:rect>
            <v:rect style="position:absolute;left:3132;top:2122;width:202;height:413" filled="true" fillcolor="#89b833" stroked="false">
              <v:fill type="solid"/>
            </v:rect>
            <v:rect style="position:absolute;left:4162;top:2331;width:204;height:204" filled="true" fillcolor="#89b833" stroked="false">
              <v:fill type="solid"/>
            </v:rect>
            <v:rect style="position:absolute;left:5194;top:2100;width:202;height:434" filled="true" fillcolor="#89b833" stroked="false">
              <v:fill type="solid"/>
            </v:rect>
            <v:rect style="position:absolute;left:6223;top:1604;width:202;height:931" filled="true" fillcolor="#89b833" stroked="false">
              <v:fill type="solid"/>
            </v:rect>
            <v:rect style="position:absolute;left:7253;top:2098;width:202;height:437" filled="true" fillcolor="#89b833" stroked="false">
              <v:fill type="solid"/>
            </v:rect>
            <v:line style="position:absolute" from="514,2535" to="7723,2535" stroked="true" strokeweight=".72pt" strokecolor="#d9d9d9"/>
            <v:line style="position:absolute" from="2144,3131" to="2232,3131" stroked="true" strokeweight="4.440pt" strokecolor="#539e39"/>
            <v:line style="position:absolute" from="4284,3131" to="4373,3131" stroked="true" strokeweight="4.440pt" strokecolor="#89b833"/>
            <v:rect style="position:absolute;left:8;top:8;width:7937;height:3401" filled="false" stroked="true" strokeweight=".72pt" strokecolor="#d9d9d9"/>
            <v:shape style="position:absolute;left:138;top:141;width:225;height:2488" type="#_x0000_t202" filled="false" stroked="false">
              <v:textbox inset="0,0,0,0">
                <w:txbxContent>
                  <w:p>
                    <w:pPr>
                      <w:spacing w:line="184" w:lineRule="exact" w:before="0"/>
                      <w:ind w:left="0" w:right="-20" w:firstLine="0"/>
                      <w:jc w:val="left"/>
                      <w:rPr>
                        <w:sz w:val="18"/>
                      </w:rPr>
                    </w:pPr>
                    <w:r>
                      <w:rPr>
                        <w:color w:val="585858"/>
                        <w:sz w:val="18"/>
                      </w:rPr>
                      <w:t>8.0</w:t>
                    </w:r>
                  </w:p>
                  <w:p>
                    <w:pPr>
                      <w:spacing w:before="81"/>
                      <w:ind w:left="0" w:right="-20" w:firstLine="0"/>
                      <w:jc w:val="left"/>
                      <w:rPr>
                        <w:sz w:val="18"/>
                      </w:rPr>
                    </w:pPr>
                    <w:r>
                      <w:rPr>
                        <w:color w:val="585858"/>
                        <w:sz w:val="18"/>
                      </w:rPr>
                      <w:t>7.0</w:t>
                    </w:r>
                  </w:p>
                  <w:p>
                    <w:pPr>
                      <w:spacing w:before="81"/>
                      <w:ind w:left="0" w:right="-20" w:firstLine="0"/>
                      <w:jc w:val="left"/>
                      <w:rPr>
                        <w:sz w:val="18"/>
                      </w:rPr>
                    </w:pPr>
                    <w:r>
                      <w:rPr>
                        <w:color w:val="585858"/>
                        <w:sz w:val="18"/>
                      </w:rPr>
                      <w:t>6.0</w:t>
                    </w:r>
                  </w:p>
                  <w:p>
                    <w:pPr>
                      <w:spacing w:before="81"/>
                      <w:ind w:left="0" w:right="-20" w:firstLine="0"/>
                      <w:jc w:val="left"/>
                      <w:rPr>
                        <w:sz w:val="18"/>
                      </w:rPr>
                    </w:pPr>
                    <w:r>
                      <w:rPr>
                        <w:color w:val="585858"/>
                        <w:sz w:val="18"/>
                      </w:rPr>
                      <w:t>5.0</w:t>
                    </w:r>
                  </w:p>
                  <w:p>
                    <w:pPr>
                      <w:spacing w:before="81"/>
                      <w:ind w:left="0" w:right="-20" w:firstLine="0"/>
                      <w:jc w:val="left"/>
                      <w:rPr>
                        <w:sz w:val="18"/>
                      </w:rPr>
                    </w:pPr>
                    <w:r>
                      <w:rPr>
                        <w:color w:val="585858"/>
                        <w:sz w:val="18"/>
                      </w:rPr>
                      <w:t>4.0</w:t>
                    </w:r>
                  </w:p>
                  <w:p>
                    <w:pPr>
                      <w:spacing w:before="81"/>
                      <w:ind w:left="0" w:right="-20" w:firstLine="0"/>
                      <w:jc w:val="left"/>
                      <w:rPr>
                        <w:sz w:val="18"/>
                      </w:rPr>
                    </w:pPr>
                    <w:r>
                      <w:rPr>
                        <w:color w:val="585858"/>
                        <w:sz w:val="18"/>
                      </w:rPr>
                      <w:t>3.0</w:t>
                    </w:r>
                  </w:p>
                  <w:p>
                    <w:pPr>
                      <w:spacing w:before="81"/>
                      <w:ind w:left="0" w:right="-20" w:firstLine="0"/>
                      <w:jc w:val="left"/>
                      <w:rPr>
                        <w:sz w:val="18"/>
                      </w:rPr>
                    </w:pPr>
                    <w:r>
                      <w:rPr>
                        <w:color w:val="585858"/>
                        <w:sz w:val="18"/>
                      </w:rPr>
                      <w:t>2.0</w:t>
                    </w:r>
                  </w:p>
                  <w:p>
                    <w:pPr>
                      <w:spacing w:before="81"/>
                      <w:ind w:left="0" w:right="-20" w:firstLine="0"/>
                      <w:jc w:val="left"/>
                      <w:rPr>
                        <w:sz w:val="18"/>
                      </w:rPr>
                    </w:pPr>
                    <w:r>
                      <w:rPr>
                        <w:color w:val="585858"/>
                        <w:sz w:val="18"/>
                      </w:rPr>
                      <w:t>1.0</w:t>
                    </w:r>
                  </w:p>
                  <w:p>
                    <w:pPr>
                      <w:spacing w:line="203" w:lineRule="exact" w:before="81"/>
                      <w:ind w:left="0" w:right="-20" w:firstLine="0"/>
                      <w:jc w:val="left"/>
                      <w:rPr>
                        <w:sz w:val="18"/>
                      </w:rPr>
                    </w:pPr>
                    <w:r>
                      <w:rPr>
                        <w:color w:val="585858"/>
                        <w:sz w:val="18"/>
                      </w:rPr>
                      <w:t>0.0</w:t>
                    </w:r>
                  </w:p>
                </w:txbxContent>
              </v:textbox>
              <w10:wrap type="none"/>
            </v:shape>
            <v:shape style="position:absolute;left:5922;top:99;width:227;height:181" type="#_x0000_t202" filled="false" stroked="false">
              <v:textbox inset="0,0,0,0">
                <w:txbxContent>
                  <w:p>
                    <w:pPr>
                      <w:spacing w:line="180" w:lineRule="exact" w:before="0"/>
                      <w:ind w:left="0" w:right="-18" w:firstLine="0"/>
                      <w:jc w:val="left"/>
                      <w:rPr>
                        <w:sz w:val="18"/>
                      </w:rPr>
                    </w:pPr>
                    <w:r>
                      <w:rPr>
                        <w:color w:val="404040"/>
                        <w:sz w:val="18"/>
                      </w:rPr>
                      <w:t>7.5</w:t>
                    </w:r>
                  </w:p>
                </w:txbxContent>
              </v:textbox>
              <w10:wrap type="none"/>
            </v:shape>
            <v:shape style="position:absolute;left:4892;top:871;width:227;height:181" type="#_x0000_t202" filled="false" stroked="false">
              <v:textbox inset="0,0,0,0">
                <w:txbxContent>
                  <w:p>
                    <w:pPr>
                      <w:spacing w:line="180" w:lineRule="exact" w:before="0"/>
                      <w:ind w:left="0" w:right="-18" w:firstLine="0"/>
                      <w:jc w:val="left"/>
                      <w:rPr>
                        <w:sz w:val="18"/>
                      </w:rPr>
                    </w:pPr>
                    <w:r>
                      <w:rPr>
                        <w:color w:val="404040"/>
                        <w:sz w:val="18"/>
                      </w:rPr>
                      <w:t>4.8</w:t>
                    </w:r>
                  </w:p>
                </w:txbxContent>
              </v:textbox>
              <w10:wrap type="none"/>
            </v:shape>
            <v:shape style="position:absolute;left:6952;top:818;width:227;height:180" type="#_x0000_t202" filled="false" stroked="false">
              <v:textbox inset="0,0,0,0">
                <w:txbxContent>
                  <w:p>
                    <w:pPr>
                      <w:spacing w:line="180" w:lineRule="exact" w:before="0"/>
                      <w:ind w:left="0" w:right="-18" w:firstLine="0"/>
                      <w:jc w:val="left"/>
                      <w:rPr>
                        <w:sz w:val="18"/>
                      </w:rPr>
                    </w:pPr>
                    <w:r>
                      <w:rPr>
                        <w:color w:val="404040"/>
                        <w:sz w:val="18"/>
                      </w:rPr>
                      <w:t>5.0</w:t>
                    </w:r>
                  </w:p>
                </w:txbxContent>
              </v:textbox>
              <w10:wrap type="none"/>
            </v:shape>
            <v:shape style="position:absolute;left:2832;top:1242;width:227;height:180" type="#_x0000_t202" filled="false" stroked="false">
              <v:textbox inset="0,0,0,0">
                <w:txbxContent>
                  <w:p>
                    <w:pPr>
                      <w:spacing w:line="180" w:lineRule="exact" w:before="0"/>
                      <w:ind w:left="0" w:right="-18" w:firstLine="0"/>
                      <w:jc w:val="left"/>
                      <w:rPr>
                        <w:sz w:val="18"/>
                      </w:rPr>
                    </w:pPr>
                    <w:r>
                      <w:rPr>
                        <w:color w:val="404040"/>
                        <w:sz w:val="18"/>
                      </w:rPr>
                      <w:t>3.5</w:t>
                    </w:r>
                  </w:p>
                </w:txbxContent>
              </v:textbox>
              <w10:wrap type="none"/>
            </v:shape>
            <v:shape style="position:absolute;left:3862;top:1303;width:227;height:180" type="#_x0000_t202" filled="false" stroked="false">
              <v:textbox inset="0,0,0,0">
                <w:txbxContent>
                  <w:p>
                    <w:pPr>
                      <w:spacing w:line="180" w:lineRule="exact" w:before="0"/>
                      <w:ind w:left="0" w:right="-18" w:firstLine="0"/>
                      <w:jc w:val="left"/>
                      <w:rPr>
                        <w:sz w:val="18"/>
                      </w:rPr>
                    </w:pPr>
                    <w:r>
                      <w:rPr>
                        <w:color w:val="404040"/>
                        <w:sz w:val="18"/>
                      </w:rPr>
                      <w:t>3.3</w:t>
                    </w:r>
                  </w:p>
                </w:txbxContent>
              </v:textbox>
              <w10:wrap type="none"/>
            </v:shape>
            <v:shape style="position:absolute;left:6210;top:1329;width:227;height:181" type="#_x0000_t202" filled="false" stroked="false">
              <v:textbox inset="0,0,0,0">
                <w:txbxContent>
                  <w:p>
                    <w:pPr>
                      <w:spacing w:line="180" w:lineRule="exact" w:before="0"/>
                      <w:ind w:left="0" w:right="-18" w:firstLine="0"/>
                      <w:jc w:val="left"/>
                      <w:rPr>
                        <w:sz w:val="18"/>
                      </w:rPr>
                    </w:pPr>
                    <w:r>
                      <w:rPr>
                        <w:color w:val="404040"/>
                        <w:sz w:val="18"/>
                      </w:rPr>
                      <w:t>3.2</w:t>
                    </w:r>
                  </w:p>
                </w:txbxContent>
              </v:textbox>
              <w10:wrap type="none"/>
            </v:shape>
            <v:shape style="position:absolute;left:1802;top:1569;width:227;height:180" type="#_x0000_t202" filled="false" stroked="false">
              <v:textbox inset="0,0,0,0">
                <w:txbxContent>
                  <w:p>
                    <w:pPr>
                      <w:spacing w:line="180" w:lineRule="exact" w:before="0"/>
                      <w:ind w:left="0" w:right="-18" w:firstLine="0"/>
                      <w:jc w:val="left"/>
                      <w:rPr>
                        <w:sz w:val="18"/>
                      </w:rPr>
                    </w:pPr>
                    <w:r>
                      <w:rPr>
                        <w:color w:val="404040"/>
                        <w:sz w:val="18"/>
                      </w:rPr>
                      <w:t>2.4</w:t>
                    </w:r>
                  </w:p>
                </w:txbxContent>
              </v:textbox>
              <w10:wrap type="none"/>
            </v:shape>
            <v:shape style="position:absolute;left:772;top:1781;width:227;height:180" type="#_x0000_t202" filled="false" stroked="false">
              <v:textbox inset="0,0,0,0">
                <w:txbxContent>
                  <w:p>
                    <w:pPr>
                      <w:spacing w:line="180" w:lineRule="exact" w:before="0"/>
                      <w:ind w:left="0" w:right="-18" w:firstLine="0"/>
                      <w:jc w:val="left"/>
                      <w:rPr>
                        <w:sz w:val="18"/>
                      </w:rPr>
                    </w:pPr>
                    <w:r>
                      <w:rPr>
                        <w:color w:val="404040"/>
                        <w:sz w:val="18"/>
                      </w:rPr>
                      <w:t>1.7</w:t>
                    </w:r>
                  </w:p>
                </w:txbxContent>
              </v:textbox>
              <w10:wrap type="none"/>
            </v:shape>
            <v:shape style="position:absolute;left:3121;top:1849;width:227;height:180" type="#_x0000_t202" filled="false" stroked="false">
              <v:textbox inset="0,0,0,0">
                <w:txbxContent>
                  <w:p>
                    <w:pPr>
                      <w:spacing w:line="180" w:lineRule="exact" w:before="0"/>
                      <w:ind w:left="0" w:right="-18" w:firstLine="0"/>
                      <w:jc w:val="left"/>
                      <w:rPr>
                        <w:sz w:val="18"/>
                      </w:rPr>
                    </w:pPr>
                    <w:r>
                      <w:rPr>
                        <w:color w:val="404040"/>
                        <w:sz w:val="18"/>
                      </w:rPr>
                      <w:t>1.4</w:t>
                    </w:r>
                  </w:p>
                </w:txbxContent>
              </v:textbox>
              <w10:wrap type="none"/>
            </v:shape>
            <v:shape style="position:absolute;left:5181;top:1828;width:227;height:180" type="#_x0000_t202" filled="false" stroked="false">
              <v:textbox inset="0,0,0,0">
                <w:txbxContent>
                  <w:p>
                    <w:pPr>
                      <w:spacing w:line="180" w:lineRule="exact" w:before="0"/>
                      <w:ind w:left="0" w:right="-18" w:firstLine="0"/>
                      <w:jc w:val="left"/>
                      <w:rPr>
                        <w:sz w:val="18"/>
                      </w:rPr>
                    </w:pPr>
                    <w:r>
                      <w:rPr>
                        <w:color w:val="404040"/>
                        <w:sz w:val="18"/>
                      </w:rPr>
                      <w:t>1.5</w:t>
                    </w:r>
                  </w:p>
                </w:txbxContent>
              </v:textbox>
              <w10:wrap type="none"/>
            </v:shape>
            <v:shape style="position:absolute;left:7241;top:1824;width:227;height:181" type="#_x0000_t202" filled="false" stroked="false">
              <v:textbox inset="0,0,0,0">
                <w:txbxContent>
                  <w:p>
                    <w:pPr>
                      <w:spacing w:line="180" w:lineRule="exact" w:before="0"/>
                      <w:ind w:left="0" w:right="-18" w:firstLine="0"/>
                      <w:jc w:val="left"/>
                      <w:rPr>
                        <w:sz w:val="18"/>
                      </w:rPr>
                    </w:pPr>
                    <w:r>
                      <w:rPr>
                        <w:color w:val="404040"/>
                        <w:sz w:val="18"/>
                      </w:rPr>
                      <w:t>1.5</w:t>
                    </w:r>
                  </w:p>
                </w:txbxContent>
              </v:textbox>
              <w10:wrap type="none"/>
            </v:shape>
            <v:shape style="position:absolute;left:1061;top:2244;width:227;height:180" type="#_x0000_t202" filled="false" stroked="false">
              <v:textbox inset="0,0,0,0">
                <w:txbxContent>
                  <w:p>
                    <w:pPr>
                      <w:spacing w:line="180" w:lineRule="exact" w:before="0"/>
                      <w:ind w:left="0" w:right="-18" w:firstLine="0"/>
                      <w:jc w:val="left"/>
                      <w:rPr>
                        <w:sz w:val="18"/>
                      </w:rPr>
                    </w:pPr>
                    <w:r>
                      <w:rPr>
                        <w:color w:val="404040"/>
                        <w:sz w:val="18"/>
                      </w:rPr>
                      <w:t>0.1</w:t>
                    </w:r>
                  </w:p>
                </w:txbxContent>
              </v:textbox>
              <w10:wrap type="none"/>
            </v:shape>
            <v:shape style="position:absolute;left:2091;top:2144;width:227;height:180" type="#_x0000_t202" filled="false" stroked="false">
              <v:textbox inset="0,0,0,0">
                <w:txbxContent>
                  <w:p>
                    <w:pPr>
                      <w:spacing w:line="180" w:lineRule="exact" w:before="0"/>
                      <w:ind w:left="0" w:right="-18" w:firstLine="0"/>
                      <w:jc w:val="left"/>
                      <w:rPr>
                        <w:sz w:val="18"/>
                      </w:rPr>
                    </w:pPr>
                    <w:r>
                      <w:rPr>
                        <w:color w:val="404040"/>
                        <w:sz w:val="18"/>
                      </w:rPr>
                      <w:t>0.4</w:t>
                    </w:r>
                  </w:p>
                </w:txbxContent>
              </v:textbox>
              <w10:wrap type="none"/>
            </v:shape>
            <v:shape style="position:absolute;left:4151;top:2059;width:227;height:180" type="#_x0000_t202" filled="false" stroked="false">
              <v:textbox inset="0,0,0,0">
                <w:txbxContent>
                  <w:p>
                    <w:pPr>
                      <w:spacing w:line="180" w:lineRule="exact" w:before="0"/>
                      <w:ind w:left="0" w:right="-18" w:firstLine="0"/>
                      <w:jc w:val="left"/>
                      <w:rPr>
                        <w:sz w:val="18"/>
                      </w:rPr>
                    </w:pPr>
                    <w:r>
                      <w:rPr>
                        <w:color w:val="404040"/>
                        <w:sz w:val="18"/>
                      </w:rPr>
                      <w:t>0.7</w:t>
                    </w:r>
                  </w:p>
                </w:txbxContent>
              </v:textbox>
              <w10:wrap type="none"/>
            </v:shape>
            <v:shape style="position:absolute;left:850;top:2660;width:6542;height:180" type="#_x0000_t202" filled="false" stroked="false">
              <v:textbox inset="0,0,0,0">
                <w:txbxContent>
                  <w:p>
                    <w:pPr>
                      <w:tabs>
                        <w:tab w:pos="1030" w:val="left" w:leader="none"/>
                        <w:tab w:pos="2060" w:val="left" w:leader="none"/>
                        <w:tab w:pos="3090" w:val="left" w:leader="none"/>
                        <w:tab w:pos="4120" w:val="left" w:leader="none"/>
                        <w:tab w:pos="5150" w:val="left" w:leader="none"/>
                        <w:tab w:pos="6180" w:val="left" w:leader="none"/>
                      </w:tabs>
                      <w:spacing w:line="180" w:lineRule="exact" w:before="0"/>
                      <w:ind w:left="0" w:right="0" w:firstLine="0"/>
                      <w:jc w:val="left"/>
                      <w:rPr>
                        <w:sz w:val="18"/>
                      </w:rPr>
                    </w:pPr>
                    <w:r>
                      <w:rPr>
                        <w:color w:val="585858"/>
                        <w:sz w:val="18"/>
                      </w:rPr>
                      <w:t>1980</w:t>
                      <w:tab/>
                      <w:t>1985</w:t>
                      <w:tab/>
                      <w:t>1988</w:t>
                      <w:tab/>
                      <w:t>1993</w:t>
                      <w:tab/>
                      <w:t>1998</w:t>
                      <w:tab/>
                      <w:t>2003</w:t>
                      <w:tab/>
                      <w:t>2008</w:t>
                    </w:r>
                  </w:p>
                </w:txbxContent>
              </v:textbox>
              <w10:wrap type="none"/>
            </v:shape>
            <v:shape style="position:absolute;left:2272;top:3043;width:1723;height:180" type="#_x0000_t202" filled="false" stroked="false">
              <v:textbox inset="0,0,0,0">
                <w:txbxContent>
                  <w:p>
                    <w:pPr>
                      <w:spacing w:line="180" w:lineRule="exact" w:before="0"/>
                      <w:ind w:left="0" w:right="-15" w:firstLine="0"/>
                      <w:jc w:val="left"/>
                      <w:rPr>
                        <w:sz w:val="18"/>
                      </w:rPr>
                    </w:pPr>
                    <w:r>
                      <w:rPr>
                        <w:color w:val="585858"/>
                        <w:sz w:val="18"/>
                      </w:rPr>
                      <w:t>Industria</w:t>
                    </w:r>
                    <w:r>
                      <w:rPr>
                        <w:color w:val="585858"/>
                        <w:spacing w:val="-7"/>
                        <w:sz w:val="18"/>
                      </w:rPr>
                      <w:t> </w:t>
                    </w:r>
                    <w:r>
                      <w:rPr>
                        <w:color w:val="585858"/>
                        <w:sz w:val="18"/>
                      </w:rPr>
                      <w:t>manufacturera</w:t>
                    </w:r>
                  </w:p>
                </w:txbxContent>
              </v:textbox>
              <w10:wrap type="none"/>
            </v:shape>
            <v:shape style="position:absolute;left:4411;top:3043;width:1464;height:180" type="#_x0000_t202" filled="false" stroked="false">
              <v:textbox inset="0,0,0,0">
                <w:txbxContent>
                  <w:p>
                    <w:pPr>
                      <w:spacing w:line="180" w:lineRule="exact" w:before="0"/>
                      <w:ind w:left="0" w:right="-14" w:firstLine="0"/>
                      <w:jc w:val="left"/>
                      <w:rPr>
                        <w:sz w:val="18"/>
                      </w:rPr>
                    </w:pPr>
                    <w:r>
                      <w:rPr>
                        <w:color w:val="585858"/>
                        <w:sz w:val="18"/>
                      </w:rPr>
                      <w:t>Industria</w:t>
                    </w:r>
                    <w:r>
                      <w:rPr>
                        <w:color w:val="585858"/>
                        <w:spacing w:val="-7"/>
                        <w:sz w:val="18"/>
                      </w:rPr>
                      <w:t> </w:t>
                    </w:r>
                    <w:r>
                      <w:rPr>
                        <w:color w:val="585858"/>
                        <w:sz w:val="18"/>
                      </w:rPr>
                      <w:t>automotriz</w:t>
                    </w:r>
                  </w:p>
                </w:txbxContent>
              </v:textbox>
              <w10:wrap type="none"/>
            </v:shape>
          </v:group>
        </w:pict>
      </w:r>
      <w:r>
        <w:rPr>
          <w:sz w:val="20"/>
        </w:rPr>
      </w:r>
    </w:p>
    <w:p>
      <w:pPr>
        <w:spacing w:before="124"/>
        <w:ind w:left="383" w:right="401" w:firstLine="0"/>
        <w:jc w:val="center"/>
        <w:rPr>
          <w:sz w:val="18"/>
        </w:rPr>
      </w:pPr>
      <w:r>
        <w:rPr>
          <w:sz w:val="18"/>
        </w:rPr>
        <w:t>Fuente: Elaboración propia con datos del INEGI (varios años).</w:t>
      </w:r>
    </w:p>
    <w:p>
      <w:pPr>
        <w:pStyle w:val="BodyText"/>
        <w:rPr>
          <w:sz w:val="18"/>
        </w:rPr>
      </w:pPr>
    </w:p>
    <w:p>
      <w:pPr>
        <w:pStyle w:val="BodyText"/>
        <w:spacing w:line="360" w:lineRule="auto" w:before="135"/>
        <w:ind w:left="102" w:right="120"/>
        <w:jc w:val="both"/>
      </w:pPr>
      <w:r>
        <w:rPr/>
        <w:t>Por el lado del personal ocupado, se encuentra que la industria manufacturera y automotriz de Chihuahua, tuvo su mayor nivel de participación durante el año 2003, pues aportó el 8.4 y 3.8% respectivamente a la industria manufacturera nacional, convirtiéndose desde 2003, en el estado que mayor número de empleos genera dentro de la manufactura total (véase gráfica 4.11).</w:t>
      </w:r>
    </w:p>
    <w:p>
      <w:pPr>
        <w:pStyle w:val="BodyText"/>
        <w:spacing w:before="9"/>
        <w:rPr>
          <w:sz w:val="21"/>
        </w:rPr>
      </w:pPr>
    </w:p>
    <w:p>
      <w:pPr>
        <w:pStyle w:val="Heading1"/>
        <w:spacing w:line="360" w:lineRule="auto"/>
        <w:ind w:left="117" w:right="132"/>
        <w:jc w:val="center"/>
      </w:pPr>
      <w:r>
        <w:rPr/>
        <w:t>Gráfica 4.11. Participación porcentual de la industria manufacturera y automotriz de Chihuahua en la manufactura nacional, 1980-2008 (Personal Ocupado)</w:t>
      </w:r>
    </w:p>
    <w:p>
      <w:pPr>
        <w:pStyle w:val="BodyText"/>
        <w:ind w:left="538"/>
        <w:rPr>
          <w:sz w:val="20"/>
        </w:rPr>
      </w:pPr>
      <w:r>
        <w:rPr>
          <w:sz w:val="20"/>
        </w:rPr>
        <w:pict>
          <v:group style="width:397.6pt;height:170.8pt;mso-position-horizontal-relative:char;mso-position-vertical-relative:line" coordorigin="0,0" coordsize="7952,3416">
            <v:shape style="position:absolute;left:514;top:226;width:7210;height:2309" type="#_x0000_t75" stroked="false">
              <v:imagedata r:id="rId72" o:title=""/>
            </v:shape>
            <v:line style="position:absolute" from="7455,2278" to="7723,2278" stroked="true" strokeweight=".72pt" strokecolor="#d9d9d9"/>
            <v:line style="position:absolute" from="7167,2278" to="7253,2278" stroked="true" strokeweight=".72pt" strokecolor="#d9d9d9"/>
            <v:line style="position:absolute" from="6425,2278" to="6963,2278" stroked="true" strokeweight=".72pt" strokecolor="#d9d9d9"/>
            <v:line style="position:absolute" from="6135,2278" to="6223,2278" stroked="true" strokeweight=".72pt" strokecolor="#d9d9d9"/>
            <v:line style="position:absolute" from="5395,2278" to="5933,2278" stroked="true" strokeweight=".72pt" strokecolor="#d9d9d9"/>
            <v:line style="position:absolute" from="5105,2278" to="5194,2278" stroked="true" strokeweight=".72pt" strokecolor="#d9d9d9"/>
            <v:line style="position:absolute" from="4366,2278" to="4903,2278" stroked="true" strokeweight=".72pt" strokecolor="#d9d9d9"/>
            <v:line style="position:absolute" from="4075,2278" to="4162,2278" stroked="true" strokeweight=".72pt" strokecolor="#d9d9d9"/>
            <v:line style="position:absolute" from="3334,2278" to="3874,2278" stroked="true" strokeweight=".72pt" strokecolor="#d9d9d9"/>
            <v:line style="position:absolute" from="3046,2278" to="3132,2278" stroked="true" strokeweight=".72pt" strokecolor="#d9d9d9"/>
            <v:line style="position:absolute" from="2304,2278" to="2844,2278" stroked="true" strokeweight=".72pt" strokecolor="#d9d9d9"/>
            <v:line style="position:absolute" from="2016,2278" to="2103,2278" stroked="true" strokeweight=".72pt" strokecolor="#d9d9d9"/>
            <v:line style="position:absolute" from="987,2278" to="1815,2278" stroked="true" strokeweight=".72pt" strokecolor="#d9d9d9"/>
            <v:line style="position:absolute" from="514,2278" to="785,2278" stroked="true" strokeweight=".72pt" strokecolor="#d9d9d9"/>
            <v:line style="position:absolute" from="7455,2021" to="7723,2021" stroked="true" strokeweight=".72pt" strokecolor="#d9d9d9"/>
            <v:line style="position:absolute" from="7167,2021" to="7253,2021" stroked="true" strokeweight=".72pt" strokecolor="#d9d9d9"/>
            <v:line style="position:absolute" from="6425,2021" to="6963,2021" stroked="true" strokeweight=".72pt" strokecolor="#d9d9d9"/>
            <v:line style="position:absolute" from="6135,2021" to="6223,2021" stroked="true" strokeweight=".72pt" strokecolor="#d9d9d9"/>
            <v:line style="position:absolute" from="5395,2021" to="5933,2021" stroked="true" strokeweight=".72pt" strokecolor="#d9d9d9"/>
            <v:line style="position:absolute" from="5105,2021" to="5194,2021" stroked="true" strokeweight=".72pt" strokecolor="#d9d9d9"/>
            <v:line style="position:absolute" from="4075,2021" to="4903,2021" stroked="true" strokeweight=".72pt" strokecolor="#d9d9d9"/>
            <v:line style="position:absolute" from="3046,2021" to="3874,2021" stroked="true" strokeweight=".72pt" strokecolor="#d9d9d9"/>
            <v:line style="position:absolute" from="2016,2021" to="2844,2021" stroked="true" strokeweight=".72pt" strokecolor="#d9d9d9"/>
            <v:line style="position:absolute" from="987,2021" to="1815,2021" stroked="true" strokeweight=".72pt" strokecolor="#d9d9d9"/>
            <v:line style="position:absolute" from="514,2021" to="785,2021" stroked="true" strokeweight=".72pt" strokecolor="#d9d9d9"/>
            <v:line style="position:absolute" from="7167,1764" to="7723,1764" stroked="true" strokeweight=".72pt" strokecolor="#d9d9d9"/>
            <v:line style="position:absolute" from="6425,1764" to="6963,1764" stroked="true" strokeweight=".72pt" strokecolor="#d9d9d9"/>
            <v:line style="position:absolute" from="6135,1764" to="6223,1764" stroked="true" strokeweight=".72pt" strokecolor="#d9d9d9"/>
            <v:line style="position:absolute" from="5395,1764" to="5933,1764" stroked="true" strokeweight=".72pt" strokecolor="#d9d9d9"/>
            <v:line style="position:absolute" from="5105,1764" to="5194,1764" stroked="true" strokeweight=".72pt" strokecolor="#d9d9d9"/>
            <v:line style="position:absolute" from="4075,1764" to="4903,1764" stroked="true" strokeweight=".72pt" strokecolor="#d9d9d9"/>
            <v:line style="position:absolute" from="3046,1764" to="3874,1764" stroked="true" strokeweight=".72pt" strokecolor="#d9d9d9"/>
            <v:line style="position:absolute" from="2016,1764" to="2844,1764" stroked="true" strokeweight=".72pt" strokecolor="#d9d9d9"/>
            <v:line style="position:absolute" from="514,1764" to="1815,1764" stroked="true" strokeweight=".72pt" strokecolor="#d9d9d9"/>
            <v:line style="position:absolute" from="7167,1508" to="7723,1508" stroked="true" strokeweight=".72pt" strokecolor="#d9d9d9"/>
            <v:line style="position:absolute" from="6135,1508" to="6963,1508" stroked="true" strokeweight=".72pt" strokecolor="#d9d9d9"/>
            <v:line style="position:absolute" from="5105,1508" to="5933,1508" stroked="true" strokeweight=".72pt" strokecolor="#d9d9d9"/>
            <v:line style="position:absolute" from="4075,1508" to="4903,1508" stroked="true" strokeweight=".72pt" strokecolor="#d9d9d9"/>
            <v:line style="position:absolute" from="3046,1508" to="3874,1508" stroked="true" strokeweight=".72pt" strokecolor="#d9d9d9"/>
            <v:line style="position:absolute" from="2016,1508" to="2844,1508" stroked="true" strokeweight=".72pt" strokecolor="#d9d9d9"/>
            <v:line style="position:absolute" from="514,1508" to="1815,1508" stroked="true" strokeweight=".72pt" strokecolor="#d9d9d9"/>
            <v:line style="position:absolute" from="7167,1253" to="7723,1253" stroked="true" strokeweight=".72pt" strokecolor="#d9d9d9"/>
            <v:line style="position:absolute" from="6135,1253" to="6963,1253" stroked="true" strokeweight=".72pt" strokecolor="#d9d9d9"/>
            <v:line style="position:absolute" from="5105,1253" to="5933,1253" stroked="true" strokeweight=".72pt" strokecolor="#d9d9d9"/>
            <v:line style="position:absolute" from="4075,1253" to="4903,1253" stroked="true" strokeweight=".72pt" strokecolor="#d9d9d9"/>
            <v:line style="position:absolute" from="3046,1253" to="3874,1253" stroked="true" strokeweight=".72pt" strokecolor="#d9d9d9"/>
            <v:line style="position:absolute" from="514,1253" to="2844,1253" stroked="true" strokeweight=".72pt" strokecolor="#d9d9d9"/>
            <v:line style="position:absolute" from="7167,996" to="7723,996" stroked="true" strokeweight=".72pt" strokecolor="#d9d9d9"/>
            <v:line style="position:absolute" from="6135,996" to="6963,996" stroked="true" strokeweight=".72pt" strokecolor="#d9d9d9"/>
            <v:line style="position:absolute" from="5105,996" to="5933,996" stroked="true" strokeweight=".72pt" strokecolor="#d9d9d9"/>
            <v:line style="position:absolute" from="4075,996" to="4903,996" stroked="true" strokeweight=".72pt" strokecolor="#d9d9d9"/>
            <v:line style="position:absolute" from="3046,996" to="3874,996" stroked="true" strokeweight=".72pt" strokecolor="#d9d9d9"/>
            <v:line style="position:absolute" from="514,996" to="2844,996" stroked="true" strokeweight=".72pt" strokecolor="#d9d9d9"/>
            <v:line style="position:absolute" from="7167,739" to="7723,739" stroked="true" strokeweight=".72pt" strokecolor="#d9d9d9"/>
            <v:line style="position:absolute" from="6135,739" to="6963,739" stroked="true" strokeweight=".72pt" strokecolor="#d9d9d9"/>
            <v:line style="position:absolute" from="5105,739" to="5933,739" stroked="true" strokeweight=".72pt" strokecolor="#d9d9d9"/>
            <v:line style="position:absolute" from="514,739" to="4903,739" stroked="true" strokeweight=".72pt" strokecolor="#d9d9d9"/>
            <v:line style="position:absolute" from="6135,483" to="7723,483" stroked="true" strokeweight=".72pt" strokecolor="#d9d9d9"/>
            <v:line style="position:absolute" from="5105,483" to="5933,483" stroked="true" strokeweight=".72pt" strokecolor="#d9d9d9"/>
            <v:line style="position:absolute" from="514,483" to="4903,483" stroked="true" strokeweight=".72pt" strokecolor="#d9d9d9"/>
            <v:line style="position:absolute" from="514,226" to="7723,226" stroked="true" strokeweight=".72pt" strokecolor="#d9d9d9"/>
            <v:line style="position:absolute" from="514,226" to="514,2535" stroked="true" strokeweight=".72pt" strokecolor="#d9d9d9"/>
            <v:line style="position:absolute" from="1546,226" to="1546,2535" stroked="true" strokeweight=".72pt" strokecolor="#d9d9d9"/>
            <v:line style="position:absolute" from="2575,226" to="2575,2535" stroked="true" strokeweight=".72pt" strokecolor="#d9d9d9"/>
            <v:line style="position:absolute" from="3605,226" to="3605,2535" stroked="true" strokeweight=".72pt" strokecolor="#d9d9d9"/>
            <v:line style="position:absolute" from="4635,226" to="4635,2535" stroked="true" strokeweight=".72pt" strokecolor="#d9d9d9"/>
            <v:line style="position:absolute" from="5664,226" to="5664,2535" stroked="true" strokeweight=".72pt" strokecolor="#d9d9d9"/>
            <v:line style="position:absolute" from="6694,226" to="6694,2535" stroked="true" strokeweight=".72pt" strokecolor="#d9d9d9"/>
            <v:line style="position:absolute" from="7723,226" to="7723,2535" stroked="true" strokeweight=".72pt" strokecolor="#d9d9d9"/>
            <v:rect style="position:absolute;left:785;top:1779;width:202;height:756" filled="true" fillcolor="#539e39" stroked="false">
              <v:fill type="solid"/>
            </v:rect>
            <v:rect style="position:absolute;left:1815;top:1313;width:202;height:1222" filled="true" fillcolor="#539e39" stroked="false">
              <v:fill type="solid"/>
            </v:rect>
            <v:rect style="position:absolute;left:2844;top:862;width:202;height:1673" filled="true" fillcolor="#539e39" stroked="false">
              <v:fill type="solid"/>
            </v:rect>
            <v:rect style="position:absolute;left:3874;top:744;width:202;height:1790" filled="true" fillcolor="#539e39" stroked="false">
              <v:fill type="solid"/>
            </v:rect>
            <v:rect style="position:absolute;left:4904;top:377;width:202;height:2158" filled="true" fillcolor="#539e39" stroked="false">
              <v:fill type="solid"/>
            </v:rect>
            <v:rect style="position:absolute;left:5933;top:384;width:202;height:2150" filled="true" fillcolor="#539e39" stroked="false">
              <v:fill type="solid"/>
            </v:rect>
            <v:rect style="position:absolute;left:6963;top:629;width:204;height:1906" filled="true" fillcolor="#539e39" stroked="false">
              <v:fill type="solid"/>
            </v:rect>
            <v:line style="position:absolute" from="1073,2516" to="1275,2516" stroked="true" strokeweight="1.92pt" strokecolor="#89b833"/>
            <v:rect style="position:absolute;left:2103;top:2228;width:202;height:307" filled="true" fillcolor="#89b833" stroked="false">
              <v:fill type="solid"/>
            </v:rect>
            <v:rect style="position:absolute;left:3132;top:2045;width:202;height:490" filled="true" fillcolor="#89b833" stroked="false">
              <v:fill type="solid"/>
            </v:rect>
            <v:rect style="position:absolute;left:4162;top:2048;width:204;height:487" filled="true" fillcolor="#89b833" stroked="false">
              <v:fill type="solid"/>
            </v:rect>
            <v:rect style="position:absolute;left:5194;top:1733;width:202;height:802" filled="true" fillcolor="#89b833" stroked="false">
              <v:fill type="solid"/>
            </v:rect>
            <v:rect style="position:absolute;left:6223;top:1560;width:202;height:974" filled="true" fillcolor="#89b833" stroked="false">
              <v:fill type="solid"/>
            </v:rect>
            <v:rect style="position:absolute;left:7253;top:1937;width:202;height:598" filled="true" fillcolor="#89b833" stroked="false">
              <v:fill type="solid"/>
            </v:rect>
            <v:line style="position:absolute" from="514,2535" to="7723,2535" stroked="true" strokeweight=".72pt" strokecolor="#d9d9d9"/>
            <v:line style="position:absolute" from="2144,3129" to="2232,3129" stroked="true" strokeweight="4.440pt" strokecolor="#539e39"/>
            <v:line style="position:absolute" from="4284,3129" to="4373,3129" stroked="true" strokeweight="4.440pt" strokecolor="#89b833"/>
            <v:rect style="position:absolute;left:8;top:8;width:7937;height:3401" filled="false" stroked="true" strokeweight=".72pt" strokecolor="#d9d9d9"/>
            <v:shape style="position:absolute;left:138;top:139;width:225;height:694" type="#_x0000_t202" filled="false" stroked="false">
              <v:textbox inset="0,0,0,0">
                <w:txbxContent>
                  <w:p>
                    <w:pPr>
                      <w:spacing w:line="184" w:lineRule="exact" w:before="0"/>
                      <w:ind w:left="0" w:right="-20" w:firstLine="0"/>
                      <w:jc w:val="left"/>
                      <w:rPr>
                        <w:sz w:val="18"/>
                      </w:rPr>
                    </w:pPr>
                    <w:r>
                      <w:rPr>
                        <w:color w:val="585858"/>
                        <w:sz w:val="18"/>
                      </w:rPr>
                      <w:t>9.0</w:t>
                    </w:r>
                  </w:p>
                  <w:p>
                    <w:pPr>
                      <w:spacing w:before="50"/>
                      <w:ind w:left="0" w:right="-20" w:firstLine="0"/>
                      <w:jc w:val="left"/>
                      <w:rPr>
                        <w:sz w:val="18"/>
                      </w:rPr>
                    </w:pPr>
                    <w:r>
                      <w:rPr>
                        <w:color w:val="585858"/>
                        <w:sz w:val="18"/>
                      </w:rPr>
                      <w:t>8.0</w:t>
                    </w:r>
                  </w:p>
                  <w:p>
                    <w:pPr>
                      <w:spacing w:line="203" w:lineRule="exact" w:before="49"/>
                      <w:ind w:left="0" w:right="-20" w:firstLine="0"/>
                      <w:jc w:val="left"/>
                      <w:rPr>
                        <w:sz w:val="18"/>
                      </w:rPr>
                    </w:pPr>
                    <w:r>
                      <w:rPr>
                        <w:color w:val="585858"/>
                        <w:sz w:val="18"/>
                      </w:rPr>
                      <w:t>7.0</w:t>
                    </w:r>
                  </w:p>
                </w:txbxContent>
              </v:textbox>
              <w10:wrap type="none"/>
            </v:shape>
            <v:shape style="position:absolute;left:4892;top:105;width:227;height:180" type="#_x0000_t202" filled="false" stroked="false">
              <v:textbox inset="0,0,0,0">
                <w:txbxContent>
                  <w:p>
                    <w:pPr>
                      <w:spacing w:line="180" w:lineRule="exact" w:before="0"/>
                      <w:ind w:left="0" w:right="-18" w:firstLine="0"/>
                      <w:jc w:val="left"/>
                      <w:rPr>
                        <w:sz w:val="18"/>
                      </w:rPr>
                    </w:pPr>
                    <w:r>
                      <w:rPr>
                        <w:color w:val="404040"/>
                        <w:sz w:val="18"/>
                      </w:rPr>
                      <w:t>8.4</w:t>
                    </w:r>
                  </w:p>
                </w:txbxContent>
              </v:textbox>
              <w10:wrap type="none"/>
            </v:shape>
            <v:shape style="position:absolute;left:5922;top:111;width:227;height:180" type="#_x0000_t202" filled="false" stroked="false">
              <v:textbox inset="0,0,0,0">
                <w:txbxContent>
                  <w:p>
                    <w:pPr>
                      <w:spacing w:line="180" w:lineRule="exact" w:before="0"/>
                      <w:ind w:left="0" w:right="-18" w:firstLine="0"/>
                      <w:jc w:val="left"/>
                      <w:rPr>
                        <w:sz w:val="18"/>
                      </w:rPr>
                    </w:pPr>
                    <w:r>
                      <w:rPr>
                        <w:color w:val="404040"/>
                        <w:sz w:val="18"/>
                      </w:rPr>
                      <w:t>8.4</w:t>
                    </w:r>
                  </w:p>
                </w:txbxContent>
              </v:textbox>
              <w10:wrap type="none"/>
            </v:shape>
            <v:shape style="position:absolute;left:6952;top:357;width:227;height:180" type="#_x0000_t202" filled="false" stroked="false">
              <v:textbox inset="0,0,0,0">
                <w:txbxContent>
                  <w:p>
                    <w:pPr>
                      <w:spacing w:line="180" w:lineRule="exact" w:before="0"/>
                      <w:ind w:left="0" w:right="-18" w:firstLine="0"/>
                      <w:jc w:val="left"/>
                      <w:rPr>
                        <w:sz w:val="18"/>
                      </w:rPr>
                    </w:pPr>
                    <w:r>
                      <w:rPr>
                        <w:color w:val="404040"/>
                        <w:sz w:val="18"/>
                      </w:rPr>
                      <w:t>7.4</w:t>
                    </w:r>
                  </w:p>
                </w:txbxContent>
              </v:textbox>
              <w10:wrap type="none"/>
            </v:shape>
            <v:shape style="position:absolute;left:2832;top:590;width:227;height:180" type="#_x0000_t202" filled="false" stroked="false">
              <v:textbox inset="0,0,0,0">
                <w:txbxContent>
                  <w:p>
                    <w:pPr>
                      <w:spacing w:line="180" w:lineRule="exact" w:before="0"/>
                      <w:ind w:left="0" w:right="-18" w:firstLine="0"/>
                      <w:jc w:val="left"/>
                      <w:rPr>
                        <w:sz w:val="18"/>
                      </w:rPr>
                    </w:pPr>
                    <w:r>
                      <w:rPr>
                        <w:color w:val="404040"/>
                        <w:sz w:val="18"/>
                      </w:rPr>
                      <w:t>6.5</w:t>
                    </w:r>
                  </w:p>
                </w:txbxContent>
              </v:textbox>
              <w10:wrap type="none"/>
            </v:shape>
            <v:shape style="position:absolute;left:3862;top:472;width:227;height:180" type="#_x0000_t202" filled="false" stroked="false">
              <v:textbox inset="0,0,0,0">
                <w:txbxContent>
                  <w:p>
                    <w:pPr>
                      <w:spacing w:line="180" w:lineRule="exact" w:before="0"/>
                      <w:ind w:left="0" w:right="-18" w:firstLine="0"/>
                      <w:jc w:val="left"/>
                      <w:rPr>
                        <w:sz w:val="18"/>
                      </w:rPr>
                    </w:pPr>
                    <w:r>
                      <w:rPr>
                        <w:color w:val="404040"/>
                        <w:sz w:val="18"/>
                      </w:rPr>
                      <w:t>7.0</w:t>
                    </w:r>
                  </w:p>
                </w:txbxContent>
              </v:textbox>
              <w10:wrap type="none"/>
            </v:shape>
            <v:shape style="position:absolute;left:138;top:909;width:225;height:1719" type="#_x0000_t202" filled="false" stroked="false">
              <v:textbox inset="0,0,0,0">
                <w:txbxContent>
                  <w:p>
                    <w:pPr>
                      <w:spacing w:line="184" w:lineRule="exact" w:before="0"/>
                      <w:ind w:left="0" w:right="-20" w:firstLine="0"/>
                      <w:jc w:val="left"/>
                      <w:rPr>
                        <w:sz w:val="18"/>
                      </w:rPr>
                    </w:pPr>
                    <w:r>
                      <w:rPr>
                        <w:color w:val="585858"/>
                        <w:sz w:val="18"/>
                      </w:rPr>
                      <w:t>6.0</w:t>
                    </w:r>
                  </w:p>
                  <w:p>
                    <w:pPr>
                      <w:spacing w:before="49"/>
                      <w:ind w:left="0" w:right="-20" w:firstLine="0"/>
                      <w:jc w:val="left"/>
                      <w:rPr>
                        <w:sz w:val="18"/>
                      </w:rPr>
                    </w:pPr>
                    <w:r>
                      <w:rPr>
                        <w:color w:val="585858"/>
                        <w:sz w:val="18"/>
                      </w:rPr>
                      <w:t>5.0</w:t>
                    </w:r>
                  </w:p>
                  <w:p>
                    <w:pPr>
                      <w:spacing w:before="50"/>
                      <w:ind w:left="0" w:right="-20" w:firstLine="0"/>
                      <w:jc w:val="left"/>
                      <w:rPr>
                        <w:sz w:val="18"/>
                      </w:rPr>
                    </w:pPr>
                    <w:r>
                      <w:rPr>
                        <w:color w:val="585858"/>
                        <w:sz w:val="18"/>
                      </w:rPr>
                      <w:t>4.0</w:t>
                    </w:r>
                  </w:p>
                  <w:p>
                    <w:pPr>
                      <w:spacing w:before="49"/>
                      <w:ind w:left="0" w:right="-20" w:firstLine="0"/>
                      <w:jc w:val="left"/>
                      <w:rPr>
                        <w:sz w:val="18"/>
                      </w:rPr>
                    </w:pPr>
                    <w:r>
                      <w:rPr>
                        <w:color w:val="585858"/>
                        <w:sz w:val="18"/>
                      </w:rPr>
                      <w:t>3.0</w:t>
                    </w:r>
                  </w:p>
                  <w:p>
                    <w:pPr>
                      <w:spacing w:before="49"/>
                      <w:ind w:left="0" w:right="-20" w:firstLine="0"/>
                      <w:jc w:val="left"/>
                      <w:rPr>
                        <w:sz w:val="18"/>
                      </w:rPr>
                    </w:pPr>
                    <w:r>
                      <w:rPr>
                        <w:color w:val="585858"/>
                        <w:sz w:val="18"/>
                      </w:rPr>
                      <w:t>2.0</w:t>
                    </w:r>
                  </w:p>
                  <w:p>
                    <w:pPr>
                      <w:spacing w:before="49"/>
                      <w:ind w:left="0" w:right="-20" w:firstLine="0"/>
                      <w:jc w:val="left"/>
                      <w:rPr>
                        <w:sz w:val="18"/>
                      </w:rPr>
                    </w:pPr>
                    <w:r>
                      <w:rPr>
                        <w:color w:val="585858"/>
                        <w:sz w:val="18"/>
                      </w:rPr>
                      <w:t>1.0</w:t>
                    </w:r>
                  </w:p>
                  <w:p>
                    <w:pPr>
                      <w:spacing w:line="203" w:lineRule="exact" w:before="49"/>
                      <w:ind w:left="0" w:right="-20" w:firstLine="0"/>
                      <w:jc w:val="left"/>
                      <w:rPr>
                        <w:sz w:val="18"/>
                      </w:rPr>
                    </w:pPr>
                    <w:r>
                      <w:rPr>
                        <w:color w:val="585858"/>
                        <w:sz w:val="18"/>
                      </w:rPr>
                      <w:t>0.0</w:t>
                    </w:r>
                  </w:p>
                </w:txbxContent>
              </v:textbox>
              <w10:wrap type="none"/>
            </v:shape>
            <v:shape style="position:absolute;left:1802;top:1040;width:227;height:180" type="#_x0000_t202" filled="false" stroked="false">
              <v:textbox inset="0,0,0,0">
                <w:txbxContent>
                  <w:p>
                    <w:pPr>
                      <w:spacing w:line="180" w:lineRule="exact" w:before="0"/>
                      <w:ind w:left="0" w:right="-18" w:firstLine="0"/>
                      <w:jc w:val="left"/>
                      <w:rPr>
                        <w:sz w:val="18"/>
                      </w:rPr>
                    </w:pPr>
                    <w:r>
                      <w:rPr>
                        <w:color w:val="404040"/>
                        <w:sz w:val="18"/>
                      </w:rPr>
                      <w:t>4.8</w:t>
                    </w:r>
                  </w:p>
                </w:txbxContent>
              </v:textbox>
              <w10:wrap type="none"/>
            </v:shape>
            <v:shape style="position:absolute;left:6210;top:1287;width:227;height:180" type="#_x0000_t202" filled="false" stroked="false">
              <v:textbox inset="0,0,0,0">
                <w:txbxContent>
                  <w:p>
                    <w:pPr>
                      <w:spacing w:line="180" w:lineRule="exact" w:before="0"/>
                      <w:ind w:left="0" w:right="-18" w:firstLine="0"/>
                      <w:jc w:val="left"/>
                      <w:rPr>
                        <w:sz w:val="18"/>
                      </w:rPr>
                    </w:pPr>
                    <w:r>
                      <w:rPr>
                        <w:color w:val="404040"/>
                        <w:sz w:val="18"/>
                      </w:rPr>
                      <w:t>3.8</w:t>
                    </w:r>
                  </w:p>
                </w:txbxContent>
              </v:textbox>
              <w10:wrap type="none"/>
            </v:shape>
            <v:shape style="position:absolute;left:772;top:1506;width:227;height:180" type="#_x0000_t202" filled="false" stroked="false">
              <v:textbox inset="0,0,0,0">
                <w:txbxContent>
                  <w:p>
                    <w:pPr>
                      <w:spacing w:line="180" w:lineRule="exact" w:before="0"/>
                      <w:ind w:left="0" w:right="-18" w:firstLine="0"/>
                      <w:jc w:val="left"/>
                      <w:rPr>
                        <w:sz w:val="18"/>
                      </w:rPr>
                    </w:pPr>
                    <w:r>
                      <w:rPr>
                        <w:color w:val="404040"/>
                        <w:sz w:val="18"/>
                      </w:rPr>
                      <w:t>3.0</w:t>
                    </w:r>
                  </w:p>
                </w:txbxContent>
              </v:textbox>
              <w10:wrap type="none"/>
            </v:shape>
            <v:shape style="position:absolute;left:5181;top:1461;width:227;height:181" type="#_x0000_t202" filled="false" stroked="false">
              <v:textbox inset="0,0,0,0">
                <w:txbxContent>
                  <w:p>
                    <w:pPr>
                      <w:spacing w:line="180" w:lineRule="exact" w:before="0"/>
                      <w:ind w:left="0" w:right="-18" w:firstLine="0"/>
                      <w:jc w:val="left"/>
                      <w:rPr>
                        <w:sz w:val="18"/>
                      </w:rPr>
                    </w:pPr>
                    <w:r>
                      <w:rPr>
                        <w:color w:val="404040"/>
                        <w:sz w:val="18"/>
                      </w:rPr>
                      <w:t>3.1</w:t>
                    </w:r>
                  </w:p>
                </w:txbxContent>
              </v:textbox>
              <w10:wrap type="none"/>
            </v:shape>
            <v:shape style="position:absolute;left:3121;top:1774;width:227;height:180" type="#_x0000_t202" filled="false" stroked="false">
              <v:textbox inset="0,0,0,0">
                <w:txbxContent>
                  <w:p>
                    <w:pPr>
                      <w:spacing w:line="180" w:lineRule="exact" w:before="0"/>
                      <w:ind w:left="0" w:right="-18" w:firstLine="0"/>
                      <w:jc w:val="left"/>
                      <w:rPr>
                        <w:sz w:val="18"/>
                      </w:rPr>
                    </w:pPr>
                    <w:r>
                      <w:rPr>
                        <w:color w:val="404040"/>
                        <w:sz w:val="18"/>
                      </w:rPr>
                      <w:t>1.9</w:t>
                    </w:r>
                  </w:p>
                </w:txbxContent>
              </v:textbox>
              <w10:wrap type="none"/>
            </v:shape>
            <v:shape style="position:absolute;left:4151;top:1776;width:227;height:180" type="#_x0000_t202" filled="false" stroked="false">
              <v:textbox inset="0,0,0,0">
                <w:txbxContent>
                  <w:p>
                    <w:pPr>
                      <w:spacing w:line="180" w:lineRule="exact" w:before="0"/>
                      <w:ind w:left="0" w:right="-18" w:firstLine="0"/>
                      <w:jc w:val="left"/>
                      <w:rPr>
                        <w:sz w:val="18"/>
                      </w:rPr>
                    </w:pPr>
                    <w:r>
                      <w:rPr>
                        <w:color w:val="404040"/>
                        <w:sz w:val="18"/>
                      </w:rPr>
                      <w:t>1.9</w:t>
                    </w:r>
                  </w:p>
                </w:txbxContent>
              </v:textbox>
              <w10:wrap type="none"/>
            </v:shape>
            <v:shape style="position:absolute;left:7241;top:1666;width:227;height:180" type="#_x0000_t202" filled="false" stroked="false">
              <v:textbox inset="0,0,0,0">
                <w:txbxContent>
                  <w:p>
                    <w:pPr>
                      <w:spacing w:line="180" w:lineRule="exact" w:before="0"/>
                      <w:ind w:left="0" w:right="-18" w:firstLine="0"/>
                      <w:jc w:val="left"/>
                      <w:rPr>
                        <w:sz w:val="18"/>
                      </w:rPr>
                    </w:pPr>
                    <w:r>
                      <w:rPr>
                        <w:color w:val="404040"/>
                        <w:sz w:val="18"/>
                      </w:rPr>
                      <w:t>2.3</w:t>
                    </w:r>
                  </w:p>
                </w:txbxContent>
              </v:textbox>
              <w10:wrap type="none"/>
            </v:shape>
            <v:shape style="position:absolute;left:2091;top:1957;width:227;height:180" type="#_x0000_t202" filled="false" stroked="false">
              <v:textbox inset="0,0,0,0">
                <w:txbxContent>
                  <w:p>
                    <w:pPr>
                      <w:spacing w:line="180" w:lineRule="exact" w:before="0"/>
                      <w:ind w:left="0" w:right="-18" w:firstLine="0"/>
                      <w:jc w:val="left"/>
                      <w:rPr>
                        <w:sz w:val="18"/>
                      </w:rPr>
                    </w:pPr>
                    <w:r>
                      <w:rPr>
                        <w:color w:val="404040"/>
                        <w:sz w:val="18"/>
                      </w:rPr>
                      <w:t>1.2</w:t>
                    </w:r>
                  </w:p>
                </w:txbxContent>
              </v:textbox>
              <w10:wrap type="none"/>
            </v:shape>
            <v:shape style="position:absolute;left:1061;top:2224;width:227;height:180" type="#_x0000_t202" filled="false" stroked="false">
              <v:textbox inset="0,0,0,0">
                <w:txbxContent>
                  <w:p>
                    <w:pPr>
                      <w:spacing w:line="180" w:lineRule="exact" w:before="0"/>
                      <w:ind w:left="0" w:right="-18" w:firstLine="0"/>
                      <w:jc w:val="left"/>
                      <w:rPr>
                        <w:sz w:val="18"/>
                      </w:rPr>
                    </w:pPr>
                    <w:r>
                      <w:rPr>
                        <w:color w:val="404040"/>
                        <w:sz w:val="18"/>
                      </w:rPr>
                      <w:t>0.1</w:t>
                    </w:r>
                  </w:p>
                </w:txbxContent>
              </v:textbox>
              <w10:wrap type="none"/>
            </v:shape>
            <v:shape style="position:absolute;left:850;top:2659;width:6542;height:180" type="#_x0000_t202" filled="false" stroked="false">
              <v:textbox inset="0,0,0,0">
                <w:txbxContent>
                  <w:p>
                    <w:pPr>
                      <w:tabs>
                        <w:tab w:pos="1030" w:val="left" w:leader="none"/>
                        <w:tab w:pos="2060" w:val="left" w:leader="none"/>
                        <w:tab w:pos="3090" w:val="left" w:leader="none"/>
                        <w:tab w:pos="4120" w:val="left" w:leader="none"/>
                        <w:tab w:pos="5150" w:val="left" w:leader="none"/>
                        <w:tab w:pos="6180" w:val="left" w:leader="none"/>
                      </w:tabs>
                      <w:spacing w:line="180" w:lineRule="exact" w:before="0"/>
                      <w:ind w:left="0" w:right="0" w:firstLine="0"/>
                      <w:jc w:val="left"/>
                      <w:rPr>
                        <w:sz w:val="18"/>
                      </w:rPr>
                    </w:pPr>
                    <w:r>
                      <w:rPr>
                        <w:color w:val="585858"/>
                        <w:sz w:val="18"/>
                      </w:rPr>
                      <w:t>1980</w:t>
                      <w:tab/>
                      <w:t>1985</w:t>
                      <w:tab/>
                      <w:t>1988</w:t>
                      <w:tab/>
                      <w:t>1993</w:t>
                      <w:tab/>
                      <w:t>1998</w:t>
                      <w:tab/>
                      <w:t>2003</w:t>
                      <w:tab/>
                      <w:t>2008</w:t>
                    </w:r>
                  </w:p>
                </w:txbxContent>
              </v:textbox>
              <w10:wrap type="none"/>
            </v:shape>
            <v:shape style="position:absolute;left:2272;top:3043;width:1723;height:180" type="#_x0000_t202" filled="false" stroked="false">
              <v:textbox inset="0,0,0,0">
                <w:txbxContent>
                  <w:p>
                    <w:pPr>
                      <w:spacing w:line="180" w:lineRule="exact" w:before="0"/>
                      <w:ind w:left="0" w:right="-15" w:firstLine="0"/>
                      <w:jc w:val="left"/>
                      <w:rPr>
                        <w:sz w:val="18"/>
                      </w:rPr>
                    </w:pPr>
                    <w:r>
                      <w:rPr>
                        <w:color w:val="585858"/>
                        <w:sz w:val="18"/>
                      </w:rPr>
                      <w:t>Industria</w:t>
                    </w:r>
                    <w:r>
                      <w:rPr>
                        <w:color w:val="585858"/>
                        <w:spacing w:val="-7"/>
                        <w:sz w:val="18"/>
                      </w:rPr>
                      <w:t> </w:t>
                    </w:r>
                    <w:r>
                      <w:rPr>
                        <w:color w:val="585858"/>
                        <w:sz w:val="18"/>
                      </w:rPr>
                      <w:t>manufacturera</w:t>
                    </w:r>
                  </w:p>
                </w:txbxContent>
              </v:textbox>
              <w10:wrap type="none"/>
            </v:shape>
            <v:shape style="position:absolute;left:4411;top:3043;width:1464;height:180" type="#_x0000_t202" filled="false" stroked="false">
              <v:textbox inset="0,0,0,0">
                <w:txbxContent>
                  <w:p>
                    <w:pPr>
                      <w:spacing w:line="180" w:lineRule="exact" w:before="0"/>
                      <w:ind w:left="0" w:right="-14" w:firstLine="0"/>
                      <w:jc w:val="left"/>
                      <w:rPr>
                        <w:sz w:val="18"/>
                      </w:rPr>
                    </w:pPr>
                    <w:r>
                      <w:rPr>
                        <w:color w:val="585858"/>
                        <w:sz w:val="18"/>
                      </w:rPr>
                      <w:t>Industria</w:t>
                    </w:r>
                    <w:r>
                      <w:rPr>
                        <w:color w:val="585858"/>
                        <w:spacing w:val="-7"/>
                        <w:sz w:val="18"/>
                      </w:rPr>
                      <w:t> </w:t>
                    </w:r>
                    <w:r>
                      <w:rPr>
                        <w:color w:val="585858"/>
                        <w:sz w:val="18"/>
                      </w:rPr>
                      <w:t>automotriz</w:t>
                    </w:r>
                  </w:p>
                </w:txbxContent>
              </v:textbox>
              <w10:wrap type="none"/>
            </v:shape>
          </v:group>
        </w:pict>
      </w:r>
      <w:r>
        <w:rPr>
          <w:sz w:val="20"/>
        </w:rPr>
      </w:r>
    </w:p>
    <w:p>
      <w:pPr>
        <w:spacing w:before="124"/>
        <w:ind w:left="383" w:right="401" w:firstLine="0"/>
        <w:jc w:val="center"/>
        <w:rPr>
          <w:sz w:val="18"/>
        </w:rPr>
      </w:pPr>
      <w:r>
        <w:rPr>
          <w:sz w:val="18"/>
        </w:rPr>
        <w:t>Fuente: Elaboración propia con datos del INEGI (varios años).</w:t>
      </w:r>
    </w:p>
    <w:p>
      <w:pPr>
        <w:spacing w:after="0"/>
        <w:jc w:val="center"/>
        <w:rPr>
          <w:sz w:val="18"/>
        </w:rPr>
        <w:sectPr>
          <w:pgSz w:w="12240" w:h="15840"/>
          <w:pgMar w:header="0" w:footer="1035" w:top="1360" w:bottom="1220" w:left="1600" w:right="1580"/>
        </w:sectPr>
      </w:pPr>
    </w:p>
    <w:p>
      <w:pPr>
        <w:pStyle w:val="BodyText"/>
        <w:spacing w:line="360" w:lineRule="auto" w:before="50"/>
        <w:ind w:left="102" w:right="119"/>
        <w:jc w:val="both"/>
      </w:pPr>
      <w:r>
        <w:rPr/>
        <w:t>Es importante mencionar que se espera, que el empleo en la industria automotriz de Chihuahua siga creciendo, ya que la empresa Ford destinará una inversión de 1,300 mdd en su fábrica de motores establecida en la entidad, para producir dos nuevos tipos de equipos diésel, con ello duplicará capacidad de producción, convirtiéndose en la principal planta de motores Ford a escala global (El Financiero, 2015).</w:t>
      </w:r>
    </w:p>
    <w:p>
      <w:pPr>
        <w:pStyle w:val="BodyText"/>
        <w:spacing w:before="4"/>
        <w:rPr>
          <w:sz w:val="21"/>
        </w:rPr>
      </w:pPr>
    </w:p>
    <w:p>
      <w:pPr>
        <w:pStyle w:val="BodyText"/>
        <w:spacing w:line="360" w:lineRule="auto" w:before="1"/>
        <w:ind w:left="102" w:right="119"/>
        <w:jc w:val="both"/>
      </w:pPr>
      <w:r>
        <w:rPr/>
        <w:t>De la misma forma, la evolución que ha presentado Coahuila dentro de la manufactura de la región norte como de la nacional ha sido muy importante. Si observamos la gráfica 4.12, tenemos que en términos generales, la participación del valor agregado censal bruto de Coahuila, tanto de su industria manufacturera como automotriz, ha incrementado de 1980 a 2008;</w:t>
      </w:r>
      <w:r>
        <w:rPr>
          <w:spacing w:val="-13"/>
        </w:rPr>
        <w:t> </w:t>
      </w:r>
      <w:r>
        <w:rPr/>
        <w:t>específicamente</w:t>
      </w:r>
      <w:r>
        <w:rPr>
          <w:spacing w:val="-12"/>
        </w:rPr>
        <w:t> </w:t>
      </w:r>
      <w:r>
        <w:rPr/>
        <w:t>la</w:t>
      </w:r>
      <w:r>
        <w:rPr>
          <w:spacing w:val="-12"/>
        </w:rPr>
        <w:t> </w:t>
      </w:r>
      <w:r>
        <w:rPr/>
        <w:t>industria</w:t>
      </w:r>
      <w:r>
        <w:rPr>
          <w:spacing w:val="-14"/>
        </w:rPr>
        <w:t> </w:t>
      </w:r>
      <w:r>
        <w:rPr/>
        <w:t>manufacturera</w:t>
      </w:r>
      <w:r>
        <w:rPr>
          <w:spacing w:val="-14"/>
        </w:rPr>
        <w:t> </w:t>
      </w:r>
      <w:r>
        <w:rPr/>
        <w:t>del</w:t>
      </w:r>
      <w:r>
        <w:rPr>
          <w:spacing w:val="-13"/>
        </w:rPr>
        <w:t> </w:t>
      </w:r>
      <w:r>
        <w:rPr/>
        <w:t>estado</w:t>
      </w:r>
      <w:r>
        <w:rPr>
          <w:spacing w:val="-14"/>
        </w:rPr>
        <w:t> </w:t>
      </w:r>
      <w:r>
        <w:rPr/>
        <w:t>pasó</w:t>
      </w:r>
      <w:r>
        <w:rPr>
          <w:spacing w:val="-13"/>
        </w:rPr>
        <w:t> </w:t>
      </w:r>
      <w:r>
        <w:rPr/>
        <w:t>de</w:t>
      </w:r>
      <w:r>
        <w:rPr>
          <w:spacing w:val="-12"/>
        </w:rPr>
        <w:t> </w:t>
      </w:r>
      <w:r>
        <w:rPr/>
        <w:t>aportar</w:t>
      </w:r>
      <w:r>
        <w:rPr>
          <w:spacing w:val="-12"/>
        </w:rPr>
        <w:t> </w:t>
      </w:r>
      <w:r>
        <w:rPr/>
        <w:t>el</w:t>
      </w:r>
      <w:r>
        <w:rPr>
          <w:spacing w:val="-13"/>
        </w:rPr>
        <w:t> </w:t>
      </w:r>
      <w:r>
        <w:rPr/>
        <w:t>3.0%</w:t>
      </w:r>
      <w:r>
        <w:rPr>
          <w:spacing w:val="-14"/>
        </w:rPr>
        <w:t> </w:t>
      </w:r>
      <w:r>
        <w:rPr/>
        <w:t>del</w:t>
      </w:r>
      <w:r>
        <w:rPr>
          <w:spacing w:val="-13"/>
        </w:rPr>
        <w:t> </w:t>
      </w:r>
      <w:r>
        <w:rPr/>
        <w:t>valor agregado censal bruto nacional a contribuir con el 6.4%, es decir aumentó en 3.4%. Por lo que</w:t>
      </w:r>
      <w:r>
        <w:rPr>
          <w:spacing w:val="-7"/>
        </w:rPr>
        <w:t> </w:t>
      </w:r>
      <w:r>
        <w:rPr/>
        <w:t>respecta</w:t>
      </w:r>
      <w:r>
        <w:rPr>
          <w:spacing w:val="-7"/>
        </w:rPr>
        <w:t> </w:t>
      </w:r>
      <w:r>
        <w:rPr/>
        <w:t>al</w:t>
      </w:r>
      <w:r>
        <w:rPr>
          <w:spacing w:val="-6"/>
        </w:rPr>
        <w:t> </w:t>
      </w:r>
      <w:r>
        <w:rPr/>
        <w:t>valor</w:t>
      </w:r>
      <w:r>
        <w:rPr>
          <w:spacing w:val="-7"/>
        </w:rPr>
        <w:t> </w:t>
      </w:r>
      <w:r>
        <w:rPr/>
        <w:t>agregado</w:t>
      </w:r>
      <w:r>
        <w:rPr>
          <w:spacing w:val="-9"/>
        </w:rPr>
        <w:t> </w:t>
      </w:r>
      <w:r>
        <w:rPr/>
        <w:t>censal</w:t>
      </w:r>
      <w:r>
        <w:rPr>
          <w:spacing w:val="-8"/>
        </w:rPr>
        <w:t> </w:t>
      </w:r>
      <w:r>
        <w:rPr/>
        <w:t>bruto</w:t>
      </w:r>
      <w:r>
        <w:rPr>
          <w:spacing w:val="-6"/>
        </w:rPr>
        <w:t> </w:t>
      </w:r>
      <w:r>
        <w:rPr/>
        <w:t>la</w:t>
      </w:r>
      <w:r>
        <w:rPr>
          <w:spacing w:val="-9"/>
        </w:rPr>
        <w:t> </w:t>
      </w:r>
      <w:r>
        <w:rPr/>
        <w:t>industria</w:t>
      </w:r>
      <w:r>
        <w:rPr>
          <w:spacing w:val="-9"/>
        </w:rPr>
        <w:t> </w:t>
      </w:r>
      <w:r>
        <w:rPr/>
        <w:t>automotriz,</w:t>
      </w:r>
      <w:r>
        <w:rPr>
          <w:spacing w:val="-9"/>
        </w:rPr>
        <w:t> </w:t>
      </w:r>
      <w:r>
        <w:rPr/>
        <w:t>aumentó</w:t>
      </w:r>
      <w:r>
        <w:rPr>
          <w:spacing w:val="-6"/>
        </w:rPr>
        <w:t> </w:t>
      </w:r>
      <w:r>
        <w:rPr/>
        <w:t>su</w:t>
      </w:r>
      <w:r>
        <w:rPr>
          <w:spacing w:val="-8"/>
        </w:rPr>
        <w:t> </w:t>
      </w:r>
      <w:r>
        <w:rPr/>
        <w:t>participación en 2.2% dentro del total</w:t>
      </w:r>
      <w:r>
        <w:rPr>
          <w:spacing w:val="-5"/>
        </w:rPr>
        <w:t> </w:t>
      </w:r>
      <w:r>
        <w:rPr/>
        <w:t>nacional.</w:t>
      </w:r>
    </w:p>
    <w:p>
      <w:pPr>
        <w:pStyle w:val="BodyText"/>
        <w:spacing w:before="10"/>
        <w:rPr>
          <w:sz w:val="21"/>
        </w:rPr>
      </w:pPr>
    </w:p>
    <w:p>
      <w:pPr>
        <w:pStyle w:val="Heading1"/>
        <w:spacing w:line="360" w:lineRule="auto"/>
        <w:ind w:left="117" w:right="132"/>
        <w:jc w:val="center"/>
      </w:pPr>
      <w:r>
        <w:rPr/>
        <w:t>Gráfica 4.12. Participación porcentual de la industria manufacturera y automotriz de Coahuila en la manufactura nacional, 1980-2008 (Valor Agregado Censal Bruto)</w:t>
      </w:r>
    </w:p>
    <w:p>
      <w:pPr>
        <w:pStyle w:val="BodyText"/>
        <w:ind w:left="538"/>
        <w:rPr>
          <w:sz w:val="20"/>
        </w:rPr>
      </w:pPr>
      <w:r>
        <w:rPr>
          <w:sz w:val="20"/>
        </w:rPr>
        <w:pict>
          <v:group style="width:397.6pt;height:170.8pt;mso-position-horizontal-relative:char;mso-position-vertical-relative:line" coordorigin="0,0" coordsize="7952,3416">
            <v:shape style="position:absolute;left:605;top:226;width:7118;height:2309" type="#_x0000_t75" stroked="false">
              <v:imagedata r:id="rId73" o:title=""/>
            </v:shape>
            <v:line style="position:absolute" from="7457,2204" to="7724,2204" stroked="true" strokeweight=".72pt" strokecolor="#d9d9d9"/>
            <v:line style="position:absolute" from="7172,2204" to="7258,2204" stroked="true" strokeweight=".72pt" strokecolor="#d9d9d9"/>
            <v:line style="position:absolute" from="6156,2204" to="6972,2204" stroked="true" strokeweight=".72pt" strokecolor="#d9d9d9"/>
            <v:line style="position:absolute" from="5139,2204" to="5957,2204" stroked="true" strokeweight=".72pt" strokecolor="#d9d9d9"/>
            <v:line style="position:absolute" from="4121,2204" to="4939,2204" stroked="true" strokeweight=".72pt" strokecolor="#d9d9d9"/>
            <v:line style="position:absolute" from="3389,2204" to="3922,2204" stroked="true" strokeweight=".72pt" strokecolor="#d9d9d9"/>
            <v:line style="position:absolute" from="3104,2204" to="3190,2204" stroked="true" strokeweight=".72pt" strokecolor="#d9d9d9"/>
            <v:line style="position:absolute" from="2374,2204" to="2904,2204" stroked="true" strokeweight=".72pt" strokecolor="#d9d9d9"/>
            <v:line style="position:absolute" from="2088,2204" to="2172,2204" stroked="true" strokeweight=".72pt" strokecolor="#d9d9d9"/>
            <v:line style="position:absolute" from="1071,2204" to="1889,2204" stroked="true" strokeweight=".72pt" strokecolor="#d9d9d9"/>
            <v:line style="position:absolute" from="605,2204" to="871,2204" stroked="true" strokeweight=".72pt" strokecolor="#d9d9d9"/>
            <v:line style="position:absolute" from="7172,1875" to="7724,1875" stroked="true" strokeweight=".72pt" strokecolor="#d9d9d9"/>
            <v:line style="position:absolute" from="6156,1875" to="6972,1875" stroked="true" strokeweight=".72pt" strokecolor="#d9d9d9"/>
            <v:line style="position:absolute" from="5139,1875" to="5957,1875" stroked="true" strokeweight=".72pt" strokecolor="#d9d9d9"/>
            <v:line style="position:absolute" from="3104,1875" to="4940,1875" stroked="true" strokeweight=".72pt" strokecolor="#d9d9d9"/>
            <v:line style="position:absolute" from="2088,1875" to="2904,1875" stroked="true" strokeweight=".72pt" strokecolor="#d9d9d9"/>
            <v:line style="position:absolute" from="605,1875" to="1889,1875" stroked="true" strokeweight=".72pt" strokecolor="#d9d9d9"/>
            <v:line style="position:absolute" from="7172,1546" to="7724,1546" stroked="true" strokeweight=".72pt" strokecolor="#d9d9d9"/>
            <v:line style="position:absolute" from="3104,1546" to="6972,1546" stroked="true" strokeweight=".72pt" strokecolor="#d9d9d9"/>
            <v:line style="position:absolute" from="2088,1546" to="2904,1546" stroked="true" strokeweight=".72pt" strokecolor="#d9d9d9"/>
            <v:line style="position:absolute" from="605,1546" to="1889,1546" stroked="true" strokeweight=".72pt" strokecolor="#d9d9d9"/>
            <v:line style="position:absolute" from="2088,1215" to="7724,1215" stroked="true" strokeweight=".72pt" strokecolor="#d9d9d9"/>
            <v:line style="position:absolute" from="605,1215" to="1889,1215" stroked="true" strokeweight=".72pt" strokecolor="#d9d9d9"/>
            <v:line style="position:absolute" from="2088,886" to="7724,886" stroked="true" strokeweight=".72pt" strokecolor="#d9d9d9"/>
            <v:line style="position:absolute" from="605,886" to="1889,886" stroked="true" strokeweight=".72pt" strokecolor="#d9d9d9"/>
            <v:line style="position:absolute" from="605,557" to="7723,557" stroked="true" strokeweight=".72pt" strokecolor="#d9d9d9"/>
            <v:line style="position:absolute" from="605,226" to="7723,226" stroked="true" strokeweight=".72pt" strokecolor="#d9d9d9"/>
            <v:line style="position:absolute" from="605,226" to="605,2535" stroked="true" strokeweight=".72pt" strokecolor="#d9d9d9"/>
            <v:line style="position:absolute" from="1623,226" to="1623,2535" stroked="true" strokeweight=".72pt" strokecolor="#d9d9d9"/>
            <v:line style="position:absolute" from="2638,226" to="2638,2535" stroked="true" strokeweight=".72pt" strokecolor="#d9d9d9"/>
            <v:line style="position:absolute" from="3655,226" to="3655,2535" stroked="true" strokeweight=".72pt" strokecolor="#d9d9d9"/>
            <v:line style="position:absolute" from="4673,226" to="4673,2535" stroked="true" strokeweight=".72pt" strokecolor="#d9d9d9"/>
            <v:line style="position:absolute" from="5691,226" to="5691,2535" stroked="true" strokeweight=".72pt" strokecolor="#d9d9d9"/>
            <v:line style="position:absolute" from="6706,226" to="6706,2535" stroked="true" strokeweight=".72pt" strokecolor="#d9d9d9"/>
            <v:line style="position:absolute" from="7723,226" to="7723,2535" stroked="true" strokeweight=".72pt" strokecolor="#d9d9d9"/>
            <v:rect style="position:absolute;left:872;top:2043;width:199;height:492" filled="true" fillcolor="#539e39" stroked="false">
              <v:fill type="solid"/>
            </v:rect>
            <v:rect style="position:absolute;left:1889;top:574;width:199;height:1961" filled="true" fillcolor="#539e39" stroked="false">
              <v:fill type="solid"/>
            </v:rect>
            <v:rect style="position:absolute;left:2904;top:1479;width:199;height:1056" filled="true" fillcolor="#539e39" stroked="false">
              <v:fill type="solid"/>
            </v:rect>
            <v:rect style="position:absolute;left:3922;top:1891;width:199;height:643" filled="true" fillcolor="#539e39" stroked="false">
              <v:fill type="solid"/>
            </v:rect>
            <v:rect style="position:absolute;left:4940;top:1553;width:199;height:982" filled="true" fillcolor="#539e39" stroked="false">
              <v:fill type="solid"/>
            </v:rect>
            <v:rect style="position:absolute;left:5957;top:1668;width:199;height:866" filled="true" fillcolor="#539e39" stroked="false">
              <v:fill type="solid"/>
            </v:rect>
            <v:rect style="position:absolute;left:6972;top:1479;width:199;height:1056" filled="true" fillcolor="#539e39" stroked="false">
              <v:fill type="solid"/>
            </v:rect>
            <v:line style="position:absolute" from="1157,2528" to="1356,2528" stroked="true" strokeweight=".72pt" strokecolor="#89b833"/>
            <v:rect style="position:absolute;left:2172;top:1920;width:202;height:614" filled="true" fillcolor="#89b833" stroked="false">
              <v:fill type="solid"/>
            </v:rect>
            <v:rect style="position:absolute;left:3190;top:1959;width:199;height:576" filled="true" fillcolor="#89b833" stroked="false">
              <v:fill type="solid"/>
            </v:rect>
            <v:rect style="position:absolute;left:4208;top:2376;width:199;height:158" filled="true" fillcolor="#89b833" stroked="false">
              <v:fill type="solid"/>
            </v:rect>
            <v:rect style="position:absolute;left:5225;top:2237;width:199;height:298" filled="true" fillcolor="#89b833" stroked="false">
              <v:fill type="solid"/>
            </v:rect>
            <v:rect style="position:absolute;left:6240;top:2223;width:202;height:312" filled="true" fillcolor="#89b833" stroked="false">
              <v:fill type="solid"/>
            </v:rect>
            <v:rect style="position:absolute;left:7258;top:2148;width:199;height:386" filled="true" fillcolor="#89b833" stroked="false">
              <v:fill type="solid"/>
            </v:rect>
            <v:line style="position:absolute" from="605,2535" to="7723,2535" stroked="true" strokeweight=".72pt" strokecolor="#d9d9d9"/>
            <v:line style="position:absolute" from="2144,3129" to="2232,3129" stroked="true" strokeweight="4.440pt" strokecolor="#539e39"/>
            <v:line style="position:absolute" from="4284,3129" to="4373,3129" stroked="true" strokeweight="4.440pt" strokecolor="#89b833"/>
            <v:rect style="position:absolute;left:8;top:8;width:7937;height:3401" filled="false" stroked="true" strokeweight=".72pt" strokecolor="#d9d9d9"/>
            <v:shape style="position:absolute;left:138;top:140;width:316;height:2488" type="#_x0000_t202" filled="false" stroked="false">
              <v:textbox inset="0,0,0,0">
                <w:txbxContent>
                  <w:p>
                    <w:pPr>
                      <w:spacing w:line="184" w:lineRule="exact" w:before="0"/>
                      <w:ind w:left="0" w:right="-19" w:firstLine="0"/>
                      <w:jc w:val="left"/>
                      <w:rPr>
                        <w:sz w:val="18"/>
                      </w:rPr>
                    </w:pPr>
                    <w:r>
                      <w:rPr>
                        <w:color w:val="585858"/>
                        <w:sz w:val="18"/>
                      </w:rPr>
                      <w:t>14.0</w:t>
                    </w:r>
                  </w:p>
                  <w:p>
                    <w:pPr>
                      <w:spacing w:before="123"/>
                      <w:ind w:left="0" w:right="-19" w:firstLine="0"/>
                      <w:jc w:val="left"/>
                      <w:rPr>
                        <w:sz w:val="18"/>
                      </w:rPr>
                    </w:pPr>
                    <w:r>
                      <w:rPr>
                        <w:color w:val="585858"/>
                        <w:sz w:val="18"/>
                      </w:rPr>
                      <w:t>12.0</w:t>
                    </w:r>
                  </w:p>
                  <w:p>
                    <w:pPr>
                      <w:spacing w:before="122"/>
                      <w:ind w:left="0" w:right="-19" w:firstLine="0"/>
                      <w:jc w:val="left"/>
                      <w:rPr>
                        <w:sz w:val="18"/>
                      </w:rPr>
                    </w:pPr>
                    <w:r>
                      <w:rPr>
                        <w:color w:val="585858"/>
                        <w:sz w:val="18"/>
                      </w:rPr>
                      <w:t>10.0</w:t>
                    </w:r>
                  </w:p>
                  <w:p>
                    <w:pPr>
                      <w:spacing w:before="123"/>
                      <w:ind w:left="89" w:right="-18" w:firstLine="0"/>
                      <w:jc w:val="left"/>
                      <w:rPr>
                        <w:sz w:val="18"/>
                      </w:rPr>
                    </w:pPr>
                    <w:r>
                      <w:rPr>
                        <w:color w:val="585858"/>
                        <w:sz w:val="18"/>
                      </w:rPr>
                      <w:t>8.0</w:t>
                    </w:r>
                  </w:p>
                  <w:p>
                    <w:pPr>
                      <w:spacing w:before="122"/>
                      <w:ind w:left="89" w:right="-18" w:firstLine="0"/>
                      <w:jc w:val="left"/>
                      <w:rPr>
                        <w:sz w:val="18"/>
                      </w:rPr>
                    </w:pPr>
                    <w:r>
                      <w:rPr>
                        <w:color w:val="585858"/>
                        <w:sz w:val="18"/>
                      </w:rPr>
                      <w:t>6.0</w:t>
                    </w:r>
                  </w:p>
                  <w:p>
                    <w:pPr>
                      <w:spacing w:before="122"/>
                      <w:ind w:left="89" w:right="-18" w:firstLine="0"/>
                      <w:jc w:val="left"/>
                      <w:rPr>
                        <w:sz w:val="18"/>
                      </w:rPr>
                    </w:pPr>
                    <w:r>
                      <w:rPr>
                        <w:color w:val="585858"/>
                        <w:sz w:val="18"/>
                      </w:rPr>
                      <w:t>4.0</w:t>
                    </w:r>
                  </w:p>
                  <w:p>
                    <w:pPr>
                      <w:spacing w:before="123"/>
                      <w:ind w:left="89" w:right="-18" w:firstLine="0"/>
                      <w:jc w:val="left"/>
                      <w:rPr>
                        <w:sz w:val="18"/>
                      </w:rPr>
                    </w:pPr>
                    <w:r>
                      <w:rPr>
                        <w:color w:val="585858"/>
                        <w:sz w:val="18"/>
                      </w:rPr>
                      <w:t>2.0</w:t>
                    </w:r>
                  </w:p>
                  <w:p>
                    <w:pPr>
                      <w:spacing w:line="203" w:lineRule="exact" w:before="123"/>
                      <w:ind w:left="89" w:right="-18" w:firstLine="0"/>
                      <w:jc w:val="left"/>
                      <w:rPr>
                        <w:sz w:val="18"/>
                      </w:rPr>
                    </w:pPr>
                    <w:r>
                      <w:rPr>
                        <w:color w:val="585858"/>
                        <w:sz w:val="18"/>
                      </w:rPr>
                      <w:t>0.0</w:t>
                    </w:r>
                  </w:p>
                </w:txbxContent>
              </v:textbox>
              <w10:wrap type="none"/>
            </v:shape>
            <v:shape style="position:absolute;left:1829;top:302;width:318;height:180" type="#_x0000_t202" filled="false" stroked="false">
              <v:textbox inset="0,0,0,0">
                <w:txbxContent>
                  <w:p>
                    <w:pPr>
                      <w:spacing w:line="180" w:lineRule="exact" w:before="0"/>
                      <w:ind w:left="0" w:right="-17" w:firstLine="0"/>
                      <w:jc w:val="left"/>
                      <w:rPr>
                        <w:sz w:val="18"/>
                      </w:rPr>
                    </w:pPr>
                    <w:r>
                      <w:rPr>
                        <w:color w:val="404040"/>
                        <w:sz w:val="18"/>
                      </w:rPr>
                      <w:t>11.9</w:t>
                    </w:r>
                  </w:p>
                </w:txbxContent>
              </v:textbox>
              <w10:wrap type="none"/>
            </v:shape>
            <v:shape style="position:absolute;left:2891;top:1206;width:227;height:181" type="#_x0000_t202" filled="false" stroked="false">
              <v:textbox inset="0,0,0,0">
                <w:txbxContent>
                  <w:p>
                    <w:pPr>
                      <w:spacing w:line="180" w:lineRule="exact" w:before="0"/>
                      <w:ind w:left="0" w:right="-18" w:firstLine="0"/>
                      <w:jc w:val="left"/>
                      <w:rPr>
                        <w:sz w:val="18"/>
                      </w:rPr>
                    </w:pPr>
                    <w:r>
                      <w:rPr>
                        <w:color w:val="404040"/>
                        <w:sz w:val="18"/>
                      </w:rPr>
                      <w:t>6.4</w:t>
                    </w:r>
                  </w:p>
                </w:txbxContent>
              </v:textbox>
              <w10:wrap type="none"/>
            </v:shape>
            <v:shape style="position:absolute;left:4926;top:1281;width:227;height:180" type="#_x0000_t202" filled="false" stroked="false">
              <v:textbox inset="0,0,0,0">
                <w:txbxContent>
                  <w:p>
                    <w:pPr>
                      <w:spacing w:line="180" w:lineRule="exact" w:before="0"/>
                      <w:ind w:left="0" w:right="-18" w:firstLine="0"/>
                      <w:jc w:val="left"/>
                      <w:rPr>
                        <w:sz w:val="18"/>
                      </w:rPr>
                    </w:pPr>
                    <w:r>
                      <w:rPr>
                        <w:color w:val="404040"/>
                        <w:sz w:val="18"/>
                      </w:rPr>
                      <w:t>6.0</w:t>
                    </w:r>
                  </w:p>
                </w:txbxContent>
              </v:textbox>
              <w10:wrap type="none"/>
            </v:shape>
            <v:shape style="position:absolute;left:6960;top:1207;width:227;height:181" type="#_x0000_t202" filled="false" stroked="false">
              <v:textbox inset="0,0,0,0">
                <w:txbxContent>
                  <w:p>
                    <w:pPr>
                      <w:spacing w:line="180" w:lineRule="exact" w:before="0"/>
                      <w:ind w:left="0" w:right="-18" w:firstLine="0"/>
                      <w:jc w:val="left"/>
                      <w:rPr>
                        <w:sz w:val="18"/>
                      </w:rPr>
                    </w:pPr>
                    <w:r>
                      <w:rPr>
                        <w:color w:val="404040"/>
                        <w:sz w:val="18"/>
                      </w:rPr>
                      <w:t>6.4</w:t>
                    </w:r>
                  </w:p>
                </w:txbxContent>
              </v:textbox>
              <w10:wrap type="none"/>
            </v:shape>
            <v:shape style="position:absolute;left:5943;top:1395;width:227;height:180" type="#_x0000_t202" filled="false" stroked="false">
              <v:textbox inset="0,0,0,0">
                <w:txbxContent>
                  <w:p>
                    <w:pPr>
                      <w:spacing w:line="180" w:lineRule="exact" w:before="0"/>
                      <w:ind w:left="0" w:right="-18" w:firstLine="0"/>
                      <w:jc w:val="left"/>
                      <w:rPr>
                        <w:sz w:val="18"/>
                      </w:rPr>
                    </w:pPr>
                    <w:r>
                      <w:rPr>
                        <w:color w:val="404040"/>
                        <w:sz w:val="18"/>
                      </w:rPr>
                      <w:t>5.3</w:t>
                    </w:r>
                  </w:p>
                </w:txbxContent>
              </v:textbox>
              <w10:wrap type="none"/>
            </v:shape>
            <v:shape style="position:absolute;left:857;top:1770;width:227;height:180" type="#_x0000_t202" filled="false" stroked="false">
              <v:textbox inset="0,0,0,0">
                <w:txbxContent>
                  <w:p>
                    <w:pPr>
                      <w:spacing w:line="180" w:lineRule="exact" w:before="0"/>
                      <w:ind w:left="0" w:right="-18" w:firstLine="0"/>
                      <w:jc w:val="left"/>
                      <w:rPr>
                        <w:sz w:val="18"/>
                      </w:rPr>
                    </w:pPr>
                    <w:r>
                      <w:rPr>
                        <w:color w:val="404040"/>
                        <w:sz w:val="18"/>
                      </w:rPr>
                      <w:t>3.0</w:t>
                    </w:r>
                  </w:p>
                </w:txbxContent>
              </v:textbox>
              <w10:wrap type="none"/>
            </v:shape>
            <v:shape style="position:absolute;left:2159;top:1648;width:227;height:180" type="#_x0000_t202" filled="false" stroked="false">
              <v:textbox inset="0,0,0,0">
                <w:txbxContent>
                  <w:p>
                    <w:pPr>
                      <w:spacing w:line="180" w:lineRule="exact" w:before="0"/>
                      <w:ind w:left="0" w:right="-18" w:firstLine="0"/>
                      <w:jc w:val="left"/>
                      <w:rPr>
                        <w:sz w:val="18"/>
                      </w:rPr>
                    </w:pPr>
                    <w:r>
                      <w:rPr>
                        <w:color w:val="404040"/>
                        <w:sz w:val="18"/>
                      </w:rPr>
                      <w:t>3.7</w:t>
                    </w:r>
                  </w:p>
                </w:txbxContent>
              </v:textbox>
              <w10:wrap type="none"/>
            </v:shape>
            <v:shape style="position:absolute;left:3176;top:1688;width:227;height:180" type="#_x0000_t202" filled="false" stroked="false">
              <v:textbox inset="0,0,0,0">
                <w:txbxContent>
                  <w:p>
                    <w:pPr>
                      <w:spacing w:line="180" w:lineRule="exact" w:before="0"/>
                      <w:ind w:left="0" w:right="-18" w:firstLine="0"/>
                      <w:jc w:val="left"/>
                      <w:rPr>
                        <w:sz w:val="18"/>
                      </w:rPr>
                    </w:pPr>
                    <w:r>
                      <w:rPr>
                        <w:color w:val="404040"/>
                        <w:sz w:val="18"/>
                      </w:rPr>
                      <w:t>3.5</w:t>
                    </w:r>
                  </w:p>
                </w:txbxContent>
              </v:textbox>
              <w10:wrap type="none"/>
            </v:shape>
            <v:shape style="position:absolute;left:3909;top:1619;width:227;height:180" type="#_x0000_t202" filled="false" stroked="false">
              <v:textbox inset="0,0,0,0">
                <w:txbxContent>
                  <w:p>
                    <w:pPr>
                      <w:spacing w:line="180" w:lineRule="exact" w:before="0"/>
                      <w:ind w:left="0" w:right="-18" w:firstLine="0"/>
                      <w:jc w:val="left"/>
                      <w:rPr>
                        <w:sz w:val="18"/>
                      </w:rPr>
                    </w:pPr>
                    <w:r>
                      <w:rPr>
                        <w:color w:val="404040"/>
                        <w:sz w:val="18"/>
                      </w:rPr>
                      <w:t>3.9</w:t>
                    </w:r>
                  </w:p>
                </w:txbxContent>
              </v:textbox>
              <w10:wrap type="none"/>
            </v:shape>
            <v:shape style="position:absolute;left:6228;top:1950;width:227;height:181" type="#_x0000_t202" filled="false" stroked="false">
              <v:textbox inset="0,0,0,0">
                <w:txbxContent>
                  <w:p>
                    <w:pPr>
                      <w:spacing w:line="180" w:lineRule="exact" w:before="0"/>
                      <w:ind w:left="0" w:right="-18" w:firstLine="0"/>
                      <w:jc w:val="left"/>
                      <w:rPr>
                        <w:sz w:val="18"/>
                      </w:rPr>
                    </w:pPr>
                    <w:r>
                      <w:rPr>
                        <w:color w:val="404040"/>
                        <w:sz w:val="18"/>
                      </w:rPr>
                      <w:t>1.9</w:t>
                    </w:r>
                  </w:p>
                </w:txbxContent>
              </v:textbox>
              <w10:wrap type="none"/>
            </v:shape>
            <v:shape style="position:absolute;left:7245;top:1875;width:227;height:180" type="#_x0000_t202" filled="false" stroked="false">
              <v:textbox inset="0,0,0,0">
                <w:txbxContent>
                  <w:p>
                    <w:pPr>
                      <w:spacing w:line="180" w:lineRule="exact" w:before="0"/>
                      <w:ind w:left="0" w:right="-18" w:firstLine="0"/>
                      <w:jc w:val="left"/>
                      <w:rPr>
                        <w:sz w:val="18"/>
                      </w:rPr>
                    </w:pPr>
                    <w:r>
                      <w:rPr>
                        <w:color w:val="404040"/>
                        <w:sz w:val="18"/>
                      </w:rPr>
                      <w:t>2.3</w:t>
                    </w:r>
                  </w:p>
                </w:txbxContent>
              </v:textbox>
              <w10:wrap type="none"/>
            </v:shape>
            <v:shape style="position:absolute;left:4194;top:2105;width:227;height:180" type="#_x0000_t202" filled="false" stroked="false">
              <v:textbox inset="0,0,0,0">
                <w:txbxContent>
                  <w:p>
                    <w:pPr>
                      <w:spacing w:line="180" w:lineRule="exact" w:before="0"/>
                      <w:ind w:left="0" w:right="-18" w:firstLine="0"/>
                      <w:jc w:val="left"/>
                      <w:rPr>
                        <w:sz w:val="18"/>
                      </w:rPr>
                    </w:pPr>
                    <w:r>
                      <w:rPr>
                        <w:color w:val="404040"/>
                        <w:sz w:val="18"/>
                      </w:rPr>
                      <w:t>1.0</w:t>
                    </w:r>
                  </w:p>
                </w:txbxContent>
              </v:textbox>
              <w10:wrap type="none"/>
            </v:shape>
            <v:shape style="position:absolute;left:5211;top:1966;width:227;height:180" type="#_x0000_t202" filled="false" stroked="false">
              <v:textbox inset="0,0,0,0">
                <w:txbxContent>
                  <w:p>
                    <w:pPr>
                      <w:spacing w:line="180" w:lineRule="exact" w:before="0"/>
                      <w:ind w:left="0" w:right="-18" w:firstLine="0"/>
                      <w:jc w:val="left"/>
                      <w:rPr>
                        <w:sz w:val="18"/>
                      </w:rPr>
                    </w:pPr>
                    <w:r>
                      <w:rPr>
                        <w:color w:val="404040"/>
                        <w:sz w:val="18"/>
                      </w:rPr>
                      <w:t>1.8</w:t>
                    </w:r>
                  </w:p>
                </w:txbxContent>
              </v:textbox>
              <w10:wrap type="none"/>
            </v:shape>
            <v:shape style="position:absolute;left:1142;top:2249;width:227;height:180" type="#_x0000_t202" filled="false" stroked="false">
              <v:textbox inset="0,0,0,0">
                <w:txbxContent>
                  <w:p>
                    <w:pPr>
                      <w:spacing w:line="180" w:lineRule="exact" w:before="0"/>
                      <w:ind w:left="0" w:right="-18" w:firstLine="0"/>
                      <w:jc w:val="left"/>
                      <w:rPr>
                        <w:sz w:val="18"/>
                      </w:rPr>
                    </w:pPr>
                    <w:r>
                      <w:rPr>
                        <w:color w:val="404040"/>
                        <w:sz w:val="18"/>
                      </w:rPr>
                      <w:t>0.1</w:t>
                    </w:r>
                  </w:p>
                </w:txbxContent>
              </v:textbox>
              <w10:wrap type="none"/>
            </v:shape>
            <v:shape style="position:absolute;left:934;top:2659;width:6465;height:180" type="#_x0000_t202" filled="false" stroked="false">
              <v:textbox inset="0,0,0,0">
                <w:txbxContent>
                  <w:p>
                    <w:pPr>
                      <w:tabs>
                        <w:tab w:pos="1017" w:val="left" w:leader="none"/>
                        <w:tab w:pos="2034" w:val="left" w:leader="none"/>
                        <w:tab w:pos="3051" w:val="left" w:leader="none"/>
                        <w:tab w:pos="4068" w:val="left" w:leader="none"/>
                        <w:tab w:pos="5085" w:val="left" w:leader="none"/>
                        <w:tab w:pos="6102" w:val="left" w:leader="none"/>
                      </w:tabs>
                      <w:spacing w:line="180" w:lineRule="exact" w:before="0"/>
                      <w:ind w:left="0" w:right="0" w:firstLine="0"/>
                      <w:jc w:val="left"/>
                      <w:rPr>
                        <w:sz w:val="18"/>
                      </w:rPr>
                    </w:pPr>
                    <w:r>
                      <w:rPr>
                        <w:color w:val="585858"/>
                        <w:sz w:val="18"/>
                      </w:rPr>
                      <w:t>1980</w:t>
                      <w:tab/>
                      <w:t>1985</w:t>
                      <w:tab/>
                      <w:t>1988</w:t>
                      <w:tab/>
                      <w:t>1993</w:t>
                      <w:tab/>
                      <w:t>1998</w:t>
                      <w:tab/>
                      <w:t>2003</w:t>
                      <w:tab/>
                      <w:t>2008</w:t>
                    </w:r>
                  </w:p>
                </w:txbxContent>
              </v:textbox>
              <w10:wrap type="none"/>
            </v:shape>
            <v:shape style="position:absolute;left:2272;top:3043;width:1723;height:180" type="#_x0000_t202" filled="false" stroked="false">
              <v:textbox inset="0,0,0,0">
                <w:txbxContent>
                  <w:p>
                    <w:pPr>
                      <w:spacing w:line="180" w:lineRule="exact" w:before="0"/>
                      <w:ind w:left="0" w:right="-15" w:firstLine="0"/>
                      <w:jc w:val="left"/>
                      <w:rPr>
                        <w:sz w:val="18"/>
                      </w:rPr>
                    </w:pPr>
                    <w:r>
                      <w:rPr>
                        <w:color w:val="585858"/>
                        <w:sz w:val="18"/>
                      </w:rPr>
                      <w:t>Industria</w:t>
                    </w:r>
                    <w:r>
                      <w:rPr>
                        <w:color w:val="585858"/>
                        <w:spacing w:val="-7"/>
                        <w:sz w:val="18"/>
                      </w:rPr>
                      <w:t> </w:t>
                    </w:r>
                    <w:r>
                      <w:rPr>
                        <w:color w:val="585858"/>
                        <w:sz w:val="18"/>
                      </w:rPr>
                      <w:t>manufacturera</w:t>
                    </w:r>
                  </w:p>
                </w:txbxContent>
              </v:textbox>
              <w10:wrap type="none"/>
            </v:shape>
            <v:shape style="position:absolute;left:4411;top:3043;width:1464;height:180" type="#_x0000_t202" filled="false" stroked="false">
              <v:textbox inset="0,0,0,0">
                <w:txbxContent>
                  <w:p>
                    <w:pPr>
                      <w:spacing w:line="180" w:lineRule="exact" w:before="0"/>
                      <w:ind w:left="0" w:right="-14" w:firstLine="0"/>
                      <w:jc w:val="left"/>
                      <w:rPr>
                        <w:sz w:val="18"/>
                      </w:rPr>
                    </w:pPr>
                    <w:r>
                      <w:rPr>
                        <w:color w:val="585858"/>
                        <w:sz w:val="18"/>
                      </w:rPr>
                      <w:t>Industria</w:t>
                    </w:r>
                    <w:r>
                      <w:rPr>
                        <w:color w:val="585858"/>
                        <w:spacing w:val="-7"/>
                        <w:sz w:val="18"/>
                      </w:rPr>
                      <w:t> </w:t>
                    </w:r>
                    <w:r>
                      <w:rPr>
                        <w:color w:val="585858"/>
                        <w:sz w:val="18"/>
                      </w:rPr>
                      <w:t>automotriz</w:t>
                    </w:r>
                  </w:p>
                </w:txbxContent>
              </v:textbox>
              <w10:wrap type="none"/>
            </v:shape>
          </v:group>
        </w:pict>
      </w:r>
      <w:r>
        <w:rPr>
          <w:sz w:val="20"/>
        </w:rPr>
      </w:r>
    </w:p>
    <w:p>
      <w:pPr>
        <w:spacing w:before="124"/>
        <w:ind w:left="383" w:right="401" w:firstLine="0"/>
        <w:jc w:val="center"/>
        <w:rPr>
          <w:sz w:val="18"/>
        </w:rPr>
      </w:pPr>
      <w:r>
        <w:rPr>
          <w:sz w:val="18"/>
        </w:rPr>
        <w:t>Fuente: Elaboración propia con datos del INEGI (varios años).</w:t>
      </w:r>
    </w:p>
    <w:p>
      <w:pPr>
        <w:pStyle w:val="BodyText"/>
        <w:rPr>
          <w:sz w:val="18"/>
        </w:rPr>
      </w:pPr>
    </w:p>
    <w:p>
      <w:pPr>
        <w:pStyle w:val="BodyText"/>
        <w:spacing w:line="360" w:lineRule="auto" w:before="137"/>
        <w:ind w:left="102" w:right="117"/>
        <w:jc w:val="both"/>
      </w:pPr>
      <w:r>
        <w:rPr/>
        <w:t>En cuanto al personal ocupado, durante 1980, la manufactura de Coahuila generó 60,463 empleos y en 2008 empleó a 202,353 personas, por lo que la participación del estado en la industria manufacturera nacional creció de 2.8% a 4.3%. Por lo que respecta a la industria automotriz</w:t>
      </w:r>
      <w:r>
        <w:rPr>
          <w:spacing w:val="-10"/>
        </w:rPr>
        <w:t> </w:t>
      </w:r>
      <w:r>
        <w:rPr/>
        <w:t>de</w:t>
      </w:r>
      <w:r>
        <w:rPr>
          <w:spacing w:val="-12"/>
        </w:rPr>
        <w:t> </w:t>
      </w:r>
      <w:r>
        <w:rPr/>
        <w:t>Coahuila</w:t>
      </w:r>
      <w:r>
        <w:rPr>
          <w:spacing w:val="-12"/>
        </w:rPr>
        <w:t> </w:t>
      </w:r>
      <w:r>
        <w:rPr/>
        <w:t>empleó</w:t>
      </w:r>
      <w:r>
        <w:rPr>
          <w:spacing w:val="-11"/>
        </w:rPr>
        <w:t> </w:t>
      </w:r>
      <w:r>
        <w:rPr/>
        <w:t>a</w:t>
      </w:r>
      <w:r>
        <w:rPr>
          <w:spacing w:val="-12"/>
        </w:rPr>
        <w:t> </w:t>
      </w:r>
      <w:r>
        <w:rPr/>
        <w:t>2,635</w:t>
      </w:r>
      <w:r>
        <w:rPr>
          <w:spacing w:val="-11"/>
        </w:rPr>
        <w:t> </w:t>
      </w:r>
      <w:r>
        <w:rPr/>
        <w:t>personas</w:t>
      </w:r>
      <w:r>
        <w:rPr>
          <w:spacing w:val="-11"/>
        </w:rPr>
        <w:t> </w:t>
      </w:r>
      <w:r>
        <w:rPr/>
        <w:t>durante</w:t>
      </w:r>
      <w:r>
        <w:rPr>
          <w:spacing w:val="-11"/>
        </w:rPr>
        <w:t> </w:t>
      </w:r>
      <w:r>
        <w:rPr/>
        <w:t>1980,</w:t>
      </w:r>
      <w:r>
        <w:rPr>
          <w:spacing w:val="-9"/>
        </w:rPr>
        <w:t> </w:t>
      </w:r>
      <w:r>
        <w:rPr/>
        <w:t>y</w:t>
      </w:r>
      <w:r>
        <w:rPr>
          <w:spacing w:val="-16"/>
        </w:rPr>
        <w:t> </w:t>
      </w:r>
      <w:r>
        <w:rPr/>
        <w:t>para</w:t>
      </w:r>
      <w:r>
        <w:rPr>
          <w:spacing w:val="-13"/>
        </w:rPr>
        <w:t> </w:t>
      </w:r>
      <w:r>
        <w:rPr/>
        <w:t>el</w:t>
      </w:r>
      <w:r>
        <w:rPr>
          <w:spacing w:val="-11"/>
        </w:rPr>
        <w:t> </w:t>
      </w:r>
      <w:r>
        <w:rPr/>
        <w:t>2008,</w:t>
      </w:r>
      <w:r>
        <w:rPr>
          <w:spacing w:val="-11"/>
        </w:rPr>
        <w:t> </w:t>
      </w:r>
      <w:r>
        <w:rPr/>
        <w:t>generó</w:t>
      </w:r>
      <w:r>
        <w:rPr>
          <w:spacing w:val="-9"/>
        </w:rPr>
        <w:t> </w:t>
      </w:r>
      <w:r>
        <w:rPr/>
        <w:t>59,541 empleos  directos,  por  lo  que  dicha  industria  aumentó  su  participación  en  el     </w:t>
      </w:r>
      <w:r>
        <w:rPr>
          <w:spacing w:val="42"/>
        </w:rPr>
        <w:t> </w:t>
      </w:r>
      <w:r>
        <w:rPr/>
        <w:t>sector</w:t>
      </w:r>
    </w:p>
    <w:p>
      <w:pPr>
        <w:spacing w:after="0" w:line="360" w:lineRule="auto"/>
        <w:jc w:val="both"/>
        <w:sectPr>
          <w:pgSz w:w="12240" w:h="15840"/>
          <w:pgMar w:header="0" w:footer="1035" w:top="1360" w:bottom="1220" w:left="1600" w:right="1580"/>
        </w:sectPr>
      </w:pPr>
    </w:p>
    <w:p>
      <w:pPr>
        <w:pStyle w:val="BodyText"/>
        <w:spacing w:line="360" w:lineRule="auto" w:before="50"/>
        <w:ind w:left="102" w:right="124"/>
        <w:jc w:val="both"/>
      </w:pPr>
      <w:r>
        <w:rPr/>
        <w:t>manufacturero nacional, contribuyendo para éste último año, con el 2.3% del empleo en el sector (véase gráfica 4.13).</w:t>
      </w:r>
    </w:p>
    <w:p>
      <w:pPr>
        <w:pStyle w:val="BodyText"/>
        <w:spacing w:before="7"/>
        <w:rPr>
          <w:sz w:val="21"/>
        </w:rPr>
      </w:pPr>
    </w:p>
    <w:p>
      <w:pPr>
        <w:pStyle w:val="Heading1"/>
        <w:spacing w:line="360" w:lineRule="auto"/>
        <w:ind w:left="115" w:right="132"/>
        <w:jc w:val="center"/>
      </w:pPr>
      <w:r>
        <w:rPr/>
        <w:t>Gráfica 4.13. Participación porcentual de la industria manufacturera y automotriz de Coahuila en la manufactura nacional, 1980-2008 (Personal Ocupado)</w:t>
      </w:r>
    </w:p>
    <w:p>
      <w:pPr>
        <w:pStyle w:val="BodyText"/>
        <w:ind w:left="538"/>
        <w:rPr>
          <w:sz w:val="20"/>
        </w:rPr>
      </w:pPr>
      <w:r>
        <w:rPr>
          <w:sz w:val="20"/>
        </w:rPr>
        <w:pict>
          <v:group style="width:397.6pt;height:170.8pt;mso-position-horizontal-relative:char;mso-position-vertical-relative:line" coordorigin="0,0" coordsize="7952,3416">
            <v:shape style="position:absolute;left:514;top:228;width:7210;height:2306" type="#_x0000_t75" stroked="false">
              <v:imagedata r:id="rId65" o:title=""/>
            </v:shape>
            <v:line style="position:absolute" from="7455,2151" to="7723,2151" stroked="true" strokeweight=".72pt" strokecolor="#d9d9d9"/>
            <v:line style="position:absolute" from="7167,2151" to="7253,2151" stroked="true" strokeweight=".72pt" strokecolor="#d9d9d9"/>
            <v:line style="position:absolute" from="6425,2151" to="6963,2151" stroked="true" strokeweight=".72pt" strokecolor="#d9d9d9"/>
            <v:line style="position:absolute" from="6135,2151" to="6223,2151" stroked="true" strokeweight=".72pt" strokecolor="#d9d9d9"/>
            <v:line style="position:absolute" from="5395,2151" to="5933,2151" stroked="true" strokeweight=".72pt" strokecolor="#d9d9d9"/>
            <v:line style="position:absolute" from="5105,2151" to="5194,2151" stroked="true" strokeweight=".72pt" strokecolor="#d9d9d9"/>
            <v:line style="position:absolute" from="4075,2151" to="4903,2151" stroked="true" strokeweight=".72pt" strokecolor="#d9d9d9"/>
            <v:line style="position:absolute" from="3046,2151" to="3874,2151" stroked="true" strokeweight=".72pt" strokecolor="#d9d9d9"/>
            <v:line style="position:absolute" from="2016,2151" to="2844,2151" stroked="true" strokeweight=".72pt" strokecolor="#d9d9d9"/>
            <v:line style="position:absolute" from="987,2151" to="1815,2151" stroked="true" strokeweight=".72pt" strokecolor="#d9d9d9"/>
            <v:line style="position:absolute" from="514,2151" to="785,2151" stroked="true" strokeweight=".72pt" strokecolor="#d9d9d9"/>
            <v:line style="position:absolute" from="7167,1767" to="7723,1767" stroked="true" strokeweight=".72pt" strokecolor="#d9d9d9"/>
            <v:line style="position:absolute" from="6135,1767" to="6963,1767" stroked="true" strokeweight=".72pt" strokecolor="#d9d9d9"/>
            <v:line style="position:absolute" from="5105,1767" to="5933,1767" stroked="true" strokeweight=".72pt" strokecolor="#d9d9d9"/>
            <v:line style="position:absolute" from="4075,1767" to="4903,1767" stroked="true" strokeweight=".72pt" strokecolor="#d9d9d9"/>
            <v:line style="position:absolute" from="3046,1767" to="3874,1767" stroked="true" strokeweight=".72pt" strokecolor="#d9d9d9"/>
            <v:line style="position:absolute" from="2016,1767" to="2844,1767" stroked="true" strokeweight=".72pt" strokecolor="#d9d9d9"/>
            <v:line style="position:absolute" from="987,1767" to="1815,1767" stroked="true" strokeweight=".72pt" strokecolor="#d9d9d9"/>
            <v:line style="position:absolute" from="514,1767" to="785,1767" stroked="true" strokeweight=".72pt" strokecolor="#d9d9d9"/>
            <v:line style="position:absolute" from="7167,1383" to="7723,1383" stroked="true" strokeweight=".72pt" strokecolor="#d9d9d9"/>
            <v:line style="position:absolute" from="6135,1383" to="6963,1383" stroked="true" strokeweight=".72pt" strokecolor="#d9d9d9"/>
            <v:line style="position:absolute" from="5105,1383" to="5933,1383" stroked="true" strokeweight=".72pt" strokecolor="#d9d9d9"/>
            <v:line style="position:absolute" from="4075,1383" to="4903,1383" stroked="true" strokeweight=".72pt" strokecolor="#d9d9d9"/>
            <v:line style="position:absolute" from="3046,1383" to="3874,1383" stroked="true" strokeweight=".72pt" strokecolor="#d9d9d9"/>
            <v:line style="position:absolute" from="2016,1383" to="2844,1383" stroked="true" strokeweight=".72pt" strokecolor="#d9d9d9"/>
            <v:line style="position:absolute" from="514,1383" to="1815,1383" stroked="true" strokeweight=".72pt" strokecolor="#d9d9d9"/>
            <v:line style="position:absolute" from="7167,999" to="7723,999" stroked="true" strokeweight=".72pt" strokecolor="#d9d9d9"/>
            <v:line style="position:absolute" from="6135,999" to="6963,999" stroked="true" strokeweight=".72pt" strokecolor="#d9d9d9"/>
            <v:line style="position:absolute" from="5105,999" to="5933,999" stroked="true" strokeweight=".72pt" strokecolor="#d9d9d9"/>
            <v:line style="position:absolute" from="3046,999" to="4903,999" stroked="true" strokeweight=".72pt" strokecolor="#d9d9d9"/>
            <v:line style="position:absolute" from="514,999" to="2844,999" stroked="true" strokeweight=".72pt" strokecolor="#d9d9d9"/>
            <v:line style="position:absolute" from="6135,612" to="7723,612" stroked="true" strokeweight=".72pt" strokecolor="#d9d9d9"/>
            <v:line style="position:absolute" from="514,612" to="5933,612" stroked="true" strokeweight=".72pt" strokecolor="#d9d9d9"/>
            <v:line style="position:absolute" from="514,228" to="7723,228" stroked="true" strokeweight=".72pt" strokecolor="#d9d9d9"/>
            <v:line style="position:absolute" from="514,228" to="514,2535" stroked="true" strokeweight=".72pt" strokecolor="#d9d9d9"/>
            <v:line style="position:absolute" from="1546,228" to="1546,2535" stroked="true" strokeweight=".72pt" strokecolor="#d9d9d9"/>
            <v:line style="position:absolute" from="2575,228" to="2575,2535" stroked="true" strokeweight=".72pt" strokecolor="#d9d9d9"/>
            <v:line style="position:absolute" from="3605,228" to="3605,2535" stroked="true" strokeweight=".72pt" strokecolor="#d9d9d9"/>
            <v:line style="position:absolute" from="4635,228" to="4635,2535" stroked="true" strokeweight=".72pt" strokecolor="#d9d9d9"/>
            <v:line style="position:absolute" from="5664,228" to="5664,2535" stroked="true" strokeweight=".72pt" strokecolor="#d9d9d9"/>
            <v:line style="position:absolute" from="6694,228" to="6694,2535" stroked="true" strokeweight=".72pt" strokecolor="#d9d9d9"/>
            <v:line style="position:absolute" from="7723,228" to="7723,2535" stroked="true" strokeweight=".72pt" strokecolor="#d9d9d9"/>
            <v:rect style="position:absolute;left:785;top:1452;width:202;height:1082" filled="true" fillcolor="#539e39" stroked="false">
              <v:fill type="solid"/>
            </v:rect>
            <v:rect style="position:absolute;left:1815;top:1196;width:202;height:1339" filled="true" fillcolor="#539e39" stroked="false">
              <v:fill type="solid"/>
            </v:rect>
            <v:rect style="position:absolute;left:2844;top:948;width:202;height:1586" filled="true" fillcolor="#539e39" stroked="false">
              <v:fill type="solid"/>
            </v:rect>
            <v:rect style="position:absolute;left:3874;top:1006;width:202;height:1529" filled="true" fillcolor="#539e39" stroked="false">
              <v:fill type="solid"/>
            </v:rect>
            <v:rect style="position:absolute;left:4904;top:795;width:202;height:1740" filled="true" fillcolor="#539e39" stroked="false">
              <v:fill type="solid"/>
            </v:rect>
            <v:rect style="position:absolute;left:5933;top:576;width:202;height:1958" filled="true" fillcolor="#539e39" stroked="false">
              <v:fill type="solid"/>
            </v:rect>
            <v:rect style="position:absolute;left:6963;top:867;width:204;height:1668" filled="true" fillcolor="#539e39" stroked="false">
              <v:fill type="solid"/>
            </v:rect>
            <v:line style="position:absolute" from="1073,2512" to="1275,2512" stroked="true" strokeweight="2.280pt" strokecolor="#89b833"/>
            <v:rect style="position:absolute;left:2103;top:2326;width:202;height:209" filled="true" fillcolor="#89b833" stroked="false">
              <v:fill type="solid"/>
            </v:rect>
            <v:rect style="position:absolute;left:3132;top:2326;width:202;height:209" filled="true" fillcolor="#89b833" stroked="false">
              <v:fill type="solid"/>
            </v:rect>
            <v:rect style="position:absolute;left:4162;top:2254;width:204;height:281" filled="true" fillcolor="#89b833" stroked="false">
              <v:fill type="solid"/>
            </v:rect>
            <v:rect style="position:absolute;left:5194;top:2084;width:202;height:451" filled="true" fillcolor="#89b833" stroked="false">
              <v:fill type="solid"/>
            </v:rect>
            <v:rect style="position:absolute;left:6223;top:1889;width:202;height:646" filled="true" fillcolor="#89b833" stroked="false">
              <v:fill type="solid"/>
            </v:rect>
            <v:rect style="position:absolute;left:7253;top:2045;width:202;height:490" filled="true" fillcolor="#89b833" stroked="false">
              <v:fill type="solid"/>
            </v:rect>
            <v:line style="position:absolute" from="514,2535" to="7723,2535" stroked="true" strokeweight=".72pt" strokecolor="#d9d9d9"/>
            <v:line style="position:absolute" from="2144,3131" to="2232,3131" stroked="true" strokeweight="4.440pt" strokecolor="#539e39"/>
            <v:line style="position:absolute" from="4284,3131" to="4373,3131" stroked="true" strokeweight="4.440pt" strokecolor="#89b833"/>
            <v:rect style="position:absolute;left:8;top:8;width:7937;height:3401" filled="false" stroked="true" strokeweight=".72pt" strokecolor="#d9d9d9"/>
            <v:shape style="position:absolute;left:138;top:141;width:225;height:180" type="#_x0000_t202" filled="false" stroked="false">
              <v:textbox inset="0,0,0,0">
                <w:txbxContent>
                  <w:p>
                    <w:pPr>
                      <w:spacing w:line="180" w:lineRule="exact" w:before="0"/>
                      <w:ind w:left="0" w:right="-20" w:firstLine="0"/>
                      <w:jc w:val="left"/>
                      <w:rPr>
                        <w:sz w:val="18"/>
                      </w:rPr>
                    </w:pPr>
                    <w:r>
                      <w:rPr>
                        <w:color w:val="585858"/>
                        <w:sz w:val="18"/>
                      </w:rPr>
                      <w:t>6.0</w:t>
                    </w:r>
                  </w:p>
                </w:txbxContent>
              </v:textbox>
              <w10:wrap type="none"/>
            </v:shape>
            <v:shape style="position:absolute;left:5922;top:303;width:227;height:180" type="#_x0000_t202" filled="false" stroked="false">
              <v:textbox inset="0,0,0,0">
                <w:txbxContent>
                  <w:p>
                    <w:pPr>
                      <w:spacing w:line="180" w:lineRule="exact" w:before="0"/>
                      <w:ind w:left="0" w:right="-18" w:firstLine="0"/>
                      <w:jc w:val="left"/>
                      <w:rPr>
                        <w:sz w:val="18"/>
                      </w:rPr>
                    </w:pPr>
                    <w:r>
                      <w:rPr>
                        <w:color w:val="404040"/>
                        <w:sz w:val="18"/>
                      </w:rPr>
                      <w:t>5.1</w:t>
                    </w:r>
                  </w:p>
                </w:txbxContent>
              </v:textbox>
              <w10:wrap type="none"/>
            </v:shape>
            <v:shape style="position:absolute;left:138;top:525;width:225;height:180" type="#_x0000_t202" filled="false" stroked="false">
              <v:textbox inset="0,0,0,0">
                <w:txbxContent>
                  <w:p>
                    <w:pPr>
                      <w:spacing w:line="180" w:lineRule="exact" w:before="0"/>
                      <w:ind w:left="0" w:right="-20" w:firstLine="0"/>
                      <w:jc w:val="left"/>
                      <w:rPr>
                        <w:sz w:val="18"/>
                      </w:rPr>
                    </w:pPr>
                    <w:r>
                      <w:rPr>
                        <w:color w:val="585858"/>
                        <w:sz w:val="18"/>
                      </w:rPr>
                      <w:t>5.0</w:t>
                    </w:r>
                  </w:p>
                </w:txbxContent>
              </v:textbox>
              <w10:wrap type="none"/>
            </v:shape>
            <v:shape style="position:absolute;left:4892;top:521;width:227;height:180" type="#_x0000_t202" filled="false" stroked="false">
              <v:textbox inset="0,0,0,0">
                <w:txbxContent>
                  <w:p>
                    <w:pPr>
                      <w:spacing w:line="180" w:lineRule="exact" w:before="0"/>
                      <w:ind w:left="0" w:right="-18" w:firstLine="0"/>
                      <w:jc w:val="left"/>
                      <w:rPr>
                        <w:sz w:val="18"/>
                      </w:rPr>
                    </w:pPr>
                    <w:r>
                      <w:rPr>
                        <w:color w:val="404040"/>
                        <w:sz w:val="18"/>
                      </w:rPr>
                      <w:t>4.5</w:t>
                    </w:r>
                  </w:p>
                </w:txbxContent>
              </v:textbox>
              <w10:wrap type="none"/>
            </v:shape>
            <v:shape style="position:absolute;left:2832;top:676;width:227;height:180" type="#_x0000_t202" filled="false" stroked="false">
              <v:textbox inset="0,0,0,0">
                <w:txbxContent>
                  <w:p>
                    <w:pPr>
                      <w:spacing w:line="180" w:lineRule="exact" w:before="0"/>
                      <w:ind w:left="0" w:right="-18" w:firstLine="0"/>
                      <w:jc w:val="left"/>
                      <w:rPr>
                        <w:sz w:val="18"/>
                      </w:rPr>
                    </w:pPr>
                    <w:r>
                      <w:rPr>
                        <w:color w:val="404040"/>
                        <w:sz w:val="18"/>
                      </w:rPr>
                      <w:t>4.1</w:t>
                    </w:r>
                  </w:p>
                </w:txbxContent>
              </v:textbox>
              <w10:wrap type="none"/>
            </v:shape>
            <v:shape style="position:absolute;left:3862;top:732;width:227;height:180" type="#_x0000_t202" filled="false" stroked="false">
              <v:textbox inset="0,0,0,0">
                <w:txbxContent>
                  <w:p>
                    <w:pPr>
                      <w:spacing w:line="180" w:lineRule="exact" w:before="0"/>
                      <w:ind w:left="0" w:right="-18" w:firstLine="0"/>
                      <w:jc w:val="left"/>
                      <w:rPr>
                        <w:sz w:val="18"/>
                      </w:rPr>
                    </w:pPr>
                    <w:r>
                      <w:rPr>
                        <w:color w:val="404040"/>
                        <w:sz w:val="18"/>
                      </w:rPr>
                      <w:t>4.0</w:t>
                    </w:r>
                  </w:p>
                </w:txbxContent>
              </v:textbox>
              <w10:wrap type="none"/>
            </v:shape>
            <v:shape style="position:absolute;left:6952;top:593;width:227;height:180" type="#_x0000_t202" filled="false" stroked="false">
              <v:textbox inset="0,0,0,0">
                <w:txbxContent>
                  <w:p>
                    <w:pPr>
                      <w:spacing w:line="180" w:lineRule="exact" w:before="0"/>
                      <w:ind w:left="0" w:right="-18" w:firstLine="0"/>
                      <w:jc w:val="left"/>
                      <w:rPr>
                        <w:sz w:val="18"/>
                      </w:rPr>
                    </w:pPr>
                    <w:r>
                      <w:rPr>
                        <w:color w:val="404040"/>
                        <w:sz w:val="18"/>
                      </w:rPr>
                      <w:t>4.3</w:t>
                    </w:r>
                  </w:p>
                </w:txbxContent>
              </v:textbox>
              <w10:wrap type="none"/>
            </v:shape>
            <v:shape style="position:absolute;left:138;top:909;width:225;height:180" type="#_x0000_t202" filled="false" stroked="false">
              <v:textbox inset="0,0,0,0">
                <w:txbxContent>
                  <w:p>
                    <w:pPr>
                      <w:spacing w:line="180" w:lineRule="exact" w:before="0"/>
                      <w:ind w:left="0" w:right="-20" w:firstLine="0"/>
                      <w:jc w:val="left"/>
                      <w:rPr>
                        <w:sz w:val="18"/>
                      </w:rPr>
                    </w:pPr>
                    <w:r>
                      <w:rPr>
                        <w:color w:val="585858"/>
                        <w:sz w:val="18"/>
                      </w:rPr>
                      <w:t>4.0</w:t>
                    </w:r>
                  </w:p>
                </w:txbxContent>
              </v:textbox>
              <w10:wrap type="none"/>
            </v:shape>
            <v:shape style="position:absolute;left:1802;top:923;width:227;height:180" type="#_x0000_t202" filled="false" stroked="false">
              <v:textbox inset="0,0,0,0">
                <w:txbxContent>
                  <w:p>
                    <w:pPr>
                      <w:spacing w:line="180" w:lineRule="exact" w:before="0"/>
                      <w:ind w:left="0" w:right="-18" w:firstLine="0"/>
                      <w:jc w:val="left"/>
                      <w:rPr>
                        <w:sz w:val="18"/>
                      </w:rPr>
                    </w:pPr>
                    <w:r>
                      <w:rPr>
                        <w:color w:val="404040"/>
                        <w:sz w:val="18"/>
                      </w:rPr>
                      <w:t>3.5</w:t>
                    </w:r>
                  </w:p>
                </w:txbxContent>
              </v:textbox>
              <w10:wrap type="none"/>
            </v:shape>
            <v:shape style="position:absolute;left:138;top:1294;width:225;height:180" type="#_x0000_t202" filled="false" stroked="false">
              <v:textbox inset="0,0,0,0">
                <w:txbxContent>
                  <w:p>
                    <w:pPr>
                      <w:spacing w:line="180" w:lineRule="exact" w:before="0"/>
                      <w:ind w:left="0" w:right="-20" w:firstLine="0"/>
                      <w:jc w:val="left"/>
                      <w:rPr>
                        <w:sz w:val="18"/>
                      </w:rPr>
                    </w:pPr>
                    <w:r>
                      <w:rPr>
                        <w:color w:val="585858"/>
                        <w:sz w:val="18"/>
                      </w:rPr>
                      <w:t>3.0</w:t>
                    </w:r>
                  </w:p>
                </w:txbxContent>
              </v:textbox>
              <w10:wrap type="none"/>
            </v:shape>
            <v:shape style="position:absolute;left:772;top:1180;width:227;height:180" type="#_x0000_t202" filled="false" stroked="false">
              <v:textbox inset="0,0,0,0">
                <w:txbxContent>
                  <w:p>
                    <w:pPr>
                      <w:spacing w:line="180" w:lineRule="exact" w:before="0"/>
                      <w:ind w:left="0" w:right="-18" w:firstLine="0"/>
                      <w:jc w:val="left"/>
                      <w:rPr>
                        <w:sz w:val="18"/>
                      </w:rPr>
                    </w:pPr>
                    <w:r>
                      <w:rPr>
                        <w:color w:val="404040"/>
                        <w:sz w:val="18"/>
                      </w:rPr>
                      <w:t>2.8</w:t>
                    </w:r>
                  </w:p>
                </w:txbxContent>
              </v:textbox>
              <w10:wrap type="none"/>
            </v:shape>
            <v:shape style="position:absolute;left:138;top:1679;width:225;height:180" type="#_x0000_t202" filled="false" stroked="false">
              <v:textbox inset="0,0,0,0">
                <w:txbxContent>
                  <w:p>
                    <w:pPr>
                      <w:spacing w:line="180" w:lineRule="exact" w:before="0"/>
                      <w:ind w:left="0" w:right="-20" w:firstLine="0"/>
                      <w:jc w:val="left"/>
                      <w:rPr>
                        <w:sz w:val="18"/>
                      </w:rPr>
                    </w:pPr>
                    <w:r>
                      <w:rPr>
                        <w:color w:val="585858"/>
                        <w:sz w:val="18"/>
                      </w:rPr>
                      <w:t>2.0</w:t>
                    </w:r>
                  </w:p>
                </w:txbxContent>
              </v:textbox>
              <w10:wrap type="none"/>
            </v:shape>
            <v:shape style="position:absolute;left:6210;top:1617;width:227;height:180" type="#_x0000_t202" filled="false" stroked="false">
              <v:textbox inset="0,0,0,0">
                <w:txbxContent>
                  <w:p>
                    <w:pPr>
                      <w:spacing w:line="180" w:lineRule="exact" w:before="0"/>
                      <w:ind w:left="0" w:right="-18" w:firstLine="0"/>
                      <w:jc w:val="left"/>
                      <w:rPr>
                        <w:sz w:val="18"/>
                      </w:rPr>
                    </w:pPr>
                    <w:r>
                      <w:rPr>
                        <w:color w:val="404040"/>
                        <w:sz w:val="18"/>
                      </w:rPr>
                      <w:t>1.7</w:t>
                    </w:r>
                  </w:p>
                </w:txbxContent>
              </v:textbox>
              <w10:wrap type="none"/>
            </v:shape>
            <v:shape style="position:absolute;left:5181;top:1810;width:227;height:180" type="#_x0000_t202" filled="false" stroked="false">
              <v:textbox inset="0,0,0,0">
                <w:txbxContent>
                  <w:p>
                    <w:pPr>
                      <w:spacing w:line="180" w:lineRule="exact" w:before="0"/>
                      <w:ind w:left="0" w:right="-18" w:firstLine="0"/>
                      <w:jc w:val="left"/>
                      <w:rPr>
                        <w:sz w:val="18"/>
                      </w:rPr>
                    </w:pPr>
                    <w:r>
                      <w:rPr>
                        <w:color w:val="404040"/>
                        <w:sz w:val="18"/>
                      </w:rPr>
                      <w:t>1.2</w:t>
                    </w:r>
                  </w:p>
                </w:txbxContent>
              </v:textbox>
              <w10:wrap type="none"/>
            </v:shape>
            <v:shape style="position:absolute;left:7241;top:1772;width:227;height:180" type="#_x0000_t202" filled="false" stroked="false">
              <v:textbox inset="0,0,0,0">
                <w:txbxContent>
                  <w:p>
                    <w:pPr>
                      <w:spacing w:line="180" w:lineRule="exact" w:before="0"/>
                      <w:ind w:left="0" w:right="-18" w:firstLine="0"/>
                      <w:jc w:val="left"/>
                      <w:rPr>
                        <w:sz w:val="18"/>
                      </w:rPr>
                    </w:pPr>
                    <w:r>
                      <w:rPr>
                        <w:color w:val="404040"/>
                        <w:sz w:val="18"/>
                      </w:rPr>
                      <w:t>1.3</w:t>
                    </w:r>
                  </w:p>
                </w:txbxContent>
              </v:textbox>
              <w10:wrap type="none"/>
            </v:shape>
            <v:shape style="position:absolute;left:138;top:2063;width:225;height:180" type="#_x0000_t202" filled="false" stroked="false">
              <v:textbox inset="0,0,0,0">
                <w:txbxContent>
                  <w:p>
                    <w:pPr>
                      <w:spacing w:line="180" w:lineRule="exact" w:before="0"/>
                      <w:ind w:left="0" w:right="-20" w:firstLine="0"/>
                      <w:jc w:val="left"/>
                      <w:rPr>
                        <w:sz w:val="18"/>
                      </w:rPr>
                    </w:pPr>
                    <w:r>
                      <w:rPr>
                        <w:color w:val="585858"/>
                        <w:sz w:val="18"/>
                      </w:rPr>
                      <w:t>1.0</w:t>
                    </w:r>
                  </w:p>
                </w:txbxContent>
              </v:textbox>
              <w10:wrap type="none"/>
            </v:shape>
            <v:shape style="position:absolute;left:2091;top:2054;width:227;height:180" type="#_x0000_t202" filled="false" stroked="false">
              <v:textbox inset="0,0,0,0">
                <w:txbxContent>
                  <w:p>
                    <w:pPr>
                      <w:spacing w:line="180" w:lineRule="exact" w:before="0"/>
                      <w:ind w:left="0" w:right="-18" w:firstLine="0"/>
                      <w:jc w:val="left"/>
                      <w:rPr>
                        <w:sz w:val="18"/>
                      </w:rPr>
                    </w:pPr>
                    <w:r>
                      <w:rPr>
                        <w:color w:val="404040"/>
                        <w:sz w:val="18"/>
                      </w:rPr>
                      <w:t>0.5</w:t>
                    </w:r>
                  </w:p>
                </w:txbxContent>
              </v:textbox>
              <w10:wrap type="none"/>
            </v:shape>
            <v:shape style="position:absolute;left:3121;top:2052;width:227;height:180" type="#_x0000_t202" filled="false" stroked="false">
              <v:textbox inset="0,0,0,0">
                <w:txbxContent>
                  <w:p>
                    <w:pPr>
                      <w:spacing w:line="180" w:lineRule="exact" w:before="0"/>
                      <w:ind w:left="0" w:right="-18" w:firstLine="0"/>
                      <w:jc w:val="left"/>
                      <w:rPr>
                        <w:sz w:val="18"/>
                      </w:rPr>
                    </w:pPr>
                    <w:r>
                      <w:rPr>
                        <w:color w:val="404040"/>
                        <w:sz w:val="18"/>
                      </w:rPr>
                      <w:t>0.5</w:t>
                    </w:r>
                  </w:p>
                </w:txbxContent>
              </v:textbox>
              <w10:wrap type="none"/>
            </v:shape>
            <v:shape style="position:absolute;left:4151;top:1982;width:227;height:180" type="#_x0000_t202" filled="false" stroked="false">
              <v:textbox inset="0,0,0,0">
                <w:txbxContent>
                  <w:p>
                    <w:pPr>
                      <w:spacing w:line="180" w:lineRule="exact" w:before="0"/>
                      <w:ind w:left="0" w:right="-18" w:firstLine="0"/>
                      <w:jc w:val="left"/>
                      <w:rPr>
                        <w:sz w:val="18"/>
                      </w:rPr>
                    </w:pPr>
                    <w:r>
                      <w:rPr>
                        <w:color w:val="404040"/>
                        <w:sz w:val="18"/>
                      </w:rPr>
                      <w:t>0.7</w:t>
                    </w:r>
                  </w:p>
                </w:txbxContent>
              </v:textbox>
              <w10:wrap type="none"/>
            </v:shape>
            <v:shape style="position:absolute;left:1061;top:2216;width:227;height:180" type="#_x0000_t202" filled="false" stroked="false">
              <v:textbox inset="0,0,0,0">
                <w:txbxContent>
                  <w:p>
                    <w:pPr>
                      <w:spacing w:line="180" w:lineRule="exact" w:before="0"/>
                      <w:ind w:left="0" w:right="-18" w:firstLine="0"/>
                      <w:jc w:val="left"/>
                      <w:rPr>
                        <w:sz w:val="18"/>
                      </w:rPr>
                    </w:pPr>
                    <w:r>
                      <w:rPr>
                        <w:color w:val="404040"/>
                        <w:sz w:val="18"/>
                      </w:rPr>
                      <w:t>0.1</w:t>
                    </w:r>
                  </w:p>
                </w:txbxContent>
              </v:textbox>
              <w10:wrap type="none"/>
            </v:shape>
            <v:shape style="position:absolute;left:138;top:2448;width:225;height:180" type="#_x0000_t202" filled="false" stroked="false">
              <v:textbox inset="0,0,0,0">
                <w:txbxContent>
                  <w:p>
                    <w:pPr>
                      <w:spacing w:line="180" w:lineRule="exact" w:before="0"/>
                      <w:ind w:left="0" w:right="-20" w:firstLine="0"/>
                      <w:jc w:val="left"/>
                      <w:rPr>
                        <w:sz w:val="18"/>
                      </w:rPr>
                    </w:pPr>
                    <w:r>
                      <w:rPr>
                        <w:color w:val="585858"/>
                        <w:sz w:val="18"/>
                      </w:rPr>
                      <w:t>0.0</w:t>
                    </w:r>
                  </w:p>
                </w:txbxContent>
              </v:textbox>
              <w10:wrap type="none"/>
            </v:shape>
            <v:shape style="position:absolute;left:850;top:2660;width:361;height:180" type="#_x0000_t202" filled="false" stroked="false">
              <v:textbox inset="0,0,0,0">
                <w:txbxContent>
                  <w:p>
                    <w:pPr>
                      <w:spacing w:line="180" w:lineRule="exact" w:before="0"/>
                      <w:ind w:left="0" w:right="-19" w:firstLine="0"/>
                      <w:jc w:val="left"/>
                      <w:rPr>
                        <w:sz w:val="18"/>
                      </w:rPr>
                    </w:pPr>
                    <w:r>
                      <w:rPr>
                        <w:color w:val="585858"/>
                        <w:sz w:val="18"/>
                      </w:rPr>
                      <w:t>1980</w:t>
                    </w:r>
                  </w:p>
                </w:txbxContent>
              </v:textbox>
              <w10:wrap type="none"/>
            </v:shape>
            <v:shape style="position:absolute;left:1881;top:2660;width:361;height:180" type="#_x0000_t202" filled="false" stroked="false">
              <v:textbox inset="0,0,0,0">
                <w:txbxContent>
                  <w:p>
                    <w:pPr>
                      <w:spacing w:line="180" w:lineRule="exact" w:before="0"/>
                      <w:ind w:left="0" w:right="-19" w:firstLine="0"/>
                      <w:jc w:val="left"/>
                      <w:rPr>
                        <w:sz w:val="18"/>
                      </w:rPr>
                    </w:pPr>
                    <w:r>
                      <w:rPr>
                        <w:color w:val="585858"/>
                        <w:sz w:val="18"/>
                      </w:rPr>
                      <w:t>1985</w:t>
                    </w:r>
                  </w:p>
                </w:txbxContent>
              </v:textbox>
              <w10:wrap type="none"/>
            </v:shape>
            <v:shape style="position:absolute;left:2910;top:2660;width:361;height:180" type="#_x0000_t202" filled="false" stroked="false">
              <v:textbox inset="0,0,0,0">
                <w:txbxContent>
                  <w:p>
                    <w:pPr>
                      <w:spacing w:line="180" w:lineRule="exact" w:before="0"/>
                      <w:ind w:left="0" w:right="-19" w:firstLine="0"/>
                      <w:jc w:val="left"/>
                      <w:rPr>
                        <w:sz w:val="18"/>
                      </w:rPr>
                    </w:pPr>
                    <w:r>
                      <w:rPr>
                        <w:color w:val="585858"/>
                        <w:sz w:val="18"/>
                      </w:rPr>
                      <w:t>1988</w:t>
                    </w:r>
                  </w:p>
                </w:txbxContent>
              </v:textbox>
              <w10:wrap type="none"/>
            </v:shape>
            <v:shape style="position:absolute;left:3941;top:2660;width:361;height:180" type="#_x0000_t202" filled="false" stroked="false">
              <v:textbox inset="0,0,0,0">
                <w:txbxContent>
                  <w:p>
                    <w:pPr>
                      <w:spacing w:line="180" w:lineRule="exact" w:before="0"/>
                      <w:ind w:left="0" w:right="-19" w:firstLine="0"/>
                      <w:jc w:val="left"/>
                      <w:rPr>
                        <w:sz w:val="18"/>
                      </w:rPr>
                    </w:pPr>
                    <w:r>
                      <w:rPr>
                        <w:color w:val="585858"/>
                        <w:sz w:val="18"/>
                      </w:rPr>
                      <w:t>1993</w:t>
                    </w:r>
                  </w:p>
                </w:txbxContent>
              </v:textbox>
              <w10:wrap type="none"/>
            </v:shape>
            <v:shape style="position:absolute;left:4971;top:2660;width:361;height:180" type="#_x0000_t202" filled="false" stroked="false">
              <v:textbox inset="0,0,0,0">
                <w:txbxContent>
                  <w:p>
                    <w:pPr>
                      <w:spacing w:line="180" w:lineRule="exact" w:before="0"/>
                      <w:ind w:left="0" w:right="-19" w:firstLine="0"/>
                      <w:jc w:val="left"/>
                      <w:rPr>
                        <w:sz w:val="18"/>
                      </w:rPr>
                    </w:pPr>
                    <w:r>
                      <w:rPr>
                        <w:color w:val="585858"/>
                        <w:sz w:val="18"/>
                      </w:rPr>
                      <w:t>1998</w:t>
                    </w:r>
                  </w:p>
                </w:txbxContent>
              </v:textbox>
              <w10:wrap type="none"/>
            </v:shape>
            <v:shape style="position:absolute;left:6001;top:2660;width:361;height:180" type="#_x0000_t202" filled="false" stroked="false">
              <v:textbox inset="0,0,0,0">
                <w:txbxContent>
                  <w:p>
                    <w:pPr>
                      <w:spacing w:line="180" w:lineRule="exact" w:before="0"/>
                      <w:ind w:left="0" w:right="-19" w:firstLine="0"/>
                      <w:jc w:val="left"/>
                      <w:rPr>
                        <w:sz w:val="18"/>
                      </w:rPr>
                    </w:pPr>
                    <w:r>
                      <w:rPr>
                        <w:color w:val="585858"/>
                        <w:sz w:val="18"/>
                      </w:rPr>
                      <w:t>2003</w:t>
                    </w:r>
                  </w:p>
                </w:txbxContent>
              </v:textbox>
              <w10:wrap type="none"/>
            </v:shape>
            <v:shape style="position:absolute;left:7031;top:2660;width:361;height:180" type="#_x0000_t202" filled="false" stroked="false">
              <v:textbox inset="0,0,0,0">
                <w:txbxContent>
                  <w:p>
                    <w:pPr>
                      <w:spacing w:line="180" w:lineRule="exact" w:before="0"/>
                      <w:ind w:left="0" w:right="-19" w:firstLine="0"/>
                      <w:jc w:val="left"/>
                      <w:rPr>
                        <w:sz w:val="18"/>
                      </w:rPr>
                    </w:pPr>
                    <w:r>
                      <w:rPr>
                        <w:color w:val="585858"/>
                        <w:sz w:val="18"/>
                      </w:rPr>
                      <w:t>2008</w:t>
                    </w:r>
                  </w:p>
                </w:txbxContent>
              </v:textbox>
              <w10:wrap type="none"/>
            </v:shape>
            <v:shape style="position:absolute;left:2272;top:3043;width:1723;height:180" type="#_x0000_t202" filled="false" stroked="false">
              <v:textbox inset="0,0,0,0">
                <w:txbxContent>
                  <w:p>
                    <w:pPr>
                      <w:spacing w:line="180" w:lineRule="exact" w:before="0"/>
                      <w:ind w:left="0" w:right="-15" w:firstLine="0"/>
                      <w:jc w:val="left"/>
                      <w:rPr>
                        <w:sz w:val="18"/>
                      </w:rPr>
                    </w:pPr>
                    <w:r>
                      <w:rPr>
                        <w:color w:val="585858"/>
                        <w:sz w:val="18"/>
                      </w:rPr>
                      <w:t>Industria</w:t>
                    </w:r>
                    <w:r>
                      <w:rPr>
                        <w:color w:val="585858"/>
                        <w:spacing w:val="-7"/>
                        <w:sz w:val="18"/>
                      </w:rPr>
                      <w:t> </w:t>
                    </w:r>
                    <w:r>
                      <w:rPr>
                        <w:color w:val="585858"/>
                        <w:sz w:val="18"/>
                      </w:rPr>
                      <w:t>manufacturera</w:t>
                    </w:r>
                  </w:p>
                </w:txbxContent>
              </v:textbox>
              <w10:wrap type="none"/>
            </v:shape>
            <v:shape style="position:absolute;left:4411;top:3043;width:1464;height:180" type="#_x0000_t202" filled="false" stroked="false">
              <v:textbox inset="0,0,0,0">
                <w:txbxContent>
                  <w:p>
                    <w:pPr>
                      <w:spacing w:line="180" w:lineRule="exact" w:before="0"/>
                      <w:ind w:left="0" w:right="-14" w:firstLine="0"/>
                      <w:jc w:val="left"/>
                      <w:rPr>
                        <w:sz w:val="18"/>
                      </w:rPr>
                    </w:pPr>
                    <w:r>
                      <w:rPr>
                        <w:color w:val="585858"/>
                        <w:sz w:val="18"/>
                      </w:rPr>
                      <w:t>Industria</w:t>
                    </w:r>
                    <w:r>
                      <w:rPr>
                        <w:color w:val="585858"/>
                        <w:spacing w:val="-7"/>
                        <w:sz w:val="18"/>
                      </w:rPr>
                      <w:t> </w:t>
                    </w:r>
                    <w:r>
                      <w:rPr>
                        <w:color w:val="585858"/>
                        <w:sz w:val="18"/>
                      </w:rPr>
                      <w:t>automotriz</w:t>
                    </w:r>
                  </w:p>
                </w:txbxContent>
              </v:textbox>
              <w10:wrap type="none"/>
            </v:shape>
          </v:group>
        </w:pict>
      </w:r>
      <w:r>
        <w:rPr>
          <w:sz w:val="20"/>
        </w:rPr>
      </w:r>
    </w:p>
    <w:p>
      <w:pPr>
        <w:spacing w:before="124"/>
        <w:ind w:left="383" w:right="401" w:firstLine="0"/>
        <w:jc w:val="center"/>
        <w:rPr>
          <w:sz w:val="18"/>
        </w:rPr>
      </w:pPr>
      <w:r>
        <w:rPr>
          <w:sz w:val="18"/>
        </w:rPr>
        <w:t>Fuente: Elaboración propia con datos del INEGI (varios años).</w:t>
      </w:r>
    </w:p>
    <w:p>
      <w:pPr>
        <w:pStyle w:val="BodyText"/>
        <w:rPr>
          <w:sz w:val="18"/>
        </w:rPr>
      </w:pPr>
    </w:p>
    <w:p>
      <w:pPr>
        <w:pStyle w:val="BodyText"/>
        <w:spacing w:line="360" w:lineRule="auto" w:before="135"/>
        <w:ind w:left="102" w:right="114"/>
        <w:jc w:val="both"/>
      </w:pPr>
      <w:r>
        <w:rPr/>
        <w:t>Asimismo, al realizar el análisis con los cocientes de localización de la región norte, presentados</w:t>
      </w:r>
      <w:r>
        <w:rPr>
          <w:spacing w:val="-6"/>
        </w:rPr>
        <w:t> </w:t>
      </w:r>
      <w:r>
        <w:rPr/>
        <w:t>en</w:t>
      </w:r>
      <w:r>
        <w:rPr>
          <w:spacing w:val="-6"/>
        </w:rPr>
        <w:t> </w:t>
      </w:r>
      <w:r>
        <w:rPr/>
        <w:t>el</w:t>
      </w:r>
      <w:r>
        <w:rPr>
          <w:spacing w:val="-6"/>
        </w:rPr>
        <w:t> </w:t>
      </w:r>
      <w:r>
        <w:rPr/>
        <w:t>cuadro</w:t>
      </w:r>
      <w:r>
        <w:rPr>
          <w:spacing w:val="-5"/>
        </w:rPr>
        <w:t> </w:t>
      </w:r>
      <w:r>
        <w:rPr/>
        <w:t>4.15,</w:t>
      </w:r>
      <w:r>
        <w:rPr>
          <w:spacing w:val="-6"/>
        </w:rPr>
        <w:t> </w:t>
      </w:r>
      <w:r>
        <w:rPr/>
        <w:t>se</w:t>
      </w:r>
      <w:r>
        <w:rPr>
          <w:spacing w:val="-7"/>
        </w:rPr>
        <w:t> </w:t>
      </w:r>
      <w:r>
        <w:rPr/>
        <w:t>observa</w:t>
      </w:r>
      <w:r>
        <w:rPr>
          <w:spacing w:val="-8"/>
        </w:rPr>
        <w:t> </w:t>
      </w:r>
      <w:r>
        <w:rPr/>
        <w:t>que</w:t>
      </w:r>
      <w:r>
        <w:rPr>
          <w:spacing w:val="-7"/>
        </w:rPr>
        <w:t> </w:t>
      </w:r>
      <w:r>
        <w:rPr/>
        <w:t>la</w:t>
      </w:r>
      <w:r>
        <w:rPr>
          <w:spacing w:val="-7"/>
        </w:rPr>
        <w:t> </w:t>
      </w:r>
      <w:r>
        <w:rPr/>
        <w:t>industria</w:t>
      </w:r>
      <w:r>
        <w:rPr>
          <w:spacing w:val="-7"/>
        </w:rPr>
        <w:t> </w:t>
      </w:r>
      <w:r>
        <w:rPr/>
        <w:t>automotriz</w:t>
      </w:r>
      <w:r>
        <w:rPr>
          <w:spacing w:val="-5"/>
        </w:rPr>
        <w:t> </w:t>
      </w:r>
      <w:r>
        <w:rPr/>
        <w:t>en</w:t>
      </w:r>
      <w:r>
        <w:rPr>
          <w:spacing w:val="-6"/>
        </w:rPr>
        <w:t> </w:t>
      </w:r>
      <w:r>
        <w:rPr/>
        <w:t>la</w:t>
      </w:r>
      <w:r>
        <w:rPr>
          <w:spacing w:val="-7"/>
        </w:rPr>
        <w:t> </w:t>
      </w:r>
      <w:r>
        <w:rPr/>
        <w:t>manufactura</w:t>
      </w:r>
      <w:r>
        <w:rPr>
          <w:spacing w:val="-7"/>
        </w:rPr>
        <w:t> </w:t>
      </w:r>
      <w:r>
        <w:rPr/>
        <w:t>de</w:t>
      </w:r>
      <w:r>
        <w:rPr>
          <w:spacing w:val="-7"/>
        </w:rPr>
        <w:t> </w:t>
      </w:r>
      <w:r>
        <w:rPr/>
        <w:t>la región, en 1980, no presentaba un grado significativo de especialización en el personal ocupado</w:t>
      </w:r>
      <w:r>
        <w:rPr>
          <w:spacing w:val="-9"/>
        </w:rPr>
        <w:t> </w:t>
      </w:r>
      <w:r>
        <w:rPr/>
        <w:t>a</w:t>
      </w:r>
      <w:r>
        <w:rPr>
          <w:spacing w:val="-12"/>
        </w:rPr>
        <w:t> </w:t>
      </w:r>
      <w:r>
        <w:rPr/>
        <w:t>excepción</w:t>
      </w:r>
      <w:r>
        <w:rPr>
          <w:spacing w:val="-8"/>
        </w:rPr>
        <w:t> </w:t>
      </w:r>
      <w:r>
        <w:rPr/>
        <w:t>del</w:t>
      </w:r>
      <w:r>
        <w:rPr>
          <w:spacing w:val="-8"/>
        </w:rPr>
        <w:t> </w:t>
      </w:r>
      <w:r>
        <w:rPr/>
        <w:t>estado</w:t>
      </w:r>
      <w:r>
        <w:rPr>
          <w:spacing w:val="-11"/>
        </w:rPr>
        <w:t> </w:t>
      </w:r>
      <w:r>
        <w:rPr/>
        <w:t>de</w:t>
      </w:r>
      <w:r>
        <w:rPr>
          <w:spacing w:val="-10"/>
        </w:rPr>
        <w:t> </w:t>
      </w:r>
      <w:r>
        <w:rPr/>
        <w:t>Nuevo</w:t>
      </w:r>
      <w:r>
        <w:rPr>
          <w:spacing w:val="-7"/>
        </w:rPr>
        <w:t> </w:t>
      </w:r>
      <w:r>
        <w:rPr/>
        <w:t>León</w:t>
      </w:r>
      <w:r>
        <w:rPr>
          <w:spacing w:val="-11"/>
        </w:rPr>
        <w:t> </w:t>
      </w:r>
      <w:r>
        <w:rPr/>
        <w:t>que</w:t>
      </w:r>
      <w:r>
        <w:rPr>
          <w:spacing w:val="-12"/>
        </w:rPr>
        <w:t> </w:t>
      </w:r>
      <w:r>
        <w:rPr/>
        <w:t>presenta</w:t>
      </w:r>
      <w:r>
        <w:rPr>
          <w:spacing w:val="-11"/>
        </w:rPr>
        <w:t> </w:t>
      </w:r>
      <w:r>
        <w:rPr/>
        <w:t>un</w:t>
      </w:r>
      <w:r>
        <w:rPr>
          <w:spacing w:val="-9"/>
        </w:rPr>
        <w:t> </w:t>
      </w:r>
      <w:r>
        <w:rPr/>
        <w:t>coeficiente</w:t>
      </w:r>
      <w:r>
        <w:rPr>
          <w:spacing w:val="-7"/>
        </w:rPr>
        <w:t> </w:t>
      </w:r>
      <w:r>
        <w:rPr/>
        <w:t>igual</w:t>
      </w:r>
      <w:r>
        <w:rPr>
          <w:spacing w:val="-11"/>
        </w:rPr>
        <w:t> </w:t>
      </w:r>
      <w:r>
        <w:rPr/>
        <w:t>a</w:t>
      </w:r>
      <w:r>
        <w:rPr>
          <w:spacing w:val="-12"/>
        </w:rPr>
        <w:t> </w:t>
      </w:r>
      <w:r>
        <w:rPr/>
        <w:t>la</w:t>
      </w:r>
      <w:r>
        <w:rPr>
          <w:spacing w:val="-9"/>
        </w:rPr>
        <w:t> </w:t>
      </w:r>
      <w:r>
        <w:rPr/>
        <w:t>unidad. Es</w:t>
      </w:r>
      <w:r>
        <w:rPr>
          <w:spacing w:val="-4"/>
        </w:rPr>
        <w:t> </w:t>
      </w:r>
      <w:r>
        <w:rPr/>
        <w:t>hasta</w:t>
      </w:r>
      <w:r>
        <w:rPr>
          <w:spacing w:val="-4"/>
        </w:rPr>
        <w:t> </w:t>
      </w:r>
      <w:r>
        <w:rPr/>
        <w:t>1985</w:t>
      </w:r>
      <w:r>
        <w:rPr>
          <w:spacing w:val="-4"/>
        </w:rPr>
        <w:t> </w:t>
      </w:r>
      <w:r>
        <w:rPr/>
        <w:t>que</w:t>
      </w:r>
      <w:r>
        <w:rPr>
          <w:spacing w:val="-5"/>
        </w:rPr>
        <w:t> </w:t>
      </w:r>
      <w:r>
        <w:rPr/>
        <w:t>la</w:t>
      </w:r>
      <w:r>
        <w:rPr>
          <w:spacing w:val="-4"/>
        </w:rPr>
        <w:t> </w:t>
      </w:r>
      <w:r>
        <w:rPr/>
        <w:t>manufactura</w:t>
      </w:r>
      <w:r>
        <w:rPr>
          <w:spacing w:val="-5"/>
        </w:rPr>
        <w:t> </w:t>
      </w:r>
      <w:r>
        <w:rPr/>
        <w:t>de</w:t>
      </w:r>
      <w:r>
        <w:rPr>
          <w:spacing w:val="-5"/>
        </w:rPr>
        <w:t> </w:t>
      </w:r>
      <w:r>
        <w:rPr/>
        <w:t>la</w:t>
      </w:r>
      <w:r>
        <w:rPr>
          <w:spacing w:val="-4"/>
        </w:rPr>
        <w:t> </w:t>
      </w:r>
      <w:r>
        <w:rPr/>
        <w:t>mayoría</w:t>
      </w:r>
      <w:r>
        <w:rPr>
          <w:spacing w:val="-5"/>
        </w:rPr>
        <w:t> </w:t>
      </w:r>
      <w:r>
        <w:rPr/>
        <w:t>de</w:t>
      </w:r>
      <w:r>
        <w:rPr>
          <w:spacing w:val="-3"/>
        </w:rPr>
        <w:t> </w:t>
      </w:r>
      <w:r>
        <w:rPr/>
        <w:t>los</w:t>
      </w:r>
      <w:r>
        <w:rPr>
          <w:spacing w:val="-3"/>
        </w:rPr>
        <w:t> </w:t>
      </w:r>
      <w:r>
        <w:rPr/>
        <w:t>estados</w:t>
      </w:r>
      <w:r>
        <w:rPr>
          <w:spacing w:val="-4"/>
        </w:rPr>
        <w:t> </w:t>
      </w:r>
      <w:r>
        <w:rPr/>
        <w:t>de</w:t>
      </w:r>
      <w:r>
        <w:rPr>
          <w:spacing w:val="-5"/>
        </w:rPr>
        <w:t> </w:t>
      </w:r>
      <w:r>
        <w:rPr/>
        <w:t>la</w:t>
      </w:r>
      <w:r>
        <w:rPr>
          <w:spacing w:val="-4"/>
        </w:rPr>
        <w:t> </w:t>
      </w:r>
      <w:r>
        <w:rPr/>
        <w:t>región</w:t>
      </w:r>
      <w:r>
        <w:rPr>
          <w:spacing w:val="-1"/>
        </w:rPr>
        <w:t> </w:t>
      </w:r>
      <w:r>
        <w:rPr/>
        <w:t>norte</w:t>
      </w:r>
      <w:r>
        <w:rPr>
          <w:spacing w:val="-5"/>
        </w:rPr>
        <w:t> </w:t>
      </w:r>
      <w:r>
        <w:rPr/>
        <w:t>comienza</w:t>
      </w:r>
      <w:r>
        <w:rPr>
          <w:spacing w:val="-5"/>
        </w:rPr>
        <w:t> </w:t>
      </w:r>
      <w:r>
        <w:rPr/>
        <w:t>a especializarse</w:t>
      </w:r>
      <w:r>
        <w:rPr>
          <w:spacing w:val="-12"/>
        </w:rPr>
        <w:t> </w:t>
      </w:r>
      <w:r>
        <w:rPr/>
        <w:t>en</w:t>
      </w:r>
      <w:r>
        <w:rPr>
          <w:spacing w:val="-13"/>
        </w:rPr>
        <w:t> </w:t>
      </w:r>
      <w:r>
        <w:rPr/>
        <w:t>la</w:t>
      </w:r>
      <w:r>
        <w:rPr>
          <w:spacing w:val="-14"/>
        </w:rPr>
        <w:t> </w:t>
      </w:r>
      <w:r>
        <w:rPr/>
        <w:t>industria</w:t>
      </w:r>
      <w:r>
        <w:rPr>
          <w:spacing w:val="-14"/>
        </w:rPr>
        <w:t> </w:t>
      </w:r>
      <w:r>
        <w:rPr/>
        <w:t>automotriz.</w:t>
      </w:r>
      <w:r>
        <w:rPr>
          <w:spacing w:val="-13"/>
        </w:rPr>
        <w:t> </w:t>
      </w:r>
      <w:r>
        <w:rPr/>
        <w:t>En</w:t>
      </w:r>
      <w:r>
        <w:rPr>
          <w:spacing w:val="-14"/>
        </w:rPr>
        <w:t> </w:t>
      </w:r>
      <w:r>
        <w:rPr/>
        <w:t>2008,</w:t>
      </w:r>
      <w:r>
        <w:rPr>
          <w:spacing w:val="-11"/>
        </w:rPr>
        <w:t> </w:t>
      </w:r>
      <w:r>
        <w:rPr/>
        <w:t>prácticamente</w:t>
      </w:r>
      <w:r>
        <w:rPr>
          <w:spacing w:val="-14"/>
        </w:rPr>
        <w:t> </w:t>
      </w:r>
      <w:r>
        <w:rPr/>
        <w:t>todos</w:t>
      </w:r>
      <w:r>
        <w:rPr>
          <w:spacing w:val="-13"/>
        </w:rPr>
        <w:t> </w:t>
      </w:r>
      <w:r>
        <w:rPr/>
        <w:t>los</w:t>
      </w:r>
      <w:r>
        <w:rPr>
          <w:spacing w:val="-13"/>
        </w:rPr>
        <w:t> </w:t>
      </w:r>
      <w:r>
        <w:rPr/>
        <w:t>estados</w:t>
      </w:r>
      <w:r>
        <w:rPr>
          <w:spacing w:val="-13"/>
        </w:rPr>
        <w:t> </w:t>
      </w:r>
      <w:r>
        <w:rPr/>
        <w:t>mostraron un índice muy significativo en la concentración del personal ocupado de la industria automotriz</w:t>
      </w:r>
      <w:r>
        <w:rPr>
          <w:spacing w:val="-14"/>
        </w:rPr>
        <w:t> </w:t>
      </w:r>
      <w:r>
        <w:rPr/>
        <w:t>en</w:t>
      </w:r>
      <w:r>
        <w:rPr>
          <w:spacing w:val="-16"/>
        </w:rPr>
        <w:t> </w:t>
      </w:r>
      <w:r>
        <w:rPr/>
        <w:t>la</w:t>
      </w:r>
      <w:r>
        <w:rPr>
          <w:spacing w:val="-16"/>
        </w:rPr>
        <w:t> </w:t>
      </w:r>
      <w:r>
        <w:rPr/>
        <w:t>manufactura,</w:t>
      </w:r>
      <w:r>
        <w:rPr>
          <w:spacing w:val="-16"/>
        </w:rPr>
        <w:t> </w:t>
      </w:r>
      <w:r>
        <w:rPr/>
        <w:t>donde</w:t>
      </w:r>
      <w:r>
        <w:rPr>
          <w:spacing w:val="-15"/>
        </w:rPr>
        <w:t> </w:t>
      </w:r>
      <w:r>
        <w:rPr/>
        <w:t>sobresalen</w:t>
      </w:r>
      <w:r>
        <w:rPr>
          <w:spacing w:val="-16"/>
        </w:rPr>
        <w:t> </w:t>
      </w:r>
      <w:r>
        <w:rPr/>
        <w:t>los</w:t>
      </w:r>
      <w:r>
        <w:rPr>
          <w:spacing w:val="-13"/>
        </w:rPr>
        <w:t> </w:t>
      </w:r>
      <w:r>
        <w:rPr/>
        <w:t>estados</w:t>
      </w:r>
      <w:r>
        <w:rPr>
          <w:spacing w:val="-16"/>
        </w:rPr>
        <w:t> </w:t>
      </w:r>
      <w:r>
        <w:rPr/>
        <w:t>de</w:t>
      </w:r>
      <w:r>
        <w:rPr>
          <w:spacing w:val="-17"/>
        </w:rPr>
        <w:t> </w:t>
      </w:r>
      <w:r>
        <w:rPr/>
        <w:t>Chihuahua,</w:t>
      </w:r>
      <w:r>
        <w:rPr>
          <w:spacing w:val="-14"/>
        </w:rPr>
        <w:t> </w:t>
      </w:r>
      <w:r>
        <w:rPr/>
        <w:t>Coahuila</w:t>
      </w:r>
      <w:r>
        <w:rPr>
          <w:spacing w:val="-12"/>
        </w:rPr>
        <w:t> </w:t>
      </w:r>
      <w:r>
        <w:rPr/>
        <w:t>y</w:t>
      </w:r>
      <w:r>
        <w:rPr>
          <w:spacing w:val="-21"/>
        </w:rPr>
        <w:t> </w:t>
      </w:r>
      <w:r>
        <w:rPr/>
        <w:t>Sonora con índices de 2.8, 2.7 y 1.9,</w:t>
      </w:r>
      <w:r>
        <w:rPr>
          <w:spacing w:val="-8"/>
        </w:rPr>
        <w:t> </w:t>
      </w:r>
      <w:r>
        <w:rPr/>
        <w:t>respectivamente.</w:t>
      </w:r>
    </w:p>
    <w:p>
      <w:pPr>
        <w:pStyle w:val="BodyText"/>
        <w:spacing w:before="4"/>
        <w:rPr>
          <w:sz w:val="21"/>
        </w:rPr>
      </w:pPr>
    </w:p>
    <w:p>
      <w:pPr>
        <w:pStyle w:val="BodyText"/>
        <w:spacing w:line="360" w:lineRule="auto" w:before="1"/>
        <w:ind w:left="102" w:right="116"/>
        <w:jc w:val="both"/>
      </w:pPr>
      <w:r>
        <w:rPr/>
        <w:t>Es importante resaltar que el estado de Baja California presentó durante todos los años de análisis, coeficientes de localización que son menores a la unidad, lo que sugiere que en cuanto a la variable de personal ocupado, la industria automotriz sin dejar de ser importante para</w:t>
      </w:r>
      <w:r>
        <w:rPr>
          <w:spacing w:val="-7"/>
        </w:rPr>
        <w:t> </w:t>
      </w:r>
      <w:r>
        <w:rPr/>
        <w:t>la</w:t>
      </w:r>
      <w:r>
        <w:rPr>
          <w:spacing w:val="-8"/>
        </w:rPr>
        <w:t> </w:t>
      </w:r>
      <w:r>
        <w:rPr/>
        <w:t>región</w:t>
      </w:r>
      <w:r>
        <w:rPr>
          <w:spacing w:val="-7"/>
        </w:rPr>
        <w:t> </w:t>
      </w:r>
      <w:r>
        <w:rPr/>
        <w:t>norte,</w:t>
      </w:r>
      <w:r>
        <w:rPr>
          <w:spacing w:val="-8"/>
        </w:rPr>
        <w:t> </w:t>
      </w:r>
      <w:r>
        <w:rPr/>
        <w:t>no</w:t>
      </w:r>
      <w:r>
        <w:rPr>
          <w:spacing w:val="-8"/>
        </w:rPr>
        <w:t> </w:t>
      </w:r>
      <w:r>
        <w:rPr/>
        <w:t>ha</w:t>
      </w:r>
      <w:r>
        <w:rPr>
          <w:spacing w:val="-9"/>
        </w:rPr>
        <w:t> </w:t>
      </w:r>
      <w:r>
        <w:rPr/>
        <w:t>sido</w:t>
      </w:r>
      <w:r>
        <w:rPr>
          <w:spacing w:val="-7"/>
        </w:rPr>
        <w:t> </w:t>
      </w:r>
      <w:r>
        <w:rPr/>
        <w:t>una</w:t>
      </w:r>
      <w:r>
        <w:rPr>
          <w:spacing w:val="-6"/>
        </w:rPr>
        <w:t> </w:t>
      </w:r>
      <w:r>
        <w:rPr/>
        <w:t>industria</w:t>
      </w:r>
      <w:r>
        <w:rPr>
          <w:spacing w:val="-8"/>
        </w:rPr>
        <w:t> </w:t>
      </w:r>
      <w:r>
        <w:rPr/>
        <w:t>que</w:t>
      </w:r>
      <w:r>
        <w:rPr>
          <w:spacing w:val="-9"/>
        </w:rPr>
        <w:t> </w:t>
      </w:r>
      <w:r>
        <w:rPr/>
        <w:t>active</w:t>
      </w:r>
      <w:r>
        <w:rPr>
          <w:spacing w:val="-9"/>
        </w:rPr>
        <w:t> </w:t>
      </w:r>
      <w:r>
        <w:rPr/>
        <w:t>al</w:t>
      </w:r>
      <w:r>
        <w:rPr>
          <w:spacing w:val="-7"/>
        </w:rPr>
        <w:t> </w:t>
      </w:r>
      <w:r>
        <w:rPr/>
        <w:t>sector</w:t>
      </w:r>
      <w:r>
        <w:rPr>
          <w:spacing w:val="-6"/>
        </w:rPr>
        <w:t> </w:t>
      </w:r>
      <w:r>
        <w:rPr/>
        <w:t>manufacturero</w:t>
      </w:r>
      <w:r>
        <w:rPr>
          <w:spacing w:val="-8"/>
        </w:rPr>
        <w:t> </w:t>
      </w:r>
      <w:r>
        <w:rPr/>
        <w:t>de</w:t>
      </w:r>
      <w:r>
        <w:rPr>
          <w:spacing w:val="-9"/>
        </w:rPr>
        <w:t> </w:t>
      </w:r>
      <w:r>
        <w:rPr/>
        <w:t>la</w:t>
      </w:r>
      <w:r>
        <w:rPr>
          <w:spacing w:val="-6"/>
        </w:rPr>
        <w:t> </w:t>
      </w:r>
      <w:r>
        <w:rPr/>
        <w:t>entidad (véase cuadro</w:t>
      </w:r>
      <w:r>
        <w:rPr>
          <w:spacing w:val="-5"/>
        </w:rPr>
        <w:t> </w:t>
      </w:r>
      <w:r>
        <w:rPr/>
        <w:t>4.15).</w:t>
      </w:r>
    </w:p>
    <w:p>
      <w:pPr>
        <w:spacing w:after="0" w:line="360" w:lineRule="auto"/>
        <w:jc w:val="both"/>
        <w:sectPr>
          <w:pgSz w:w="12240" w:h="15840"/>
          <w:pgMar w:header="0" w:footer="1035" w:top="1360" w:bottom="1220" w:left="1600" w:right="1580"/>
        </w:sectPr>
      </w:pPr>
    </w:p>
    <w:p>
      <w:pPr>
        <w:pStyle w:val="Heading1"/>
        <w:spacing w:line="360" w:lineRule="auto" w:before="55" w:after="34"/>
        <w:ind w:left="980" w:right="629" w:hanging="356"/>
      </w:pPr>
      <w:r>
        <w:rPr/>
        <w:t>Cuadro 4.15. Cocientes de localización del Personal Ocupado de la industria automotriz en el sector manufacturero de la Región Norte, 1980-2008</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02"/>
        <w:gridCol w:w="977"/>
        <w:gridCol w:w="977"/>
        <w:gridCol w:w="977"/>
        <w:gridCol w:w="974"/>
        <w:gridCol w:w="977"/>
        <w:gridCol w:w="977"/>
        <w:gridCol w:w="968"/>
      </w:tblGrid>
      <w:tr>
        <w:trPr>
          <w:trHeight w:val="247" w:hRule="exact"/>
        </w:trPr>
        <w:tc>
          <w:tcPr>
            <w:tcW w:w="2002" w:type="dxa"/>
            <w:tcBorders>
              <w:right w:val="nil"/>
            </w:tcBorders>
            <w:shd w:val="clear" w:color="auto" w:fill="A6A6A6"/>
          </w:tcPr>
          <w:p>
            <w:pPr/>
          </w:p>
        </w:tc>
        <w:tc>
          <w:tcPr>
            <w:tcW w:w="977" w:type="dxa"/>
            <w:tcBorders>
              <w:left w:val="nil"/>
              <w:right w:val="nil"/>
            </w:tcBorders>
            <w:shd w:val="clear" w:color="auto" w:fill="A6A6A6"/>
          </w:tcPr>
          <w:p>
            <w:pPr>
              <w:pStyle w:val="TableParagraph"/>
              <w:spacing w:line="223" w:lineRule="exact"/>
              <w:ind w:left="269" w:right="267"/>
              <w:rPr>
                <w:b/>
                <w:sz w:val="20"/>
              </w:rPr>
            </w:pPr>
            <w:r>
              <w:rPr>
                <w:b/>
                <w:sz w:val="20"/>
              </w:rPr>
              <w:t>1980</w:t>
            </w:r>
          </w:p>
        </w:tc>
        <w:tc>
          <w:tcPr>
            <w:tcW w:w="977" w:type="dxa"/>
            <w:tcBorders>
              <w:left w:val="nil"/>
              <w:right w:val="nil"/>
            </w:tcBorders>
            <w:shd w:val="clear" w:color="auto" w:fill="A6A6A6"/>
          </w:tcPr>
          <w:p>
            <w:pPr>
              <w:pStyle w:val="TableParagraph"/>
              <w:spacing w:line="223" w:lineRule="exact"/>
              <w:ind w:left="269" w:right="267"/>
              <w:rPr>
                <w:b/>
                <w:sz w:val="20"/>
              </w:rPr>
            </w:pPr>
            <w:r>
              <w:rPr>
                <w:b/>
                <w:sz w:val="20"/>
              </w:rPr>
              <w:t>1985</w:t>
            </w:r>
          </w:p>
        </w:tc>
        <w:tc>
          <w:tcPr>
            <w:tcW w:w="977" w:type="dxa"/>
            <w:tcBorders>
              <w:left w:val="nil"/>
              <w:right w:val="nil"/>
            </w:tcBorders>
            <w:shd w:val="clear" w:color="auto" w:fill="A6A6A6"/>
          </w:tcPr>
          <w:p>
            <w:pPr>
              <w:pStyle w:val="TableParagraph"/>
              <w:spacing w:line="223" w:lineRule="exact"/>
              <w:ind w:left="269" w:right="267"/>
              <w:rPr>
                <w:b/>
                <w:sz w:val="20"/>
              </w:rPr>
            </w:pPr>
            <w:r>
              <w:rPr>
                <w:b/>
                <w:sz w:val="20"/>
              </w:rPr>
              <w:t>1988</w:t>
            </w:r>
          </w:p>
        </w:tc>
        <w:tc>
          <w:tcPr>
            <w:tcW w:w="974" w:type="dxa"/>
            <w:tcBorders>
              <w:left w:val="nil"/>
              <w:right w:val="nil"/>
            </w:tcBorders>
            <w:shd w:val="clear" w:color="auto" w:fill="A6A6A6"/>
          </w:tcPr>
          <w:p>
            <w:pPr>
              <w:pStyle w:val="TableParagraph"/>
              <w:spacing w:line="223" w:lineRule="exact"/>
              <w:ind w:left="285"/>
              <w:jc w:val="left"/>
              <w:rPr>
                <w:b/>
                <w:sz w:val="20"/>
              </w:rPr>
            </w:pPr>
            <w:r>
              <w:rPr>
                <w:b/>
                <w:sz w:val="20"/>
              </w:rPr>
              <w:t>1993</w:t>
            </w:r>
          </w:p>
        </w:tc>
        <w:tc>
          <w:tcPr>
            <w:tcW w:w="977" w:type="dxa"/>
            <w:tcBorders>
              <w:left w:val="nil"/>
              <w:right w:val="nil"/>
            </w:tcBorders>
            <w:shd w:val="clear" w:color="auto" w:fill="A6A6A6"/>
          </w:tcPr>
          <w:p>
            <w:pPr>
              <w:pStyle w:val="TableParagraph"/>
              <w:spacing w:line="223" w:lineRule="exact"/>
              <w:ind w:left="269" w:right="268"/>
              <w:rPr>
                <w:b/>
                <w:sz w:val="20"/>
              </w:rPr>
            </w:pPr>
            <w:r>
              <w:rPr>
                <w:b/>
                <w:sz w:val="20"/>
              </w:rPr>
              <w:t>1998</w:t>
            </w:r>
          </w:p>
        </w:tc>
        <w:tc>
          <w:tcPr>
            <w:tcW w:w="977" w:type="dxa"/>
            <w:tcBorders>
              <w:left w:val="nil"/>
              <w:right w:val="nil"/>
            </w:tcBorders>
            <w:shd w:val="clear" w:color="auto" w:fill="A6A6A6"/>
          </w:tcPr>
          <w:p>
            <w:pPr>
              <w:pStyle w:val="TableParagraph"/>
              <w:spacing w:line="223" w:lineRule="exact"/>
              <w:ind w:left="269" w:right="267"/>
              <w:rPr>
                <w:b/>
                <w:sz w:val="20"/>
              </w:rPr>
            </w:pPr>
            <w:r>
              <w:rPr>
                <w:b/>
                <w:sz w:val="20"/>
              </w:rPr>
              <w:t>2003</w:t>
            </w:r>
          </w:p>
        </w:tc>
        <w:tc>
          <w:tcPr>
            <w:tcW w:w="968" w:type="dxa"/>
            <w:tcBorders>
              <w:left w:val="nil"/>
            </w:tcBorders>
            <w:shd w:val="clear" w:color="auto" w:fill="A6A6A6"/>
          </w:tcPr>
          <w:p>
            <w:pPr>
              <w:pStyle w:val="TableParagraph"/>
              <w:spacing w:line="223" w:lineRule="exact"/>
              <w:ind w:left="261" w:right="260"/>
              <w:rPr>
                <w:b/>
                <w:sz w:val="20"/>
              </w:rPr>
            </w:pPr>
            <w:r>
              <w:rPr>
                <w:b/>
                <w:sz w:val="20"/>
              </w:rPr>
              <w:t>2008</w:t>
            </w:r>
          </w:p>
        </w:tc>
      </w:tr>
      <w:tr>
        <w:trPr>
          <w:trHeight w:val="304" w:hRule="exact"/>
        </w:trPr>
        <w:tc>
          <w:tcPr>
            <w:tcW w:w="2002" w:type="dxa"/>
            <w:shd w:val="clear" w:color="auto" w:fill="E1EED9"/>
          </w:tcPr>
          <w:p>
            <w:pPr>
              <w:pStyle w:val="TableParagraph"/>
              <w:spacing w:before="43"/>
              <w:ind w:left="103"/>
              <w:jc w:val="left"/>
              <w:rPr>
                <w:b/>
                <w:sz w:val="20"/>
              </w:rPr>
            </w:pPr>
            <w:r>
              <w:rPr>
                <w:b/>
                <w:sz w:val="20"/>
              </w:rPr>
              <w:t>Región Norte</w:t>
            </w:r>
          </w:p>
        </w:tc>
        <w:tc>
          <w:tcPr>
            <w:tcW w:w="977" w:type="dxa"/>
            <w:tcBorders>
              <w:top w:val="single" w:sz="13" w:space="0" w:color="A6A6A6"/>
            </w:tcBorders>
            <w:shd w:val="clear" w:color="auto" w:fill="E1EED9"/>
          </w:tcPr>
          <w:p>
            <w:pPr>
              <w:pStyle w:val="TableParagraph"/>
              <w:spacing w:before="31"/>
              <w:ind w:left="262" w:right="263"/>
              <w:rPr>
                <w:b/>
                <w:sz w:val="20"/>
              </w:rPr>
            </w:pPr>
            <w:r>
              <w:rPr>
                <w:b/>
                <w:sz w:val="20"/>
              </w:rPr>
              <w:t>0.8</w:t>
            </w:r>
          </w:p>
        </w:tc>
        <w:tc>
          <w:tcPr>
            <w:tcW w:w="977" w:type="dxa"/>
            <w:tcBorders>
              <w:top w:val="single" w:sz="13" w:space="0" w:color="A6A6A6"/>
            </w:tcBorders>
            <w:shd w:val="clear" w:color="auto" w:fill="E1EED9"/>
          </w:tcPr>
          <w:p>
            <w:pPr>
              <w:pStyle w:val="TableParagraph"/>
              <w:spacing w:before="31"/>
              <w:ind w:left="262" w:right="263"/>
              <w:rPr>
                <w:b/>
                <w:sz w:val="20"/>
              </w:rPr>
            </w:pPr>
            <w:r>
              <w:rPr>
                <w:b/>
                <w:sz w:val="20"/>
              </w:rPr>
              <w:t>1.5</w:t>
            </w:r>
          </w:p>
        </w:tc>
        <w:tc>
          <w:tcPr>
            <w:tcW w:w="977" w:type="dxa"/>
            <w:tcBorders>
              <w:top w:val="single" w:sz="13" w:space="0" w:color="A6A6A6"/>
            </w:tcBorders>
            <w:shd w:val="clear" w:color="auto" w:fill="E1EED9"/>
          </w:tcPr>
          <w:p>
            <w:pPr>
              <w:pStyle w:val="TableParagraph"/>
              <w:spacing w:before="31"/>
              <w:ind w:left="338" w:right="339"/>
              <w:rPr>
                <w:b/>
                <w:sz w:val="20"/>
              </w:rPr>
            </w:pPr>
            <w:r>
              <w:rPr>
                <w:b/>
                <w:sz w:val="20"/>
              </w:rPr>
              <w:t>1.8</w:t>
            </w:r>
          </w:p>
        </w:tc>
        <w:tc>
          <w:tcPr>
            <w:tcW w:w="974" w:type="dxa"/>
            <w:tcBorders>
              <w:top w:val="single" w:sz="13" w:space="0" w:color="A6A6A6"/>
            </w:tcBorders>
            <w:shd w:val="clear" w:color="auto" w:fill="E1EED9"/>
          </w:tcPr>
          <w:p>
            <w:pPr>
              <w:pStyle w:val="TableParagraph"/>
              <w:spacing w:before="31"/>
              <w:ind w:left="355"/>
              <w:jc w:val="left"/>
              <w:rPr>
                <w:b/>
                <w:sz w:val="20"/>
              </w:rPr>
            </w:pPr>
            <w:r>
              <w:rPr>
                <w:b/>
                <w:sz w:val="20"/>
              </w:rPr>
              <w:t>1.8</w:t>
            </w:r>
          </w:p>
        </w:tc>
        <w:tc>
          <w:tcPr>
            <w:tcW w:w="977" w:type="dxa"/>
            <w:tcBorders>
              <w:top w:val="single" w:sz="13" w:space="0" w:color="A6A6A6"/>
            </w:tcBorders>
            <w:shd w:val="clear" w:color="auto" w:fill="E1EED9"/>
          </w:tcPr>
          <w:p>
            <w:pPr>
              <w:pStyle w:val="TableParagraph"/>
              <w:spacing w:before="31"/>
              <w:ind w:left="338" w:right="338"/>
              <w:rPr>
                <w:b/>
                <w:sz w:val="20"/>
              </w:rPr>
            </w:pPr>
            <w:r>
              <w:rPr>
                <w:b/>
                <w:sz w:val="20"/>
              </w:rPr>
              <w:t>1.9</w:t>
            </w:r>
          </w:p>
        </w:tc>
        <w:tc>
          <w:tcPr>
            <w:tcW w:w="977" w:type="dxa"/>
            <w:tcBorders>
              <w:top w:val="single" w:sz="13" w:space="0" w:color="A6A6A6"/>
            </w:tcBorders>
            <w:shd w:val="clear" w:color="auto" w:fill="E1EED9"/>
          </w:tcPr>
          <w:p>
            <w:pPr>
              <w:pStyle w:val="TableParagraph"/>
              <w:spacing w:before="31"/>
              <w:ind w:left="262" w:right="263"/>
              <w:rPr>
                <w:b/>
                <w:sz w:val="20"/>
              </w:rPr>
            </w:pPr>
            <w:r>
              <w:rPr>
                <w:b/>
                <w:sz w:val="20"/>
              </w:rPr>
              <w:t>2.0</w:t>
            </w:r>
          </w:p>
        </w:tc>
        <w:tc>
          <w:tcPr>
            <w:tcW w:w="968" w:type="dxa"/>
            <w:tcBorders>
              <w:top w:val="single" w:sz="13" w:space="0" w:color="A6A6A6"/>
            </w:tcBorders>
            <w:shd w:val="clear" w:color="auto" w:fill="E1EED9"/>
          </w:tcPr>
          <w:p>
            <w:pPr>
              <w:pStyle w:val="TableParagraph"/>
              <w:spacing w:before="31"/>
              <w:ind w:left="334" w:right="334"/>
              <w:rPr>
                <w:b/>
                <w:sz w:val="20"/>
              </w:rPr>
            </w:pPr>
            <w:r>
              <w:rPr>
                <w:b/>
                <w:sz w:val="20"/>
              </w:rPr>
              <w:t>1.7</w:t>
            </w:r>
          </w:p>
        </w:tc>
      </w:tr>
      <w:tr>
        <w:trPr>
          <w:trHeight w:val="260" w:hRule="exact"/>
        </w:trPr>
        <w:tc>
          <w:tcPr>
            <w:tcW w:w="2002" w:type="dxa"/>
            <w:tcBorders>
              <w:top w:val="single" w:sz="18" w:space="0" w:color="E1EED9"/>
            </w:tcBorders>
          </w:tcPr>
          <w:p>
            <w:pPr>
              <w:pStyle w:val="TableParagraph"/>
              <w:spacing w:line="223" w:lineRule="exact"/>
              <w:ind w:left="103"/>
              <w:jc w:val="left"/>
              <w:rPr>
                <w:sz w:val="20"/>
              </w:rPr>
            </w:pPr>
            <w:r>
              <w:rPr>
                <w:sz w:val="20"/>
              </w:rPr>
              <w:t>Baja California Norte</w:t>
            </w:r>
          </w:p>
        </w:tc>
        <w:tc>
          <w:tcPr>
            <w:tcW w:w="977" w:type="dxa"/>
            <w:tcBorders>
              <w:top w:val="single" w:sz="18" w:space="0" w:color="E1EED9"/>
            </w:tcBorders>
          </w:tcPr>
          <w:p>
            <w:pPr>
              <w:pStyle w:val="TableParagraph"/>
              <w:spacing w:line="223" w:lineRule="exact"/>
              <w:ind w:left="262" w:right="263"/>
              <w:rPr>
                <w:sz w:val="20"/>
              </w:rPr>
            </w:pPr>
            <w:r>
              <w:rPr>
                <w:sz w:val="20"/>
              </w:rPr>
              <w:t>0.6</w:t>
            </w:r>
          </w:p>
        </w:tc>
        <w:tc>
          <w:tcPr>
            <w:tcW w:w="977" w:type="dxa"/>
            <w:tcBorders>
              <w:top w:val="single" w:sz="18" w:space="0" w:color="E1EED9"/>
            </w:tcBorders>
          </w:tcPr>
          <w:p>
            <w:pPr>
              <w:pStyle w:val="TableParagraph"/>
              <w:spacing w:line="223" w:lineRule="exact"/>
              <w:ind w:left="262" w:right="263"/>
              <w:rPr>
                <w:sz w:val="20"/>
              </w:rPr>
            </w:pPr>
            <w:r>
              <w:rPr>
                <w:sz w:val="20"/>
              </w:rPr>
              <w:t>0.4</w:t>
            </w:r>
          </w:p>
        </w:tc>
        <w:tc>
          <w:tcPr>
            <w:tcW w:w="977" w:type="dxa"/>
            <w:tcBorders>
              <w:top w:val="single" w:sz="18" w:space="0" w:color="E1EED9"/>
            </w:tcBorders>
          </w:tcPr>
          <w:p>
            <w:pPr>
              <w:pStyle w:val="TableParagraph"/>
              <w:spacing w:line="223" w:lineRule="exact"/>
              <w:ind w:left="338" w:right="339"/>
              <w:rPr>
                <w:sz w:val="20"/>
              </w:rPr>
            </w:pPr>
            <w:r>
              <w:rPr>
                <w:sz w:val="20"/>
              </w:rPr>
              <w:t>0.5</w:t>
            </w:r>
          </w:p>
        </w:tc>
        <w:tc>
          <w:tcPr>
            <w:tcW w:w="974" w:type="dxa"/>
            <w:tcBorders>
              <w:top w:val="single" w:sz="18" w:space="0" w:color="E1EED9"/>
            </w:tcBorders>
          </w:tcPr>
          <w:p>
            <w:pPr>
              <w:pStyle w:val="TableParagraph"/>
              <w:spacing w:line="223" w:lineRule="exact"/>
              <w:ind w:left="355"/>
              <w:jc w:val="left"/>
              <w:rPr>
                <w:sz w:val="20"/>
              </w:rPr>
            </w:pPr>
            <w:r>
              <w:rPr>
                <w:sz w:val="20"/>
              </w:rPr>
              <w:t>0.4</w:t>
            </w:r>
          </w:p>
        </w:tc>
        <w:tc>
          <w:tcPr>
            <w:tcW w:w="977" w:type="dxa"/>
            <w:tcBorders>
              <w:top w:val="single" w:sz="18" w:space="0" w:color="E1EED9"/>
            </w:tcBorders>
          </w:tcPr>
          <w:p>
            <w:pPr>
              <w:pStyle w:val="TableParagraph"/>
              <w:spacing w:line="223" w:lineRule="exact"/>
              <w:ind w:left="338" w:right="338"/>
              <w:rPr>
                <w:sz w:val="20"/>
              </w:rPr>
            </w:pPr>
            <w:r>
              <w:rPr>
                <w:sz w:val="20"/>
              </w:rPr>
              <w:t>0.4</w:t>
            </w:r>
          </w:p>
        </w:tc>
        <w:tc>
          <w:tcPr>
            <w:tcW w:w="977" w:type="dxa"/>
            <w:tcBorders>
              <w:top w:val="single" w:sz="18" w:space="0" w:color="E1EED9"/>
            </w:tcBorders>
          </w:tcPr>
          <w:p>
            <w:pPr>
              <w:pStyle w:val="TableParagraph"/>
              <w:spacing w:line="223" w:lineRule="exact"/>
              <w:ind w:left="262" w:right="263"/>
              <w:rPr>
                <w:sz w:val="20"/>
              </w:rPr>
            </w:pPr>
            <w:r>
              <w:rPr>
                <w:sz w:val="20"/>
              </w:rPr>
              <w:t>0.5</w:t>
            </w:r>
          </w:p>
        </w:tc>
        <w:tc>
          <w:tcPr>
            <w:tcW w:w="968" w:type="dxa"/>
            <w:tcBorders>
              <w:top w:val="single" w:sz="18" w:space="0" w:color="E1EED9"/>
            </w:tcBorders>
          </w:tcPr>
          <w:p>
            <w:pPr>
              <w:pStyle w:val="TableParagraph"/>
              <w:spacing w:line="223" w:lineRule="exact"/>
              <w:ind w:left="334" w:right="334"/>
              <w:rPr>
                <w:sz w:val="20"/>
              </w:rPr>
            </w:pPr>
            <w:r>
              <w:rPr>
                <w:sz w:val="20"/>
              </w:rPr>
              <w:t>0.3</w:t>
            </w:r>
          </w:p>
        </w:tc>
      </w:tr>
      <w:tr>
        <w:trPr>
          <w:trHeight w:val="240" w:hRule="exact"/>
        </w:trPr>
        <w:tc>
          <w:tcPr>
            <w:tcW w:w="2002" w:type="dxa"/>
          </w:tcPr>
          <w:p>
            <w:pPr>
              <w:pStyle w:val="TableParagraph"/>
              <w:spacing w:line="223" w:lineRule="exact"/>
              <w:ind w:left="103"/>
              <w:jc w:val="left"/>
              <w:rPr>
                <w:sz w:val="20"/>
              </w:rPr>
            </w:pPr>
            <w:r>
              <w:rPr>
                <w:sz w:val="20"/>
              </w:rPr>
              <w:t>Chihuahua</w:t>
            </w:r>
          </w:p>
        </w:tc>
        <w:tc>
          <w:tcPr>
            <w:tcW w:w="977" w:type="dxa"/>
          </w:tcPr>
          <w:p>
            <w:pPr>
              <w:pStyle w:val="TableParagraph"/>
              <w:spacing w:line="223" w:lineRule="exact"/>
              <w:ind w:left="262" w:right="263"/>
              <w:rPr>
                <w:sz w:val="20"/>
              </w:rPr>
            </w:pPr>
            <w:r>
              <w:rPr>
                <w:sz w:val="20"/>
              </w:rPr>
              <w:t>0.9</w:t>
            </w:r>
          </w:p>
        </w:tc>
        <w:tc>
          <w:tcPr>
            <w:tcW w:w="977" w:type="dxa"/>
          </w:tcPr>
          <w:p>
            <w:pPr>
              <w:pStyle w:val="TableParagraph"/>
              <w:spacing w:line="223" w:lineRule="exact"/>
              <w:ind w:left="262" w:right="263"/>
              <w:rPr>
                <w:sz w:val="20"/>
              </w:rPr>
            </w:pPr>
            <w:r>
              <w:rPr>
                <w:sz w:val="20"/>
              </w:rPr>
              <w:t>3.4</w:t>
            </w:r>
          </w:p>
        </w:tc>
        <w:tc>
          <w:tcPr>
            <w:tcW w:w="977" w:type="dxa"/>
          </w:tcPr>
          <w:p>
            <w:pPr>
              <w:pStyle w:val="TableParagraph"/>
              <w:spacing w:line="223" w:lineRule="exact"/>
              <w:ind w:left="338" w:right="339"/>
              <w:rPr>
                <w:sz w:val="20"/>
              </w:rPr>
            </w:pPr>
            <w:r>
              <w:rPr>
                <w:sz w:val="20"/>
              </w:rPr>
              <w:t>3.7</w:t>
            </w:r>
          </w:p>
        </w:tc>
        <w:tc>
          <w:tcPr>
            <w:tcW w:w="974" w:type="dxa"/>
          </w:tcPr>
          <w:p>
            <w:pPr>
              <w:pStyle w:val="TableParagraph"/>
              <w:spacing w:line="223" w:lineRule="exact"/>
              <w:ind w:left="355"/>
              <w:jc w:val="left"/>
              <w:rPr>
                <w:sz w:val="20"/>
              </w:rPr>
            </w:pPr>
            <w:r>
              <w:rPr>
                <w:sz w:val="20"/>
              </w:rPr>
              <w:t>3.3</w:t>
            </w:r>
          </w:p>
        </w:tc>
        <w:tc>
          <w:tcPr>
            <w:tcW w:w="977" w:type="dxa"/>
          </w:tcPr>
          <w:p>
            <w:pPr>
              <w:pStyle w:val="TableParagraph"/>
              <w:spacing w:line="223" w:lineRule="exact"/>
              <w:ind w:left="338" w:right="338"/>
              <w:rPr>
                <w:sz w:val="20"/>
              </w:rPr>
            </w:pPr>
            <w:r>
              <w:rPr>
                <w:sz w:val="20"/>
              </w:rPr>
              <w:t>3.7</w:t>
            </w:r>
          </w:p>
        </w:tc>
        <w:tc>
          <w:tcPr>
            <w:tcW w:w="977" w:type="dxa"/>
          </w:tcPr>
          <w:p>
            <w:pPr>
              <w:pStyle w:val="TableParagraph"/>
              <w:spacing w:line="223" w:lineRule="exact"/>
              <w:ind w:left="262" w:right="263"/>
              <w:rPr>
                <w:sz w:val="20"/>
              </w:rPr>
            </w:pPr>
            <w:r>
              <w:rPr>
                <w:sz w:val="20"/>
              </w:rPr>
              <w:t>3.8</w:t>
            </w:r>
          </w:p>
        </w:tc>
        <w:tc>
          <w:tcPr>
            <w:tcW w:w="968" w:type="dxa"/>
          </w:tcPr>
          <w:p>
            <w:pPr>
              <w:pStyle w:val="TableParagraph"/>
              <w:spacing w:line="223" w:lineRule="exact"/>
              <w:ind w:left="334" w:right="334"/>
              <w:rPr>
                <w:sz w:val="20"/>
              </w:rPr>
            </w:pPr>
            <w:r>
              <w:rPr>
                <w:sz w:val="20"/>
              </w:rPr>
              <w:t>2.8</w:t>
            </w:r>
          </w:p>
        </w:tc>
      </w:tr>
      <w:tr>
        <w:trPr>
          <w:trHeight w:val="240" w:hRule="exact"/>
        </w:trPr>
        <w:tc>
          <w:tcPr>
            <w:tcW w:w="2002" w:type="dxa"/>
          </w:tcPr>
          <w:p>
            <w:pPr>
              <w:pStyle w:val="TableParagraph"/>
              <w:spacing w:line="223" w:lineRule="exact"/>
              <w:ind w:left="103"/>
              <w:jc w:val="left"/>
              <w:rPr>
                <w:sz w:val="20"/>
              </w:rPr>
            </w:pPr>
            <w:r>
              <w:rPr>
                <w:sz w:val="20"/>
              </w:rPr>
              <w:t>Coahuila</w:t>
            </w:r>
          </w:p>
        </w:tc>
        <w:tc>
          <w:tcPr>
            <w:tcW w:w="977" w:type="dxa"/>
          </w:tcPr>
          <w:p>
            <w:pPr>
              <w:pStyle w:val="TableParagraph"/>
              <w:spacing w:line="223" w:lineRule="exact"/>
              <w:ind w:left="262" w:right="263"/>
              <w:rPr>
                <w:sz w:val="20"/>
              </w:rPr>
            </w:pPr>
            <w:r>
              <w:rPr>
                <w:sz w:val="20"/>
              </w:rPr>
              <w:t>0.8</w:t>
            </w:r>
          </w:p>
        </w:tc>
        <w:tc>
          <w:tcPr>
            <w:tcW w:w="977" w:type="dxa"/>
          </w:tcPr>
          <w:p>
            <w:pPr>
              <w:pStyle w:val="TableParagraph"/>
              <w:spacing w:line="223" w:lineRule="exact"/>
              <w:ind w:left="262" w:right="263"/>
              <w:rPr>
                <w:sz w:val="20"/>
              </w:rPr>
            </w:pPr>
            <w:r>
              <w:rPr>
                <w:sz w:val="20"/>
              </w:rPr>
              <w:t>2.1</w:t>
            </w:r>
          </w:p>
        </w:tc>
        <w:tc>
          <w:tcPr>
            <w:tcW w:w="977" w:type="dxa"/>
          </w:tcPr>
          <w:p>
            <w:pPr>
              <w:pStyle w:val="TableParagraph"/>
              <w:spacing w:line="223" w:lineRule="exact"/>
              <w:ind w:left="338" w:right="339"/>
              <w:rPr>
                <w:sz w:val="20"/>
              </w:rPr>
            </w:pPr>
            <w:r>
              <w:rPr>
                <w:sz w:val="20"/>
              </w:rPr>
              <w:t>1.7</w:t>
            </w:r>
          </w:p>
        </w:tc>
        <w:tc>
          <w:tcPr>
            <w:tcW w:w="974" w:type="dxa"/>
          </w:tcPr>
          <w:p>
            <w:pPr>
              <w:pStyle w:val="TableParagraph"/>
              <w:spacing w:line="223" w:lineRule="exact"/>
              <w:ind w:left="355"/>
              <w:jc w:val="left"/>
              <w:rPr>
                <w:sz w:val="20"/>
              </w:rPr>
            </w:pPr>
            <w:r>
              <w:rPr>
                <w:sz w:val="20"/>
              </w:rPr>
              <w:t>2.2</w:t>
            </w:r>
          </w:p>
        </w:tc>
        <w:tc>
          <w:tcPr>
            <w:tcW w:w="977" w:type="dxa"/>
          </w:tcPr>
          <w:p>
            <w:pPr>
              <w:pStyle w:val="TableParagraph"/>
              <w:spacing w:line="223" w:lineRule="exact"/>
              <w:ind w:left="338" w:right="338"/>
              <w:rPr>
                <w:sz w:val="20"/>
              </w:rPr>
            </w:pPr>
            <w:r>
              <w:rPr>
                <w:sz w:val="20"/>
              </w:rPr>
              <w:t>2.6</w:t>
            </w:r>
          </w:p>
        </w:tc>
        <w:tc>
          <w:tcPr>
            <w:tcW w:w="977" w:type="dxa"/>
          </w:tcPr>
          <w:p>
            <w:pPr>
              <w:pStyle w:val="TableParagraph"/>
              <w:spacing w:line="223" w:lineRule="exact"/>
              <w:ind w:left="262" w:right="263"/>
              <w:rPr>
                <w:sz w:val="20"/>
              </w:rPr>
            </w:pPr>
            <w:r>
              <w:rPr>
                <w:sz w:val="20"/>
              </w:rPr>
              <w:t>2.8</w:t>
            </w:r>
          </w:p>
        </w:tc>
        <w:tc>
          <w:tcPr>
            <w:tcW w:w="968" w:type="dxa"/>
          </w:tcPr>
          <w:p>
            <w:pPr>
              <w:pStyle w:val="TableParagraph"/>
              <w:spacing w:line="223" w:lineRule="exact"/>
              <w:ind w:left="334" w:right="334"/>
              <w:rPr>
                <w:sz w:val="20"/>
              </w:rPr>
            </w:pPr>
            <w:r>
              <w:rPr>
                <w:sz w:val="20"/>
              </w:rPr>
              <w:t>2.7</w:t>
            </w:r>
          </w:p>
        </w:tc>
      </w:tr>
      <w:tr>
        <w:trPr>
          <w:trHeight w:val="240" w:hRule="exact"/>
        </w:trPr>
        <w:tc>
          <w:tcPr>
            <w:tcW w:w="2002" w:type="dxa"/>
          </w:tcPr>
          <w:p>
            <w:pPr>
              <w:pStyle w:val="TableParagraph"/>
              <w:spacing w:line="223" w:lineRule="exact"/>
              <w:ind w:left="103"/>
              <w:jc w:val="left"/>
              <w:rPr>
                <w:sz w:val="20"/>
              </w:rPr>
            </w:pPr>
            <w:r>
              <w:rPr>
                <w:sz w:val="20"/>
              </w:rPr>
              <w:t>Nuevo León</w:t>
            </w:r>
          </w:p>
        </w:tc>
        <w:tc>
          <w:tcPr>
            <w:tcW w:w="977" w:type="dxa"/>
          </w:tcPr>
          <w:p>
            <w:pPr>
              <w:pStyle w:val="TableParagraph"/>
              <w:spacing w:line="223" w:lineRule="exact"/>
              <w:ind w:left="262" w:right="263"/>
              <w:rPr>
                <w:sz w:val="20"/>
              </w:rPr>
            </w:pPr>
            <w:r>
              <w:rPr>
                <w:sz w:val="20"/>
              </w:rPr>
              <w:t>1.0</w:t>
            </w:r>
          </w:p>
        </w:tc>
        <w:tc>
          <w:tcPr>
            <w:tcW w:w="977" w:type="dxa"/>
          </w:tcPr>
          <w:p>
            <w:pPr>
              <w:pStyle w:val="TableParagraph"/>
              <w:spacing w:line="223" w:lineRule="exact"/>
              <w:ind w:left="262" w:right="263"/>
              <w:rPr>
                <w:sz w:val="20"/>
              </w:rPr>
            </w:pPr>
            <w:r>
              <w:rPr>
                <w:sz w:val="20"/>
              </w:rPr>
              <w:t>0.8</w:t>
            </w:r>
          </w:p>
        </w:tc>
        <w:tc>
          <w:tcPr>
            <w:tcW w:w="977" w:type="dxa"/>
          </w:tcPr>
          <w:p>
            <w:pPr>
              <w:pStyle w:val="TableParagraph"/>
              <w:spacing w:line="223" w:lineRule="exact"/>
              <w:ind w:left="338" w:right="339"/>
              <w:rPr>
                <w:sz w:val="20"/>
              </w:rPr>
            </w:pPr>
            <w:r>
              <w:rPr>
                <w:sz w:val="20"/>
              </w:rPr>
              <w:t>0.9</w:t>
            </w:r>
          </w:p>
        </w:tc>
        <w:tc>
          <w:tcPr>
            <w:tcW w:w="974" w:type="dxa"/>
          </w:tcPr>
          <w:p>
            <w:pPr>
              <w:pStyle w:val="TableParagraph"/>
              <w:spacing w:line="223" w:lineRule="exact"/>
              <w:ind w:left="355"/>
              <w:jc w:val="left"/>
              <w:rPr>
                <w:sz w:val="20"/>
              </w:rPr>
            </w:pPr>
            <w:r>
              <w:rPr>
                <w:sz w:val="20"/>
              </w:rPr>
              <w:t>1.1</w:t>
            </w:r>
          </w:p>
        </w:tc>
        <w:tc>
          <w:tcPr>
            <w:tcW w:w="977" w:type="dxa"/>
          </w:tcPr>
          <w:p>
            <w:pPr>
              <w:pStyle w:val="TableParagraph"/>
              <w:spacing w:line="223" w:lineRule="exact"/>
              <w:ind w:left="338" w:right="338"/>
              <w:rPr>
                <w:sz w:val="20"/>
              </w:rPr>
            </w:pPr>
            <w:r>
              <w:rPr>
                <w:sz w:val="20"/>
              </w:rPr>
              <w:t>0.9</w:t>
            </w:r>
          </w:p>
        </w:tc>
        <w:tc>
          <w:tcPr>
            <w:tcW w:w="977" w:type="dxa"/>
          </w:tcPr>
          <w:p>
            <w:pPr>
              <w:pStyle w:val="TableParagraph"/>
              <w:spacing w:line="223" w:lineRule="exact"/>
              <w:ind w:left="262" w:right="263"/>
              <w:rPr>
                <w:sz w:val="20"/>
              </w:rPr>
            </w:pPr>
            <w:r>
              <w:rPr>
                <w:sz w:val="20"/>
              </w:rPr>
              <w:t>1.0</w:t>
            </w:r>
          </w:p>
        </w:tc>
        <w:tc>
          <w:tcPr>
            <w:tcW w:w="968" w:type="dxa"/>
          </w:tcPr>
          <w:p>
            <w:pPr>
              <w:pStyle w:val="TableParagraph"/>
              <w:spacing w:line="223" w:lineRule="exact"/>
              <w:ind w:left="334" w:right="334"/>
              <w:rPr>
                <w:sz w:val="20"/>
              </w:rPr>
            </w:pPr>
            <w:r>
              <w:rPr>
                <w:sz w:val="20"/>
              </w:rPr>
              <w:t>1.0</w:t>
            </w:r>
          </w:p>
        </w:tc>
      </w:tr>
      <w:tr>
        <w:trPr>
          <w:trHeight w:val="240" w:hRule="exact"/>
        </w:trPr>
        <w:tc>
          <w:tcPr>
            <w:tcW w:w="2002" w:type="dxa"/>
          </w:tcPr>
          <w:p>
            <w:pPr>
              <w:pStyle w:val="TableParagraph"/>
              <w:spacing w:line="223" w:lineRule="exact"/>
              <w:ind w:left="103"/>
              <w:jc w:val="left"/>
              <w:rPr>
                <w:sz w:val="20"/>
              </w:rPr>
            </w:pPr>
            <w:r>
              <w:rPr>
                <w:sz w:val="20"/>
              </w:rPr>
              <w:t>Sonora</w:t>
            </w:r>
          </w:p>
        </w:tc>
        <w:tc>
          <w:tcPr>
            <w:tcW w:w="977" w:type="dxa"/>
          </w:tcPr>
          <w:p>
            <w:pPr>
              <w:pStyle w:val="TableParagraph"/>
              <w:spacing w:line="223" w:lineRule="exact"/>
              <w:ind w:left="262" w:right="263"/>
              <w:rPr>
                <w:sz w:val="20"/>
              </w:rPr>
            </w:pPr>
            <w:r>
              <w:rPr>
                <w:sz w:val="20"/>
              </w:rPr>
              <w:t>0.2</w:t>
            </w:r>
          </w:p>
        </w:tc>
        <w:tc>
          <w:tcPr>
            <w:tcW w:w="977" w:type="dxa"/>
          </w:tcPr>
          <w:p>
            <w:pPr>
              <w:pStyle w:val="TableParagraph"/>
              <w:spacing w:line="223" w:lineRule="exact"/>
              <w:ind w:left="262" w:right="263"/>
              <w:rPr>
                <w:sz w:val="20"/>
              </w:rPr>
            </w:pPr>
            <w:r>
              <w:rPr>
                <w:sz w:val="20"/>
              </w:rPr>
              <w:t>0.5</w:t>
            </w:r>
          </w:p>
        </w:tc>
        <w:tc>
          <w:tcPr>
            <w:tcW w:w="977" w:type="dxa"/>
          </w:tcPr>
          <w:p>
            <w:pPr>
              <w:pStyle w:val="TableParagraph"/>
              <w:spacing w:line="223" w:lineRule="exact"/>
              <w:ind w:left="338" w:right="339"/>
              <w:rPr>
                <w:sz w:val="20"/>
              </w:rPr>
            </w:pPr>
            <w:r>
              <w:rPr>
                <w:sz w:val="20"/>
              </w:rPr>
              <w:t>1.0</w:t>
            </w:r>
          </w:p>
        </w:tc>
        <w:tc>
          <w:tcPr>
            <w:tcW w:w="974" w:type="dxa"/>
          </w:tcPr>
          <w:p>
            <w:pPr>
              <w:pStyle w:val="TableParagraph"/>
              <w:spacing w:line="223" w:lineRule="exact"/>
              <w:ind w:left="355"/>
              <w:jc w:val="left"/>
              <w:rPr>
                <w:sz w:val="20"/>
              </w:rPr>
            </w:pPr>
            <w:r>
              <w:rPr>
                <w:sz w:val="20"/>
              </w:rPr>
              <w:t>1.3</w:t>
            </w:r>
          </w:p>
        </w:tc>
        <w:tc>
          <w:tcPr>
            <w:tcW w:w="977" w:type="dxa"/>
          </w:tcPr>
          <w:p>
            <w:pPr>
              <w:pStyle w:val="TableParagraph"/>
              <w:spacing w:line="223" w:lineRule="exact"/>
              <w:ind w:left="338" w:right="338"/>
              <w:rPr>
                <w:sz w:val="20"/>
              </w:rPr>
            </w:pPr>
            <w:r>
              <w:rPr>
                <w:sz w:val="20"/>
              </w:rPr>
              <w:t>1.5</w:t>
            </w:r>
          </w:p>
        </w:tc>
        <w:tc>
          <w:tcPr>
            <w:tcW w:w="977" w:type="dxa"/>
          </w:tcPr>
          <w:p>
            <w:pPr>
              <w:pStyle w:val="TableParagraph"/>
              <w:spacing w:line="223" w:lineRule="exact"/>
              <w:ind w:left="262" w:right="263"/>
              <w:rPr>
                <w:sz w:val="20"/>
              </w:rPr>
            </w:pPr>
            <w:r>
              <w:rPr>
                <w:sz w:val="20"/>
              </w:rPr>
              <w:t>1.2</w:t>
            </w:r>
          </w:p>
        </w:tc>
        <w:tc>
          <w:tcPr>
            <w:tcW w:w="968" w:type="dxa"/>
          </w:tcPr>
          <w:p>
            <w:pPr>
              <w:pStyle w:val="TableParagraph"/>
              <w:spacing w:line="223" w:lineRule="exact"/>
              <w:ind w:left="334" w:right="334"/>
              <w:rPr>
                <w:sz w:val="20"/>
              </w:rPr>
            </w:pPr>
            <w:r>
              <w:rPr>
                <w:sz w:val="20"/>
              </w:rPr>
              <w:t>1.9</w:t>
            </w:r>
          </w:p>
        </w:tc>
      </w:tr>
      <w:tr>
        <w:trPr>
          <w:trHeight w:val="310" w:hRule="exact"/>
        </w:trPr>
        <w:tc>
          <w:tcPr>
            <w:tcW w:w="2002" w:type="dxa"/>
          </w:tcPr>
          <w:p>
            <w:pPr>
              <w:pStyle w:val="TableParagraph"/>
              <w:spacing w:before="27"/>
              <w:ind w:left="103"/>
              <w:jc w:val="left"/>
              <w:rPr>
                <w:sz w:val="20"/>
              </w:rPr>
            </w:pPr>
            <w:r>
              <w:rPr>
                <w:sz w:val="20"/>
              </w:rPr>
              <w:t>Tamaulipas</w:t>
            </w:r>
          </w:p>
        </w:tc>
        <w:tc>
          <w:tcPr>
            <w:tcW w:w="977" w:type="dxa"/>
          </w:tcPr>
          <w:p>
            <w:pPr>
              <w:pStyle w:val="TableParagraph"/>
              <w:spacing w:before="27"/>
              <w:ind w:left="262" w:right="263"/>
              <w:rPr>
                <w:sz w:val="20"/>
              </w:rPr>
            </w:pPr>
            <w:r>
              <w:rPr>
                <w:sz w:val="20"/>
              </w:rPr>
              <w:t>0.5</w:t>
            </w:r>
          </w:p>
        </w:tc>
        <w:tc>
          <w:tcPr>
            <w:tcW w:w="977" w:type="dxa"/>
          </w:tcPr>
          <w:p>
            <w:pPr>
              <w:pStyle w:val="TableParagraph"/>
              <w:spacing w:before="27"/>
              <w:ind w:left="262" w:right="263"/>
              <w:rPr>
                <w:sz w:val="20"/>
              </w:rPr>
            </w:pPr>
            <w:r>
              <w:rPr>
                <w:sz w:val="20"/>
              </w:rPr>
              <w:t>1.1</w:t>
            </w:r>
          </w:p>
        </w:tc>
        <w:tc>
          <w:tcPr>
            <w:tcW w:w="977" w:type="dxa"/>
          </w:tcPr>
          <w:p>
            <w:pPr>
              <w:pStyle w:val="TableParagraph"/>
              <w:spacing w:before="27"/>
              <w:ind w:left="338" w:right="339"/>
              <w:rPr>
                <w:sz w:val="20"/>
              </w:rPr>
            </w:pPr>
            <w:r>
              <w:rPr>
                <w:sz w:val="20"/>
              </w:rPr>
              <w:t>2.0</w:t>
            </w:r>
          </w:p>
        </w:tc>
        <w:tc>
          <w:tcPr>
            <w:tcW w:w="974" w:type="dxa"/>
          </w:tcPr>
          <w:p>
            <w:pPr>
              <w:pStyle w:val="TableParagraph"/>
              <w:spacing w:before="27"/>
              <w:ind w:left="355"/>
              <w:jc w:val="left"/>
              <w:rPr>
                <w:sz w:val="20"/>
              </w:rPr>
            </w:pPr>
            <w:r>
              <w:rPr>
                <w:sz w:val="20"/>
              </w:rPr>
              <w:t>1.9</w:t>
            </w:r>
          </w:p>
        </w:tc>
        <w:tc>
          <w:tcPr>
            <w:tcW w:w="977" w:type="dxa"/>
          </w:tcPr>
          <w:p>
            <w:pPr>
              <w:pStyle w:val="TableParagraph"/>
              <w:spacing w:before="27"/>
              <w:ind w:left="338" w:right="338"/>
              <w:rPr>
                <w:sz w:val="20"/>
              </w:rPr>
            </w:pPr>
            <w:r>
              <w:rPr>
                <w:sz w:val="20"/>
              </w:rPr>
              <w:t>1.9</w:t>
            </w:r>
          </w:p>
        </w:tc>
        <w:tc>
          <w:tcPr>
            <w:tcW w:w="977" w:type="dxa"/>
          </w:tcPr>
          <w:p>
            <w:pPr>
              <w:pStyle w:val="TableParagraph"/>
              <w:spacing w:before="27"/>
              <w:ind w:left="262" w:right="263"/>
              <w:rPr>
                <w:sz w:val="20"/>
              </w:rPr>
            </w:pPr>
            <w:r>
              <w:rPr>
                <w:sz w:val="20"/>
              </w:rPr>
              <w:t>1.7</w:t>
            </w:r>
          </w:p>
        </w:tc>
        <w:tc>
          <w:tcPr>
            <w:tcW w:w="968" w:type="dxa"/>
          </w:tcPr>
          <w:p>
            <w:pPr>
              <w:pStyle w:val="TableParagraph"/>
              <w:spacing w:before="27"/>
              <w:ind w:left="334" w:right="334"/>
              <w:rPr>
                <w:sz w:val="20"/>
              </w:rPr>
            </w:pPr>
            <w:r>
              <w:rPr>
                <w:sz w:val="20"/>
              </w:rPr>
              <w:t>1.7</w:t>
            </w:r>
          </w:p>
        </w:tc>
      </w:tr>
    </w:tbl>
    <w:p>
      <w:pPr>
        <w:spacing w:line="202" w:lineRule="exact" w:before="0"/>
        <w:ind w:left="102" w:right="0" w:firstLine="0"/>
        <w:jc w:val="both"/>
        <w:rPr>
          <w:sz w:val="18"/>
        </w:rPr>
      </w:pPr>
      <w:r>
        <w:rPr>
          <w:sz w:val="18"/>
        </w:rPr>
        <w:t>Fuente: Elaboración propia con datos de INEGI (varios años).</w:t>
      </w:r>
    </w:p>
    <w:p>
      <w:pPr>
        <w:pStyle w:val="BodyText"/>
        <w:rPr>
          <w:sz w:val="18"/>
        </w:rPr>
      </w:pPr>
    </w:p>
    <w:p>
      <w:pPr>
        <w:pStyle w:val="BodyText"/>
        <w:spacing w:line="360" w:lineRule="auto" w:before="135"/>
        <w:ind w:left="102" w:right="119"/>
        <w:jc w:val="both"/>
      </w:pPr>
      <w:r>
        <w:rPr/>
        <w:t>En cuanto al valor agregado censal bruto, la industria automotriz en la manufactura de la región durante 1980, no presentaba al igual que en la variable de personal ocupado un</w:t>
      </w:r>
      <w:r>
        <w:rPr>
          <w:spacing w:val="-23"/>
        </w:rPr>
        <w:t> </w:t>
      </w:r>
      <w:r>
        <w:rPr/>
        <w:t>grado significativo</w:t>
      </w:r>
      <w:r>
        <w:rPr>
          <w:spacing w:val="-9"/>
        </w:rPr>
        <w:t> </w:t>
      </w:r>
      <w:r>
        <w:rPr/>
        <w:t>de</w:t>
      </w:r>
      <w:r>
        <w:rPr>
          <w:spacing w:val="-10"/>
        </w:rPr>
        <w:t> </w:t>
      </w:r>
      <w:r>
        <w:rPr/>
        <w:t>especialización.</w:t>
      </w:r>
      <w:r>
        <w:rPr>
          <w:spacing w:val="-8"/>
        </w:rPr>
        <w:t> </w:t>
      </w:r>
      <w:r>
        <w:rPr/>
        <w:t>Es</w:t>
      </w:r>
      <w:r>
        <w:rPr>
          <w:spacing w:val="-9"/>
        </w:rPr>
        <w:t> </w:t>
      </w:r>
      <w:r>
        <w:rPr/>
        <w:t>a</w:t>
      </w:r>
      <w:r>
        <w:rPr>
          <w:spacing w:val="-10"/>
        </w:rPr>
        <w:t> </w:t>
      </w:r>
      <w:r>
        <w:rPr/>
        <w:t>partir</w:t>
      </w:r>
      <w:r>
        <w:rPr>
          <w:spacing w:val="-9"/>
        </w:rPr>
        <w:t> </w:t>
      </w:r>
      <w:r>
        <w:rPr/>
        <w:t>de</w:t>
      </w:r>
      <w:r>
        <w:rPr>
          <w:spacing w:val="-10"/>
        </w:rPr>
        <w:t> </w:t>
      </w:r>
      <w:r>
        <w:rPr/>
        <w:t>1985</w:t>
      </w:r>
      <w:r>
        <w:rPr>
          <w:spacing w:val="-7"/>
        </w:rPr>
        <w:t> </w:t>
      </w:r>
      <w:r>
        <w:rPr/>
        <w:t>que</w:t>
      </w:r>
      <w:r>
        <w:rPr>
          <w:spacing w:val="-10"/>
        </w:rPr>
        <w:t> </w:t>
      </w:r>
      <w:r>
        <w:rPr/>
        <w:t>los</w:t>
      </w:r>
      <w:r>
        <w:rPr>
          <w:spacing w:val="-8"/>
        </w:rPr>
        <w:t> </w:t>
      </w:r>
      <w:r>
        <w:rPr/>
        <w:t>estados</w:t>
      </w:r>
      <w:r>
        <w:rPr>
          <w:spacing w:val="-9"/>
        </w:rPr>
        <w:t> </w:t>
      </w:r>
      <w:r>
        <w:rPr/>
        <w:t>de</w:t>
      </w:r>
      <w:r>
        <w:rPr>
          <w:spacing w:val="-10"/>
        </w:rPr>
        <w:t> </w:t>
      </w:r>
      <w:r>
        <w:rPr/>
        <w:t>Chihuahua</w:t>
      </w:r>
      <w:r>
        <w:rPr>
          <w:spacing w:val="-7"/>
        </w:rPr>
        <w:t> </w:t>
      </w:r>
      <w:r>
        <w:rPr/>
        <w:t>y</w:t>
      </w:r>
      <w:r>
        <w:rPr>
          <w:spacing w:val="-13"/>
        </w:rPr>
        <w:t> </w:t>
      </w:r>
      <w:r>
        <w:rPr/>
        <w:t>Coahuila comenzaron</w:t>
      </w:r>
      <w:r>
        <w:rPr>
          <w:spacing w:val="-5"/>
        </w:rPr>
        <w:t> </w:t>
      </w:r>
      <w:r>
        <w:rPr/>
        <w:t>a</w:t>
      </w:r>
      <w:r>
        <w:rPr>
          <w:spacing w:val="-3"/>
        </w:rPr>
        <w:t> </w:t>
      </w:r>
      <w:r>
        <w:rPr/>
        <w:t>especializarse,</w:t>
      </w:r>
      <w:r>
        <w:rPr>
          <w:spacing w:val="-4"/>
        </w:rPr>
        <w:t> </w:t>
      </w:r>
      <w:r>
        <w:rPr/>
        <w:t>en</w:t>
      </w:r>
      <w:r>
        <w:rPr>
          <w:spacing w:val="-2"/>
        </w:rPr>
        <w:t> </w:t>
      </w:r>
      <w:r>
        <w:rPr/>
        <w:t>1988,</w:t>
      </w:r>
      <w:r>
        <w:rPr>
          <w:spacing w:val="-4"/>
        </w:rPr>
        <w:t> </w:t>
      </w:r>
      <w:r>
        <w:rPr/>
        <w:t>se</w:t>
      </w:r>
      <w:r>
        <w:rPr>
          <w:spacing w:val="-5"/>
        </w:rPr>
        <w:t> </w:t>
      </w:r>
      <w:r>
        <w:rPr/>
        <w:t>une</w:t>
      </w:r>
      <w:r>
        <w:rPr>
          <w:spacing w:val="-5"/>
        </w:rPr>
        <w:t> </w:t>
      </w:r>
      <w:r>
        <w:rPr/>
        <w:t>Tamaulipas</w:t>
      </w:r>
      <w:r>
        <w:rPr>
          <w:spacing w:val="1"/>
        </w:rPr>
        <w:t> </w:t>
      </w:r>
      <w:r>
        <w:rPr/>
        <w:t>y</w:t>
      </w:r>
      <w:r>
        <w:rPr>
          <w:spacing w:val="-9"/>
        </w:rPr>
        <w:t> </w:t>
      </w:r>
      <w:r>
        <w:rPr/>
        <w:t>para</w:t>
      </w:r>
      <w:r>
        <w:rPr>
          <w:spacing w:val="-5"/>
        </w:rPr>
        <w:t> </w:t>
      </w:r>
      <w:r>
        <w:rPr/>
        <w:t>1993</w:t>
      </w:r>
      <w:r>
        <w:rPr>
          <w:spacing w:val="-4"/>
        </w:rPr>
        <w:t> </w:t>
      </w:r>
      <w:r>
        <w:rPr/>
        <w:t>se</w:t>
      </w:r>
      <w:r>
        <w:rPr>
          <w:spacing w:val="-5"/>
        </w:rPr>
        <w:t> </w:t>
      </w:r>
      <w:r>
        <w:rPr/>
        <w:t>incorpora</w:t>
      </w:r>
      <w:r>
        <w:rPr>
          <w:spacing w:val="-3"/>
        </w:rPr>
        <w:t> </w:t>
      </w:r>
      <w:r>
        <w:rPr/>
        <w:t>el</w:t>
      </w:r>
      <w:r>
        <w:rPr>
          <w:spacing w:val="-3"/>
        </w:rPr>
        <w:t> </w:t>
      </w:r>
      <w:r>
        <w:rPr/>
        <w:t>estado de Sonora a la especialización de la industria automotriz en </w:t>
      </w:r>
      <w:r>
        <w:rPr>
          <w:spacing w:val="3"/>
        </w:rPr>
        <w:t>la </w:t>
      </w:r>
      <w:r>
        <w:rPr/>
        <w:t>manufactura (véase cuadro 4.16).</w:t>
      </w:r>
    </w:p>
    <w:p>
      <w:pPr>
        <w:pStyle w:val="BodyText"/>
        <w:spacing w:before="2"/>
        <w:rPr>
          <w:sz w:val="21"/>
        </w:rPr>
      </w:pPr>
    </w:p>
    <w:p>
      <w:pPr>
        <w:pStyle w:val="BodyText"/>
        <w:spacing w:line="360" w:lineRule="auto" w:before="1"/>
        <w:ind w:left="102" w:right="117"/>
        <w:jc w:val="both"/>
      </w:pPr>
      <w:r>
        <w:rPr/>
        <w:t>Asimismo, se observa nuevamente, que tanto el estado de Baja California como el estado</w:t>
      </w:r>
      <w:r>
        <w:rPr>
          <w:spacing w:val="-21"/>
        </w:rPr>
        <w:t> </w:t>
      </w:r>
      <w:r>
        <w:rPr/>
        <w:t>de Nuevo León presentaron durante todos los años de análisis, coeficientes menores a uno, es decir, en cuanto al valor agregado censal bruto, la manufactura de las dos entidades no presenta</w:t>
      </w:r>
      <w:r>
        <w:rPr>
          <w:spacing w:val="-5"/>
        </w:rPr>
        <w:t> </w:t>
      </w:r>
      <w:r>
        <w:rPr/>
        <w:t>especialización</w:t>
      </w:r>
      <w:r>
        <w:rPr>
          <w:spacing w:val="-6"/>
        </w:rPr>
        <w:t> </w:t>
      </w:r>
      <w:r>
        <w:rPr/>
        <w:t>importante</w:t>
      </w:r>
      <w:r>
        <w:rPr>
          <w:spacing w:val="-7"/>
        </w:rPr>
        <w:t> </w:t>
      </w:r>
      <w:r>
        <w:rPr/>
        <w:t>en</w:t>
      </w:r>
      <w:r>
        <w:rPr>
          <w:spacing w:val="-4"/>
        </w:rPr>
        <w:t> </w:t>
      </w:r>
      <w:r>
        <w:rPr/>
        <w:t>la</w:t>
      </w:r>
      <w:r>
        <w:rPr>
          <w:spacing w:val="-7"/>
        </w:rPr>
        <w:t> </w:t>
      </w:r>
      <w:r>
        <w:rPr/>
        <w:t>industria</w:t>
      </w:r>
      <w:r>
        <w:rPr>
          <w:spacing w:val="-2"/>
        </w:rPr>
        <w:t> </w:t>
      </w:r>
      <w:r>
        <w:rPr/>
        <w:t>automotriz,</w:t>
      </w:r>
      <w:r>
        <w:rPr>
          <w:spacing w:val="-6"/>
        </w:rPr>
        <w:t> </w:t>
      </w:r>
      <w:r>
        <w:rPr/>
        <w:t>lo</w:t>
      </w:r>
      <w:r>
        <w:rPr>
          <w:spacing w:val="-6"/>
        </w:rPr>
        <w:t> </w:t>
      </w:r>
      <w:r>
        <w:rPr/>
        <w:t>que</w:t>
      </w:r>
      <w:r>
        <w:rPr>
          <w:spacing w:val="-7"/>
        </w:rPr>
        <w:t> </w:t>
      </w:r>
      <w:r>
        <w:rPr/>
        <w:t>sugiere</w:t>
      </w:r>
      <w:r>
        <w:rPr>
          <w:spacing w:val="-7"/>
        </w:rPr>
        <w:t> </w:t>
      </w:r>
      <w:r>
        <w:rPr/>
        <w:t>también</w:t>
      </w:r>
      <w:r>
        <w:rPr>
          <w:spacing w:val="-7"/>
        </w:rPr>
        <w:t> </w:t>
      </w:r>
      <w:r>
        <w:rPr/>
        <w:t>que</w:t>
      </w:r>
      <w:r>
        <w:rPr>
          <w:spacing w:val="-7"/>
        </w:rPr>
        <w:t> </w:t>
      </w:r>
      <w:r>
        <w:rPr/>
        <w:t>la industria automotriz no ha generado que se dinamice el sector manufacturero de las entidades, al menos en cuanto a esta variable (véase cuadro</w:t>
      </w:r>
      <w:r>
        <w:rPr>
          <w:spacing w:val="-8"/>
        </w:rPr>
        <w:t> </w:t>
      </w:r>
      <w:r>
        <w:rPr/>
        <w:t>4.16).</w:t>
      </w:r>
    </w:p>
    <w:p>
      <w:pPr>
        <w:pStyle w:val="BodyText"/>
        <w:spacing w:before="7"/>
        <w:rPr>
          <w:sz w:val="21"/>
        </w:rPr>
      </w:pPr>
    </w:p>
    <w:p>
      <w:pPr>
        <w:pStyle w:val="Heading1"/>
        <w:spacing w:line="360" w:lineRule="auto" w:before="1" w:after="34"/>
        <w:ind w:left="483" w:right="485" w:firstLine="64"/>
      </w:pPr>
      <w:r>
        <w:rPr/>
        <w:t>Cuadro 4.16. Cocientes de localización del Valor Agregado Censal bruto de la industria automotriz en el sector manufacturero de la Región Norte, 1980-2008</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50"/>
        <w:gridCol w:w="967"/>
        <w:gridCol w:w="970"/>
        <w:gridCol w:w="970"/>
        <w:gridCol w:w="967"/>
        <w:gridCol w:w="970"/>
        <w:gridCol w:w="970"/>
        <w:gridCol w:w="965"/>
      </w:tblGrid>
      <w:tr>
        <w:trPr>
          <w:trHeight w:val="246" w:hRule="exact"/>
        </w:trPr>
        <w:tc>
          <w:tcPr>
            <w:tcW w:w="2050" w:type="dxa"/>
            <w:tcBorders>
              <w:right w:val="nil"/>
            </w:tcBorders>
            <w:shd w:val="clear" w:color="auto" w:fill="A6A6A6"/>
          </w:tcPr>
          <w:p>
            <w:pPr/>
          </w:p>
        </w:tc>
        <w:tc>
          <w:tcPr>
            <w:tcW w:w="967" w:type="dxa"/>
            <w:tcBorders>
              <w:left w:val="nil"/>
              <w:right w:val="nil"/>
            </w:tcBorders>
            <w:shd w:val="clear" w:color="auto" w:fill="A6A6A6"/>
          </w:tcPr>
          <w:p>
            <w:pPr>
              <w:pStyle w:val="TableParagraph"/>
              <w:spacing w:line="223" w:lineRule="exact"/>
              <w:ind w:left="283"/>
              <w:jc w:val="left"/>
              <w:rPr>
                <w:b/>
                <w:sz w:val="20"/>
              </w:rPr>
            </w:pPr>
            <w:r>
              <w:rPr>
                <w:b/>
                <w:sz w:val="20"/>
              </w:rPr>
              <w:t>1980</w:t>
            </w:r>
          </w:p>
        </w:tc>
        <w:tc>
          <w:tcPr>
            <w:tcW w:w="970" w:type="dxa"/>
            <w:tcBorders>
              <w:left w:val="nil"/>
              <w:right w:val="nil"/>
            </w:tcBorders>
            <w:shd w:val="clear" w:color="auto" w:fill="A6A6A6"/>
          </w:tcPr>
          <w:p>
            <w:pPr>
              <w:pStyle w:val="TableParagraph"/>
              <w:spacing w:line="223" w:lineRule="exact"/>
              <w:ind w:left="264" w:right="264"/>
              <w:rPr>
                <w:b/>
                <w:sz w:val="20"/>
              </w:rPr>
            </w:pPr>
            <w:r>
              <w:rPr>
                <w:b/>
                <w:sz w:val="20"/>
              </w:rPr>
              <w:t>1985</w:t>
            </w:r>
          </w:p>
        </w:tc>
        <w:tc>
          <w:tcPr>
            <w:tcW w:w="970" w:type="dxa"/>
            <w:tcBorders>
              <w:left w:val="nil"/>
              <w:right w:val="nil"/>
            </w:tcBorders>
            <w:shd w:val="clear" w:color="auto" w:fill="A6A6A6"/>
          </w:tcPr>
          <w:p>
            <w:pPr>
              <w:pStyle w:val="TableParagraph"/>
              <w:spacing w:line="223" w:lineRule="exact"/>
              <w:ind w:left="265" w:right="265"/>
              <w:rPr>
                <w:b/>
                <w:sz w:val="20"/>
              </w:rPr>
            </w:pPr>
            <w:r>
              <w:rPr>
                <w:b/>
                <w:sz w:val="20"/>
              </w:rPr>
              <w:t>1988</w:t>
            </w:r>
          </w:p>
        </w:tc>
        <w:tc>
          <w:tcPr>
            <w:tcW w:w="967" w:type="dxa"/>
            <w:tcBorders>
              <w:left w:val="nil"/>
              <w:right w:val="nil"/>
            </w:tcBorders>
            <w:shd w:val="clear" w:color="auto" w:fill="A6A6A6"/>
          </w:tcPr>
          <w:p>
            <w:pPr>
              <w:pStyle w:val="TableParagraph"/>
              <w:spacing w:line="223" w:lineRule="exact"/>
              <w:ind w:left="263" w:right="263"/>
              <w:rPr>
                <w:b/>
                <w:sz w:val="20"/>
              </w:rPr>
            </w:pPr>
            <w:r>
              <w:rPr>
                <w:b/>
                <w:sz w:val="20"/>
              </w:rPr>
              <w:t>1994</w:t>
            </w:r>
          </w:p>
        </w:tc>
        <w:tc>
          <w:tcPr>
            <w:tcW w:w="970" w:type="dxa"/>
            <w:tcBorders>
              <w:left w:val="nil"/>
              <w:right w:val="nil"/>
            </w:tcBorders>
            <w:shd w:val="clear" w:color="auto" w:fill="A6A6A6"/>
          </w:tcPr>
          <w:p>
            <w:pPr>
              <w:pStyle w:val="TableParagraph"/>
              <w:spacing w:line="223" w:lineRule="exact"/>
              <w:ind w:right="281"/>
              <w:jc w:val="right"/>
              <w:rPr>
                <w:b/>
                <w:sz w:val="20"/>
              </w:rPr>
            </w:pPr>
            <w:r>
              <w:rPr>
                <w:b/>
                <w:sz w:val="20"/>
              </w:rPr>
              <w:t>1998</w:t>
            </w:r>
          </w:p>
        </w:tc>
        <w:tc>
          <w:tcPr>
            <w:tcW w:w="970" w:type="dxa"/>
            <w:tcBorders>
              <w:left w:val="nil"/>
              <w:right w:val="nil"/>
            </w:tcBorders>
            <w:shd w:val="clear" w:color="auto" w:fill="A6A6A6"/>
          </w:tcPr>
          <w:p>
            <w:pPr>
              <w:pStyle w:val="TableParagraph"/>
              <w:spacing w:line="223" w:lineRule="exact"/>
              <w:ind w:left="264" w:right="264"/>
              <w:rPr>
                <w:b/>
                <w:sz w:val="20"/>
              </w:rPr>
            </w:pPr>
            <w:r>
              <w:rPr>
                <w:b/>
                <w:sz w:val="20"/>
              </w:rPr>
              <w:t>2003</w:t>
            </w:r>
          </w:p>
        </w:tc>
        <w:tc>
          <w:tcPr>
            <w:tcW w:w="965" w:type="dxa"/>
            <w:tcBorders>
              <w:left w:val="nil"/>
            </w:tcBorders>
            <w:shd w:val="clear" w:color="auto" w:fill="A6A6A6"/>
          </w:tcPr>
          <w:p>
            <w:pPr>
              <w:pStyle w:val="TableParagraph"/>
              <w:spacing w:line="223" w:lineRule="exact"/>
              <w:ind w:left="264" w:right="255"/>
              <w:rPr>
                <w:b/>
                <w:sz w:val="20"/>
              </w:rPr>
            </w:pPr>
            <w:r>
              <w:rPr>
                <w:b/>
                <w:sz w:val="20"/>
              </w:rPr>
              <w:t>2008</w:t>
            </w:r>
          </w:p>
        </w:tc>
      </w:tr>
      <w:tr>
        <w:trPr>
          <w:trHeight w:val="292" w:hRule="exact"/>
        </w:trPr>
        <w:tc>
          <w:tcPr>
            <w:tcW w:w="2050" w:type="dxa"/>
            <w:shd w:val="clear" w:color="auto" w:fill="E1EED9"/>
          </w:tcPr>
          <w:p>
            <w:pPr>
              <w:pStyle w:val="TableParagraph"/>
              <w:spacing w:before="37"/>
              <w:ind w:left="103"/>
              <w:jc w:val="left"/>
              <w:rPr>
                <w:b/>
                <w:sz w:val="20"/>
              </w:rPr>
            </w:pPr>
            <w:r>
              <w:rPr>
                <w:b/>
                <w:sz w:val="20"/>
              </w:rPr>
              <w:t>Región Norte</w:t>
            </w:r>
          </w:p>
        </w:tc>
        <w:tc>
          <w:tcPr>
            <w:tcW w:w="967" w:type="dxa"/>
            <w:tcBorders>
              <w:top w:val="single" w:sz="9" w:space="0" w:color="A6A6A6"/>
            </w:tcBorders>
            <w:shd w:val="clear" w:color="auto" w:fill="E1EED9"/>
          </w:tcPr>
          <w:p>
            <w:pPr>
              <w:pStyle w:val="TableParagraph"/>
              <w:spacing w:before="31"/>
              <w:ind w:left="352"/>
              <w:jc w:val="left"/>
              <w:rPr>
                <w:b/>
                <w:sz w:val="20"/>
              </w:rPr>
            </w:pPr>
            <w:r>
              <w:rPr>
                <w:b/>
                <w:sz w:val="20"/>
              </w:rPr>
              <w:t>0.4</w:t>
            </w:r>
          </w:p>
        </w:tc>
        <w:tc>
          <w:tcPr>
            <w:tcW w:w="970" w:type="dxa"/>
            <w:tcBorders>
              <w:top w:val="single" w:sz="9" w:space="0" w:color="A6A6A6"/>
            </w:tcBorders>
            <w:shd w:val="clear" w:color="auto" w:fill="E1EED9"/>
          </w:tcPr>
          <w:p>
            <w:pPr>
              <w:pStyle w:val="TableParagraph"/>
              <w:spacing w:before="31"/>
              <w:ind w:left="335" w:right="335"/>
              <w:rPr>
                <w:b/>
                <w:sz w:val="20"/>
              </w:rPr>
            </w:pPr>
            <w:r>
              <w:rPr>
                <w:b/>
                <w:sz w:val="20"/>
              </w:rPr>
              <w:t>1.1</w:t>
            </w:r>
          </w:p>
        </w:tc>
        <w:tc>
          <w:tcPr>
            <w:tcW w:w="970" w:type="dxa"/>
            <w:tcBorders>
              <w:top w:val="single" w:sz="9" w:space="0" w:color="A6A6A6"/>
            </w:tcBorders>
            <w:shd w:val="clear" w:color="auto" w:fill="E1EED9"/>
          </w:tcPr>
          <w:p>
            <w:pPr>
              <w:pStyle w:val="TableParagraph"/>
              <w:spacing w:before="31"/>
              <w:ind w:left="256" w:right="255"/>
              <w:rPr>
                <w:b/>
                <w:sz w:val="20"/>
              </w:rPr>
            </w:pPr>
            <w:r>
              <w:rPr>
                <w:b/>
                <w:sz w:val="20"/>
              </w:rPr>
              <w:t>1.7</w:t>
            </w:r>
          </w:p>
        </w:tc>
        <w:tc>
          <w:tcPr>
            <w:tcW w:w="967" w:type="dxa"/>
            <w:tcBorders>
              <w:top w:val="single" w:sz="9" w:space="0" w:color="A6A6A6"/>
            </w:tcBorders>
            <w:shd w:val="clear" w:color="auto" w:fill="E1EED9"/>
          </w:tcPr>
          <w:p>
            <w:pPr>
              <w:pStyle w:val="TableParagraph"/>
              <w:spacing w:before="31"/>
              <w:ind w:left="333" w:right="334"/>
              <w:rPr>
                <w:b/>
                <w:sz w:val="20"/>
              </w:rPr>
            </w:pPr>
            <w:r>
              <w:rPr>
                <w:b/>
                <w:sz w:val="20"/>
              </w:rPr>
              <w:t>1.2</w:t>
            </w:r>
          </w:p>
        </w:tc>
        <w:tc>
          <w:tcPr>
            <w:tcW w:w="970" w:type="dxa"/>
            <w:tcBorders>
              <w:top w:val="single" w:sz="9" w:space="0" w:color="A6A6A6"/>
            </w:tcBorders>
            <w:shd w:val="clear" w:color="auto" w:fill="E1EED9"/>
          </w:tcPr>
          <w:p>
            <w:pPr>
              <w:pStyle w:val="TableParagraph"/>
              <w:spacing w:before="31"/>
              <w:ind w:right="353"/>
              <w:jc w:val="right"/>
              <w:rPr>
                <w:b/>
                <w:sz w:val="20"/>
              </w:rPr>
            </w:pPr>
            <w:r>
              <w:rPr>
                <w:b/>
                <w:sz w:val="20"/>
              </w:rPr>
              <w:t>1.4</w:t>
            </w:r>
          </w:p>
        </w:tc>
        <w:tc>
          <w:tcPr>
            <w:tcW w:w="970" w:type="dxa"/>
            <w:tcBorders>
              <w:top w:val="single" w:sz="9" w:space="0" w:color="A6A6A6"/>
            </w:tcBorders>
            <w:shd w:val="clear" w:color="auto" w:fill="E1EED9"/>
          </w:tcPr>
          <w:p>
            <w:pPr>
              <w:pStyle w:val="TableParagraph"/>
              <w:spacing w:before="31"/>
              <w:ind w:left="335" w:right="335"/>
              <w:rPr>
                <w:b/>
                <w:sz w:val="20"/>
              </w:rPr>
            </w:pPr>
            <w:r>
              <w:rPr>
                <w:b/>
                <w:sz w:val="20"/>
              </w:rPr>
              <w:t>1.4</w:t>
            </w:r>
          </w:p>
        </w:tc>
        <w:tc>
          <w:tcPr>
            <w:tcW w:w="965" w:type="dxa"/>
            <w:tcBorders>
              <w:top w:val="single" w:sz="9" w:space="0" w:color="A6A6A6"/>
            </w:tcBorders>
            <w:shd w:val="clear" w:color="auto" w:fill="E1EED9"/>
          </w:tcPr>
          <w:p>
            <w:pPr>
              <w:pStyle w:val="TableParagraph"/>
              <w:spacing w:before="31"/>
              <w:ind w:left="332" w:right="332"/>
              <w:rPr>
                <w:b/>
                <w:sz w:val="20"/>
              </w:rPr>
            </w:pPr>
            <w:r>
              <w:rPr>
                <w:b/>
                <w:sz w:val="20"/>
              </w:rPr>
              <w:t>1.5</w:t>
            </w:r>
          </w:p>
        </w:tc>
      </w:tr>
      <w:tr>
        <w:trPr>
          <w:trHeight w:val="266" w:hRule="exact"/>
        </w:trPr>
        <w:tc>
          <w:tcPr>
            <w:tcW w:w="2050" w:type="dxa"/>
            <w:tcBorders>
              <w:top w:val="single" w:sz="12" w:space="0" w:color="E1EED9"/>
            </w:tcBorders>
          </w:tcPr>
          <w:p>
            <w:pPr>
              <w:pStyle w:val="TableParagraph"/>
              <w:spacing w:before="5"/>
              <w:ind w:left="103"/>
              <w:jc w:val="left"/>
              <w:rPr>
                <w:sz w:val="20"/>
              </w:rPr>
            </w:pPr>
            <w:r>
              <w:rPr>
                <w:sz w:val="20"/>
              </w:rPr>
              <w:t>Baja California Norte</w:t>
            </w:r>
          </w:p>
        </w:tc>
        <w:tc>
          <w:tcPr>
            <w:tcW w:w="967" w:type="dxa"/>
            <w:tcBorders>
              <w:top w:val="single" w:sz="12" w:space="0" w:color="E1EED9"/>
            </w:tcBorders>
          </w:tcPr>
          <w:p>
            <w:pPr>
              <w:pStyle w:val="TableParagraph"/>
              <w:spacing w:before="5"/>
              <w:ind w:left="352"/>
              <w:jc w:val="left"/>
              <w:rPr>
                <w:sz w:val="20"/>
              </w:rPr>
            </w:pPr>
            <w:r>
              <w:rPr>
                <w:sz w:val="20"/>
              </w:rPr>
              <w:t>0.3</w:t>
            </w:r>
          </w:p>
        </w:tc>
        <w:tc>
          <w:tcPr>
            <w:tcW w:w="970" w:type="dxa"/>
            <w:tcBorders>
              <w:top w:val="single" w:sz="12" w:space="0" w:color="E1EED9"/>
            </w:tcBorders>
          </w:tcPr>
          <w:p>
            <w:pPr>
              <w:pStyle w:val="TableParagraph"/>
              <w:spacing w:before="5"/>
              <w:ind w:left="335" w:right="335"/>
              <w:rPr>
                <w:sz w:val="20"/>
              </w:rPr>
            </w:pPr>
            <w:r>
              <w:rPr>
                <w:sz w:val="20"/>
              </w:rPr>
              <w:t>0.5</w:t>
            </w:r>
          </w:p>
        </w:tc>
        <w:tc>
          <w:tcPr>
            <w:tcW w:w="970" w:type="dxa"/>
            <w:tcBorders>
              <w:top w:val="single" w:sz="12" w:space="0" w:color="E1EED9"/>
            </w:tcBorders>
          </w:tcPr>
          <w:p>
            <w:pPr>
              <w:pStyle w:val="TableParagraph"/>
              <w:spacing w:before="5"/>
              <w:ind w:left="256" w:right="255"/>
              <w:rPr>
                <w:sz w:val="20"/>
              </w:rPr>
            </w:pPr>
            <w:r>
              <w:rPr>
                <w:sz w:val="20"/>
              </w:rPr>
              <w:t>0.3</w:t>
            </w:r>
          </w:p>
        </w:tc>
        <w:tc>
          <w:tcPr>
            <w:tcW w:w="967" w:type="dxa"/>
            <w:tcBorders>
              <w:top w:val="single" w:sz="12" w:space="0" w:color="E1EED9"/>
            </w:tcBorders>
          </w:tcPr>
          <w:p>
            <w:pPr>
              <w:pStyle w:val="TableParagraph"/>
              <w:spacing w:before="5"/>
              <w:ind w:left="333" w:right="334"/>
              <w:rPr>
                <w:sz w:val="20"/>
              </w:rPr>
            </w:pPr>
            <w:r>
              <w:rPr>
                <w:sz w:val="20"/>
              </w:rPr>
              <w:t>0.5</w:t>
            </w:r>
          </w:p>
        </w:tc>
        <w:tc>
          <w:tcPr>
            <w:tcW w:w="970" w:type="dxa"/>
            <w:tcBorders>
              <w:top w:val="single" w:sz="12" w:space="0" w:color="E1EED9"/>
            </w:tcBorders>
          </w:tcPr>
          <w:p>
            <w:pPr>
              <w:pStyle w:val="TableParagraph"/>
              <w:spacing w:before="5"/>
              <w:ind w:right="353"/>
              <w:jc w:val="right"/>
              <w:rPr>
                <w:sz w:val="20"/>
              </w:rPr>
            </w:pPr>
            <w:r>
              <w:rPr>
                <w:sz w:val="20"/>
              </w:rPr>
              <w:t>0.5</w:t>
            </w:r>
          </w:p>
        </w:tc>
        <w:tc>
          <w:tcPr>
            <w:tcW w:w="970" w:type="dxa"/>
            <w:tcBorders>
              <w:top w:val="single" w:sz="12" w:space="0" w:color="E1EED9"/>
            </w:tcBorders>
          </w:tcPr>
          <w:p>
            <w:pPr>
              <w:pStyle w:val="TableParagraph"/>
              <w:spacing w:before="5"/>
              <w:ind w:left="335" w:right="335"/>
              <w:rPr>
                <w:sz w:val="20"/>
              </w:rPr>
            </w:pPr>
            <w:r>
              <w:rPr>
                <w:sz w:val="20"/>
              </w:rPr>
              <w:t>0.4</w:t>
            </w:r>
          </w:p>
        </w:tc>
        <w:tc>
          <w:tcPr>
            <w:tcW w:w="965" w:type="dxa"/>
            <w:tcBorders>
              <w:top w:val="single" w:sz="12" w:space="0" w:color="E1EED9"/>
            </w:tcBorders>
          </w:tcPr>
          <w:p>
            <w:pPr>
              <w:pStyle w:val="TableParagraph"/>
              <w:spacing w:before="5"/>
              <w:ind w:left="332" w:right="332"/>
              <w:rPr>
                <w:sz w:val="20"/>
              </w:rPr>
            </w:pPr>
            <w:r>
              <w:rPr>
                <w:sz w:val="20"/>
              </w:rPr>
              <w:t>0.6</w:t>
            </w:r>
          </w:p>
        </w:tc>
      </w:tr>
      <w:tr>
        <w:trPr>
          <w:trHeight w:val="288" w:hRule="exact"/>
        </w:trPr>
        <w:tc>
          <w:tcPr>
            <w:tcW w:w="2050" w:type="dxa"/>
          </w:tcPr>
          <w:p>
            <w:pPr>
              <w:pStyle w:val="TableParagraph"/>
              <w:spacing w:before="17"/>
              <w:ind w:left="103"/>
              <w:jc w:val="left"/>
              <w:rPr>
                <w:sz w:val="20"/>
              </w:rPr>
            </w:pPr>
            <w:r>
              <w:rPr>
                <w:sz w:val="20"/>
              </w:rPr>
              <w:t>Chihuahua</w:t>
            </w:r>
          </w:p>
        </w:tc>
        <w:tc>
          <w:tcPr>
            <w:tcW w:w="967" w:type="dxa"/>
          </w:tcPr>
          <w:p>
            <w:pPr>
              <w:pStyle w:val="TableParagraph"/>
              <w:spacing w:before="17"/>
              <w:ind w:left="352"/>
              <w:jc w:val="left"/>
              <w:rPr>
                <w:sz w:val="20"/>
              </w:rPr>
            </w:pPr>
            <w:r>
              <w:rPr>
                <w:sz w:val="20"/>
              </w:rPr>
              <w:t>0.4</w:t>
            </w:r>
          </w:p>
        </w:tc>
        <w:tc>
          <w:tcPr>
            <w:tcW w:w="970" w:type="dxa"/>
          </w:tcPr>
          <w:p>
            <w:pPr>
              <w:pStyle w:val="TableParagraph"/>
              <w:spacing w:before="17"/>
              <w:ind w:left="335" w:right="335"/>
              <w:rPr>
                <w:sz w:val="20"/>
              </w:rPr>
            </w:pPr>
            <w:r>
              <w:rPr>
                <w:sz w:val="20"/>
              </w:rPr>
              <w:t>1.9</w:t>
            </w:r>
          </w:p>
        </w:tc>
        <w:tc>
          <w:tcPr>
            <w:tcW w:w="970" w:type="dxa"/>
          </w:tcPr>
          <w:p>
            <w:pPr>
              <w:pStyle w:val="TableParagraph"/>
              <w:spacing w:before="17"/>
              <w:ind w:left="256" w:right="255"/>
              <w:rPr>
                <w:sz w:val="20"/>
              </w:rPr>
            </w:pPr>
            <w:r>
              <w:rPr>
                <w:sz w:val="20"/>
              </w:rPr>
              <w:t>3.0</w:t>
            </w:r>
          </w:p>
        </w:tc>
        <w:tc>
          <w:tcPr>
            <w:tcW w:w="967" w:type="dxa"/>
          </w:tcPr>
          <w:p>
            <w:pPr>
              <w:pStyle w:val="TableParagraph"/>
              <w:spacing w:before="17"/>
              <w:ind w:left="333" w:right="334"/>
              <w:rPr>
                <w:sz w:val="20"/>
              </w:rPr>
            </w:pPr>
            <w:r>
              <w:rPr>
                <w:sz w:val="20"/>
              </w:rPr>
              <w:t>2.0</w:t>
            </w:r>
          </w:p>
        </w:tc>
        <w:tc>
          <w:tcPr>
            <w:tcW w:w="970" w:type="dxa"/>
          </w:tcPr>
          <w:p>
            <w:pPr>
              <w:pStyle w:val="TableParagraph"/>
              <w:spacing w:before="17"/>
              <w:ind w:right="353"/>
              <w:jc w:val="right"/>
              <w:rPr>
                <w:sz w:val="20"/>
              </w:rPr>
            </w:pPr>
            <w:r>
              <w:rPr>
                <w:sz w:val="20"/>
              </w:rPr>
              <w:t>2.2</w:t>
            </w:r>
          </w:p>
        </w:tc>
        <w:tc>
          <w:tcPr>
            <w:tcW w:w="970" w:type="dxa"/>
          </w:tcPr>
          <w:p>
            <w:pPr>
              <w:pStyle w:val="TableParagraph"/>
              <w:spacing w:before="17"/>
              <w:ind w:left="335" w:right="335"/>
              <w:rPr>
                <w:sz w:val="20"/>
              </w:rPr>
            </w:pPr>
            <w:r>
              <w:rPr>
                <w:sz w:val="20"/>
              </w:rPr>
              <w:t>2.6</w:t>
            </w:r>
          </w:p>
        </w:tc>
        <w:tc>
          <w:tcPr>
            <w:tcW w:w="965" w:type="dxa"/>
          </w:tcPr>
          <w:p>
            <w:pPr>
              <w:pStyle w:val="TableParagraph"/>
              <w:spacing w:before="17"/>
              <w:ind w:left="332" w:right="332"/>
              <w:rPr>
                <w:sz w:val="20"/>
              </w:rPr>
            </w:pPr>
            <w:r>
              <w:rPr>
                <w:sz w:val="20"/>
              </w:rPr>
              <w:t>2.1</w:t>
            </w:r>
          </w:p>
        </w:tc>
      </w:tr>
      <w:tr>
        <w:trPr>
          <w:trHeight w:val="240" w:hRule="exact"/>
        </w:trPr>
        <w:tc>
          <w:tcPr>
            <w:tcW w:w="2050" w:type="dxa"/>
          </w:tcPr>
          <w:p>
            <w:pPr>
              <w:pStyle w:val="TableParagraph"/>
              <w:spacing w:line="223" w:lineRule="exact"/>
              <w:ind w:left="103"/>
              <w:jc w:val="left"/>
              <w:rPr>
                <w:sz w:val="20"/>
              </w:rPr>
            </w:pPr>
            <w:r>
              <w:rPr>
                <w:sz w:val="20"/>
              </w:rPr>
              <w:t>Coahuila</w:t>
            </w:r>
          </w:p>
        </w:tc>
        <w:tc>
          <w:tcPr>
            <w:tcW w:w="967" w:type="dxa"/>
          </w:tcPr>
          <w:p>
            <w:pPr>
              <w:pStyle w:val="TableParagraph"/>
              <w:spacing w:line="223" w:lineRule="exact"/>
              <w:ind w:left="352"/>
              <w:jc w:val="left"/>
              <w:rPr>
                <w:sz w:val="20"/>
              </w:rPr>
            </w:pPr>
            <w:r>
              <w:rPr>
                <w:sz w:val="20"/>
              </w:rPr>
              <w:t>0.3</w:t>
            </w:r>
          </w:p>
        </w:tc>
        <w:tc>
          <w:tcPr>
            <w:tcW w:w="970" w:type="dxa"/>
          </w:tcPr>
          <w:p>
            <w:pPr>
              <w:pStyle w:val="TableParagraph"/>
              <w:spacing w:line="223" w:lineRule="exact"/>
              <w:ind w:left="335" w:right="335"/>
              <w:rPr>
                <w:sz w:val="20"/>
              </w:rPr>
            </w:pPr>
            <w:r>
              <w:rPr>
                <w:sz w:val="20"/>
              </w:rPr>
              <w:t>2.9</w:t>
            </w:r>
          </w:p>
        </w:tc>
        <w:tc>
          <w:tcPr>
            <w:tcW w:w="970" w:type="dxa"/>
          </w:tcPr>
          <w:p>
            <w:pPr>
              <w:pStyle w:val="TableParagraph"/>
              <w:spacing w:line="223" w:lineRule="exact"/>
              <w:ind w:left="256" w:right="255"/>
              <w:rPr>
                <w:sz w:val="20"/>
              </w:rPr>
            </w:pPr>
            <w:r>
              <w:rPr>
                <w:sz w:val="20"/>
              </w:rPr>
              <w:t>4.0</w:t>
            </w:r>
          </w:p>
        </w:tc>
        <w:tc>
          <w:tcPr>
            <w:tcW w:w="967" w:type="dxa"/>
          </w:tcPr>
          <w:p>
            <w:pPr>
              <w:pStyle w:val="TableParagraph"/>
              <w:spacing w:line="223" w:lineRule="exact"/>
              <w:ind w:left="333" w:right="334"/>
              <w:rPr>
                <w:sz w:val="20"/>
              </w:rPr>
            </w:pPr>
            <w:r>
              <w:rPr>
                <w:sz w:val="20"/>
              </w:rPr>
              <w:t>2.3</w:t>
            </w:r>
          </w:p>
        </w:tc>
        <w:tc>
          <w:tcPr>
            <w:tcW w:w="970" w:type="dxa"/>
          </w:tcPr>
          <w:p>
            <w:pPr>
              <w:pStyle w:val="TableParagraph"/>
              <w:spacing w:line="223" w:lineRule="exact"/>
              <w:ind w:right="353"/>
              <w:jc w:val="right"/>
              <w:rPr>
                <w:sz w:val="20"/>
              </w:rPr>
            </w:pPr>
            <w:r>
              <w:rPr>
                <w:sz w:val="20"/>
              </w:rPr>
              <w:t>2.1</w:t>
            </w:r>
          </w:p>
        </w:tc>
        <w:tc>
          <w:tcPr>
            <w:tcW w:w="970" w:type="dxa"/>
          </w:tcPr>
          <w:p>
            <w:pPr>
              <w:pStyle w:val="TableParagraph"/>
              <w:spacing w:line="223" w:lineRule="exact"/>
              <w:ind w:left="335" w:right="335"/>
              <w:rPr>
                <w:sz w:val="20"/>
              </w:rPr>
            </w:pPr>
            <w:r>
              <w:rPr>
                <w:sz w:val="20"/>
              </w:rPr>
              <w:t>2.1</w:t>
            </w:r>
          </w:p>
        </w:tc>
        <w:tc>
          <w:tcPr>
            <w:tcW w:w="965" w:type="dxa"/>
          </w:tcPr>
          <w:p>
            <w:pPr>
              <w:pStyle w:val="TableParagraph"/>
              <w:spacing w:line="223" w:lineRule="exact"/>
              <w:ind w:left="332" w:right="332"/>
              <w:rPr>
                <w:sz w:val="20"/>
              </w:rPr>
            </w:pPr>
            <w:r>
              <w:rPr>
                <w:sz w:val="20"/>
              </w:rPr>
              <w:t>2.6</w:t>
            </w:r>
          </w:p>
        </w:tc>
      </w:tr>
      <w:tr>
        <w:trPr>
          <w:trHeight w:val="240" w:hRule="exact"/>
        </w:trPr>
        <w:tc>
          <w:tcPr>
            <w:tcW w:w="2050" w:type="dxa"/>
          </w:tcPr>
          <w:p>
            <w:pPr>
              <w:pStyle w:val="TableParagraph"/>
              <w:spacing w:line="223" w:lineRule="exact"/>
              <w:ind w:left="103"/>
              <w:jc w:val="left"/>
              <w:rPr>
                <w:sz w:val="20"/>
              </w:rPr>
            </w:pPr>
            <w:r>
              <w:rPr>
                <w:sz w:val="20"/>
              </w:rPr>
              <w:t>Nuevo León</w:t>
            </w:r>
          </w:p>
        </w:tc>
        <w:tc>
          <w:tcPr>
            <w:tcW w:w="967" w:type="dxa"/>
          </w:tcPr>
          <w:p>
            <w:pPr>
              <w:pStyle w:val="TableParagraph"/>
              <w:spacing w:line="223" w:lineRule="exact"/>
              <w:ind w:left="352"/>
              <w:jc w:val="left"/>
              <w:rPr>
                <w:sz w:val="20"/>
              </w:rPr>
            </w:pPr>
            <w:r>
              <w:rPr>
                <w:sz w:val="20"/>
              </w:rPr>
              <w:t>0.5</w:t>
            </w:r>
          </w:p>
        </w:tc>
        <w:tc>
          <w:tcPr>
            <w:tcW w:w="970" w:type="dxa"/>
          </w:tcPr>
          <w:p>
            <w:pPr>
              <w:pStyle w:val="TableParagraph"/>
              <w:spacing w:line="223" w:lineRule="exact"/>
              <w:ind w:left="335" w:right="335"/>
              <w:rPr>
                <w:sz w:val="20"/>
              </w:rPr>
            </w:pPr>
            <w:r>
              <w:rPr>
                <w:sz w:val="20"/>
              </w:rPr>
              <w:t>0.4</w:t>
            </w:r>
          </w:p>
        </w:tc>
        <w:tc>
          <w:tcPr>
            <w:tcW w:w="970" w:type="dxa"/>
          </w:tcPr>
          <w:p>
            <w:pPr>
              <w:pStyle w:val="TableParagraph"/>
              <w:spacing w:line="223" w:lineRule="exact"/>
              <w:ind w:left="256" w:right="255"/>
              <w:rPr>
                <w:sz w:val="20"/>
              </w:rPr>
            </w:pPr>
            <w:r>
              <w:rPr>
                <w:sz w:val="20"/>
              </w:rPr>
              <w:t>0.3</w:t>
            </w:r>
          </w:p>
        </w:tc>
        <w:tc>
          <w:tcPr>
            <w:tcW w:w="967" w:type="dxa"/>
          </w:tcPr>
          <w:p>
            <w:pPr>
              <w:pStyle w:val="TableParagraph"/>
              <w:spacing w:line="223" w:lineRule="exact"/>
              <w:ind w:left="333" w:right="334"/>
              <w:rPr>
                <w:sz w:val="20"/>
              </w:rPr>
            </w:pPr>
            <w:r>
              <w:rPr>
                <w:sz w:val="20"/>
              </w:rPr>
              <w:t>0.6</w:t>
            </w:r>
          </w:p>
        </w:tc>
        <w:tc>
          <w:tcPr>
            <w:tcW w:w="970" w:type="dxa"/>
          </w:tcPr>
          <w:p>
            <w:pPr>
              <w:pStyle w:val="TableParagraph"/>
              <w:spacing w:line="223" w:lineRule="exact"/>
              <w:ind w:right="353"/>
              <w:jc w:val="right"/>
              <w:rPr>
                <w:sz w:val="20"/>
              </w:rPr>
            </w:pPr>
            <w:r>
              <w:rPr>
                <w:sz w:val="20"/>
              </w:rPr>
              <w:t>0.7</w:t>
            </w:r>
          </w:p>
        </w:tc>
        <w:tc>
          <w:tcPr>
            <w:tcW w:w="970" w:type="dxa"/>
          </w:tcPr>
          <w:p>
            <w:pPr>
              <w:pStyle w:val="TableParagraph"/>
              <w:spacing w:line="223" w:lineRule="exact"/>
              <w:ind w:left="335" w:right="335"/>
              <w:rPr>
                <w:sz w:val="20"/>
              </w:rPr>
            </w:pPr>
            <w:r>
              <w:rPr>
                <w:sz w:val="20"/>
              </w:rPr>
              <w:t>0.8</w:t>
            </w:r>
          </w:p>
        </w:tc>
        <w:tc>
          <w:tcPr>
            <w:tcW w:w="965" w:type="dxa"/>
          </w:tcPr>
          <w:p>
            <w:pPr>
              <w:pStyle w:val="TableParagraph"/>
              <w:spacing w:line="223" w:lineRule="exact"/>
              <w:ind w:left="332" w:right="332"/>
              <w:rPr>
                <w:sz w:val="20"/>
              </w:rPr>
            </w:pPr>
            <w:r>
              <w:rPr>
                <w:sz w:val="20"/>
              </w:rPr>
              <w:t>0.8</w:t>
            </w:r>
          </w:p>
        </w:tc>
      </w:tr>
      <w:tr>
        <w:trPr>
          <w:trHeight w:val="240" w:hRule="exact"/>
        </w:trPr>
        <w:tc>
          <w:tcPr>
            <w:tcW w:w="2050" w:type="dxa"/>
          </w:tcPr>
          <w:p>
            <w:pPr>
              <w:pStyle w:val="TableParagraph"/>
              <w:spacing w:line="223" w:lineRule="exact"/>
              <w:ind w:left="103"/>
              <w:jc w:val="left"/>
              <w:rPr>
                <w:sz w:val="20"/>
              </w:rPr>
            </w:pPr>
            <w:r>
              <w:rPr>
                <w:sz w:val="20"/>
              </w:rPr>
              <w:t>Sonora</w:t>
            </w:r>
          </w:p>
        </w:tc>
        <w:tc>
          <w:tcPr>
            <w:tcW w:w="967" w:type="dxa"/>
          </w:tcPr>
          <w:p>
            <w:pPr>
              <w:pStyle w:val="TableParagraph"/>
              <w:spacing w:line="223" w:lineRule="exact"/>
              <w:ind w:left="352"/>
              <w:jc w:val="left"/>
              <w:rPr>
                <w:sz w:val="20"/>
              </w:rPr>
            </w:pPr>
            <w:r>
              <w:rPr>
                <w:sz w:val="20"/>
              </w:rPr>
              <w:t>0.2</w:t>
            </w:r>
          </w:p>
        </w:tc>
        <w:tc>
          <w:tcPr>
            <w:tcW w:w="970" w:type="dxa"/>
          </w:tcPr>
          <w:p>
            <w:pPr>
              <w:pStyle w:val="TableParagraph"/>
              <w:spacing w:line="223" w:lineRule="exact"/>
              <w:ind w:left="335" w:right="335"/>
              <w:rPr>
                <w:sz w:val="20"/>
              </w:rPr>
            </w:pPr>
            <w:r>
              <w:rPr>
                <w:sz w:val="20"/>
              </w:rPr>
              <w:t>0.3</w:t>
            </w:r>
          </w:p>
        </w:tc>
        <w:tc>
          <w:tcPr>
            <w:tcW w:w="970" w:type="dxa"/>
          </w:tcPr>
          <w:p>
            <w:pPr>
              <w:pStyle w:val="TableParagraph"/>
              <w:spacing w:line="223" w:lineRule="exact"/>
              <w:ind w:left="256" w:right="255"/>
              <w:rPr>
                <w:sz w:val="20"/>
              </w:rPr>
            </w:pPr>
            <w:r>
              <w:rPr>
                <w:sz w:val="20"/>
              </w:rPr>
              <w:t>0.6</w:t>
            </w:r>
          </w:p>
        </w:tc>
        <w:tc>
          <w:tcPr>
            <w:tcW w:w="967" w:type="dxa"/>
          </w:tcPr>
          <w:p>
            <w:pPr>
              <w:pStyle w:val="TableParagraph"/>
              <w:spacing w:line="223" w:lineRule="exact"/>
              <w:ind w:left="333" w:right="334"/>
              <w:rPr>
                <w:sz w:val="20"/>
              </w:rPr>
            </w:pPr>
            <w:r>
              <w:rPr>
                <w:sz w:val="20"/>
              </w:rPr>
              <w:t>1.7</w:t>
            </w:r>
          </w:p>
        </w:tc>
        <w:tc>
          <w:tcPr>
            <w:tcW w:w="970" w:type="dxa"/>
          </w:tcPr>
          <w:p>
            <w:pPr>
              <w:pStyle w:val="TableParagraph"/>
              <w:spacing w:line="223" w:lineRule="exact"/>
              <w:ind w:right="353"/>
              <w:jc w:val="right"/>
              <w:rPr>
                <w:sz w:val="20"/>
              </w:rPr>
            </w:pPr>
            <w:r>
              <w:rPr>
                <w:sz w:val="20"/>
              </w:rPr>
              <w:t>2.4</w:t>
            </w:r>
          </w:p>
        </w:tc>
        <w:tc>
          <w:tcPr>
            <w:tcW w:w="970" w:type="dxa"/>
          </w:tcPr>
          <w:p>
            <w:pPr>
              <w:pStyle w:val="TableParagraph"/>
              <w:spacing w:line="223" w:lineRule="exact"/>
              <w:ind w:left="335" w:right="335"/>
              <w:rPr>
                <w:sz w:val="20"/>
              </w:rPr>
            </w:pPr>
            <w:r>
              <w:rPr>
                <w:sz w:val="20"/>
              </w:rPr>
              <w:t>0.9</w:t>
            </w:r>
          </w:p>
        </w:tc>
        <w:tc>
          <w:tcPr>
            <w:tcW w:w="965" w:type="dxa"/>
          </w:tcPr>
          <w:p>
            <w:pPr>
              <w:pStyle w:val="TableParagraph"/>
              <w:spacing w:line="223" w:lineRule="exact"/>
              <w:ind w:left="332" w:right="332"/>
              <w:rPr>
                <w:sz w:val="20"/>
              </w:rPr>
            </w:pPr>
            <w:r>
              <w:rPr>
                <w:sz w:val="20"/>
              </w:rPr>
              <w:t>1.8</w:t>
            </w:r>
          </w:p>
        </w:tc>
      </w:tr>
      <w:tr>
        <w:trPr>
          <w:trHeight w:val="310" w:hRule="exact"/>
        </w:trPr>
        <w:tc>
          <w:tcPr>
            <w:tcW w:w="2050" w:type="dxa"/>
          </w:tcPr>
          <w:p>
            <w:pPr>
              <w:pStyle w:val="TableParagraph"/>
              <w:spacing w:before="27"/>
              <w:ind w:left="103"/>
              <w:jc w:val="left"/>
              <w:rPr>
                <w:sz w:val="20"/>
              </w:rPr>
            </w:pPr>
            <w:r>
              <w:rPr>
                <w:sz w:val="20"/>
              </w:rPr>
              <w:t>Tamaulipas</w:t>
            </w:r>
          </w:p>
        </w:tc>
        <w:tc>
          <w:tcPr>
            <w:tcW w:w="967" w:type="dxa"/>
          </w:tcPr>
          <w:p>
            <w:pPr>
              <w:pStyle w:val="TableParagraph"/>
              <w:spacing w:before="27"/>
              <w:ind w:left="352"/>
              <w:jc w:val="left"/>
              <w:rPr>
                <w:sz w:val="20"/>
              </w:rPr>
            </w:pPr>
            <w:r>
              <w:rPr>
                <w:sz w:val="20"/>
              </w:rPr>
              <w:t>0.7</w:t>
            </w:r>
          </w:p>
        </w:tc>
        <w:tc>
          <w:tcPr>
            <w:tcW w:w="970" w:type="dxa"/>
          </w:tcPr>
          <w:p>
            <w:pPr>
              <w:pStyle w:val="TableParagraph"/>
              <w:spacing w:before="27"/>
              <w:ind w:left="335" w:right="335"/>
              <w:rPr>
                <w:sz w:val="20"/>
              </w:rPr>
            </w:pPr>
            <w:r>
              <w:rPr>
                <w:sz w:val="20"/>
              </w:rPr>
              <w:t>0.5</w:t>
            </w:r>
          </w:p>
        </w:tc>
        <w:tc>
          <w:tcPr>
            <w:tcW w:w="970" w:type="dxa"/>
          </w:tcPr>
          <w:p>
            <w:pPr>
              <w:pStyle w:val="TableParagraph"/>
              <w:spacing w:before="27"/>
              <w:ind w:left="256" w:right="255"/>
              <w:rPr>
                <w:sz w:val="20"/>
              </w:rPr>
            </w:pPr>
            <w:r>
              <w:rPr>
                <w:sz w:val="20"/>
              </w:rPr>
              <w:t>1.1</w:t>
            </w:r>
          </w:p>
        </w:tc>
        <w:tc>
          <w:tcPr>
            <w:tcW w:w="967" w:type="dxa"/>
          </w:tcPr>
          <w:p>
            <w:pPr>
              <w:pStyle w:val="TableParagraph"/>
              <w:spacing w:before="27"/>
              <w:ind w:left="333" w:right="334"/>
              <w:rPr>
                <w:sz w:val="20"/>
              </w:rPr>
            </w:pPr>
            <w:r>
              <w:rPr>
                <w:sz w:val="20"/>
              </w:rPr>
              <w:t>1.0</w:t>
            </w:r>
          </w:p>
        </w:tc>
        <w:tc>
          <w:tcPr>
            <w:tcW w:w="970" w:type="dxa"/>
          </w:tcPr>
          <w:p>
            <w:pPr>
              <w:pStyle w:val="TableParagraph"/>
              <w:spacing w:before="27"/>
              <w:ind w:right="353"/>
              <w:jc w:val="right"/>
              <w:rPr>
                <w:sz w:val="20"/>
              </w:rPr>
            </w:pPr>
            <w:r>
              <w:rPr>
                <w:sz w:val="20"/>
              </w:rPr>
              <w:t>1.1</w:t>
            </w:r>
          </w:p>
        </w:tc>
        <w:tc>
          <w:tcPr>
            <w:tcW w:w="970" w:type="dxa"/>
          </w:tcPr>
          <w:p>
            <w:pPr>
              <w:pStyle w:val="TableParagraph"/>
              <w:spacing w:before="27"/>
              <w:ind w:left="335" w:right="335"/>
              <w:rPr>
                <w:sz w:val="20"/>
              </w:rPr>
            </w:pPr>
            <w:r>
              <w:rPr>
                <w:sz w:val="20"/>
              </w:rPr>
              <w:t>1.1</w:t>
            </w:r>
          </w:p>
        </w:tc>
        <w:tc>
          <w:tcPr>
            <w:tcW w:w="965" w:type="dxa"/>
          </w:tcPr>
          <w:p>
            <w:pPr>
              <w:pStyle w:val="TableParagraph"/>
              <w:spacing w:before="27"/>
              <w:ind w:left="332" w:right="332"/>
              <w:rPr>
                <w:sz w:val="20"/>
              </w:rPr>
            </w:pPr>
            <w:r>
              <w:rPr>
                <w:sz w:val="20"/>
              </w:rPr>
              <w:t>1.1</w:t>
            </w:r>
          </w:p>
        </w:tc>
      </w:tr>
    </w:tbl>
    <w:p>
      <w:pPr>
        <w:spacing w:line="202" w:lineRule="exact" w:before="0"/>
        <w:ind w:left="102" w:right="119" w:firstLine="0"/>
        <w:jc w:val="left"/>
        <w:rPr>
          <w:sz w:val="18"/>
        </w:rPr>
      </w:pPr>
      <w:r>
        <w:rPr>
          <w:sz w:val="18"/>
        </w:rPr>
        <w:t>Fuente: Elaboración propia con datos de INEGI (varios años).</w:t>
      </w:r>
    </w:p>
    <w:p>
      <w:pPr>
        <w:spacing w:after="0" w:line="202" w:lineRule="exact"/>
        <w:jc w:val="left"/>
        <w:rPr>
          <w:sz w:val="18"/>
        </w:rPr>
        <w:sectPr>
          <w:pgSz w:w="12240" w:h="15840"/>
          <w:pgMar w:header="0" w:footer="1035" w:top="1360" w:bottom="1220" w:left="1600" w:right="1580"/>
        </w:sectPr>
      </w:pPr>
    </w:p>
    <w:p>
      <w:pPr>
        <w:pStyle w:val="BodyText"/>
        <w:spacing w:line="360" w:lineRule="auto" w:before="50"/>
        <w:ind w:left="102" w:right="114"/>
        <w:jc w:val="both"/>
      </w:pPr>
      <w:r>
        <w:rPr/>
        <w:t>Por otro lado, al observar la evolución de la región norte en su participación en las ramas de la industria automotriz nacional con respecto valor agregado censal bruto, durante 1980, la región mostraba una mayor participación del 42.3% en la fabricación de carrocerías y remolques,</w:t>
      </w:r>
      <w:r>
        <w:rPr>
          <w:spacing w:val="-11"/>
        </w:rPr>
        <w:t> </w:t>
      </w:r>
      <w:r>
        <w:rPr/>
        <w:t>seguida</w:t>
      </w:r>
      <w:r>
        <w:rPr>
          <w:spacing w:val="-11"/>
        </w:rPr>
        <w:t> </w:t>
      </w:r>
      <w:r>
        <w:rPr/>
        <w:t>por</w:t>
      </w:r>
      <w:r>
        <w:rPr>
          <w:spacing w:val="-12"/>
        </w:rPr>
        <w:t> </w:t>
      </w:r>
      <w:r>
        <w:rPr/>
        <w:t>la</w:t>
      </w:r>
      <w:r>
        <w:rPr>
          <w:spacing w:val="-9"/>
        </w:rPr>
        <w:t> </w:t>
      </w:r>
      <w:r>
        <w:rPr/>
        <w:t>fabricación</w:t>
      </w:r>
      <w:r>
        <w:rPr>
          <w:spacing w:val="-11"/>
        </w:rPr>
        <w:t> </w:t>
      </w:r>
      <w:r>
        <w:rPr/>
        <w:t>de</w:t>
      </w:r>
      <w:r>
        <w:rPr>
          <w:spacing w:val="-12"/>
        </w:rPr>
        <w:t> </w:t>
      </w:r>
      <w:r>
        <w:rPr/>
        <w:t>partes</w:t>
      </w:r>
      <w:r>
        <w:rPr>
          <w:spacing w:val="-11"/>
        </w:rPr>
        <w:t> </w:t>
      </w:r>
      <w:r>
        <w:rPr/>
        <w:t>de</w:t>
      </w:r>
      <w:r>
        <w:rPr>
          <w:spacing w:val="-12"/>
        </w:rPr>
        <w:t> </w:t>
      </w:r>
      <w:r>
        <w:rPr/>
        <w:t>sistemas</w:t>
      </w:r>
      <w:r>
        <w:rPr>
          <w:spacing w:val="-11"/>
        </w:rPr>
        <w:t> </w:t>
      </w:r>
      <w:r>
        <w:rPr/>
        <w:t>de</w:t>
      </w:r>
      <w:r>
        <w:rPr>
          <w:spacing w:val="-12"/>
        </w:rPr>
        <w:t> </w:t>
      </w:r>
      <w:r>
        <w:rPr/>
        <w:t>dirección</w:t>
      </w:r>
      <w:r>
        <w:rPr>
          <w:spacing w:val="-6"/>
        </w:rPr>
        <w:t> </w:t>
      </w:r>
      <w:r>
        <w:rPr/>
        <w:t>y</w:t>
      </w:r>
      <w:r>
        <w:rPr>
          <w:spacing w:val="-16"/>
        </w:rPr>
        <w:t> </w:t>
      </w:r>
      <w:r>
        <w:rPr/>
        <w:t>de</w:t>
      </w:r>
      <w:r>
        <w:rPr>
          <w:spacing w:val="-10"/>
        </w:rPr>
        <w:t> </w:t>
      </w:r>
      <w:r>
        <w:rPr/>
        <w:t>suspensión</w:t>
      </w:r>
      <w:r>
        <w:rPr>
          <w:spacing w:val="-11"/>
        </w:rPr>
        <w:t> </w:t>
      </w:r>
      <w:r>
        <w:rPr/>
        <w:t>para vehículos automotrices y fabricación de equipo eléctrico y electrónico para vehículos automotores, ambas con una participación del 30.4% en el total nacional. En tanto, para el 2008, se observa que la región aumentó su participación en prácticamente todas las ramas analizadas, convirtiéndose la fabricación de equipo eléctrico y electrónico la que más aportaba al total nacional (véase cuadro</w:t>
      </w:r>
      <w:r>
        <w:rPr>
          <w:spacing w:val="-6"/>
        </w:rPr>
        <w:t> </w:t>
      </w:r>
      <w:r>
        <w:rPr/>
        <w:t>4.17).</w:t>
      </w:r>
    </w:p>
    <w:p>
      <w:pPr>
        <w:pStyle w:val="BodyText"/>
        <w:spacing w:before="9"/>
        <w:rPr>
          <w:sz w:val="21"/>
        </w:rPr>
      </w:pPr>
    </w:p>
    <w:p>
      <w:pPr>
        <w:pStyle w:val="Heading1"/>
        <w:spacing w:line="360" w:lineRule="auto" w:after="7"/>
        <w:ind w:left="740" w:right="132" w:hanging="612"/>
      </w:pPr>
      <w:r>
        <w:rPr/>
        <w:t>Cuadro 4.17. Participación porcentual de la Región Norte en las ramas de la industria automotriz en el total nacional, 1980-2008 (Valor Agregado Censal Bruto)</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18"/>
        <w:gridCol w:w="614"/>
        <w:gridCol w:w="617"/>
        <w:gridCol w:w="617"/>
        <w:gridCol w:w="614"/>
        <w:gridCol w:w="617"/>
        <w:gridCol w:w="617"/>
        <w:gridCol w:w="615"/>
      </w:tblGrid>
      <w:tr>
        <w:trPr>
          <w:trHeight w:val="324" w:hRule="exact"/>
        </w:trPr>
        <w:tc>
          <w:tcPr>
            <w:tcW w:w="4518" w:type="dxa"/>
            <w:tcBorders>
              <w:right w:val="nil"/>
            </w:tcBorders>
            <w:shd w:val="clear" w:color="auto" w:fill="A6A6A6"/>
          </w:tcPr>
          <w:p>
            <w:pPr/>
          </w:p>
        </w:tc>
        <w:tc>
          <w:tcPr>
            <w:tcW w:w="614" w:type="dxa"/>
            <w:tcBorders>
              <w:left w:val="nil"/>
              <w:right w:val="nil"/>
            </w:tcBorders>
            <w:shd w:val="clear" w:color="auto" w:fill="A6A6A6"/>
          </w:tcPr>
          <w:p>
            <w:pPr>
              <w:pStyle w:val="TableParagraph"/>
              <w:spacing w:before="41"/>
              <w:ind w:left="87" w:right="83"/>
              <w:rPr>
                <w:b/>
                <w:sz w:val="20"/>
              </w:rPr>
            </w:pPr>
            <w:r>
              <w:rPr>
                <w:b/>
                <w:sz w:val="20"/>
              </w:rPr>
              <w:t>1980</w:t>
            </w:r>
          </w:p>
        </w:tc>
        <w:tc>
          <w:tcPr>
            <w:tcW w:w="617" w:type="dxa"/>
            <w:tcBorders>
              <w:left w:val="nil"/>
              <w:right w:val="nil"/>
            </w:tcBorders>
            <w:shd w:val="clear" w:color="auto" w:fill="A6A6A6"/>
          </w:tcPr>
          <w:p>
            <w:pPr>
              <w:pStyle w:val="TableParagraph"/>
              <w:spacing w:before="41"/>
              <w:ind w:left="107"/>
              <w:jc w:val="left"/>
              <w:rPr>
                <w:b/>
                <w:sz w:val="20"/>
              </w:rPr>
            </w:pPr>
            <w:r>
              <w:rPr>
                <w:b/>
                <w:sz w:val="20"/>
              </w:rPr>
              <w:t>1985</w:t>
            </w:r>
          </w:p>
        </w:tc>
        <w:tc>
          <w:tcPr>
            <w:tcW w:w="617" w:type="dxa"/>
            <w:tcBorders>
              <w:left w:val="nil"/>
              <w:right w:val="nil"/>
            </w:tcBorders>
            <w:shd w:val="clear" w:color="auto" w:fill="A6A6A6"/>
          </w:tcPr>
          <w:p>
            <w:pPr>
              <w:pStyle w:val="TableParagraph"/>
              <w:spacing w:before="41"/>
              <w:ind w:left="89" w:right="88"/>
              <w:rPr>
                <w:b/>
                <w:sz w:val="20"/>
              </w:rPr>
            </w:pPr>
            <w:r>
              <w:rPr>
                <w:b/>
                <w:sz w:val="20"/>
              </w:rPr>
              <w:t>1988</w:t>
            </w:r>
          </w:p>
        </w:tc>
        <w:tc>
          <w:tcPr>
            <w:tcW w:w="614" w:type="dxa"/>
            <w:tcBorders>
              <w:left w:val="nil"/>
              <w:right w:val="nil"/>
            </w:tcBorders>
            <w:shd w:val="clear" w:color="auto" w:fill="A6A6A6"/>
          </w:tcPr>
          <w:p>
            <w:pPr>
              <w:pStyle w:val="TableParagraph"/>
              <w:spacing w:before="41"/>
              <w:ind w:right="103"/>
              <w:jc w:val="right"/>
              <w:rPr>
                <w:b/>
                <w:sz w:val="20"/>
              </w:rPr>
            </w:pPr>
            <w:r>
              <w:rPr>
                <w:b/>
                <w:sz w:val="20"/>
              </w:rPr>
              <w:t>1993</w:t>
            </w:r>
          </w:p>
        </w:tc>
        <w:tc>
          <w:tcPr>
            <w:tcW w:w="617" w:type="dxa"/>
            <w:tcBorders>
              <w:left w:val="nil"/>
              <w:right w:val="nil"/>
            </w:tcBorders>
            <w:shd w:val="clear" w:color="auto" w:fill="A6A6A6"/>
          </w:tcPr>
          <w:p>
            <w:pPr>
              <w:pStyle w:val="TableParagraph"/>
              <w:spacing w:before="41"/>
              <w:ind w:right="103"/>
              <w:jc w:val="right"/>
              <w:rPr>
                <w:b/>
                <w:sz w:val="20"/>
              </w:rPr>
            </w:pPr>
            <w:r>
              <w:rPr>
                <w:b/>
                <w:sz w:val="20"/>
              </w:rPr>
              <w:t>1998</w:t>
            </w:r>
          </w:p>
        </w:tc>
        <w:tc>
          <w:tcPr>
            <w:tcW w:w="617" w:type="dxa"/>
            <w:tcBorders>
              <w:left w:val="nil"/>
              <w:right w:val="nil"/>
            </w:tcBorders>
            <w:shd w:val="clear" w:color="auto" w:fill="A6A6A6"/>
          </w:tcPr>
          <w:p>
            <w:pPr>
              <w:pStyle w:val="TableParagraph"/>
              <w:spacing w:before="41"/>
              <w:ind w:left="89" w:right="87"/>
              <w:rPr>
                <w:b/>
                <w:sz w:val="20"/>
              </w:rPr>
            </w:pPr>
            <w:r>
              <w:rPr>
                <w:b/>
                <w:sz w:val="20"/>
              </w:rPr>
              <w:t>2003</w:t>
            </w:r>
          </w:p>
        </w:tc>
        <w:tc>
          <w:tcPr>
            <w:tcW w:w="615" w:type="dxa"/>
            <w:tcBorders>
              <w:left w:val="nil"/>
            </w:tcBorders>
            <w:shd w:val="clear" w:color="auto" w:fill="A6A6A6"/>
          </w:tcPr>
          <w:p>
            <w:pPr>
              <w:pStyle w:val="TableParagraph"/>
              <w:spacing w:before="41"/>
              <w:ind w:left="108"/>
              <w:jc w:val="left"/>
              <w:rPr>
                <w:b/>
                <w:sz w:val="20"/>
              </w:rPr>
            </w:pPr>
            <w:r>
              <w:rPr>
                <w:b/>
                <w:sz w:val="20"/>
              </w:rPr>
              <w:t>2008</w:t>
            </w:r>
          </w:p>
        </w:tc>
      </w:tr>
      <w:tr>
        <w:trPr>
          <w:trHeight w:val="408" w:hRule="exact"/>
        </w:trPr>
        <w:tc>
          <w:tcPr>
            <w:tcW w:w="4518" w:type="dxa"/>
            <w:tcBorders>
              <w:top w:val="single" w:sz="21" w:space="0" w:color="A6A6A6"/>
            </w:tcBorders>
          </w:tcPr>
          <w:p>
            <w:pPr>
              <w:pStyle w:val="TableParagraph"/>
              <w:spacing w:before="60"/>
              <w:ind w:left="103" w:right="130"/>
              <w:jc w:val="left"/>
              <w:rPr>
                <w:b/>
                <w:sz w:val="20"/>
              </w:rPr>
            </w:pPr>
            <w:r>
              <w:rPr>
                <w:b/>
                <w:sz w:val="20"/>
              </w:rPr>
              <w:t>Fabricación de automóviles y camiones</w:t>
            </w:r>
          </w:p>
        </w:tc>
        <w:tc>
          <w:tcPr>
            <w:tcW w:w="614" w:type="dxa"/>
            <w:tcBorders>
              <w:top w:val="single" w:sz="21" w:space="0" w:color="A6A6A6"/>
            </w:tcBorders>
          </w:tcPr>
          <w:p>
            <w:pPr>
              <w:pStyle w:val="TableParagraph"/>
              <w:spacing w:before="55"/>
              <w:ind w:left="106" w:right="106"/>
              <w:rPr>
                <w:sz w:val="20"/>
              </w:rPr>
            </w:pPr>
            <w:r>
              <w:rPr>
                <w:sz w:val="20"/>
              </w:rPr>
              <w:t>1.8</w:t>
            </w:r>
          </w:p>
        </w:tc>
        <w:tc>
          <w:tcPr>
            <w:tcW w:w="617" w:type="dxa"/>
            <w:tcBorders>
              <w:top w:val="single" w:sz="21" w:space="0" w:color="A6A6A6"/>
            </w:tcBorders>
          </w:tcPr>
          <w:p>
            <w:pPr>
              <w:pStyle w:val="TableParagraph"/>
              <w:spacing w:before="55"/>
              <w:ind w:left="177"/>
              <w:jc w:val="left"/>
              <w:rPr>
                <w:sz w:val="20"/>
              </w:rPr>
            </w:pPr>
            <w:r>
              <w:rPr>
                <w:sz w:val="20"/>
              </w:rPr>
              <w:t>8.9</w:t>
            </w:r>
          </w:p>
        </w:tc>
        <w:tc>
          <w:tcPr>
            <w:tcW w:w="617" w:type="dxa"/>
            <w:tcBorders>
              <w:top w:val="single" w:sz="21" w:space="0" w:color="A6A6A6"/>
            </w:tcBorders>
          </w:tcPr>
          <w:p>
            <w:pPr>
              <w:pStyle w:val="TableParagraph"/>
              <w:spacing w:before="55"/>
              <w:ind w:left="108" w:right="108"/>
              <w:rPr>
                <w:sz w:val="20"/>
              </w:rPr>
            </w:pPr>
            <w:r>
              <w:rPr>
                <w:sz w:val="20"/>
              </w:rPr>
              <w:t>24.6</w:t>
            </w:r>
          </w:p>
        </w:tc>
        <w:tc>
          <w:tcPr>
            <w:tcW w:w="614" w:type="dxa"/>
            <w:tcBorders>
              <w:top w:val="single" w:sz="21" w:space="0" w:color="A6A6A6"/>
            </w:tcBorders>
          </w:tcPr>
          <w:p>
            <w:pPr>
              <w:pStyle w:val="TableParagraph"/>
              <w:spacing w:before="55"/>
              <w:ind w:right="127"/>
              <w:jc w:val="right"/>
              <w:rPr>
                <w:sz w:val="20"/>
              </w:rPr>
            </w:pPr>
            <w:r>
              <w:rPr>
                <w:sz w:val="20"/>
              </w:rPr>
              <w:t>13.9</w:t>
            </w:r>
          </w:p>
        </w:tc>
        <w:tc>
          <w:tcPr>
            <w:tcW w:w="617" w:type="dxa"/>
            <w:tcBorders>
              <w:top w:val="single" w:sz="21" w:space="0" w:color="A6A6A6"/>
            </w:tcBorders>
          </w:tcPr>
          <w:p>
            <w:pPr>
              <w:pStyle w:val="TableParagraph"/>
              <w:spacing w:before="55"/>
              <w:ind w:right="127"/>
              <w:jc w:val="right"/>
              <w:rPr>
                <w:sz w:val="20"/>
              </w:rPr>
            </w:pPr>
            <w:r>
              <w:rPr>
                <w:sz w:val="20"/>
              </w:rPr>
              <w:t>34.2</w:t>
            </w:r>
          </w:p>
        </w:tc>
        <w:tc>
          <w:tcPr>
            <w:tcW w:w="617" w:type="dxa"/>
            <w:tcBorders>
              <w:top w:val="single" w:sz="21" w:space="0" w:color="A6A6A6"/>
            </w:tcBorders>
          </w:tcPr>
          <w:p>
            <w:pPr>
              <w:pStyle w:val="TableParagraph"/>
              <w:spacing w:before="55"/>
              <w:ind w:left="108" w:right="109"/>
              <w:rPr>
                <w:sz w:val="20"/>
              </w:rPr>
            </w:pPr>
            <w:r>
              <w:rPr>
                <w:sz w:val="20"/>
              </w:rPr>
              <w:t>19.9</w:t>
            </w:r>
          </w:p>
        </w:tc>
        <w:tc>
          <w:tcPr>
            <w:tcW w:w="615" w:type="dxa"/>
            <w:tcBorders>
              <w:top w:val="single" w:sz="21" w:space="0" w:color="A6A6A6"/>
            </w:tcBorders>
          </w:tcPr>
          <w:p>
            <w:pPr>
              <w:pStyle w:val="TableParagraph"/>
              <w:spacing w:before="55"/>
              <w:ind w:left="127"/>
              <w:jc w:val="left"/>
              <w:rPr>
                <w:sz w:val="20"/>
              </w:rPr>
            </w:pPr>
            <w:r>
              <w:rPr>
                <w:sz w:val="20"/>
              </w:rPr>
              <w:t>33.3</w:t>
            </w:r>
          </w:p>
        </w:tc>
      </w:tr>
      <w:tr>
        <w:trPr>
          <w:trHeight w:val="413" w:hRule="exact"/>
        </w:trPr>
        <w:tc>
          <w:tcPr>
            <w:tcW w:w="4518" w:type="dxa"/>
          </w:tcPr>
          <w:p>
            <w:pPr>
              <w:pStyle w:val="TableParagraph"/>
              <w:spacing w:before="84"/>
              <w:ind w:left="103" w:right="130"/>
              <w:jc w:val="left"/>
              <w:rPr>
                <w:b/>
                <w:sz w:val="20"/>
              </w:rPr>
            </w:pPr>
            <w:r>
              <w:rPr>
                <w:b/>
                <w:sz w:val="20"/>
              </w:rPr>
              <w:t>Fabricación de carrocerías y remolques</w:t>
            </w:r>
          </w:p>
        </w:tc>
        <w:tc>
          <w:tcPr>
            <w:tcW w:w="614" w:type="dxa"/>
          </w:tcPr>
          <w:p>
            <w:pPr>
              <w:pStyle w:val="TableParagraph"/>
              <w:spacing w:before="79"/>
              <w:ind w:left="106" w:right="106"/>
              <w:rPr>
                <w:sz w:val="20"/>
              </w:rPr>
            </w:pPr>
            <w:r>
              <w:rPr>
                <w:sz w:val="20"/>
              </w:rPr>
              <w:t>42.3</w:t>
            </w:r>
          </w:p>
        </w:tc>
        <w:tc>
          <w:tcPr>
            <w:tcW w:w="617" w:type="dxa"/>
          </w:tcPr>
          <w:p>
            <w:pPr>
              <w:pStyle w:val="TableParagraph"/>
              <w:spacing w:before="79"/>
              <w:ind w:left="127"/>
              <w:jc w:val="left"/>
              <w:rPr>
                <w:sz w:val="20"/>
              </w:rPr>
            </w:pPr>
            <w:r>
              <w:rPr>
                <w:sz w:val="20"/>
              </w:rPr>
              <w:t>28.5</w:t>
            </w:r>
          </w:p>
        </w:tc>
        <w:tc>
          <w:tcPr>
            <w:tcW w:w="617" w:type="dxa"/>
          </w:tcPr>
          <w:p>
            <w:pPr>
              <w:pStyle w:val="TableParagraph"/>
              <w:spacing w:before="79"/>
              <w:ind w:left="108" w:right="108"/>
              <w:rPr>
                <w:sz w:val="20"/>
              </w:rPr>
            </w:pPr>
            <w:r>
              <w:rPr>
                <w:sz w:val="20"/>
              </w:rPr>
              <w:t>18.1</w:t>
            </w:r>
          </w:p>
        </w:tc>
        <w:tc>
          <w:tcPr>
            <w:tcW w:w="614" w:type="dxa"/>
          </w:tcPr>
          <w:p>
            <w:pPr>
              <w:pStyle w:val="TableParagraph"/>
              <w:spacing w:before="79"/>
              <w:ind w:right="127"/>
              <w:jc w:val="right"/>
              <w:rPr>
                <w:sz w:val="20"/>
              </w:rPr>
            </w:pPr>
            <w:r>
              <w:rPr>
                <w:sz w:val="20"/>
              </w:rPr>
              <w:t>19.1</w:t>
            </w:r>
          </w:p>
        </w:tc>
        <w:tc>
          <w:tcPr>
            <w:tcW w:w="617" w:type="dxa"/>
          </w:tcPr>
          <w:p>
            <w:pPr>
              <w:pStyle w:val="TableParagraph"/>
              <w:spacing w:before="79"/>
              <w:ind w:right="127"/>
              <w:jc w:val="right"/>
              <w:rPr>
                <w:sz w:val="20"/>
              </w:rPr>
            </w:pPr>
            <w:r>
              <w:rPr>
                <w:sz w:val="20"/>
              </w:rPr>
              <w:t>21.4</w:t>
            </w:r>
          </w:p>
        </w:tc>
        <w:tc>
          <w:tcPr>
            <w:tcW w:w="617" w:type="dxa"/>
          </w:tcPr>
          <w:p>
            <w:pPr>
              <w:pStyle w:val="TableParagraph"/>
              <w:spacing w:before="79"/>
              <w:ind w:left="108" w:right="109"/>
              <w:rPr>
                <w:sz w:val="20"/>
              </w:rPr>
            </w:pPr>
            <w:r>
              <w:rPr>
                <w:sz w:val="20"/>
              </w:rPr>
              <w:t>41.9</w:t>
            </w:r>
          </w:p>
        </w:tc>
        <w:tc>
          <w:tcPr>
            <w:tcW w:w="615" w:type="dxa"/>
          </w:tcPr>
          <w:p>
            <w:pPr>
              <w:pStyle w:val="TableParagraph"/>
              <w:spacing w:before="79"/>
              <w:ind w:left="127"/>
              <w:jc w:val="left"/>
              <w:rPr>
                <w:sz w:val="20"/>
              </w:rPr>
            </w:pPr>
            <w:r>
              <w:rPr>
                <w:sz w:val="20"/>
              </w:rPr>
              <w:t>40.6</w:t>
            </w:r>
          </w:p>
        </w:tc>
      </w:tr>
      <w:tr>
        <w:trPr>
          <w:trHeight w:val="470" w:hRule="exact"/>
        </w:trPr>
        <w:tc>
          <w:tcPr>
            <w:tcW w:w="4518" w:type="dxa"/>
          </w:tcPr>
          <w:p>
            <w:pPr>
              <w:pStyle w:val="TableParagraph"/>
              <w:ind w:left="103" w:right="130"/>
              <w:jc w:val="left"/>
              <w:rPr>
                <w:b/>
                <w:sz w:val="20"/>
              </w:rPr>
            </w:pPr>
            <w:r>
              <w:rPr>
                <w:b/>
                <w:sz w:val="20"/>
              </w:rPr>
              <w:t>Fabricación de motores de gasolina y sus partes para vehículos automotrices</w:t>
            </w:r>
          </w:p>
        </w:tc>
        <w:tc>
          <w:tcPr>
            <w:tcW w:w="614" w:type="dxa"/>
          </w:tcPr>
          <w:p>
            <w:pPr>
              <w:pStyle w:val="TableParagraph"/>
              <w:spacing w:before="108"/>
              <w:ind w:left="106" w:right="106"/>
              <w:rPr>
                <w:sz w:val="20"/>
              </w:rPr>
            </w:pPr>
            <w:r>
              <w:rPr>
                <w:sz w:val="20"/>
              </w:rPr>
              <w:t>2.7</w:t>
            </w:r>
          </w:p>
        </w:tc>
        <w:tc>
          <w:tcPr>
            <w:tcW w:w="617" w:type="dxa"/>
          </w:tcPr>
          <w:p>
            <w:pPr>
              <w:pStyle w:val="TableParagraph"/>
              <w:spacing w:before="108"/>
              <w:ind w:left="203"/>
              <w:jc w:val="left"/>
              <w:rPr>
                <w:sz w:val="20"/>
              </w:rPr>
            </w:pPr>
            <w:r>
              <w:rPr>
                <w:sz w:val="20"/>
              </w:rPr>
              <w:t>62</w:t>
            </w:r>
          </w:p>
        </w:tc>
        <w:tc>
          <w:tcPr>
            <w:tcW w:w="617" w:type="dxa"/>
          </w:tcPr>
          <w:p>
            <w:pPr>
              <w:pStyle w:val="TableParagraph"/>
              <w:spacing w:before="108"/>
              <w:ind w:left="108" w:right="108"/>
              <w:rPr>
                <w:sz w:val="20"/>
              </w:rPr>
            </w:pPr>
            <w:r>
              <w:rPr>
                <w:sz w:val="20"/>
              </w:rPr>
              <w:t>74.9</w:t>
            </w:r>
          </w:p>
        </w:tc>
        <w:tc>
          <w:tcPr>
            <w:tcW w:w="614" w:type="dxa"/>
          </w:tcPr>
          <w:p>
            <w:pPr>
              <w:pStyle w:val="TableParagraph"/>
              <w:spacing w:before="108"/>
              <w:ind w:right="127"/>
              <w:jc w:val="right"/>
              <w:rPr>
                <w:sz w:val="20"/>
              </w:rPr>
            </w:pPr>
            <w:r>
              <w:rPr>
                <w:sz w:val="20"/>
              </w:rPr>
              <w:t>41.2</w:t>
            </w:r>
          </w:p>
        </w:tc>
        <w:tc>
          <w:tcPr>
            <w:tcW w:w="617" w:type="dxa"/>
          </w:tcPr>
          <w:p>
            <w:pPr>
              <w:pStyle w:val="TableParagraph"/>
              <w:spacing w:before="108"/>
              <w:ind w:right="127"/>
              <w:jc w:val="right"/>
              <w:rPr>
                <w:sz w:val="20"/>
              </w:rPr>
            </w:pPr>
            <w:r>
              <w:rPr>
                <w:sz w:val="20"/>
              </w:rPr>
              <w:t>45.4</w:t>
            </w:r>
          </w:p>
        </w:tc>
        <w:tc>
          <w:tcPr>
            <w:tcW w:w="617" w:type="dxa"/>
          </w:tcPr>
          <w:p>
            <w:pPr>
              <w:pStyle w:val="TableParagraph"/>
              <w:spacing w:before="108"/>
              <w:ind w:left="108" w:right="109"/>
              <w:rPr>
                <w:sz w:val="20"/>
              </w:rPr>
            </w:pPr>
            <w:r>
              <w:rPr>
                <w:sz w:val="20"/>
              </w:rPr>
              <w:t>52.5</w:t>
            </w:r>
          </w:p>
        </w:tc>
        <w:tc>
          <w:tcPr>
            <w:tcW w:w="615" w:type="dxa"/>
          </w:tcPr>
          <w:p>
            <w:pPr>
              <w:pStyle w:val="TableParagraph"/>
              <w:spacing w:before="108"/>
              <w:ind w:left="127"/>
              <w:jc w:val="left"/>
              <w:rPr>
                <w:sz w:val="20"/>
              </w:rPr>
            </w:pPr>
            <w:r>
              <w:rPr>
                <w:sz w:val="20"/>
              </w:rPr>
              <w:t>61.4</w:t>
            </w:r>
          </w:p>
        </w:tc>
      </w:tr>
      <w:tr>
        <w:trPr>
          <w:trHeight w:val="384" w:hRule="exact"/>
        </w:trPr>
        <w:tc>
          <w:tcPr>
            <w:tcW w:w="4518" w:type="dxa"/>
          </w:tcPr>
          <w:p>
            <w:pPr>
              <w:pStyle w:val="TableParagraph"/>
              <w:spacing w:before="70"/>
              <w:ind w:left="103" w:right="130"/>
              <w:jc w:val="left"/>
              <w:rPr>
                <w:b/>
                <w:sz w:val="20"/>
              </w:rPr>
            </w:pPr>
            <w:r>
              <w:rPr>
                <w:b/>
                <w:sz w:val="20"/>
              </w:rPr>
              <w:t>Fabricación de partes de sistemas de transmisión</w:t>
            </w:r>
          </w:p>
        </w:tc>
        <w:tc>
          <w:tcPr>
            <w:tcW w:w="614" w:type="dxa"/>
          </w:tcPr>
          <w:p>
            <w:pPr>
              <w:pStyle w:val="TableParagraph"/>
              <w:spacing w:before="65"/>
              <w:ind w:left="106" w:right="106"/>
              <w:rPr>
                <w:sz w:val="20"/>
              </w:rPr>
            </w:pPr>
            <w:r>
              <w:rPr>
                <w:sz w:val="20"/>
              </w:rPr>
              <w:t>3.4</w:t>
            </w:r>
          </w:p>
        </w:tc>
        <w:tc>
          <w:tcPr>
            <w:tcW w:w="617" w:type="dxa"/>
          </w:tcPr>
          <w:p>
            <w:pPr>
              <w:pStyle w:val="TableParagraph"/>
              <w:spacing w:before="65"/>
              <w:ind w:left="177"/>
              <w:jc w:val="left"/>
              <w:rPr>
                <w:sz w:val="20"/>
              </w:rPr>
            </w:pPr>
            <w:r>
              <w:rPr>
                <w:sz w:val="20"/>
              </w:rPr>
              <w:t>0.2</w:t>
            </w:r>
          </w:p>
        </w:tc>
        <w:tc>
          <w:tcPr>
            <w:tcW w:w="617" w:type="dxa"/>
          </w:tcPr>
          <w:p>
            <w:pPr>
              <w:pStyle w:val="TableParagraph"/>
              <w:spacing w:before="65"/>
              <w:ind w:left="108" w:right="108"/>
              <w:rPr>
                <w:sz w:val="20"/>
              </w:rPr>
            </w:pPr>
            <w:r>
              <w:rPr>
                <w:sz w:val="20"/>
              </w:rPr>
              <w:t>0.7</w:t>
            </w:r>
          </w:p>
        </w:tc>
        <w:tc>
          <w:tcPr>
            <w:tcW w:w="614" w:type="dxa"/>
          </w:tcPr>
          <w:p>
            <w:pPr>
              <w:pStyle w:val="TableParagraph"/>
              <w:spacing w:before="65"/>
              <w:ind w:right="127"/>
              <w:jc w:val="right"/>
              <w:rPr>
                <w:sz w:val="20"/>
              </w:rPr>
            </w:pPr>
            <w:r>
              <w:rPr>
                <w:sz w:val="20"/>
              </w:rPr>
              <w:t>22.8</w:t>
            </w:r>
          </w:p>
        </w:tc>
        <w:tc>
          <w:tcPr>
            <w:tcW w:w="617" w:type="dxa"/>
          </w:tcPr>
          <w:p>
            <w:pPr>
              <w:pStyle w:val="TableParagraph"/>
              <w:spacing w:before="65"/>
              <w:ind w:right="177"/>
              <w:jc w:val="right"/>
              <w:rPr>
                <w:sz w:val="20"/>
              </w:rPr>
            </w:pPr>
            <w:r>
              <w:rPr>
                <w:sz w:val="20"/>
              </w:rPr>
              <w:t>0.4</w:t>
            </w:r>
          </w:p>
        </w:tc>
        <w:tc>
          <w:tcPr>
            <w:tcW w:w="617" w:type="dxa"/>
          </w:tcPr>
          <w:p>
            <w:pPr>
              <w:pStyle w:val="TableParagraph"/>
              <w:spacing w:before="65"/>
              <w:ind w:left="108" w:right="109"/>
              <w:rPr>
                <w:sz w:val="20"/>
              </w:rPr>
            </w:pPr>
            <w:r>
              <w:rPr>
                <w:sz w:val="20"/>
              </w:rPr>
              <w:t>7.1</w:t>
            </w:r>
          </w:p>
        </w:tc>
        <w:tc>
          <w:tcPr>
            <w:tcW w:w="615" w:type="dxa"/>
          </w:tcPr>
          <w:p>
            <w:pPr>
              <w:pStyle w:val="TableParagraph"/>
              <w:spacing w:before="65"/>
              <w:ind w:left="127"/>
              <w:jc w:val="left"/>
              <w:rPr>
                <w:sz w:val="20"/>
              </w:rPr>
            </w:pPr>
            <w:r>
              <w:rPr>
                <w:sz w:val="20"/>
              </w:rPr>
              <w:t>27.9</w:t>
            </w:r>
          </w:p>
        </w:tc>
      </w:tr>
      <w:tr>
        <w:trPr>
          <w:trHeight w:val="468" w:hRule="exact"/>
        </w:trPr>
        <w:tc>
          <w:tcPr>
            <w:tcW w:w="4518" w:type="dxa"/>
          </w:tcPr>
          <w:p>
            <w:pPr>
              <w:pStyle w:val="TableParagraph"/>
              <w:ind w:left="103" w:right="130"/>
              <w:jc w:val="left"/>
              <w:rPr>
                <w:b/>
                <w:sz w:val="20"/>
              </w:rPr>
            </w:pPr>
            <w:r>
              <w:rPr>
                <w:b/>
                <w:sz w:val="20"/>
              </w:rPr>
              <w:t>Fabricación de partes de sistemas de dirección y de suspensión para vehículos automotrices</w:t>
            </w:r>
          </w:p>
        </w:tc>
        <w:tc>
          <w:tcPr>
            <w:tcW w:w="614" w:type="dxa"/>
          </w:tcPr>
          <w:p>
            <w:pPr>
              <w:pStyle w:val="TableParagraph"/>
              <w:spacing w:before="108"/>
              <w:ind w:left="106" w:right="106"/>
              <w:rPr>
                <w:sz w:val="20"/>
              </w:rPr>
            </w:pPr>
            <w:r>
              <w:rPr>
                <w:sz w:val="20"/>
              </w:rPr>
              <w:t>30.4</w:t>
            </w:r>
          </w:p>
        </w:tc>
        <w:tc>
          <w:tcPr>
            <w:tcW w:w="617" w:type="dxa"/>
          </w:tcPr>
          <w:p>
            <w:pPr>
              <w:pStyle w:val="TableParagraph"/>
              <w:spacing w:before="108"/>
              <w:ind w:left="127"/>
              <w:jc w:val="left"/>
              <w:rPr>
                <w:sz w:val="20"/>
              </w:rPr>
            </w:pPr>
            <w:r>
              <w:rPr>
                <w:sz w:val="20"/>
              </w:rPr>
              <w:t>23.7</w:t>
            </w:r>
          </w:p>
        </w:tc>
        <w:tc>
          <w:tcPr>
            <w:tcW w:w="617" w:type="dxa"/>
          </w:tcPr>
          <w:p>
            <w:pPr>
              <w:pStyle w:val="TableParagraph"/>
              <w:spacing w:before="108"/>
              <w:ind w:left="108" w:right="108"/>
              <w:rPr>
                <w:sz w:val="20"/>
              </w:rPr>
            </w:pPr>
            <w:r>
              <w:rPr>
                <w:sz w:val="20"/>
              </w:rPr>
              <w:t>34.7</w:t>
            </w:r>
          </w:p>
        </w:tc>
        <w:tc>
          <w:tcPr>
            <w:tcW w:w="614" w:type="dxa"/>
          </w:tcPr>
          <w:p>
            <w:pPr>
              <w:pStyle w:val="TableParagraph"/>
              <w:spacing w:before="108"/>
              <w:ind w:left="201"/>
              <w:jc w:val="left"/>
              <w:rPr>
                <w:sz w:val="20"/>
              </w:rPr>
            </w:pPr>
            <w:r>
              <w:rPr>
                <w:sz w:val="20"/>
              </w:rPr>
              <w:t>15</w:t>
            </w:r>
          </w:p>
        </w:tc>
        <w:tc>
          <w:tcPr>
            <w:tcW w:w="617" w:type="dxa"/>
          </w:tcPr>
          <w:p>
            <w:pPr>
              <w:pStyle w:val="TableParagraph"/>
              <w:spacing w:before="108"/>
              <w:ind w:right="127"/>
              <w:jc w:val="right"/>
              <w:rPr>
                <w:sz w:val="20"/>
              </w:rPr>
            </w:pPr>
            <w:r>
              <w:rPr>
                <w:sz w:val="20"/>
              </w:rPr>
              <w:t>39.7</w:t>
            </w:r>
          </w:p>
        </w:tc>
        <w:tc>
          <w:tcPr>
            <w:tcW w:w="617" w:type="dxa"/>
          </w:tcPr>
          <w:p>
            <w:pPr>
              <w:pStyle w:val="TableParagraph"/>
              <w:spacing w:before="108"/>
              <w:ind w:left="108" w:right="106"/>
              <w:rPr>
                <w:sz w:val="20"/>
              </w:rPr>
            </w:pPr>
            <w:r>
              <w:rPr>
                <w:sz w:val="20"/>
              </w:rPr>
              <w:t>26</w:t>
            </w:r>
          </w:p>
        </w:tc>
        <w:tc>
          <w:tcPr>
            <w:tcW w:w="615" w:type="dxa"/>
          </w:tcPr>
          <w:p>
            <w:pPr>
              <w:pStyle w:val="TableParagraph"/>
              <w:spacing w:before="108"/>
              <w:ind w:left="127"/>
              <w:jc w:val="left"/>
              <w:rPr>
                <w:sz w:val="20"/>
              </w:rPr>
            </w:pPr>
            <w:r>
              <w:rPr>
                <w:sz w:val="20"/>
              </w:rPr>
              <w:t>41.3</w:t>
            </w:r>
          </w:p>
        </w:tc>
      </w:tr>
      <w:tr>
        <w:trPr>
          <w:trHeight w:val="470" w:hRule="exact"/>
        </w:trPr>
        <w:tc>
          <w:tcPr>
            <w:tcW w:w="4518" w:type="dxa"/>
          </w:tcPr>
          <w:p>
            <w:pPr>
              <w:pStyle w:val="TableParagraph"/>
              <w:ind w:left="103" w:right="130"/>
              <w:jc w:val="left"/>
              <w:rPr>
                <w:b/>
                <w:sz w:val="20"/>
              </w:rPr>
            </w:pPr>
            <w:r>
              <w:rPr>
                <w:b/>
                <w:sz w:val="20"/>
              </w:rPr>
              <w:t>Fabricación de partes de sistemas de frenos para vehículos automotrices</w:t>
            </w:r>
          </w:p>
        </w:tc>
        <w:tc>
          <w:tcPr>
            <w:tcW w:w="614" w:type="dxa"/>
          </w:tcPr>
          <w:p>
            <w:pPr>
              <w:pStyle w:val="TableParagraph"/>
              <w:spacing w:before="111"/>
              <w:ind w:left="106" w:right="106"/>
              <w:rPr>
                <w:sz w:val="20"/>
              </w:rPr>
            </w:pPr>
            <w:r>
              <w:rPr>
                <w:sz w:val="20"/>
              </w:rPr>
              <w:t>8.9</w:t>
            </w:r>
          </w:p>
        </w:tc>
        <w:tc>
          <w:tcPr>
            <w:tcW w:w="617" w:type="dxa"/>
          </w:tcPr>
          <w:p>
            <w:pPr>
              <w:pStyle w:val="TableParagraph"/>
              <w:spacing w:before="111"/>
              <w:ind w:left="127"/>
              <w:jc w:val="left"/>
              <w:rPr>
                <w:sz w:val="20"/>
              </w:rPr>
            </w:pPr>
            <w:r>
              <w:rPr>
                <w:sz w:val="20"/>
              </w:rPr>
              <w:t>17.7</w:t>
            </w:r>
          </w:p>
        </w:tc>
        <w:tc>
          <w:tcPr>
            <w:tcW w:w="617" w:type="dxa"/>
          </w:tcPr>
          <w:p>
            <w:pPr>
              <w:pStyle w:val="TableParagraph"/>
              <w:spacing w:before="111"/>
              <w:ind w:left="108" w:right="108"/>
              <w:rPr>
                <w:sz w:val="20"/>
              </w:rPr>
            </w:pPr>
            <w:r>
              <w:rPr>
                <w:sz w:val="20"/>
              </w:rPr>
              <w:t>1.9</w:t>
            </w:r>
          </w:p>
        </w:tc>
        <w:tc>
          <w:tcPr>
            <w:tcW w:w="614" w:type="dxa"/>
          </w:tcPr>
          <w:p>
            <w:pPr>
              <w:pStyle w:val="TableParagraph"/>
              <w:spacing w:before="111"/>
              <w:ind w:right="127"/>
              <w:jc w:val="right"/>
              <w:rPr>
                <w:sz w:val="20"/>
              </w:rPr>
            </w:pPr>
            <w:r>
              <w:rPr>
                <w:sz w:val="20"/>
              </w:rPr>
              <w:t>16.3</w:t>
            </w:r>
          </w:p>
        </w:tc>
        <w:tc>
          <w:tcPr>
            <w:tcW w:w="617" w:type="dxa"/>
          </w:tcPr>
          <w:p>
            <w:pPr>
              <w:pStyle w:val="TableParagraph"/>
              <w:spacing w:before="111"/>
              <w:ind w:right="127"/>
              <w:jc w:val="right"/>
              <w:rPr>
                <w:sz w:val="20"/>
              </w:rPr>
            </w:pPr>
            <w:r>
              <w:rPr>
                <w:sz w:val="20"/>
              </w:rPr>
              <w:t>23.3</w:t>
            </w:r>
          </w:p>
        </w:tc>
        <w:tc>
          <w:tcPr>
            <w:tcW w:w="617" w:type="dxa"/>
          </w:tcPr>
          <w:p>
            <w:pPr>
              <w:pStyle w:val="TableParagraph"/>
              <w:spacing w:before="111"/>
              <w:ind w:left="108" w:right="109"/>
              <w:rPr>
                <w:sz w:val="20"/>
              </w:rPr>
            </w:pPr>
            <w:r>
              <w:rPr>
                <w:sz w:val="20"/>
              </w:rPr>
              <w:t>13.5</w:t>
            </w:r>
          </w:p>
        </w:tc>
        <w:tc>
          <w:tcPr>
            <w:tcW w:w="615" w:type="dxa"/>
          </w:tcPr>
          <w:p>
            <w:pPr>
              <w:pStyle w:val="TableParagraph"/>
              <w:spacing w:before="111"/>
              <w:ind w:left="127"/>
              <w:jc w:val="left"/>
              <w:rPr>
                <w:sz w:val="20"/>
              </w:rPr>
            </w:pPr>
            <w:r>
              <w:rPr>
                <w:sz w:val="20"/>
              </w:rPr>
              <w:t>26.3</w:t>
            </w:r>
          </w:p>
        </w:tc>
      </w:tr>
      <w:tr>
        <w:trPr>
          <w:trHeight w:val="470" w:hRule="exact"/>
        </w:trPr>
        <w:tc>
          <w:tcPr>
            <w:tcW w:w="4518" w:type="dxa"/>
          </w:tcPr>
          <w:p>
            <w:pPr>
              <w:pStyle w:val="TableParagraph"/>
              <w:ind w:left="103"/>
              <w:jc w:val="left"/>
              <w:rPr>
                <w:b/>
                <w:sz w:val="20"/>
              </w:rPr>
            </w:pPr>
            <w:r>
              <w:rPr>
                <w:b/>
                <w:sz w:val="20"/>
              </w:rPr>
              <w:t>Fabricación de equipo eléctrico y electrónico para vehículos automotores</w:t>
            </w:r>
          </w:p>
        </w:tc>
        <w:tc>
          <w:tcPr>
            <w:tcW w:w="614" w:type="dxa"/>
          </w:tcPr>
          <w:p>
            <w:pPr>
              <w:pStyle w:val="TableParagraph"/>
              <w:spacing w:before="108"/>
              <w:ind w:left="106" w:right="106"/>
              <w:rPr>
                <w:sz w:val="20"/>
              </w:rPr>
            </w:pPr>
            <w:r>
              <w:rPr>
                <w:sz w:val="20"/>
              </w:rPr>
              <w:t>30.4</w:t>
            </w:r>
          </w:p>
        </w:tc>
        <w:tc>
          <w:tcPr>
            <w:tcW w:w="617" w:type="dxa"/>
          </w:tcPr>
          <w:p>
            <w:pPr>
              <w:pStyle w:val="TableParagraph"/>
              <w:spacing w:before="108"/>
              <w:ind w:left="127"/>
              <w:jc w:val="left"/>
              <w:rPr>
                <w:sz w:val="20"/>
              </w:rPr>
            </w:pPr>
            <w:r>
              <w:rPr>
                <w:sz w:val="20"/>
              </w:rPr>
              <w:t>62.7</w:t>
            </w:r>
          </w:p>
        </w:tc>
        <w:tc>
          <w:tcPr>
            <w:tcW w:w="617" w:type="dxa"/>
          </w:tcPr>
          <w:p>
            <w:pPr>
              <w:pStyle w:val="TableParagraph"/>
              <w:spacing w:before="108"/>
              <w:ind w:left="108" w:right="108"/>
              <w:rPr>
                <w:sz w:val="20"/>
              </w:rPr>
            </w:pPr>
            <w:r>
              <w:rPr>
                <w:sz w:val="20"/>
              </w:rPr>
              <w:t>76.4</w:t>
            </w:r>
          </w:p>
        </w:tc>
        <w:tc>
          <w:tcPr>
            <w:tcW w:w="614" w:type="dxa"/>
          </w:tcPr>
          <w:p>
            <w:pPr>
              <w:pStyle w:val="TableParagraph"/>
              <w:spacing w:before="108"/>
              <w:ind w:right="127"/>
              <w:jc w:val="right"/>
              <w:rPr>
                <w:sz w:val="20"/>
              </w:rPr>
            </w:pPr>
            <w:r>
              <w:rPr>
                <w:sz w:val="20"/>
              </w:rPr>
              <w:t>77.7</w:t>
            </w:r>
          </w:p>
        </w:tc>
        <w:tc>
          <w:tcPr>
            <w:tcW w:w="617" w:type="dxa"/>
          </w:tcPr>
          <w:p>
            <w:pPr>
              <w:pStyle w:val="TableParagraph"/>
              <w:spacing w:before="108"/>
              <w:ind w:right="127"/>
              <w:jc w:val="right"/>
              <w:rPr>
                <w:sz w:val="20"/>
              </w:rPr>
            </w:pPr>
            <w:r>
              <w:rPr>
                <w:sz w:val="20"/>
              </w:rPr>
              <w:t>75.5</w:t>
            </w:r>
          </w:p>
        </w:tc>
        <w:tc>
          <w:tcPr>
            <w:tcW w:w="617" w:type="dxa"/>
          </w:tcPr>
          <w:p>
            <w:pPr>
              <w:pStyle w:val="TableParagraph"/>
              <w:spacing w:before="108"/>
              <w:ind w:left="108" w:right="109"/>
              <w:rPr>
                <w:sz w:val="20"/>
              </w:rPr>
            </w:pPr>
            <w:r>
              <w:rPr>
                <w:sz w:val="20"/>
              </w:rPr>
              <w:t>81.2</w:t>
            </w:r>
          </w:p>
        </w:tc>
        <w:tc>
          <w:tcPr>
            <w:tcW w:w="615" w:type="dxa"/>
          </w:tcPr>
          <w:p>
            <w:pPr>
              <w:pStyle w:val="TableParagraph"/>
              <w:spacing w:before="108"/>
              <w:ind w:left="127"/>
              <w:jc w:val="left"/>
              <w:rPr>
                <w:sz w:val="20"/>
              </w:rPr>
            </w:pPr>
            <w:r>
              <w:rPr>
                <w:sz w:val="20"/>
              </w:rPr>
              <w:t>67.7</w:t>
            </w:r>
          </w:p>
        </w:tc>
      </w:tr>
      <w:tr>
        <w:trPr>
          <w:trHeight w:val="470" w:hRule="exact"/>
        </w:trPr>
        <w:tc>
          <w:tcPr>
            <w:tcW w:w="4518" w:type="dxa"/>
          </w:tcPr>
          <w:p>
            <w:pPr>
              <w:pStyle w:val="TableParagraph"/>
              <w:ind w:left="103" w:right="130"/>
              <w:jc w:val="left"/>
              <w:rPr>
                <w:b/>
                <w:sz w:val="20"/>
              </w:rPr>
            </w:pPr>
            <w:r>
              <w:rPr>
                <w:b/>
                <w:sz w:val="20"/>
              </w:rPr>
              <w:t>Fabricación de otras partes para vehículos automotrices</w:t>
            </w:r>
          </w:p>
        </w:tc>
        <w:tc>
          <w:tcPr>
            <w:tcW w:w="614" w:type="dxa"/>
          </w:tcPr>
          <w:p>
            <w:pPr>
              <w:pStyle w:val="TableParagraph"/>
              <w:spacing w:before="108"/>
              <w:ind w:left="106" w:right="106"/>
              <w:rPr>
                <w:sz w:val="20"/>
              </w:rPr>
            </w:pPr>
            <w:r>
              <w:rPr>
                <w:sz w:val="20"/>
              </w:rPr>
              <w:t>28.1</w:t>
            </w:r>
          </w:p>
        </w:tc>
        <w:tc>
          <w:tcPr>
            <w:tcW w:w="617" w:type="dxa"/>
          </w:tcPr>
          <w:p>
            <w:pPr>
              <w:pStyle w:val="TableParagraph"/>
              <w:spacing w:before="108"/>
              <w:ind w:left="127"/>
              <w:jc w:val="left"/>
              <w:rPr>
                <w:sz w:val="20"/>
              </w:rPr>
            </w:pPr>
            <w:r>
              <w:rPr>
                <w:sz w:val="20"/>
              </w:rPr>
              <w:t>18.7</w:t>
            </w:r>
          </w:p>
        </w:tc>
        <w:tc>
          <w:tcPr>
            <w:tcW w:w="617" w:type="dxa"/>
          </w:tcPr>
          <w:p>
            <w:pPr>
              <w:pStyle w:val="TableParagraph"/>
              <w:spacing w:before="108"/>
              <w:ind w:left="108" w:right="108"/>
              <w:rPr>
                <w:sz w:val="20"/>
              </w:rPr>
            </w:pPr>
            <w:r>
              <w:rPr>
                <w:sz w:val="20"/>
              </w:rPr>
              <w:t>57.8</w:t>
            </w:r>
          </w:p>
        </w:tc>
        <w:tc>
          <w:tcPr>
            <w:tcW w:w="614" w:type="dxa"/>
          </w:tcPr>
          <w:p>
            <w:pPr>
              <w:pStyle w:val="TableParagraph"/>
              <w:spacing w:before="108"/>
              <w:ind w:right="127"/>
              <w:jc w:val="right"/>
              <w:rPr>
                <w:sz w:val="20"/>
              </w:rPr>
            </w:pPr>
            <w:r>
              <w:rPr>
                <w:sz w:val="20"/>
              </w:rPr>
              <w:t>41.2</w:t>
            </w:r>
          </w:p>
        </w:tc>
        <w:tc>
          <w:tcPr>
            <w:tcW w:w="617" w:type="dxa"/>
          </w:tcPr>
          <w:p>
            <w:pPr>
              <w:pStyle w:val="TableParagraph"/>
              <w:spacing w:before="108"/>
              <w:ind w:right="199"/>
              <w:jc w:val="right"/>
              <w:rPr>
                <w:sz w:val="20"/>
              </w:rPr>
            </w:pPr>
            <w:r>
              <w:rPr>
                <w:sz w:val="20"/>
              </w:rPr>
              <w:t>44</w:t>
            </w:r>
          </w:p>
        </w:tc>
        <w:tc>
          <w:tcPr>
            <w:tcW w:w="617" w:type="dxa"/>
          </w:tcPr>
          <w:p>
            <w:pPr>
              <w:pStyle w:val="TableParagraph"/>
              <w:spacing w:before="108"/>
              <w:ind w:left="108" w:right="106"/>
              <w:rPr>
                <w:sz w:val="20"/>
              </w:rPr>
            </w:pPr>
            <w:r>
              <w:rPr>
                <w:sz w:val="20"/>
              </w:rPr>
              <w:t>49</w:t>
            </w:r>
          </w:p>
        </w:tc>
        <w:tc>
          <w:tcPr>
            <w:tcW w:w="615" w:type="dxa"/>
          </w:tcPr>
          <w:p>
            <w:pPr>
              <w:pStyle w:val="TableParagraph"/>
              <w:spacing w:before="108"/>
              <w:ind w:left="127"/>
              <w:jc w:val="left"/>
              <w:rPr>
                <w:sz w:val="20"/>
              </w:rPr>
            </w:pPr>
            <w:r>
              <w:rPr>
                <w:sz w:val="20"/>
              </w:rPr>
              <w:t>59.5</w:t>
            </w:r>
          </w:p>
        </w:tc>
      </w:tr>
    </w:tbl>
    <w:p>
      <w:pPr>
        <w:spacing w:line="203" w:lineRule="exact" w:before="0"/>
        <w:ind w:left="102" w:right="0" w:firstLine="0"/>
        <w:jc w:val="both"/>
        <w:rPr>
          <w:sz w:val="18"/>
        </w:rPr>
      </w:pPr>
      <w:r>
        <w:rPr>
          <w:sz w:val="18"/>
        </w:rPr>
        <w:t>Fuente: Elaboración propia con datos de INEGI (varios años).</w:t>
      </w:r>
    </w:p>
    <w:p>
      <w:pPr>
        <w:pStyle w:val="BodyText"/>
        <w:rPr>
          <w:sz w:val="18"/>
        </w:rPr>
      </w:pPr>
    </w:p>
    <w:p>
      <w:pPr>
        <w:pStyle w:val="BodyText"/>
        <w:spacing w:line="360" w:lineRule="auto" w:before="135"/>
        <w:ind w:left="102" w:right="120"/>
        <w:jc w:val="both"/>
      </w:pPr>
      <w:r>
        <w:rPr/>
        <w:t>Por</w:t>
      </w:r>
      <w:r>
        <w:rPr>
          <w:spacing w:val="-10"/>
        </w:rPr>
        <w:t> </w:t>
      </w:r>
      <w:r>
        <w:rPr/>
        <w:t>el</w:t>
      </w:r>
      <w:r>
        <w:rPr>
          <w:spacing w:val="-9"/>
        </w:rPr>
        <w:t> </w:t>
      </w:r>
      <w:r>
        <w:rPr/>
        <w:t>lado</w:t>
      </w:r>
      <w:r>
        <w:rPr>
          <w:spacing w:val="-10"/>
        </w:rPr>
        <w:t> </w:t>
      </w:r>
      <w:r>
        <w:rPr/>
        <w:t>del</w:t>
      </w:r>
      <w:r>
        <w:rPr>
          <w:spacing w:val="-9"/>
        </w:rPr>
        <w:t> </w:t>
      </w:r>
      <w:r>
        <w:rPr/>
        <w:t>personal</w:t>
      </w:r>
      <w:r>
        <w:rPr>
          <w:spacing w:val="-9"/>
        </w:rPr>
        <w:t> </w:t>
      </w:r>
      <w:r>
        <w:rPr/>
        <w:t>ocupado,</w:t>
      </w:r>
      <w:r>
        <w:rPr>
          <w:spacing w:val="-10"/>
        </w:rPr>
        <w:t> </w:t>
      </w:r>
      <w:r>
        <w:rPr/>
        <w:t>en</w:t>
      </w:r>
      <w:r>
        <w:rPr>
          <w:spacing w:val="-10"/>
        </w:rPr>
        <w:t> </w:t>
      </w:r>
      <w:r>
        <w:rPr/>
        <w:t>1980</w:t>
      </w:r>
      <w:r>
        <w:rPr>
          <w:spacing w:val="-10"/>
        </w:rPr>
        <w:t> </w:t>
      </w:r>
      <w:r>
        <w:rPr/>
        <w:t>la</w:t>
      </w:r>
      <w:r>
        <w:rPr>
          <w:spacing w:val="-10"/>
        </w:rPr>
        <w:t> </w:t>
      </w:r>
      <w:r>
        <w:rPr/>
        <w:t>fabricación</w:t>
      </w:r>
      <w:r>
        <w:rPr>
          <w:spacing w:val="-9"/>
        </w:rPr>
        <w:t> </w:t>
      </w:r>
      <w:r>
        <w:rPr/>
        <w:t>de</w:t>
      </w:r>
      <w:r>
        <w:rPr>
          <w:spacing w:val="-10"/>
        </w:rPr>
        <w:t> </w:t>
      </w:r>
      <w:r>
        <w:rPr/>
        <w:t>equipo</w:t>
      </w:r>
      <w:r>
        <w:rPr>
          <w:spacing w:val="-9"/>
        </w:rPr>
        <w:t> </w:t>
      </w:r>
      <w:r>
        <w:rPr/>
        <w:t>eléctrico</w:t>
      </w:r>
      <w:r>
        <w:rPr>
          <w:spacing w:val="-10"/>
        </w:rPr>
        <w:t> </w:t>
      </w:r>
      <w:r>
        <w:rPr/>
        <w:t>y</w:t>
      </w:r>
      <w:r>
        <w:rPr>
          <w:spacing w:val="-11"/>
        </w:rPr>
        <w:t> </w:t>
      </w:r>
      <w:r>
        <w:rPr/>
        <w:t>electrónico</w:t>
      </w:r>
      <w:r>
        <w:rPr>
          <w:spacing w:val="-10"/>
        </w:rPr>
        <w:t> </w:t>
      </w:r>
      <w:r>
        <w:rPr/>
        <w:t>fue la rama que más participación mostró en el total nacional, pues generó el 51.5% del empleo nacional en dicha rama. Este comportamiento siguió durante todos los años analizados, llegando en 2008 a tener una participación del 70% (véase cuadro</w:t>
      </w:r>
      <w:r>
        <w:rPr>
          <w:spacing w:val="-9"/>
        </w:rPr>
        <w:t> </w:t>
      </w:r>
      <w:r>
        <w:rPr/>
        <w:t>4.18).</w:t>
      </w:r>
    </w:p>
    <w:p>
      <w:pPr>
        <w:spacing w:after="0" w:line="360" w:lineRule="auto"/>
        <w:jc w:val="both"/>
        <w:sectPr>
          <w:pgSz w:w="12240" w:h="15840"/>
          <w:pgMar w:header="0" w:footer="1035" w:top="1360" w:bottom="1220" w:left="1600" w:right="1580"/>
        </w:sectPr>
      </w:pPr>
    </w:p>
    <w:p>
      <w:pPr>
        <w:pStyle w:val="Heading1"/>
        <w:spacing w:line="360" w:lineRule="auto" w:before="55" w:after="6"/>
        <w:ind w:left="1326" w:right="132" w:hanging="1198"/>
      </w:pPr>
      <w:r>
        <w:rPr/>
        <w:t>Cuadro 4.18. Participación porcentual de la Región Norte en las ramas de la industria automotriz en el total nacional, 1980-2008 (Personal Ocupado)</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18"/>
        <w:gridCol w:w="614"/>
        <w:gridCol w:w="617"/>
        <w:gridCol w:w="617"/>
        <w:gridCol w:w="614"/>
        <w:gridCol w:w="617"/>
        <w:gridCol w:w="617"/>
        <w:gridCol w:w="615"/>
      </w:tblGrid>
      <w:tr>
        <w:trPr>
          <w:trHeight w:val="325" w:hRule="exact"/>
        </w:trPr>
        <w:tc>
          <w:tcPr>
            <w:tcW w:w="4518" w:type="dxa"/>
            <w:tcBorders>
              <w:right w:val="nil"/>
            </w:tcBorders>
            <w:shd w:val="clear" w:color="auto" w:fill="A6A6A6"/>
          </w:tcPr>
          <w:p>
            <w:pPr/>
          </w:p>
        </w:tc>
        <w:tc>
          <w:tcPr>
            <w:tcW w:w="614" w:type="dxa"/>
            <w:tcBorders>
              <w:left w:val="nil"/>
              <w:right w:val="nil"/>
            </w:tcBorders>
            <w:shd w:val="clear" w:color="auto" w:fill="A6A6A6"/>
          </w:tcPr>
          <w:p>
            <w:pPr>
              <w:pStyle w:val="TableParagraph"/>
              <w:spacing w:before="40"/>
              <w:ind w:left="87" w:right="83"/>
              <w:rPr>
                <w:b/>
                <w:sz w:val="20"/>
              </w:rPr>
            </w:pPr>
            <w:r>
              <w:rPr>
                <w:b/>
                <w:sz w:val="20"/>
              </w:rPr>
              <w:t>1980</w:t>
            </w:r>
          </w:p>
        </w:tc>
        <w:tc>
          <w:tcPr>
            <w:tcW w:w="617" w:type="dxa"/>
            <w:tcBorders>
              <w:left w:val="nil"/>
              <w:right w:val="nil"/>
            </w:tcBorders>
            <w:shd w:val="clear" w:color="auto" w:fill="A6A6A6"/>
          </w:tcPr>
          <w:p>
            <w:pPr>
              <w:pStyle w:val="TableParagraph"/>
              <w:spacing w:before="40"/>
              <w:ind w:left="107"/>
              <w:jc w:val="left"/>
              <w:rPr>
                <w:b/>
                <w:sz w:val="20"/>
              </w:rPr>
            </w:pPr>
            <w:r>
              <w:rPr>
                <w:b/>
                <w:sz w:val="20"/>
              </w:rPr>
              <w:t>1985</w:t>
            </w:r>
          </w:p>
        </w:tc>
        <w:tc>
          <w:tcPr>
            <w:tcW w:w="617" w:type="dxa"/>
            <w:tcBorders>
              <w:left w:val="nil"/>
              <w:right w:val="nil"/>
            </w:tcBorders>
            <w:shd w:val="clear" w:color="auto" w:fill="A6A6A6"/>
          </w:tcPr>
          <w:p>
            <w:pPr>
              <w:pStyle w:val="TableParagraph"/>
              <w:spacing w:before="40"/>
              <w:ind w:left="89" w:right="88"/>
              <w:rPr>
                <w:b/>
                <w:sz w:val="20"/>
              </w:rPr>
            </w:pPr>
            <w:r>
              <w:rPr>
                <w:b/>
                <w:sz w:val="20"/>
              </w:rPr>
              <w:t>1988</w:t>
            </w:r>
          </w:p>
        </w:tc>
        <w:tc>
          <w:tcPr>
            <w:tcW w:w="614" w:type="dxa"/>
            <w:tcBorders>
              <w:left w:val="nil"/>
              <w:right w:val="nil"/>
            </w:tcBorders>
            <w:shd w:val="clear" w:color="auto" w:fill="A6A6A6"/>
          </w:tcPr>
          <w:p>
            <w:pPr>
              <w:pStyle w:val="TableParagraph"/>
              <w:spacing w:before="40"/>
              <w:ind w:left="105"/>
              <w:jc w:val="left"/>
              <w:rPr>
                <w:b/>
                <w:sz w:val="20"/>
              </w:rPr>
            </w:pPr>
            <w:r>
              <w:rPr>
                <w:b/>
                <w:sz w:val="20"/>
              </w:rPr>
              <w:t>1993</w:t>
            </w:r>
          </w:p>
        </w:tc>
        <w:tc>
          <w:tcPr>
            <w:tcW w:w="617" w:type="dxa"/>
            <w:tcBorders>
              <w:left w:val="nil"/>
              <w:right w:val="nil"/>
            </w:tcBorders>
            <w:shd w:val="clear" w:color="auto" w:fill="A6A6A6"/>
          </w:tcPr>
          <w:p>
            <w:pPr>
              <w:pStyle w:val="TableParagraph"/>
              <w:spacing w:before="40"/>
              <w:ind w:left="108"/>
              <w:jc w:val="left"/>
              <w:rPr>
                <w:b/>
                <w:sz w:val="20"/>
              </w:rPr>
            </w:pPr>
            <w:r>
              <w:rPr>
                <w:b/>
                <w:sz w:val="20"/>
              </w:rPr>
              <w:t>1998</w:t>
            </w:r>
          </w:p>
        </w:tc>
        <w:tc>
          <w:tcPr>
            <w:tcW w:w="617" w:type="dxa"/>
            <w:tcBorders>
              <w:left w:val="nil"/>
              <w:right w:val="nil"/>
            </w:tcBorders>
            <w:shd w:val="clear" w:color="auto" w:fill="A6A6A6"/>
          </w:tcPr>
          <w:p>
            <w:pPr>
              <w:pStyle w:val="TableParagraph"/>
              <w:spacing w:before="40"/>
              <w:ind w:left="89" w:right="87"/>
              <w:rPr>
                <w:b/>
                <w:sz w:val="20"/>
              </w:rPr>
            </w:pPr>
            <w:r>
              <w:rPr>
                <w:b/>
                <w:sz w:val="20"/>
              </w:rPr>
              <w:t>2003</w:t>
            </w:r>
          </w:p>
        </w:tc>
        <w:tc>
          <w:tcPr>
            <w:tcW w:w="615" w:type="dxa"/>
            <w:tcBorders>
              <w:left w:val="nil"/>
            </w:tcBorders>
            <w:shd w:val="clear" w:color="auto" w:fill="A6A6A6"/>
          </w:tcPr>
          <w:p>
            <w:pPr>
              <w:pStyle w:val="TableParagraph"/>
              <w:spacing w:before="40"/>
              <w:ind w:left="108"/>
              <w:jc w:val="left"/>
              <w:rPr>
                <w:b/>
                <w:sz w:val="20"/>
              </w:rPr>
            </w:pPr>
            <w:r>
              <w:rPr>
                <w:b/>
                <w:sz w:val="20"/>
              </w:rPr>
              <w:t>2008</w:t>
            </w:r>
          </w:p>
        </w:tc>
      </w:tr>
      <w:tr>
        <w:trPr>
          <w:trHeight w:val="422" w:hRule="exact"/>
        </w:trPr>
        <w:tc>
          <w:tcPr>
            <w:tcW w:w="4518" w:type="dxa"/>
            <w:tcBorders>
              <w:top w:val="single" w:sz="21" w:space="0" w:color="A6A6A6"/>
            </w:tcBorders>
          </w:tcPr>
          <w:p>
            <w:pPr>
              <w:pStyle w:val="TableParagraph"/>
              <w:spacing w:before="67"/>
              <w:ind w:left="103" w:right="130"/>
              <w:jc w:val="left"/>
              <w:rPr>
                <w:b/>
                <w:sz w:val="20"/>
              </w:rPr>
            </w:pPr>
            <w:r>
              <w:rPr>
                <w:b/>
                <w:sz w:val="20"/>
              </w:rPr>
              <w:t>Fabricación de automóviles y camiones</w:t>
            </w:r>
          </w:p>
        </w:tc>
        <w:tc>
          <w:tcPr>
            <w:tcW w:w="614" w:type="dxa"/>
            <w:tcBorders>
              <w:top w:val="single" w:sz="21" w:space="0" w:color="A6A6A6"/>
            </w:tcBorders>
          </w:tcPr>
          <w:p>
            <w:pPr>
              <w:pStyle w:val="TableParagraph"/>
              <w:spacing w:before="63"/>
              <w:ind w:left="106" w:right="106"/>
              <w:rPr>
                <w:sz w:val="20"/>
              </w:rPr>
            </w:pPr>
            <w:r>
              <w:rPr>
                <w:sz w:val="20"/>
              </w:rPr>
              <w:t>6.2</w:t>
            </w:r>
          </w:p>
        </w:tc>
        <w:tc>
          <w:tcPr>
            <w:tcW w:w="617" w:type="dxa"/>
            <w:tcBorders>
              <w:top w:val="single" w:sz="21" w:space="0" w:color="A6A6A6"/>
            </w:tcBorders>
          </w:tcPr>
          <w:p>
            <w:pPr>
              <w:pStyle w:val="TableParagraph"/>
              <w:spacing w:before="63"/>
              <w:ind w:left="177"/>
              <w:jc w:val="left"/>
              <w:rPr>
                <w:sz w:val="20"/>
              </w:rPr>
            </w:pPr>
            <w:r>
              <w:rPr>
                <w:sz w:val="20"/>
              </w:rPr>
              <w:t>8.5</w:t>
            </w:r>
          </w:p>
        </w:tc>
        <w:tc>
          <w:tcPr>
            <w:tcW w:w="617" w:type="dxa"/>
            <w:tcBorders>
              <w:top w:val="single" w:sz="21" w:space="0" w:color="A6A6A6"/>
            </w:tcBorders>
          </w:tcPr>
          <w:p>
            <w:pPr>
              <w:pStyle w:val="TableParagraph"/>
              <w:spacing w:before="63"/>
              <w:ind w:left="108" w:right="108"/>
              <w:rPr>
                <w:sz w:val="20"/>
              </w:rPr>
            </w:pPr>
            <w:r>
              <w:rPr>
                <w:sz w:val="20"/>
              </w:rPr>
              <w:t>11.6</w:t>
            </w:r>
          </w:p>
        </w:tc>
        <w:tc>
          <w:tcPr>
            <w:tcW w:w="614" w:type="dxa"/>
            <w:tcBorders>
              <w:top w:val="single" w:sz="21" w:space="0" w:color="A6A6A6"/>
            </w:tcBorders>
          </w:tcPr>
          <w:p>
            <w:pPr>
              <w:pStyle w:val="TableParagraph"/>
              <w:spacing w:before="63"/>
              <w:ind w:left="124"/>
              <w:jc w:val="left"/>
              <w:rPr>
                <w:sz w:val="20"/>
              </w:rPr>
            </w:pPr>
            <w:r>
              <w:rPr>
                <w:sz w:val="20"/>
              </w:rPr>
              <w:t>16.2</w:t>
            </w:r>
          </w:p>
        </w:tc>
        <w:tc>
          <w:tcPr>
            <w:tcW w:w="617" w:type="dxa"/>
            <w:tcBorders>
              <w:top w:val="single" w:sz="21" w:space="0" w:color="A6A6A6"/>
            </w:tcBorders>
          </w:tcPr>
          <w:p>
            <w:pPr>
              <w:pStyle w:val="TableParagraph"/>
              <w:spacing w:before="63"/>
              <w:ind w:left="127"/>
              <w:jc w:val="left"/>
              <w:rPr>
                <w:sz w:val="20"/>
              </w:rPr>
            </w:pPr>
            <w:r>
              <w:rPr>
                <w:sz w:val="20"/>
              </w:rPr>
              <w:t>19.9</w:t>
            </w:r>
          </w:p>
        </w:tc>
        <w:tc>
          <w:tcPr>
            <w:tcW w:w="617" w:type="dxa"/>
            <w:tcBorders>
              <w:top w:val="single" w:sz="21" w:space="0" w:color="A6A6A6"/>
            </w:tcBorders>
          </w:tcPr>
          <w:p>
            <w:pPr>
              <w:pStyle w:val="TableParagraph"/>
              <w:spacing w:before="63"/>
              <w:ind w:left="108" w:right="106"/>
              <w:rPr>
                <w:sz w:val="20"/>
              </w:rPr>
            </w:pPr>
            <w:r>
              <w:rPr>
                <w:sz w:val="20"/>
              </w:rPr>
              <w:t>31</w:t>
            </w:r>
          </w:p>
        </w:tc>
        <w:tc>
          <w:tcPr>
            <w:tcW w:w="615" w:type="dxa"/>
            <w:tcBorders>
              <w:top w:val="single" w:sz="21" w:space="0" w:color="A6A6A6"/>
            </w:tcBorders>
          </w:tcPr>
          <w:p>
            <w:pPr>
              <w:pStyle w:val="TableParagraph"/>
              <w:spacing w:before="63"/>
              <w:ind w:left="127"/>
              <w:jc w:val="left"/>
              <w:rPr>
                <w:sz w:val="20"/>
              </w:rPr>
            </w:pPr>
            <w:r>
              <w:rPr>
                <w:sz w:val="20"/>
              </w:rPr>
              <w:t>25.5</w:t>
            </w:r>
          </w:p>
        </w:tc>
      </w:tr>
      <w:tr>
        <w:trPr>
          <w:trHeight w:val="427" w:hRule="exact"/>
        </w:trPr>
        <w:tc>
          <w:tcPr>
            <w:tcW w:w="4518" w:type="dxa"/>
          </w:tcPr>
          <w:p>
            <w:pPr>
              <w:pStyle w:val="TableParagraph"/>
              <w:spacing w:before="91"/>
              <w:ind w:left="103" w:right="130"/>
              <w:jc w:val="left"/>
              <w:rPr>
                <w:b/>
                <w:sz w:val="20"/>
              </w:rPr>
            </w:pPr>
            <w:r>
              <w:rPr>
                <w:b/>
                <w:sz w:val="20"/>
              </w:rPr>
              <w:t>Fabricación de carrocerías y remolques</w:t>
            </w:r>
          </w:p>
        </w:tc>
        <w:tc>
          <w:tcPr>
            <w:tcW w:w="614" w:type="dxa"/>
          </w:tcPr>
          <w:p>
            <w:pPr>
              <w:pStyle w:val="TableParagraph"/>
              <w:spacing w:before="87"/>
              <w:ind w:left="106" w:right="106"/>
              <w:rPr>
                <w:sz w:val="20"/>
              </w:rPr>
            </w:pPr>
            <w:r>
              <w:rPr>
                <w:sz w:val="20"/>
              </w:rPr>
              <w:t>3.7</w:t>
            </w:r>
          </w:p>
        </w:tc>
        <w:tc>
          <w:tcPr>
            <w:tcW w:w="617" w:type="dxa"/>
          </w:tcPr>
          <w:p>
            <w:pPr>
              <w:pStyle w:val="TableParagraph"/>
              <w:spacing w:before="87"/>
              <w:ind w:left="127"/>
              <w:jc w:val="left"/>
              <w:rPr>
                <w:sz w:val="20"/>
              </w:rPr>
            </w:pPr>
            <w:r>
              <w:rPr>
                <w:sz w:val="20"/>
              </w:rPr>
              <w:t>28.2</w:t>
            </w:r>
          </w:p>
        </w:tc>
        <w:tc>
          <w:tcPr>
            <w:tcW w:w="617" w:type="dxa"/>
          </w:tcPr>
          <w:p>
            <w:pPr>
              <w:pStyle w:val="TableParagraph"/>
              <w:spacing w:before="87"/>
              <w:ind w:left="108" w:right="108"/>
              <w:rPr>
                <w:sz w:val="20"/>
              </w:rPr>
            </w:pPr>
            <w:r>
              <w:rPr>
                <w:sz w:val="20"/>
              </w:rPr>
              <w:t>18.2</w:t>
            </w:r>
          </w:p>
        </w:tc>
        <w:tc>
          <w:tcPr>
            <w:tcW w:w="614" w:type="dxa"/>
          </w:tcPr>
          <w:p>
            <w:pPr>
              <w:pStyle w:val="TableParagraph"/>
              <w:spacing w:before="87"/>
              <w:ind w:left="124"/>
              <w:jc w:val="left"/>
              <w:rPr>
                <w:sz w:val="20"/>
              </w:rPr>
            </w:pPr>
            <w:r>
              <w:rPr>
                <w:sz w:val="20"/>
              </w:rPr>
              <w:t>26.2</w:t>
            </w:r>
          </w:p>
        </w:tc>
        <w:tc>
          <w:tcPr>
            <w:tcW w:w="617" w:type="dxa"/>
          </w:tcPr>
          <w:p>
            <w:pPr>
              <w:pStyle w:val="TableParagraph"/>
              <w:spacing w:before="87"/>
              <w:ind w:left="127"/>
              <w:jc w:val="left"/>
              <w:rPr>
                <w:sz w:val="20"/>
              </w:rPr>
            </w:pPr>
            <w:r>
              <w:rPr>
                <w:sz w:val="20"/>
              </w:rPr>
              <w:t>28.7</w:t>
            </w:r>
          </w:p>
        </w:tc>
        <w:tc>
          <w:tcPr>
            <w:tcW w:w="617" w:type="dxa"/>
          </w:tcPr>
          <w:p>
            <w:pPr>
              <w:pStyle w:val="TableParagraph"/>
              <w:spacing w:before="87"/>
              <w:ind w:left="108" w:right="109"/>
              <w:rPr>
                <w:sz w:val="20"/>
              </w:rPr>
            </w:pPr>
            <w:r>
              <w:rPr>
                <w:sz w:val="20"/>
              </w:rPr>
              <w:t>39.3</w:t>
            </w:r>
          </w:p>
        </w:tc>
        <w:tc>
          <w:tcPr>
            <w:tcW w:w="615" w:type="dxa"/>
          </w:tcPr>
          <w:p>
            <w:pPr>
              <w:pStyle w:val="TableParagraph"/>
              <w:spacing w:before="87"/>
              <w:ind w:left="127"/>
              <w:jc w:val="left"/>
              <w:rPr>
                <w:sz w:val="20"/>
              </w:rPr>
            </w:pPr>
            <w:r>
              <w:rPr>
                <w:sz w:val="20"/>
              </w:rPr>
              <w:t>36.1</w:t>
            </w:r>
          </w:p>
        </w:tc>
      </w:tr>
      <w:tr>
        <w:trPr>
          <w:trHeight w:val="470" w:hRule="exact"/>
        </w:trPr>
        <w:tc>
          <w:tcPr>
            <w:tcW w:w="4518" w:type="dxa"/>
          </w:tcPr>
          <w:p>
            <w:pPr>
              <w:pStyle w:val="TableParagraph"/>
              <w:ind w:left="103" w:right="324"/>
              <w:jc w:val="left"/>
              <w:rPr>
                <w:b/>
                <w:sz w:val="20"/>
              </w:rPr>
            </w:pPr>
            <w:r>
              <w:rPr>
                <w:b/>
                <w:sz w:val="20"/>
              </w:rPr>
              <w:t>Fabricación de motores de gasolina y sus partes para vehículos automotrices</w:t>
            </w:r>
          </w:p>
        </w:tc>
        <w:tc>
          <w:tcPr>
            <w:tcW w:w="614" w:type="dxa"/>
          </w:tcPr>
          <w:p>
            <w:pPr>
              <w:pStyle w:val="TableParagraph"/>
              <w:spacing w:before="108"/>
              <w:ind w:right="1"/>
              <w:rPr>
                <w:sz w:val="20"/>
              </w:rPr>
            </w:pPr>
            <w:r>
              <w:rPr>
                <w:w w:val="99"/>
                <w:sz w:val="20"/>
              </w:rPr>
              <w:t>5</w:t>
            </w:r>
          </w:p>
        </w:tc>
        <w:tc>
          <w:tcPr>
            <w:tcW w:w="617" w:type="dxa"/>
          </w:tcPr>
          <w:p>
            <w:pPr>
              <w:pStyle w:val="TableParagraph"/>
              <w:spacing w:before="108"/>
              <w:ind w:left="203"/>
              <w:jc w:val="left"/>
              <w:rPr>
                <w:sz w:val="20"/>
              </w:rPr>
            </w:pPr>
            <w:r>
              <w:rPr>
                <w:sz w:val="20"/>
              </w:rPr>
              <w:t>45</w:t>
            </w:r>
          </w:p>
        </w:tc>
        <w:tc>
          <w:tcPr>
            <w:tcW w:w="617" w:type="dxa"/>
          </w:tcPr>
          <w:p>
            <w:pPr>
              <w:pStyle w:val="TableParagraph"/>
              <w:spacing w:before="108"/>
              <w:ind w:left="108" w:right="108"/>
              <w:rPr>
                <w:sz w:val="20"/>
              </w:rPr>
            </w:pPr>
            <w:r>
              <w:rPr>
                <w:sz w:val="20"/>
              </w:rPr>
              <w:t>46.5</w:t>
            </w:r>
          </w:p>
        </w:tc>
        <w:tc>
          <w:tcPr>
            <w:tcW w:w="614" w:type="dxa"/>
          </w:tcPr>
          <w:p>
            <w:pPr>
              <w:pStyle w:val="TableParagraph"/>
              <w:spacing w:before="108"/>
              <w:ind w:left="124"/>
              <w:jc w:val="left"/>
              <w:rPr>
                <w:sz w:val="20"/>
              </w:rPr>
            </w:pPr>
            <w:r>
              <w:rPr>
                <w:sz w:val="20"/>
              </w:rPr>
              <w:t>37.2</w:t>
            </w:r>
          </w:p>
        </w:tc>
        <w:tc>
          <w:tcPr>
            <w:tcW w:w="617" w:type="dxa"/>
          </w:tcPr>
          <w:p>
            <w:pPr>
              <w:pStyle w:val="TableParagraph"/>
              <w:spacing w:before="108"/>
              <w:ind w:left="127"/>
              <w:jc w:val="left"/>
              <w:rPr>
                <w:sz w:val="20"/>
              </w:rPr>
            </w:pPr>
            <w:r>
              <w:rPr>
                <w:sz w:val="20"/>
              </w:rPr>
              <w:t>43.3</w:t>
            </w:r>
          </w:p>
        </w:tc>
        <w:tc>
          <w:tcPr>
            <w:tcW w:w="617" w:type="dxa"/>
          </w:tcPr>
          <w:p>
            <w:pPr>
              <w:pStyle w:val="TableParagraph"/>
              <w:spacing w:before="108"/>
              <w:ind w:left="108" w:right="109"/>
              <w:rPr>
                <w:sz w:val="20"/>
              </w:rPr>
            </w:pPr>
            <w:r>
              <w:rPr>
                <w:sz w:val="20"/>
              </w:rPr>
              <w:t>46.1</w:t>
            </w:r>
          </w:p>
        </w:tc>
        <w:tc>
          <w:tcPr>
            <w:tcW w:w="615" w:type="dxa"/>
          </w:tcPr>
          <w:p>
            <w:pPr>
              <w:pStyle w:val="TableParagraph"/>
              <w:spacing w:before="108"/>
              <w:ind w:left="127"/>
              <w:jc w:val="left"/>
              <w:rPr>
                <w:sz w:val="20"/>
              </w:rPr>
            </w:pPr>
            <w:r>
              <w:rPr>
                <w:sz w:val="20"/>
              </w:rPr>
              <w:t>49.5</w:t>
            </w:r>
          </w:p>
        </w:tc>
      </w:tr>
      <w:tr>
        <w:trPr>
          <w:trHeight w:val="377" w:hRule="exact"/>
        </w:trPr>
        <w:tc>
          <w:tcPr>
            <w:tcW w:w="4518" w:type="dxa"/>
          </w:tcPr>
          <w:p>
            <w:pPr>
              <w:pStyle w:val="TableParagraph"/>
              <w:spacing w:before="67"/>
              <w:ind w:left="103" w:right="130"/>
              <w:jc w:val="left"/>
              <w:rPr>
                <w:b/>
                <w:sz w:val="20"/>
              </w:rPr>
            </w:pPr>
            <w:r>
              <w:rPr>
                <w:b/>
                <w:sz w:val="20"/>
              </w:rPr>
              <w:t>Fabricación de partes de sistemas de transmisión</w:t>
            </w:r>
          </w:p>
        </w:tc>
        <w:tc>
          <w:tcPr>
            <w:tcW w:w="614" w:type="dxa"/>
          </w:tcPr>
          <w:p>
            <w:pPr>
              <w:pStyle w:val="TableParagraph"/>
              <w:spacing w:before="63"/>
              <w:ind w:left="106" w:right="106"/>
              <w:rPr>
                <w:sz w:val="20"/>
              </w:rPr>
            </w:pPr>
            <w:r>
              <w:rPr>
                <w:sz w:val="20"/>
              </w:rPr>
              <w:t>7.8</w:t>
            </w:r>
          </w:p>
        </w:tc>
        <w:tc>
          <w:tcPr>
            <w:tcW w:w="617" w:type="dxa"/>
          </w:tcPr>
          <w:p>
            <w:pPr>
              <w:pStyle w:val="TableParagraph"/>
              <w:spacing w:before="63"/>
              <w:ind w:left="177"/>
              <w:jc w:val="left"/>
              <w:rPr>
                <w:sz w:val="20"/>
              </w:rPr>
            </w:pPr>
            <w:r>
              <w:rPr>
                <w:sz w:val="20"/>
              </w:rPr>
              <w:t>0.7</w:t>
            </w:r>
          </w:p>
        </w:tc>
        <w:tc>
          <w:tcPr>
            <w:tcW w:w="617" w:type="dxa"/>
          </w:tcPr>
          <w:p>
            <w:pPr>
              <w:pStyle w:val="TableParagraph"/>
              <w:spacing w:before="63"/>
              <w:ind w:right="2"/>
              <w:rPr>
                <w:sz w:val="20"/>
              </w:rPr>
            </w:pPr>
            <w:r>
              <w:rPr>
                <w:w w:val="99"/>
                <w:sz w:val="20"/>
              </w:rPr>
              <w:t>5</w:t>
            </w:r>
          </w:p>
        </w:tc>
        <w:tc>
          <w:tcPr>
            <w:tcW w:w="614" w:type="dxa"/>
          </w:tcPr>
          <w:p>
            <w:pPr>
              <w:pStyle w:val="TableParagraph"/>
              <w:spacing w:before="63"/>
              <w:ind w:left="124"/>
              <w:jc w:val="left"/>
              <w:rPr>
                <w:sz w:val="20"/>
              </w:rPr>
            </w:pPr>
            <w:r>
              <w:rPr>
                <w:sz w:val="20"/>
              </w:rPr>
              <w:t>15.5</w:t>
            </w:r>
          </w:p>
        </w:tc>
        <w:tc>
          <w:tcPr>
            <w:tcW w:w="617" w:type="dxa"/>
          </w:tcPr>
          <w:p>
            <w:pPr>
              <w:pStyle w:val="TableParagraph"/>
              <w:spacing w:before="63"/>
              <w:ind w:left="177"/>
              <w:jc w:val="left"/>
              <w:rPr>
                <w:sz w:val="20"/>
              </w:rPr>
            </w:pPr>
            <w:r>
              <w:rPr>
                <w:sz w:val="20"/>
              </w:rPr>
              <w:t>2.3</w:t>
            </w:r>
          </w:p>
        </w:tc>
        <w:tc>
          <w:tcPr>
            <w:tcW w:w="617" w:type="dxa"/>
          </w:tcPr>
          <w:p>
            <w:pPr>
              <w:pStyle w:val="TableParagraph"/>
              <w:spacing w:before="63"/>
              <w:ind w:left="108" w:right="109"/>
              <w:rPr>
                <w:sz w:val="20"/>
              </w:rPr>
            </w:pPr>
            <w:r>
              <w:rPr>
                <w:sz w:val="20"/>
              </w:rPr>
              <w:t>9.5</w:t>
            </w:r>
          </w:p>
        </w:tc>
        <w:tc>
          <w:tcPr>
            <w:tcW w:w="615" w:type="dxa"/>
          </w:tcPr>
          <w:p>
            <w:pPr>
              <w:pStyle w:val="TableParagraph"/>
              <w:spacing w:before="63"/>
              <w:ind w:left="127"/>
              <w:jc w:val="left"/>
              <w:rPr>
                <w:sz w:val="20"/>
              </w:rPr>
            </w:pPr>
            <w:r>
              <w:rPr>
                <w:sz w:val="20"/>
              </w:rPr>
              <w:t>28.3</w:t>
            </w:r>
          </w:p>
        </w:tc>
      </w:tr>
      <w:tr>
        <w:trPr>
          <w:trHeight w:val="471" w:hRule="exact"/>
        </w:trPr>
        <w:tc>
          <w:tcPr>
            <w:tcW w:w="4518" w:type="dxa"/>
          </w:tcPr>
          <w:p>
            <w:pPr>
              <w:pStyle w:val="TableParagraph"/>
              <w:ind w:left="103" w:right="130"/>
              <w:jc w:val="left"/>
              <w:rPr>
                <w:b/>
                <w:sz w:val="20"/>
              </w:rPr>
            </w:pPr>
            <w:r>
              <w:rPr>
                <w:b/>
                <w:sz w:val="20"/>
              </w:rPr>
              <w:t>Fabricación de partes de sistemas de dirección y de suspensión para vehículos automotrices</w:t>
            </w:r>
          </w:p>
        </w:tc>
        <w:tc>
          <w:tcPr>
            <w:tcW w:w="614" w:type="dxa"/>
          </w:tcPr>
          <w:p>
            <w:pPr>
              <w:pStyle w:val="TableParagraph"/>
              <w:spacing w:before="109"/>
              <w:ind w:left="106" w:right="102"/>
              <w:rPr>
                <w:sz w:val="20"/>
              </w:rPr>
            </w:pPr>
            <w:r>
              <w:rPr>
                <w:sz w:val="20"/>
              </w:rPr>
              <w:t>14</w:t>
            </w:r>
          </w:p>
        </w:tc>
        <w:tc>
          <w:tcPr>
            <w:tcW w:w="617" w:type="dxa"/>
          </w:tcPr>
          <w:p>
            <w:pPr>
              <w:pStyle w:val="TableParagraph"/>
              <w:spacing w:before="109"/>
              <w:ind w:left="127"/>
              <w:jc w:val="left"/>
              <w:rPr>
                <w:sz w:val="20"/>
              </w:rPr>
            </w:pPr>
            <w:r>
              <w:rPr>
                <w:sz w:val="20"/>
              </w:rPr>
              <w:t>23.3</w:t>
            </w:r>
          </w:p>
        </w:tc>
        <w:tc>
          <w:tcPr>
            <w:tcW w:w="617" w:type="dxa"/>
          </w:tcPr>
          <w:p>
            <w:pPr>
              <w:pStyle w:val="TableParagraph"/>
              <w:spacing w:before="109"/>
              <w:ind w:left="108" w:right="108"/>
              <w:rPr>
                <w:sz w:val="20"/>
              </w:rPr>
            </w:pPr>
            <w:r>
              <w:rPr>
                <w:sz w:val="20"/>
              </w:rPr>
              <w:t>16.8</w:t>
            </w:r>
          </w:p>
        </w:tc>
        <w:tc>
          <w:tcPr>
            <w:tcW w:w="614" w:type="dxa"/>
          </w:tcPr>
          <w:p>
            <w:pPr>
              <w:pStyle w:val="TableParagraph"/>
              <w:spacing w:before="109"/>
              <w:ind w:left="124"/>
              <w:jc w:val="left"/>
              <w:rPr>
                <w:sz w:val="20"/>
              </w:rPr>
            </w:pPr>
            <w:r>
              <w:rPr>
                <w:sz w:val="20"/>
              </w:rPr>
              <w:t>34.9</w:t>
            </w:r>
          </w:p>
        </w:tc>
        <w:tc>
          <w:tcPr>
            <w:tcW w:w="617" w:type="dxa"/>
          </w:tcPr>
          <w:p>
            <w:pPr>
              <w:pStyle w:val="TableParagraph"/>
              <w:spacing w:before="109"/>
              <w:ind w:left="127"/>
              <w:jc w:val="left"/>
              <w:rPr>
                <w:sz w:val="20"/>
              </w:rPr>
            </w:pPr>
            <w:r>
              <w:rPr>
                <w:sz w:val="20"/>
              </w:rPr>
              <w:t>46.9</w:t>
            </w:r>
          </w:p>
        </w:tc>
        <w:tc>
          <w:tcPr>
            <w:tcW w:w="617" w:type="dxa"/>
          </w:tcPr>
          <w:p>
            <w:pPr>
              <w:pStyle w:val="TableParagraph"/>
              <w:spacing w:before="109"/>
              <w:ind w:left="108" w:right="109"/>
              <w:rPr>
                <w:sz w:val="20"/>
              </w:rPr>
            </w:pPr>
            <w:r>
              <w:rPr>
                <w:sz w:val="20"/>
              </w:rPr>
              <w:t>25.1</w:t>
            </w:r>
          </w:p>
        </w:tc>
        <w:tc>
          <w:tcPr>
            <w:tcW w:w="615" w:type="dxa"/>
          </w:tcPr>
          <w:p>
            <w:pPr>
              <w:pStyle w:val="TableParagraph"/>
              <w:spacing w:before="109"/>
              <w:ind w:left="127"/>
              <w:jc w:val="left"/>
              <w:rPr>
                <w:sz w:val="20"/>
              </w:rPr>
            </w:pPr>
            <w:r>
              <w:rPr>
                <w:sz w:val="20"/>
              </w:rPr>
              <w:t>32.8</w:t>
            </w:r>
          </w:p>
        </w:tc>
      </w:tr>
      <w:tr>
        <w:trPr>
          <w:trHeight w:val="470" w:hRule="exact"/>
        </w:trPr>
        <w:tc>
          <w:tcPr>
            <w:tcW w:w="4518" w:type="dxa"/>
          </w:tcPr>
          <w:p>
            <w:pPr>
              <w:pStyle w:val="TableParagraph"/>
              <w:ind w:left="103" w:right="130"/>
              <w:jc w:val="left"/>
              <w:rPr>
                <w:b/>
                <w:sz w:val="20"/>
              </w:rPr>
            </w:pPr>
            <w:r>
              <w:rPr>
                <w:b/>
                <w:sz w:val="20"/>
              </w:rPr>
              <w:t>Fabricación de partes de sistemas de frenos para vehículos automotrices</w:t>
            </w:r>
          </w:p>
        </w:tc>
        <w:tc>
          <w:tcPr>
            <w:tcW w:w="614" w:type="dxa"/>
          </w:tcPr>
          <w:p>
            <w:pPr>
              <w:pStyle w:val="TableParagraph"/>
              <w:spacing w:before="108"/>
              <w:ind w:left="106" w:right="102"/>
              <w:rPr>
                <w:sz w:val="20"/>
              </w:rPr>
            </w:pPr>
            <w:r>
              <w:rPr>
                <w:sz w:val="20"/>
              </w:rPr>
              <w:t>10</w:t>
            </w:r>
          </w:p>
        </w:tc>
        <w:tc>
          <w:tcPr>
            <w:tcW w:w="617" w:type="dxa"/>
          </w:tcPr>
          <w:p>
            <w:pPr>
              <w:pStyle w:val="TableParagraph"/>
              <w:spacing w:before="108"/>
              <w:ind w:left="127"/>
              <w:jc w:val="left"/>
              <w:rPr>
                <w:sz w:val="20"/>
              </w:rPr>
            </w:pPr>
            <w:r>
              <w:rPr>
                <w:sz w:val="20"/>
              </w:rPr>
              <w:t>11.5</w:t>
            </w:r>
          </w:p>
        </w:tc>
        <w:tc>
          <w:tcPr>
            <w:tcW w:w="617" w:type="dxa"/>
          </w:tcPr>
          <w:p>
            <w:pPr>
              <w:pStyle w:val="TableParagraph"/>
              <w:spacing w:before="108"/>
              <w:ind w:left="108" w:right="108"/>
              <w:rPr>
                <w:sz w:val="20"/>
              </w:rPr>
            </w:pPr>
            <w:r>
              <w:rPr>
                <w:sz w:val="20"/>
              </w:rPr>
              <w:t>3.6</w:t>
            </w:r>
          </w:p>
        </w:tc>
        <w:tc>
          <w:tcPr>
            <w:tcW w:w="614" w:type="dxa"/>
          </w:tcPr>
          <w:p>
            <w:pPr>
              <w:pStyle w:val="TableParagraph"/>
              <w:spacing w:before="108"/>
              <w:ind w:left="124"/>
              <w:jc w:val="left"/>
              <w:rPr>
                <w:sz w:val="20"/>
              </w:rPr>
            </w:pPr>
            <w:r>
              <w:rPr>
                <w:sz w:val="20"/>
              </w:rPr>
              <w:t>22.7</w:t>
            </w:r>
          </w:p>
        </w:tc>
        <w:tc>
          <w:tcPr>
            <w:tcW w:w="617" w:type="dxa"/>
          </w:tcPr>
          <w:p>
            <w:pPr>
              <w:pStyle w:val="TableParagraph"/>
              <w:spacing w:before="108"/>
              <w:ind w:left="127"/>
              <w:jc w:val="left"/>
              <w:rPr>
                <w:sz w:val="20"/>
              </w:rPr>
            </w:pPr>
            <w:r>
              <w:rPr>
                <w:sz w:val="20"/>
              </w:rPr>
              <w:t>25.7</w:t>
            </w:r>
          </w:p>
        </w:tc>
        <w:tc>
          <w:tcPr>
            <w:tcW w:w="617" w:type="dxa"/>
          </w:tcPr>
          <w:p>
            <w:pPr>
              <w:pStyle w:val="TableParagraph"/>
              <w:spacing w:before="108"/>
              <w:ind w:left="108" w:right="109"/>
              <w:rPr>
                <w:sz w:val="20"/>
              </w:rPr>
            </w:pPr>
            <w:r>
              <w:rPr>
                <w:sz w:val="20"/>
              </w:rPr>
              <w:t>20.3</w:t>
            </w:r>
          </w:p>
        </w:tc>
        <w:tc>
          <w:tcPr>
            <w:tcW w:w="615" w:type="dxa"/>
          </w:tcPr>
          <w:p>
            <w:pPr>
              <w:pStyle w:val="TableParagraph"/>
              <w:spacing w:before="108"/>
              <w:ind w:left="127"/>
              <w:jc w:val="left"/>
              <w:rPr>
                <w:sz w:val="20"/>
              </w:rPr>
            </w:pPr>
            <w:r>
              <w:rPr>
                <w:sz w:val="20"/>
              </w:rPr>
              <w:t>35.6</w:t>
            </w:r>
          </w:p>
        </w:tc>
      </w:tr>
      <w:tr>
        <w:trPr>
          <w:trHeight w:val="569" w:hRule="exact"/>
        </w:trPr>
        <w:tc>
          <w:tcPr>
            <w:tcW w:w="4518" w:type="dxa"/>
          </w:tcPr>
          <w:p>
            <w:pPr>
              <w:pStyle w:val="TableParagraph"/>
              <w:spacing w:before="48"/>
              <w:ind w:left="103"/>
              <w:jc w:val="left"/>
              <w:rPr>
                <w:b/>
                <w:sz w:val="20"/>
              </w:rPr>
            </w:pPr>
            <w:r>
              <w:rPr>
                <w:b/>
                <w:sz w:val="20"/>
              </w:rPr>
              <w:t>Fabricación de equipo eléctrico y electrónico para vehículos automotores</w:t>
            </w:r>
          </w:p>
        </w:tc>
        <w:tc>
          <w:tcPr>
            <w:tcW w:w="614" w:type="dxa"/>
          </w:tcPr>
          <w:p>
            <w:pPr>
              <w:pStyle w:val="TableParagraph"/>
              <w:spacing w:before="156"/>
              <w:ind w:left="106" w:right="106"/>
              <w:rPr>
                <w:sz w:val="20"/>
              </w:rPr>
            </w:pPr>
            <w:r>
              <w:rPr>
                <w:sz w:val="20"/>
              </w:rPr>
              <w:t>51.5</w:t>
            </w:r>
          </w:p>
        </w:tc>
        <w:tc>
          <w:tcPr>
            <w:tcW w:w="617" w:type="dxa"/>
          </w:tcPr>
          <w:p>
            <w:pPr>
              <w:pStyle w:val="TableParagraph"/>
              <w:spacing w:before="156"/>
              <w:ind w:left="127"/>
              <w:jc w:val="left"/>
              <w:rPr>
                <w:sz w:val="20"/>
              </w:rPr>
            </w:pPr>
            <w:r>
              <w:rPr>
                <w:sz w:val="20"/>
              </w:rPr>
              <w:t>80.7</w:t>
            </w:r>
          </w:p>
        </w:tc>
        <w:tc>
          <w:tcPr>
            <w:tcW w:w="617" w:type="dxa"/>
          </w:tcPr>
          <w:p>
            <w:pPr>
              <w:pStyle w:val="TableParagraph"/>
              <w:spacing w:before="156"/>
              <w:ind w:left="108" w:right="107"/>
              <w:rPr>
                <w:sz w:val="20"/>
              </w:rPr>
            </w:pPr>
            <w:r>
              <w:rPr>
                <w:sz w:val="20"/>
              </w:rPr>
              <w:t>86</w:t>
            </w:r>
          </w:p>
        </w:tc>
        <w:tc>
          <w:tcPr>
            <w:tcW w:w="614" w:type="dxa"/>
          </w:tcPr>
          <w:p>
            <w:pPr>
              <w:pStyle w:val="TableParagraph"/>
              <w:spacing w:before="156"/>
              <w:ind w:left="124"/>
              <w:jc w:val="left"/>
              <w:rPr>
                <w:sz w:val="20"/>
              </w:rPr>
            </w:pPr>
            <w:r>
              <w:rPr>
                <w:sz w:val="20"/>
              </w:rPr>
              <w:t>87.9</w:t>
            </w:r>
          </w:p>
        </w:tc>
        <w:tc>
          <w:tcPr>
            <w:tcW w:w="617" w:type="dxa"/>
          </w:tcPr>
          <w:p>
            <w:pPr>
              <w:pStyle w:val="TableParagraph"/>
              <w:spacing w:before="156"/>
              <w:ind w:left="127"/>
              <w:jc w:val="left"/>
              <w:rPr>
                <w:sz w:val="20"/>
              </w:rPr>
            </w:pPr>
            <w:r>
              <w:rPr>
                <w:sz w:val="20"/>
              </w:rPr>
              <w:t>88.2</w:t>
            </w:r>
          </w:p>
        </w:tc>
        <w:tc>
          <w:tcPr>
            <w:tcW w:w="617" w:type="dxa"/>
          </w:tcPr>
          <w:p>
            <w:pPr>
              <w:pStyle w:val="TableParagraph"/>
              <w:spacing w:before="156"/>
              <w:ind w:left="108" w:right="109"/>
              <w:rPr>
                <w:sz w:val="20"/>
              </w:rPr>
            </w:pPr>
            <w:r>
              <w:rPr>
                <w:sz w:val="20"/>
              </w:rPr>
              <w:t>86.6</w:t>
            </w:r>
          </w:p>
        </w:tc>
        <w:tc>
          <w:tcPr>
            <w:tcW w:w="615" w:type="dxa"/>
          </w:tcPr>
          <w:p>
            <w:pPr>
              <w:pStyle w:val="TableParagraph"/>
              <w:spacing w:before="156"/>
              <w:ind w:left="127"/>
              <w:jc w:val="left"/>
              <w:rPr>
                <w:sz w:val="20"/>
              </w:rPr>
            </w:pPr>
            <w:r>
              <w:rPr>
                <w:sz w:val="20"/>
              </w:rPr>
              <w:t>70.0</w:t>
            </w:r>
          </w:p>
        </w:tc>
      </w:tr>
      <w:tr>
        <w:trPr>
          <w:trHeight w:val="470" w:hRule="exact"/>
        </w:trPr>
        <w:tc>
          <w:tcPr>
            <w:tcW w:w="4518" w:type="dxa"/>
          </w:tcPr>
          <w:p>
            <w:pPr>
              <w:pStyle w:val="TableParagraph"/>
              <w:ind w:left="103" w:right="130"/>
              <w:jc w:val="left"/>
              <w:rPr>
                <w:b/>
                <w:sz w:val="20"/>
              </w:rPr>
            </w:pPr>
            <w:r>
              <w:rPr>
                <w:b/>
                <w:sz w:val="20"/>
              </w:rPr>
              <w:t>Fabricación de otras partes para vehículos automotrices</w:t>
            </w:r>
          </w:p>
        </w:tc>
        <w:tc>
          <w:tcPr>
            <w:tcW w:w="614" w:type="dxa"/>
          </w:tcPr>
          <w:p>
            <w:pPr>
              <w:pStyle w:val="TableParagraph"/>
              <w:spacing w:before="108"/>
              <w:ind w:left="106" w:right="106"/>
              <w:rPr>
                <w:sz w:val="20"/>
              </w:rPr>
            </w:pPr>
            <w:r>
              <w:rPr>
                <w:sz w:val="20"/>
              </w:rPr>
              <w:t>23.4</w:t>
            </w:r>
          </w:p>
        </w:tc>
        <w:tc>
          <w:tcPr>
            <w:tcW w:w="617" w:type="dxa"/>
          </w:tcPr>
          <w:p>
            <w:pPr>
              <w:pStyle w:val="TableParagraph"/>
              <w:spacing w:before="108"/>
              <w:ind w:left="127"/>
              <w:jc w:val="left"/>
              <w:rPr>
                <w:sz w:val="20"/>
              </w:rPr>
            </w:pPr>
            <w:r>
              <w:rPr>
                <w:sz w:val="20"/>
              </w:rPr>
              <w:t>24.2</w:t>
            </w:r>
          </w:p>
        </w:tc>
        <w:tc>
          <w:tcPr>
            <w:tcW w:w="617" w:type="dxa"/>
          </w:tcPr>
          <w:p>
            <w:pPr>
              <w:pStyle w:val="TableParagraph"/>
              <w:spacing w:before="108"/>
              <w:ind w:left="108" w:right="108"/>
              <w:rPr>
                <w:sz w:val="20"/>
              </w:rPr>
            </w:pPr>
            <w:r>
              <w:rPr>
                <w:sz w:val="20"/>
              </w:rPr>
              <w:t>53.2</w:t>
            </w:r>
          </w:p>
        </w:tc>
        <w:tc>
          <w:tcPr>
            <w:tcW w:w="614" w:type="dxa"/>
          </w:tcPr>
          <w:p>
            <w:pPr>
              <w:pStyle w:val="TableParagraph"/>
              <w:spacing w:before="108"/>
              <w:ind w:left="124"/>
              <w:jc w:val="left"/>
              <w:rPr>
                <w:sz w:val="20"/>
              </w:rPr>
            </w:pPr>
            <w:r>
              <w:rPr>
                <w:sz w:val="20"/>
              </w:rPr>
              <w:t>47.6</w:t>
            </w:r>
          </w:p>
        </w:tc>
        <w:tc>
          <w:tcPr>
            <w:tcW w:w="617" w:type="dxa"/>
          </w:tcPr>
          <w:p>
            <w:pPr>
              <w:pStyle w:val="TableParagraph"/>
              <w:spacing w:before="108"/>
              <w:ind w:left="127"/>
              <w:jc w:val="left"/>
              <w:rPr>
                <w:sz w:val="20"/>
              </w:rPr>
            </w:pPr>
            <w:r>
              <w:rPr>
                <w:sz w:val="20"/>
              </w:rPr>
              <w:t>57.6</w:t>
            </w:r>
          </w:p>
        </w:tc>
        <w:tc>
          <w:tcPr>
            <w:tcW w:w="617" w:type="dxa"/>
          </w:tcPr>
          <w:p>
            <w:pPr>
              <w:pStyle w:val="TableParagraph"/>
              <w:spacing w:before="108"/>
              <w:ind w:left="108" w:right="109"/>
              <w:rPr>
                <w:sz w:val="20"/>
              </w:rPr>
            </w:pPr>
            <w:r>
              <w:rPr>
                <w:sz w:val="20"/>
              </w:rPr>
              <w:t>59.7</w:t>
            </w:r>
          </w:p>
        </w:tc>
        <w:tc>
          <w:tcPr>
            <w:tcW w:w="615" w:type="dxa"/>
          </w:tcPr>
          <w:p>
            <w:pPr>
              <w:pStyle w:val="TableParagraph"/>
              <w:spacing w:before="108"/>
              <w:ind w:left="127"/>
              <w:jc w:val="left"/>
              <w:rPr>
                <w:sz w:val="20"/>
              </w:rPr>
            </w:pPr>
            <w:r>
              <w:rPr>
                <w:sz w:val="20"/>
              </w:rPr>
              <w:t>65.8</w:t>
            </w:r>
          </w:p>
        </w:tc>
      </w:tr>
    </w:tbl>
    <w:p>
      <w:pPr>
        <w:spacing w:line="202" w:lineRule="exact" w:before="0"/>
        <w:ind w:left="102" w:right="0" w:firstLine="0"/>
        <w:jc w:val="both"/>
        <w:rPr>
          <w:sz w:val="18"/>
        </w:rPr>
      </w:pPr>
      <w:r>
        <w:rPr>
          <w:sz w:val="18"/>
        </w:rPr>
        <w:t>Fuente: Elaboración propia con datos de INEGI (varios años).</w:t>
      </w:r>
    </w:p>
    <w:p>
      <w:pPr>
        <w:pStyle w:val="BodyText"/>
        <w:rPr>
          <w:sz w:val="18"/>
        </w:rPr>
      </w:pPr>
    </w:p>
    <w:p>
      <w:pPr>
        <w:pStyle w:val="BodyText"/>
        <w:spacing w:line="360" w:lineRule="auto" w:before="135"/>
        <w:ind w:left="102" w:right="116"/>
        <w:jc w:val="both"/>
      </w:pPr>
      <w:r>
        <w:rPr/>
        <w:t>Lo anterior se confirma al analizar la evolución que la región norte ha tenido en la especialización de las actividades que conforman a la industria automotriz a nivel nacional, en cuanto a los coeficientes de localización. Puntualmente se encuentra que, para 1980, el personal ocupado de la región norte, se especializaba en las actividades de fabricación de equipo eléctrico y electrónico, fabricación de carrocerías y remolques y fabricación de otras partes</w:t>
      </w:r>
      <w:r>
        <w:rPr>
          <w:spacing w:val="-6"/>
        </w:rPr>
        <w:t> </w:t>
      </w:r>
      <w:r>
        <w:rPr/>
        <w:t>para</w:t>
      </w:r>
      <w:r>
        <w:rPr>
          <w:spacing w:val="-8"/>
        </w:rPr>
        <w:t> </w:t>
      </w:r>
      <w:r>
        <w:rPr/>
        <w:t>vehículos,</w:t>
      </w:r>
      <w:r>
        <w:rPr>
          <w:spacing w:val="-6"/>
        </w:rPr>
        <w:t> </w:t>
      </w:r>
      <w:r>
        <w:rPr/>
        <w:t>pues</w:t>
      </w:r>
      <w:r>
        <w:rPr>
          <w:spacing w:val="-6"/>
        </w:rPr>
        <w:t> </w:t>
      </w:r>
      <w:r>
        <w:rPr/>
        <w:t>mostraba</w:t>
      </w:r>
      <w:r>
        <w:rPr>
          <w:spacing w:val="-5"/>
        </w:rPr>
        <w:t> </w:t>
      </w:r>
      <w:r>
        <w:rPr/>
        <w:t>índices</w:t>
      </w:r>
      <w:r>
        <w:rPr>
          <w:spacing w:val="-6"/>
        </w:rPr>
        <w:t> </w:t>
      </w:r>
      <w:r>
        <w:rPr/>
        <w:t>de</w:t>
      </w:r>
      <w:r>
        <w:rPr>
          <w:spacing w:val="-5"/>
        </w:rPr>
        <w:t> </w:t>
      </w:r>
      <w:r>
        <w:rPr/>
        <w:t>3.1,</w:t>
      </w:r>
      <w:r>
        <w:rPr>
          <w:spacing w:val="-6"/>
        </w:rPr>
        <w:t> </w:t>
      </w:r>
      <w:r>
        <w:rPr/>
        <w:t>2.2</w:t>
      </w:r>
      <w:r>
        <w:rPr>
          <w:spacing w:val="-1"/>
        </w:rPr>
        <w:t> </w:t>
      </w:r>
      <w:r>
        <w:rPr/>
        <w:t>y</w:t>
      </w:r>
      <w:r>
        <w:rPr>
          <w:spacing w:val="-11"/>
        </w:rPr>
        <w:t> </w:t>
      </w:r>
      <w:r>
        <w:rPr/>
        <w:t>1.4,</w:t>
      </w:r>
      <w:r>
        <w:rPr>
          <w:spacing w:val="-4"/>
        </w:rPr>
        <w:t> </w:t>
      </w:r>
      <w:r>
        <w:rPr/>
        <w:t>respectivamente.</w:t>
      </w:r>
      <w:r>
        <w:rPr>
          <w:spacing w:val="-7"/>
        </w:rPr>
        <w:t> </w:t>
      </w:r>
      <w:r>
        <w:rPr/>
        <w:t>Sin</w:t>
      </w:r>
      <w:r>
        <w:rPr>
          <w:spacing w:val="-6"/>
        </w:rPr>
        <w:t> </w:t>
      </w:r>
      <w:r>
        <w:rPr/>
        <w:t>embargo para el año 2008, la región norte se especializaba no solo en las actividades antes mencionadas,</w:t>
      </w:r>
      <w:r>
        <w:rPr>
          <w:spacing w:val="-16"/>
        </w:rPr>
        <w:t> </w:t>
      </w:r>
      <w:r>
        <w:rPr/>
        <w:t>sino</w:t>
      </w:r>
      <w:r>
        <w:rPr>
          <w:spacing w:val="-15"/>
        </w:rPr>
        <w:t> </w:t>
      </w:r>
      <w:r>
        <w:rPr/>
        <w:t>que</w:t>
      </w:r>
      <w:r>
        <w:rPr>
          <w:spacing w:val="-17"/>
        </w:rPr>
        <w:t> </w:t>
      </w:r>
      <w:r>
        <w:rPr/>
        <w:t>el</w:t>
      </w:r>
      <w:r>
        <w:rPr>
          <w:spacing w:val="-13"/>
        </w:rPr>
        <w:t> </w:t>
      </w:r>
      <w:r>
        <w:rPr/>
        <w:t>personal</w:t>
      </w:r>
      <w:r>
        <w:rPr>
          <w:spacing w:val="-15"/>
        </w:rPr>
        <w:t> </w:t>
      </w:r>
      <w:r>
        <w:rPr/>
        <w:t>ocupado,</w:t>
      </w:r>
      <w:r>
        <w:rPr>
          <w:spacing w:val="-16"/>
        </w:rPr>
        <w:t> </w:t>
      </w:r>
      <w:r>
        <w:rPr/>
        <w:t>incremento</w:t>
      </w:r>
      <w:r>
        <w:rPr>
          <w:spacing w:val="-15"/>
        </w:rPr>
        <w:t> </w:t>
      </w:r>
      <w:r>
        <w:rPr/>
        <w:t>su</w:t>
      </w:r>
      <w:r>
        <w:rPr>
          <w:spacing w:val="-16"/>
        </w:rPr>
        <w:t> </w:t>
      </w:r>
      <w:r>
        <w:rPr/>
        <w:t>especialización</w:t>
      </w:r>
      <w:r>
        <w:rPr>
          <w:spacing w:val="-15"/>
        </w:rPr>
        <w:t> </w:t>
      </w:r>
      <w:r>
        <w:rPr/>
        <w:t>en</w:t>
      </w:r>
      <w:r>
        <w:rPr>
          <w:spacing w:val="-16"/>
        </w:rPr>
        <w:t> </w:t>
      </w:r>
      <w:r>
        <w:rPr/>
        <w:t>tres</w:t>
      </w:r>
      <w:r>
        <w:rPr>
          <w:spacing w:val="-16"/>
        </w:rPr>
        <w:t> </w:t>
      </w:r>
      <w:r>
        <w:rPr/>
        <w:t>actividades más, como la fabricación de motores de gasolina y sus partes, fabricación de partes de sistemas de dirección y de suspensión y fabricación de partes de sistemas de frenos. En términos generales el personal ocupado de la región norte se especializa en actividades de</w:t>
      </w:r>
      <w:r>
        <w:rPr>
          <w:spacing w:val="-24"/>
        </w:rPr>
        <w:t> </w:t>
      </w:r>
      <w:r>
        <w:rPr/>
        <w:t>la industria de autopartes (véase cuadro</w:t>
      </w:r>
      <w:r>
        <w:rPr>
          <w:spacing w:val="-7"/>
        </w:rPr>
        <w:t> </w:t>
      </w:r>
      <w:r>
        <w:rPr/>
        <w:t>4.19).</w:t>
      </w:r>
    </w:p>
    <w:p>
      <w:pPr>
        <w:spacing w:after="0" w:line="360" w:lineRule="auto"/>
        <w:jc w:val="both"/>
        <w:sectPr>
          <w:pgSz w:w="12240" w:h="15840"/>
          <w:pgMar w:header="0" w:footer="1035" w:top="1360" w:bottom="1220" w:left="1600" w:right="1580"/>
        </w:sectPr>
      </w:pPr>
    </w:p>
    <w:p>
      <w:pPr>
        <w:pStyle w:val="Heading1"/>
        <w:spacing w:line="360" w:lineRule="auto" w:before="55" w:after="6"/>
        <w:ind w:left="1191" w:right="260" w:hanging="1018"/>
      </w:pPr>
      <w:r>
        <w:rPr/>
        <w:t>Cuadro 4.19. Cocientes de localización de las actividades de la industria automotriz a nivel nacional de la Región Norte, 1980-2008 (Personal Ocupado)</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928"/>
        <w:gridCol w:w="636"/>
        <w:gridCol w:w="636"/>
        <w:gridCol w:w="637"/>
        <w:gridCol w:w="636"/>
        <w:gridCol w:w="636"/>
        <w:gridCol w:w="636"/>
        <w:gridCol w:w="636"/>
      </w:tblGrid>
      <w:tr>
        <w:trPr>
          <w:trHeight w:val="258" w:hRule="exact"/>
        </w:trPr>
        <w:tc>
          <w:tcPr>
            <w:tcW w:w="4928" w:type="dxa"/>
            <w:tcBorders>
              <w:top w:val="single" w:sz="4" w:space="0" w:color="6FAC46"/>
              <w:right w:val="nil"/>
            </w:tcBorders>
            <w:shd w:val="clear" w:color="auto" w:fill="A6A6A6"/>
          </w:tcPr>
          <w:p>
            <w:pPr/>
          </w:p>
        </w:tc>
        <w:tc>
          <w:tcPr>
            <w:tcW w:w="636" w:type="dxa"/>
            <w:tcBorders>
              <w:top w:val="single" w:sz="4" w:space="0" w:color="6FAC46"/>
              <w:left w:val="nil"/>
              <w:right w:val="nil"/>
            </w:tcBorders>
            <w:shd w:val="clear" w:color="auto" w:fill="A6A6A6"/>
          </w:tcPr>
          <w:p>
            <w:pPr>
              <w:pStyle w:val="TableParagraph"/>
              <w:spacing w:line="229" w:lineRule="exact"/>
              <w:ind w:left="99" w:right="97"/>
              <w:rPr>
                <w:b/>
                <w:sz w:val="20"/>
              </w:rPr>
            </w:pPr>
            <w:r>
              <w:rPr>
                <w:b/>
                <w:sz w:val="20"/>
              </w:rPr>
              <w:t>1980</w:t>
            </w:r>
          </w:p>
        </w:tc>
        <w:tc>
          <w:tcPr>
            <w:tcW w:w="636" w:type="dxa"/>
            <w:tcBorders>
              <w:top w:val="single" w:sz="4" w:space="0" w:color="6FAC46"/>
              <w:left w:val="nil"/>
              <w:right w:val="nil"/>
            </w:tcBorders>
            <w:shd w:val="clear" w:color="auto" w:fill="A6A6A6"/>
          </w:tcPr>
          <w:p>
            <w:pPr>
              <w:pStyle w:val="TableParagraph"/>
              <w:spacing w:line="229" w:lineRule="exact"/>
              <w:ind w:left="99" w:right="97"/>
              <w:rPr>
                <w:b/>
                <w:sz w:val="20"/>
              </w:rPr>
            </w:pPr>
            <w:r>
              <w:rPr>
                <w:b/>
                <w:sz w:val="20"/>
              </w:rPr>
              <w:t>1985</w:t>
            </w:r>
          </w:p>
        </w:tc>
        <w:tc>
          <w:tcPr>
            <w:tcW w:w="637" w:type="dxa"/>
            <w:tcBorders>
              <w:top w:val="single" w:sz="4" w:space="0" w:color="6FAC46"/>
              <w:left w:val="nil"/>
              <w:right w:val="nil"/>
            </w:tcBorders>
            <w:shd w:val="clear" w:color="auto" w:fill="A6A6A6"/>
          </w:tcPr>
          <w:p>
            <w:pPr>
              <w:pStyle w:val="TableParagraph"/>
              <w:spacing w:line="229" w:lineRule="exact"/>
              <w:ind w:left="98" w:right="97"/>
              <w:rPr>
                <w:b/>
                <w:sz w:val="20"/>
              </w:rPr>
            </w:pPr>
            <w:r>
              <w:rPr>
                <w:b/>
                <w:sz w:val="20"/>
              </w:rPr>
              <w:t>1988</w:t>
            </w:r>
          </w:p>
        </w:tc>
        <w:tc>
          <w:tcPr>
            <w:tcW w:w="636" w:type="dxa"/>
            <w:tcBorders>
              <w:top w:val="single" w:sz="4" w:space="0" w:color="6FAC46"/>
              <w:left w:val="nil"/>
              <w:right w:val="nil"/>
            </w:tcBorders>
            <w:shd w:val="clear" w:color="auto" w:fill="A6A6A6"/>
          </w:tcPr>
          <w:p>
            <w:pPr>
              <w:pStyle w:val="TableParagraph"/>
              <w:spacing w:line="229" w:lineRule="exact"/>
              <w:ind w:left="99" w:right="97"/>
              <w:rPr>
                <w:b/>
                <w:sz w:val="20"/>
              </w:rPr>
            </w:pPr>
            <w:r>
              <w:rPr>
                <w:b/>
                <w:sz w:val="20"/>
              </w:rPr>
              <w:t>1993</w:t>
            </w:r>
          </w:p>
        </w:tc>
        <w:tc>
          <w:tcPr>
            <w:tcW w:w="636" w:type="dxa"/>
            <w:tcBorders>
              <w:top w:val="single" w:sz="4" w:space="0" w:color="6FAC46"/>
              <w:left w:val="nil"/>
              <w:right w:val="nil"/>
            </w:tcBorders>
            <w:shd w:val="clear" w:color="auto" w:fill="A6A6A6"/>
          </w:tcPr>
          <w:p>
            <w:pPr>
              <w:pStyle w:val="TableParagraph"/>
              <w:spacing w:line="229" w:lineRule="exact"/>
              <w:ind w:left="99" w:right="97"/>
              <w:rPr>
                <w:b/>
                <w:sz w:val="20"/>
              </w:rPr>
            </w:pPr>
            <w:r>
              <w:rPr>
                <w:b/>
                <w:sz w:val="20"/>
              </w:rPr>
              <w:t>1998</w:t>
            </w:r>
          </w:p>
        </w:tc>
        <w:tc>
          <w:tcPr>
            <w:tcW w:w="636" w:type="dxa"/>
            <w:tcBorders>
              <w:top w:val="single" w:sz="4" w:space="0" w:color="6FAC46"/>
              <w:left w:val="nil"/>
              <w:right w:val="nil"/>
            </w:tcBorders>
            <w:shd w:val="clear" w:color="auto" w:fill="A6A6A6"/>
          </w:tcPr>
          <w:p>
            <w:pPr>
              <w:pStyle w:val="TableParagraph"/>
              <w:spacing w:line="229" w:lineRule="exact"/>
              <w:ind w:left="98" w:right="97"/>
              <w:rPr>
                <w:b/>
                <w:sz w:val="20"/>
              </w:rPr>
            </w:pPr>
            <w:r>
              <w:rPr>
                <w:b/>
                <w:sz w:val="20"/>
              </w:rPr>
              <w:t>2003</w:t>
            </w:r>
          </w:p>
        </w:tc>
        <w:tc>
          <w:tcPr>
            <w:tcW w:w="636" w:type="dxa"/>
            <w:tcBorders>
              <w:top w:val="single" w:sz="4" w:space="0" w:color="6FAC46"/>
              <w:left w:val="nil"/>
            </w:tcBorders>
            <w:shd w:val="clear" w:color="auto" w:fill="A6A6A6"/>
          </w:tcPr>
          <w:p>
            <w:pPr>
              <w:pStyle w:val="TableParagraph"/>
              <w:spacing w:line="229" w:lineRule="exact"/>
              <w:ind w:left="99" w:right="92"/>
              <w:rPr>
                <w:b/>
                <w:sz w:val="20"/>
              </w:rPr>
            </w:pPr>
            <w:r>
              <w:rPr>
                <w:b/>
                <w:sz w:val="20"/>
              </w:rPr>
              <w:t>2008</w:t>
            </w:r>
          </w:p>
        </w:tc>
      </w:tr>
      <w:tr>
        <w:trPr>
          <w:trHeight w:val="338" w:hRule="exact"/>
        </w:trPr>
        <w:tc>
          <w:tcPr>
            <w:tcW w:w="4928" w:type="dxa"/>
          </w:tcPr>
          <w:p>
            <w:pPr>
              <w:pStyle w:val="TableParagraph"/>
              <w:spacing w:line="228" w:lineRule="exact"/>
              <w:ind w:left="103" w:right="284"/>
              <w:jc w:val="left"/>
              <w:rPr>
                <w:b/>
                <w:sz w:val="20"/>
              </w:rPr>
            </w:pPr>
            <w:r>
              <w:rPr>
                <w:b/>
                <w:sz w:val="20"/>
              </w:rPr>
              <w:t>Fabricación de automóviles y camiones</w:t>
            </w:r>
          </w:p>
        </w:tc>
        <w:tc>
          <w:tcPr>
            <w:tcW w:w="636" w:type="dxa"/>
          </w:tcPr>
          <w:p>
            <w:pPr>
              <w:pStyle w:val="TableParagraph"/>
              <w:spacing w:before="43"/>
              <w:ind w:left="167" w:right="168"/>
              <w:rPr>
                <w:sz w:val="20"/>
              </w:rPr>
            </w:pPr>
            <w:r>
              <w:rPr>
                <w:sz w:val="20"/>
              </w:rPr>
              <w:t>0.4</w:t>
            </w:r>
          </w:p>
        </w:tc>
        <w:tc>
          <w:tcPr>
            <w:tcW w:w="636" w:type="dxa"/>
          </w:tcPr>
          <w:p>
            <w:pPr>
              <w:pStyle w:val="TableParagraph"/>
              <w:spacing w:before="43"/>
              <w:ind w:left="167" w:right="168"/>
              <w:rPr>
                <w:sz w:val="20"/>
              </w:rPr>
            </w:pPr>
            <w:r>
              <w:rPr>
                <w:sz w:val="20"/>
              </w:rPr>
              <w:t>0.2</w:t>
            </w:r>
          </w:p>
        </w:tc>
        <w:tc>
          <w:tcPr>
            <w:tcW w:w="637" w:type="dxa"/>
          </w:tcPr>
          <w:p>
            <w:pPr>
              <w:pStyle w:val="TableParagraph"/>
              <w:spacing w:before="43"/>
              <w:ind w:left="168" w:right="169"/>
              <w:rPr>
                <w:sz w:val="20"/>
              </w:rPr>
            </w:pPr>
            <w:r>
              <w:rPr>
                <w:sz w:val="20"/>
              </w:rPr>
              <w:t>0.2</w:t>
            </w:r>
          </w:p>
        </w:tc>
        <w:tc>
          <w:tcPr>
            <w:tcW w:w="636" w:type="dxa"/>
          </w:tcPr>
          <w:p>
            <w:pPr>
              <w:pStyle w:val="TableParagraph"/>
              <w:spacing w:before="43"/>
              <w:ind w:left="167" w:right="168"/>
              <w:rPr>
                <w:sz w:val="20"/>
              </w:rPr>
            </w:pPr>
            <w:r>
              <w:rPr>
                <w:sz w:val="20"/>
              </w:rPr>
              <w:t>0.3</w:t>
            </w:r>
          </w:p>
        </w:tc>
        <w:tc>
          <w:tcPr>
            <w:tcW w:w="636" w:type="dxa"/>
          </w:tcPr>
          <w:p>
            <w:pPr>
              <w:pStyle w:val="TableParagraph"/>
              <w:spacing w:before="43"/>
              <w:ind w:left="167" w:right="168"/>
              <w:rPr>
                <w:sz w:val="20"/>
              </w:rPr>
            </w:pPr>
            <w:r>
              <w:rPr>
                <w:sz w:val="20"/>
              </w:rPr>
              <w:t>0.3</w:t>
            </w:r>
          </w:p>
        </w:tc>
        <w:tc>
          <w:tcPr>
            <w:tcW w:w="636" w:type="dxa"/>
          </w:tcPr>
          <w:p>
            <w:pPr>
              <w:pStyle w:val="TableParagraph"/>
              <w:spacing w:before="43"/>
              <w:ind w:left="168" w:right="168"/>
              <w:rPr>
                <w:sz w:val="20"/>
              </w:rPr>
            </w:pPr>
            <w:r>
              <w:rPr>
                <w:sz w:val="20"/>
              </w:rPr>
              <w:t>0.4</w:t>
            </w:r>
          </w:p>
        </w:tc>
        <w:tc>
          <w:tcPr>
            <w:tcW w:w="636" w:type="dxa"/>
          </w:tcPr>
          <w:p>
            <w:pPr>
              <w:pStyle w:val="TableParagraph"/>
              <w:spacing w:before="43"/>
              <w:ind w:left="167" w:right="168"/>
              <w:rPr>
                <w:sz w:val="20"/>
              </w:rPr>
            </w:pPr>
            <w:r>
              <w:rPr>
                <w:sz w:val="20"/>
              </w:rPr>
              <w:t>0.7</w:t>
            </w:r>
          </w:p>
        </w:tc>
      </w:tr>
      <w:tr>
        <w:trPr>
          <w:trHeight w:val="302" w:hRule="exact"/>
        </w:trPr>
        <w:tc>
          <w:tcPr>
            <w:tcW w:w="4928" w:type="dxa"/>
          </w:tcPr>
          <w:p>
            <w:pPr>
              <w:pStyle w:val="TableParagraph"/>
              <w:spacing w:line="228" w:lineRule="exact"/>
              <w:ind w:left="103" w:right="284"/>
              <w:jc w:val="left"/>
              <w:rPr>
                <w:b/>
                <w:sz w:val="20"/>
              </w:rPr>
            </w:pPr>
            <w:r>
              <w:rPr>
                <w:b/>
                <w:sz w:val="20"/>
              </w:rPr>
              <w:t>Fabricación de carrocerías y remolques</w:t>
            </w:r>
          </w:p>
        </w:tc>
        <w:tc>
          <w:tcPr>
            <w:tcW w:w="636" w:type="dxa"/>
          </w:tcPr>
          <w:p>
            <w:pPr>
              <w:pStyle w:val="TableParagraph"/>
              <w:spacing w:before="24"/>
              <w:ind w:left="167" w:right="168"/>
              <w:rPr>
                <w:sz w:val="20"/>
              </w:rPr>
            </w:pPr>
            <w:r>
              <w:rPr>
                <w:sz w:val="20"/>
              </w:rPr>
              <w:t>2.2</w:t>
            </w:r>
          </w:p>
        </w:tc>
        <w:tc>
          <w:tcPr>
            <w:tcW w:w="636" w:type="dxa"/>
          </w:tcPr>
          <w:p>
            <w:pPr>
              <w:pStyle w:val="TableParagraph"/>
              <w:spacing w:before="24"/>
              <w:ind w:left="167" w:right="168"/>
              <w:rPr>
                <w:sz w:val="20"/>
              </w:rPr>
            </w:pPr>
            <w:r>
              <w:rPr>
                <w:sz w:val="20"/>
              </w:rPr>
              <w:t>0.8</w:t>
            </w:r>
          </w:p>
        </w:tc>
        <w:tc>
          <w:tcPr>
            <w:tcW w:w="637" w:type="dxa"/>
          </w:tcPr>
          <w:p>
            <w:pPr>
              <w:pStyle w:val="TableParagraph"/>
              <w:spacing w:before="24"/>
              <w:ind w:left="168" w:right="169"/>
              <w:rPr>
                <w:sz w:val="20"/>
              </w:rPr>
            </w:pPr>
            <w:r>
              <w:rPr>
                <w:sz w:val="20"/>
              </w:rPr>
              <w:t>0.4</w:t>
            </w:r>
          </w:p>
        </w:tc>
        <w:tc>
          <w:tcPr>
            <w:tcW w:w="636" w:type="dxa"/>
          </w:tcPr>
          <w:p>
            <w:pPr>
              <w:pStyle w:val="TableParagraph"/>
              <w:spacing w:before="24"/>
              <w:ind w:left="167" w:right="168"/>
              <w:rPr>
                <w:sz w:val="20"/>
              </w:rPr>
            </w:pPr>
            <w:r>
              <w:rPr>
                <w:sz w:val="20"/>
              </w:rPr>
              <w:t>0.5</w:t>
            </w:r>
          </w:p>
        </w:tc>
        <w:tc>
          <w:tcPr>
            <w:tcW w:w="636" w:type="dxa"/>
          </w:tcPr>
          <w:p>
            <w:pPr>
              <w:pStyle w:val="TableParagraph"/>
              <w:spacing w:before="24"/>
              <w:ind w:left="167" w:right="168"/>
              <w:rPr>
                <w:sz w:val="20"/>
              </w:rPr>
            </w:pPr>
            <w:r>
              <w:rPr>
                <w:sz w:val="20"/>
              </w:rPr>
              <w:t>0.4</w:t>
            </w:r>
          </w:p>
        </w:tc>
        <w:tc>
          <w:tcPr>
            <w:tcW w:w="636" w:type="dxa"/>
          </w:tcPr>
          <w:p>
            <w:pPr>
              <w:pStyle w:val="TableParagraph"/>
              <w:spacing w:before="24"/>
              <w:ind w:left="168" w:right="168"/>
              <w:rPr>
                <w:sz w:val="20"/>
              </w:rPr>
            </w:pPr>
            <w:r>
              <w:rPr>
                <w:sz w:val="20"/>
              </w:rPr>
              <w:t>0.6</w:t>
            </w:r>
          </w:p>
        </w:tc>
        <w:tc>
          <w:tcPr>
            <w:tcW w:w="636" w:type="dxa"/>
          </w:tcPr>
          <w:p>
            <w:pPr>
              <w:pStyle w:val="TableParagraph"/>
              <w:spacing w:before="24"/>
              <w:ind w:left="167" w:right="168"/>
              <w:rPr>
                <w:sz w:val="20"/>
              </w:rPr>
            </w:pPr>
            <w:r>
              <w:rPr>
                <w:sz w:val="20"/>
              </w:rPr>
              <w:t>1.1</w:t>
            </w:r>
          </w:p>
        </w:tc>
      </w:tr>
      <w:tr>
        <w:trPr>
          <w:trHeight w:val="470" w:hRule="exact"/>
        </w:trPr>
        <w:tc>
          <w:tcPr>
            <w:tcW w:w="4928" w:type="dxa"/>
          </w:tcPr>
          <w:p>
            <w:pPr>
              <w:pStyle w:val="TableParagraph"/>
              <w:ind w:left="103" w:right="284"/>
              <w:jc w:val="left"/>
              <w:rPr>
                <w:b/>
                <w:sz w:val="20"/>
              </w:rPr>
            </w:pPr>
            <w:r>
              <w:rPr>
                <w:b/>
                <w:sz w:val="20"/>
              </w:rPr>
              <w:t>Fabricación de motores de gasolina y sus partes para vehículos automotrices</w:t>
            </w:r>
          </w:p>
        </w:tc>
        <w:tc>
          <w:tcPr>
            <w:tcW w:w="636" w:type="dxa"/>
          </w:tcPr>
          <w:p>
            <w:pPr>
              <w:pStyle w:val="TableParagraph"/>
              <w:spacing w:before="108"/>
              <w:ind w:left="167" w:right="168"/>
              <w:rPr>
                <w:sz w:val="20"/>
              </w:rPr>
            </w:pPr>
            <w:r>
              <w:rPr>
                <w:sz w:val="20"/>
              </w:rPr>
              <w:t>0.3</w:t>
            </w:r>
          </w:p>
        </w:tc>
        <w:tc>
          <w:tcPr>
            <w:tcW w:w="636" w:type="dxa"/>
          </w:tcPr>
          <w:p>
            <w:pPr>
              <w:pStyle w:val="TableParagraph"/>
              <w:spacing w:before="108"/>
              <w:ind w:left="167" w:right="168"/>
              <w:rPr>
                <w:sz w:val="20"/>
              </w:rPr>
            </w:pPr>
            <w:r>
              <w:rPr>
                <w:sz w:val="20"/>
              </w:rPr>
              <w:t>1.3</w:t>
            </w:r>
          </w:p>
        </w:tc>
        <w:tc>
          <w:tcPr>
            <w:tcW w:w="637" w:type="dxa"/>
          </w:tcPr>
          <w:p>
            <w:pPr>
              <w:pStyle w:val="TableParagraph"/>
              <w:spacing w:before="108"/>
              <w:ind w:left="168" w:right="169"/>
              <w:rPr>
                <w:sz w:val="20"/>
              </w:rPr>
            </w:pPr>
            <w:r>
              <w:rPr>
                <w:sz w:val="20"/>
              </w:rPr>
              <w:t>0.9</w:t>
            </w:r>
          </w:p>
        </w:tc>
        <w:tc>
          <w:tcPr>
            <w:tcW w:w="636" w:type="dxa"/>
          </w:tcPr>
          <w:p>
            <w:pPr>
              <w:pStyle w:val="TableParagraph"/>
              <w:spacing w:before="108"/>
              <w:ind w:left="167" w:right="168"/>
              <w:rPr>
                <w:sz w:val="20"/>
              </w:rPr>
            </w:pPr>
            <w:r>
              <w:rPr>
                <w:sz w:val="20"/>
              </w:rPr>
              <w:t>0.7</w:t>
            </w:r>
          </w:p>
        </w:tc>
        <w:tc>
          <w:tcPr>
            <w:tcW w:w="636" w:type="dxa"/>
          </w:tcPr>
          <w:p>
            <w:pPr>
              <w:pStyle w:val="TableParagraph"/>
              <w:spacing w:before="108"/>
              <w:ind w:left="167" w:right="168"/>
              <w:rPr>
                <w:sz w:val="20"/>
              </w:rPr>
            </w:pPr>
            <w:r>
              <w:rPr>
                <w:sz w:val="20"/>
              </w:rPr>
              <w:t>0.7</w:t>
            </w:r>
          </w:p>
        </w:tc>
        <w:tc>
          <w:tcPr>
            <w:tcW w:w="636" w:type="dxa"/>
          </w:tcPr>
          <w:p>
            <w:pPr>
              <w:pStyle w:val="TableParagraph"/>
              <w:spacing w:before="108"/>
              <w:ind w:left="168" w:right="168"/>
              <w:rPr>
                <w:sz w:val="20"/>
              </w:rPr>
            </w:pPr>
            <w:r>
              <w:rPr>
                <w:sz w:val="20"/>
              </w:rPr>
              <w:t>0.7</w:t>
            </w:r>
          </w:p>
        </w:tc>
        <w:tc>
          <w:tcPr>
            <w:tcW w:w="636" w:type="dxa"/>
          </w:tcPr>
          <w:p>
            <w:pPr>
              <w:pStyle w:val="TableParagraph"/>
              <w:spacing w:before="108"/>
              <w:ind w:left="167" w:right="168"/>
              <w:rPr>
                <w:sz w:val="20"/>
              </w:rPr>
            </w:pPr>
            <w:r>
              <w:rPr>
                <w:sz w:val="20"/>
              </w:rPr>
              <w:t>1.5</w:t>
            </w:r>
          </w:p>
        </w:tc>
      </w:tr>
      <w:tr>
        <w:trPr>
          <w:trHeight w:val="355" w:hRule="exact"/>
        </w:trPr>
        <w:tc>
          <w:tcPr>
            <w:tcW w:w="4928" w:type="dxa"/>
          </w:tcPr>
          <w:p>
            <w:pPr>
              <w:pStyle w:val="TableParagraph"/>
              <w:spacing w:line="228" w:lineRule="exact"/>
              <w:ind w:left="103" w:right="284"/>
              <w:jc w:val="left"/>
              <w:rPr>
                <w:b/>
                <w:sz w:val="20"/>
              </w:rPr>
            </w:pPr>
            <w:r>
              <w:rPr>
                <w:b/>
                <w:sz w:val="20"/>
              </w:rPr>
              <w:t>Fabricación de partes de sistemas de transmisión</w:t>
            </w:r>
          </w:p>
        </w:tc>
        <w:tc>
          <w:tcPr>
            <w:tcW w:w="636" w:type="dxa"/>
          </w:tcPr>
          <w:p>
            <w:pPr>
              <w:pStyle w:val="TableParagraph"/>
              <w:spacing w:before="51"/>
              <w:ind w:left="167" w:right="168"/>
              <w:rPr>
                <w:sz w:val="20"/>
              </w:rPr>
            </w:pPr>
            <w:r>
              <w:rPr>
                <w:sz w:val="20"/>
              </w:rPr>
              <w:t>0.5</w:t>
            </w:r>
          </w:p>
        </w:tc>
        <w:tc>
          <w:tcPr>
            <w:tcW w:w="636" w:type="dxa"/>
          </w:tcPr>
          <w:p>
            <w:pPr>
              <w:pStyle w:val="TableParagraph"/>
              <w:spacing w:before="51"/>
              <w:ind w:left="167" w:right="168"/>
              <w:rPr>
                <w:sz w:val="20"/>
              </w:rPr>
            </w:pPr>
            <w:r>
              <w:rPr>
                <w:sz w:val="20"/>
              </w:rPr>
              <w:t>0.0</w:t>
            </w:r>
          </w:p>
        </w:tc>
        <w:tc>
          <w:tcPr>
            <w:tcW w:w="637" w:type="dxa"/>
          </w:tcPr>
          <w:p>
            <w:pPr>
              <w:pStyle w:val="TableParagraph"/>
              <w:spacing w:before="51"/>
              <w:ind w:left="168" w:right="169"/>
              <w:rPr>
                <w:sz w:val="20"/>
              </w:rPr>
            </w:pPr>
            <w:r>
              <w:rPr>
                <w:sz w:val="20"/>
              </w:rPr>
              <w:t>0.1</w:t>
            </w:r>
          </w:p>
        </w:tc>
        <w:tc>
          <w:tcPr>
            <w:tcW w:w="636" w:type="dxa"/>
          </w:tcPr>
          <w:p>
            <w:pPr>
              <w:pStyle w:val="TableParagraph"/>
              <w:spacing w:before="51"/>
              <w:ind w:left="167" w:right="168"/>
              <w:rPr>
                <w:sz w:val="20"/>
              </w:rPr>
            </w:pPr>
            <w:r>
              <w:rPr>
                <w:sz w:val="20"/>
              </w:rPr>
              <w:t>0.3</w:t>
            </w:r>
          </w:p>
        </w:tc>
        <w:tc>
          <w:tcPr>
            <w:tcW w:w="636" w:type="dxa"/>
          </w:tcPr>
          <w:p>
            <w:pPr>
              <w:pStyle w:val="TableParagraph"/>
              <w:spacing w:before="51"/>
              <w:ind w:left="167" w:right="168"/>
              <w:rPr>
                <w:sz w:val="20"/>
              </w:rPr>
            </w:pPr>
            <w:r>
              <w:rPr>
                <w:sz w:val="20"/>
              </w:rPr>
              <w:t>0.0</w:t>
            </w:r>
          </w:p>
        </w:tc>
        <w:tc>
          <w:tcPr>
            <w:tcW w:w="636" w:type="dxa"/>
          </w:tcPr>
          <w:p>
            <w:pPr>
              <w:pStyle w:val="TableParagraph"/>
              <w:spacing w:before="51"/>
              <w:ind w:left="168" w:right="168"/>
              <w:rPr>
                <w:sz w:val="20"/>
              </w:rPr>
            </w:pPr>
            <w:r>
              <w:rPr>
                <w:sz w:val="20"/>
              </w:rPr>
              <w:t>0.1</w:t>
            </w:r>
          </w:p>
        </w:tc>
        <w:tc>
          <w:tcPr>
            <w:tcW w:w="636" w:type="dxa"/>
          </w:tcPr>
          <w:p>
            <w:pPr>
              <w:pStyle w:val="TableParagraph"/>
              <w:spacing w:before="51"/>
              <w:ind w:left="167" w:right="168"/>
              <w:rPr>
                <w:sz w:val="20"/>
              </w:rPr>
            </w:pPr>
            <w:r>
              <w:rPr>
                <w:sz w:val="20"/>
              </w:rPr>
              <w:t>0.8</w:t>
            </w:r>
          </w:p>
        </w:tc>
      </w:tr>
      <w:tr>
        <w:trPr>
          <w:trHeight w:val="471" w:hRule="exact"/>
        </w:trPr>
        <w:tc>
          <w:tcPr>
            <w:tcW w:w="4928" w:type="dxa"/>
          </w:tcPr>
          <w:p>
            <w:pPr>
              <w:pStyle w:val="TableParagraph"/>
              <w:ind w:left="103" w:right="284"/>
              <w:jc w:val="left"/>
              <w:rPr>
                <w:b/>
                <w:sz w:val="20"/>
              </w:rPr>
            </w:pPr>
            <w:r>
              <w:rPr>
                <w:b/>
                <w:sz w:val="20"/>
              </w:rPr>
              <w:t>Fabricación de partes de sistemas de dirección y de suspensión para vehículos automotrices</w:t>
            </w:r>
          </w:p>
        </w:tc>
        <w:tc>
          <w:tcPr>
            <w:tcW w:w="636" w:type="dxa"/>
          </w:tcPr>
          <w:p>
            <w:pPr>
              <w:pStyle w:val="TableParagraph"/>
              <w:spacing w:before="108"/>
              <w:ind w:left="167" w:right="168"/>
              <w:rPr>
                <w:sz w:val="20"/>
              </w:rPr>
            </w:pPr>
            <w:r>
              <w:rPr>
                <w:sz w:val="20"/>
              </w:rPr>
              <w:t>0.8</w:t>
            </w:r>
          </w:p>
        </w:tc>
        <w:tc>
          <w:tcPr>
            <w:tcW w:w="636" w:type="dxa"/>
          </w:tcPr>
          <w:p>
            <w:pPr>
              <w:pStyle w:val="TableParagraph"/>
              <w:spacing w:before="108"/>
              <w:ind w:left="167" w:right="168"/>
              <w:rPr>
                <w:sz w:val="20"/>
              </w:rPr>
            </w:pPr>
            <w:r>
              <w:rPr>
                <w:sz w:val="20"/>
              </w:rPr>
              <w:t>0.7</w:t>
            </w:r>
          </w:p>
        </w:tc>
        <w:tc>
          <w:tcPr>
            <w:tcW w:w="637" w:type="dxa"/>
          </w:tcPr>
          <w:p>
            <w:pPr>
              <w:pStyle w:val="TableParagraph"/>
              <w:spacing w:before="108"/>
              <w:ind w:left="168" w:right="169"/>
              <w:rPr>
                <w:sz w:val="20"/>
              </w:rPr>
            </w:pPr>
            <w:r>
              <w:rPr>
                <w:sz w:val="20"/>
              </w:rPr>
              <w:t>0.3</w:t>
            </w:r>
          </w:p>
        </w:tc>
        <w:tc>
          <w:tcPr>
            <w:tcW w:w="636" w:type="dxa"/>
          </w:tcPr>
          <w:p>
            <w:pPr>
              <w:pStyle w:val="TableParagraph"/>
              <w:spacing w:before="108"/>
              <w:ind w:left="167" w:right="168"/>
              <w:rPr>
                <w:sz w:val="20"/>
              </w:rPr>
            </w:pPr>
            <w:r>
              <w:rPr>
                <w:sz w:val="20"/>
              </w:rPr>
              <w:t>0.7</w:t>
            </w:r>
          </w:p>
        </w:tc>
        <w:tc>
          <w:tcPr>
            <w:tcW w:w="636" w:type="dxa"/>
          </w:tcPr>
          <w:p>
            <w:pPr>
              <w:pStyle w:val="TableParagraph"/>
              <w:spacing w:before="108"/>
              <w:ind w:left="167" w:right="168"/>
              <w:rPr>
                <w:sz w:val="20"/>
              </w:rPr>
            </w:pPr>
            <w:r>
              <w:rPr>
                <w:sz w:val="20"/>
              </w:rPr>
              <w:t>0.7</w:t>
            </w:r>
          </w:p>
        </w:tc>
        <w:tc>
          <w:tcPr>
            <w:tcW w:w="636" w:type="dxa"/>
          </w:tcPr>
          <w:p>
            <w:pPr>
              <w:pStyle w:val="TableParagraph"/>
              <w:spacing w:before="108"/>
              <w:ind w:left="168" w:right="168"/>
              <w:rPr>
                <w:sz w:val="20"/>
              </w:rPr>
            </w:pPr>
            <w:r>
              <w:rPr>
                <w:sz w:val="20"/>
              </w:rPr>
              <w:t>0.4</w:t>
            </w:r>
          </w:p>
        </w:tc>
        <w:tc>
          <w:tcPr>
            <w:tcW w:w="636" w:type="dxa"/>
          </w:tcPr>
          <w:p>
            <w:pPr>
              <w:pStyle w:val="TableParagraph"/>
              <w:spacing w:before="108"/>
              <w:ind w:left="167" w:right="168"/>
              <w:rPr>
                <w:sz w:val="20"/>
              </w:rPr>
            </w:pPr>
            <w:r>
              <w:rPr>
                <w:sz w:val="20"/>
              </w:rPr>
              <w:t>1.0</w:t>
            </w:r>
          </w:p>
        </w:tc>
      </w:tr>
      <w:tr>
        <w:trPr>
          <w:trHeight w:val="470" w:hRule="exact"/>
        </w:trPr>
        <w:tc>
          <w:tcPr>
            <w:tcW w:w="4928" w:type="dxa"/>
          </w:tcPr>
          <w:p>
            <w:pPr>
              <w:pStyle w:val="TableParagraph"/>
              <w:ind w:left="103" w:right="284"/>
              <w:jc w:val="left"/>
              <w:rPr>
                <w:b/>
                <w:sz w:val="20"/>
              </w:rPr>
            </w:pPr>
            <w:r>
              <w:rPr>
                <w:b/>
                <w:sz w:val="20"/>
              </w:rPr>
              <w:t>Fabricación de partes de sistemas de frenos para vehículos automotrices</w:t>
            </w:r>
          </w:p>
        </w:tc>
        <w:tc>
          <w:tcPr>
            <w:tcW w:w="636" w:type="dxa"/>
          </w:tcPr>
          <w:p>
            <w:pPr>
              <w:pStyle w:val="TableParagraph"/>
              <w:spacing w:before="108"/>
              <w:ind w:left="167" w:right="168"/>
              <w:rPr>
                <w:sz w:val="20"/>
              </w:rPr>
            </w:pPr>
            <w:r>
              <w:rPr>
                <w:sz w:val="20"/>
              </w:rPr>
              <w:t>0.6</w:t>
            </w:r>
          </w:p>
        </w:tc>
        <w:tc>
          <w:tcPr>
            <w:tcW w:w="636" w:type="dxa"/>
          </w:tcPr>
          <w:p>
            <w:pPr>
              <w:pStyle w:val="TableParagraph"/>
              <w:spacing w:before="108"/>
              <w:ind w:left="167" w:right="168"/>
              <w:rPr>
                <w:sz w:val="20"/>
              </w:rPr>
            </w:pPr>
            <w:r>
              <w:rPr>
                <w:sz w:val="20"/>
              </w:rPr>
              <w:t>0.3</w:t>
            </w:r>
          </w:p>
        </w:tc>
        <w:tc>
          <w:tcPr>
            <w:tcW w:w="637" w:type="dxa"/>
          </w:tcPr>
          <w:p>
            <w:pPr>
              <w:pStyle w:val="TableParagraph"/>
              <w:spacing w:before="108"/>
              <w:ind w:left="168" w:right="169"/>
              <w:rPr>
                <w:sz w:val="20"/>
              </w:rPr>
            </w:pPr>
            <w:r>
              <w:rPr>
                <w:sz w:val="20"/>
              </w:rPr>
              <w:t>0.1</w:t>
            </w:r>
          </w:p>
        </w:tc>
        <w:tc>
          <w:tcPr>
            <w:tcW w:w="636" w:type="dxa"/>
          </w:tcPr>
          <w:p>
            <w:pPr>
              <w:pStyle w:val="TableParagraph"/>
              <w:spacing w:before="108"/>
              <w:ind w:left="167" w:right="168"/>
              <w:rPr>
                <w:sz w:val="20"/>
              </w:rPr>
            </w:pPr>
            <w:r>
              <w:rPr>
                <w:sz w:val="20"/>
              </w:rPr>
              <w:t>0.4</w:t>
            </w:r>
          </w:p>
        </w:tc>
        <w:tc>
          <w:tcPr>
            <w:tcW w:w="636" w:type="dxa"/>
          </w:tcPr>
          <w:p>
            <w:pPr>
              <w:pStyle w:val="TableParagraph"/>
              <w:spacing w:before="108"/>
              <w:ind w:left="167" w:right="168"/>
              <w:rPr>
                <w:sz w:val="20"/>
              </w:rPr>
            </w:pPr>
            <w:r>
              <w:rPr>
                <w:sz w:val="20"/>
              </w:rPr>
              <w:t>0.4</w:t>
            </w:r>
          </w:p>
        </w:tc>
        <w:tc>
          <w:tcPr>
            <w:tcW w:w="636" w:type="dxa"/>
          </w:tcPr>
          <w:p>
            <w:pPr>
              <w:pStyle w:val="TableParagraph"/>
              <w:spacing w:before="108"/>
              <w:ind w:left="168" w:right="168"/>
              <w:rPr>
                <w:sz w:val="20"/>
              </w:rPr>
            </w:pPr>
            <w:r>
              <w:rPr>
                <w:sz w:val="20"/>
              </w:rPr>
              <w:t>0.3</w:t>
            </w:r>
          </w:p>
        </w:tc>
        <w:tc>
          <w:tcPr>
            <w:tcW w:w="636" w:type="dxa"/>
          </w:tcPr>
          <w:p>
            <w:pPr>
              <w:pStyle w:val="TableParagraph"/>
              <w:spacing w:before="108"/>
              <w:ind w:left="167" w:right="168"/>
              <w:rPr>
                <w:sz w:val="20"/>
              </w:rPr>
            </w:pPr>
            <w:r>
              <w:rPr>
                <w:sz w:val="20"/>
              </w:rPr>
              <w:t>1.1</w:t>
            </w:r>
          </w:p>
        </w:tc>
      </w:tr>
      <w:tr>
        <w:trPr>
          <w:trHeight w:val="470" w:hRule="exact"/>
        </w:trPr>
        <w:tc>
          <w:tcPr>
            <w:tcW w:w="4928" w:type="dxa"/>
          </w:tcPr>
          <w:p>
            <w:pPr>
              <w:pStyle w:val="TableParagraph"/>
              <w:ind w:left="103" w:right="284"/>
              <w:jc w:val="left"/>
              <w:rPr>
                <w:b/>
                <w:sz w:val="20"/>
              </w:rPr>
            </w:pPr>
            <w:r>
              <w:rPr>
                <w:b/>
                <w:sz w:val="20"/>
              </w:rPr>
              <w:t>Fabricación de equipo eléctrico y electrónico para vehículos automotores</w:t>
            </w:r>
          </w:p>
        </w:tc>
        <w:tc>
          <w:tcPr>
            <w:tcW w:w="636" w:type="dxa"/>
          </w:tcPr>
          <w:p>
            <w:pPr>
              <w:pStyle w:val="TableParagraph"/>
              <w:spacing w:before="108"/>
              <w:ind w:left="167" w:right="168"/>
              <w:rPr>
                <w:sz w:val="20"/>
              </w:rPr>
            </w:pPr>
            <w:r>
              <w:rPr>
                <w:sz w:val="20"/>
              </w:rPr>
              <w:t>3.1</w:t>
            </w:r>
          </w:p>
        </w:tc>
        <w:tc>
          <w:tcPr>
            <w:tcW w:w="636" w:type="dxa"/>
          </w:tcPr>
          <w:p>
            <w:pPr>
              <w:pStyle w:val="TableParagraph"/>
              <w:spacing w:before="108"/>
              <w:ind w:left="167" w:right="168"/>
              <w:rPr>
                <w:sz w:val="20"/>
              </w:rPr>
            </w:pPr>
            <w:r>
              <w:rPr>
                <w:sz w:val="20"/>
              </w:rPr>
              <w:t>2.4</w:t>
            </w:r>
          </w:p>
        </w:tc>
        <w:tc>
          <w:tcPr>
            <w:tcW w:w="637" w:type="dxa"/>
          </w:tcPr>
          <w:p>
            <w:pPr>
              <w:pStyle w:val="TableParagraph"/>
              <w:spacing w:before="108"/>
              <w:ind w:left="168" w:right="169"/>
              <w:rPr>
                <w:sz w:val="20"/>
              </w:rPr>
            </w:pPr>
            <w:r>
              <w:rPr>
                <w:sz w:val="20"/>
              </w:rPr>
              <w:t>1.7</w:t>
            </w:r>
          </w:p>
        </w:tc>
        <w:tc>
          <w:tcPr>
            <w:tcW w:w="636" w:type="dxa"/>
          </w:tcPr>
          <w:p>
            <w:pPr>
              <w:pStyle w:val="TableParagraph"/>
              <w:spacing w:before="108"/>
              <w:ind w:left="167" w:right="168"/>
              <w:rPr>
                <w:sz w:val="20"/>
              </w:rPr>
            </w:pPr>
            <w:r>
              <w:rPr>
                <w:sz w:val="20"/>
              </w:rPr>
              <w:t>1.7</w:t>
            </w:r>
          </w:p>
        </w:tc>
        <w:tc>
          <w:tcPr>
            <w:tcW w:w="636" w:type="dxa"/>
          </w:tcPr>
          <w:p>
            <w:pPr>
              <w:pStyle w:val="TableParagraph"/>
              <w:spacing w:before="108"/>
              <w:ind w:left="167" w:right="168"/>
              <w:rPr>
                <w:sz w:val="20"/>
              </w:rPr>
            </w:pPr>
            <w:r>
              <w:rPr>
                <w:sz w:val="20"/>
              </w:rPr>
              <w:t>1.3</w:t>
            </w:r>
          </w:p>
        </w:tc>
        <w:tc>
          <w:tcPr>
            <w:tcW w:w="636" w:type="dxa"/>
          </w:tcPr>
          <w:p>
            <w:pPr>
              <w:pStyle w:val="TableParagraph"/>
              <w:spacing w:before="108"/>
              <w:ind w:left="168" w:right="168"/>
              <w:rPr>
                <w:sz w:val="20"/>
              </w:rPr>
            </w:pPr>
            <w:r>
              <w:rPr>
                <w:sz w:val="20"/>
              </w:rPr>
              <w:t>1.2</w:t>
            </w:r>
          </w:p>
        </w:tc>
        <w:tc>
          <w:tcPr>
            <w:tcW w:w="636" w:type="dxa"/>
          </w:tcPr>
          <w:p>
            <w:pPr>
              <w:pStyle w:val="TableParagraph"/>
              <w:spacing w:before="108"/>
              <w:ind w:left="167" w:right="168"/>
              <w:rPr>
                <w:sz w:val="20"/>
              </w:rPr>
            </w:pPr>
            <w:r>
              <w:rPr>
                <w:sz w:val="20"/>
              </w:rPr>
              <w:t>2.1</w:t>
            </w:r>
          </w:p>
        </w:tc>
      </w:tr>
      <w:tr>
        <w:trPr>
          <w:trHeight w:val="470" w:hRule="exact"/>
        </w:trPr>
        <w:tc>
          <w:tcPr>
            <w:tcW w:w="4928" w:type="dxa"/>
          </w:tcPr>
          <w:p>
            <w:pPr>
              <w:pStyle w:val="TableParagraph"/>
              <w:ind w:left="103" w:right="1168"/>
              <w:jc w:val="left"/>
              <w:rPr>
                <w:b/>
                <w:sz w:val="20"/>
              </w:rPr>
            </w:pPr>
            <w:r>
              <w:rPr>
                <w:b/>
                <w:sz w:val="20"/>
              </w:rPr>
              <w:t>Fabricación de otras partes para vehículos automotrices</w:t>
            </w:r>
          </w:p>
        </w:tc>
        <w:tc>
          <w:tcPr>
            <w:tcW w:w="636" w:type="dxa"/>
          </w:tcPr>
          <w:p>
            <w:pPr>
              <w:pStyle w:val="TableParagraph"/>
              <w:spacing w:before="108"/>
              <w:ind w:left="167" w:right="168"/>
              <w:rPr>
                <w:sz w:val="20"/>
              </w:rPr>
            </w:pPr>
            <w:r>
              <w:rPr>
                <w:sz w:val="20"/>
              </w:rPr>
              <w:t>1.4</w:t>
            </w:r>
          </w:p>
        </w:tc>
        <w:tc>
          <w:tcPr>
            <w:tcW w:w="636" w:type="dxa"/>
          </w:tcPr>
          <w:p>
            <w:pPr>
              <w:pStyle w:val="TableParagraph"/>
              <w:spacing w:before="108"/>
              <w:ind w:left="167" w:right="168"/>
              <w:rPr>
                <w:sz w:val="20"/>
              </w:rPr>
            </w:pPr>
            <w:r>
              <w:rPr>
                <w:sz w:val="20"/>
              </w:rPr>
              <w:t>0.7</w:t>
            </w:r>
          </w:p>
        </w:tc>
        <w:tc>
          <w:tcPr>
            <w:tcW w:w="637" w:type="dxa"/>
          </w:tcPr>
          <w:p>
            <w:pPr>
              <w:pStyle w:val="TableParagraph"/>
              <w:spacing w:before="108"/>
              <w:ind w:left="168" w:right="169"/>
              <w:rPr>
                <w:sz w:val="20"/>
              </w:rPr>
            </w:pPr>
            <w:r>
              <w:rPr>
                <w:sz w:val="20"/>
              </w:rPr>
              <w:t>1.1</w:t>
            </w:r>
          </w:p>
        </w:tc>
        <w:tc>
          <w:tcPr>
            <w:tcW w:w="636" w:type="dxa"/>
          </w:tcPr>
          <w:p>
            <w:pPr>
              <w:pStyle w:val="TableParagraph"/>
              <w:spacing w:before="108"/>
              <w:ind w:left="167" w:right="168"/>
              <w:rPr>
                <w:sz w:val="20"/>
              </w:rPr>
            </w:pPr>
            <w:r>
              <w:rPr>
                <w:sz w:val="20"/>
              </w:rPr>
              <w:t>0.9</w:t>
            </w:r>
          </w:p>
        </w:tc>
        <w:tc>
          <w:tcPr>
            <w:tcW w:w="636" w:type="dxa"/>
          </w:tcPr>
          <w:p>
            <w:pPr>
              <w:pStyle w:val="TableParagraph"/>
              <w:spacing w:before="108"/>
              <w:ind w:left="167" w:right="168"/>
              <w:rPr>
                <w:sz w:val="20"/>
              </w:rPr>
            </w:pPr>
            <w:r>
              <w:rPr>
                <w:sz w:val="20"/>
              </w:rPr>
              <w:t>0.9</w:t>
            </w:r>
          </w:p>
        </w:tc>
        <w:tc>
          <w:tcPr>
            <w:tcW w:w="636" w:type="dxa"/>
          </w:tcPr>
          <w:p>
            <w:pPr>
              <w:pStyle w:val="TableParagraph"/>
              <w:spacing w:before="108"/>
              <w:ind w:left="168" w:right="168"/>
              <w:rPr>
                <w:sz w:val="20"/>
              </w:rPr>
            </w:pPr>
            <w:r>
              <w:rPr>
                <w:sz w:val="20"/>
              </w:rPr>
              <w:t>0.9</w:t>
            </w:r>
          </w:p>
        </w:tc>
        <w:tc>
          <w:tcPr>
            <w:tcW w:w="636" w:type="dxa"/>
          </w:tcPr>
          <w:p>
            <w:pPr>
              <w:pStyle w:val="TableParagraph"/>
              <w:spacing w:before="108"/>
              <w:ind w:left="167" w:right="168"/>
              <w:rPr>
                <w:sz w:val="20"/>
              </w:rPr>
            </w:pPr>
            <w:r>
              <w:rPr>
                <w:sz w:val="20"/>
              </w:rPr>
              <w:t>1.9</w:t>
            </w:r>
          </w:p>
        </w:tc>
      </w:tr>
    </w:tbl>
    <w:p>
      <w:pPr>
        <w:spacing w:line="202" w:lineRule="exact" w:before="0"/>
        <w:ind w:left="102" w:right="0" w:firstLine="0"/>
        <w:jc w:val="both"/>
        <w:rPr>
          <w:sz w:val="18"/>
        </w:rPr>
      </w:pPr>
      <w:r>
        <w:rPr>
          <w:sz w:val="18"/>
        </w:rPr>
        <w:t>Fuente: Elaboración propia con datos de INEGI (varios años).</w:t>
      </w:r>
    </w:p>
    <w:p>
      <w:pPr>
        <w:pStyle w:val="BodyText"/>
        <w:rPr>
          <w:sz w:val="18"/>
        </w:rPr>
      </w:pPr>
    </w:p>
    <w:p>
      <w:pPr>
        <w:pStyle w:val="BodyText"/>
        <w:spacing w:line="360" w:lineRule="auto" w:before="135"/>
        <w:ind w:left="102" w:right="659"/>
        <w:jc w:val="both"/>
      </w:pPr>
      <w:r>
        <w:rPr/>
        <w:t>De acuerdo con los índices obtenidos en la variable del valor agregado censal bruto, si se observa el cuadro 4.20, en 1980, la actividad en la que mostraba mayor especialización la región</w:t>
      </w:r>
      <w:r>
        <w:rPr>
          <w:spacing w:val="-8"/>
        </w:rPr>
        <w:t> </w:t>
      </w:r>
      <w:r>
        <w:rPr/>
        <w:t>norte,</w:t>
      </w:r>
      <w:r>
        <w:rPr>
          <w:spacing w:val="-7"/>
        </w:rPr>
        <w:t> </w:t>
      </w:r>
      <w:r>
        <w:rPr/>
        <w:t>era</w:t>
      </w:r>
      <w:r>
        <w:rPr>
          <w:spacing w:val="-10"/>
        </w:rPr>
        <w:t> </w:t>
      </w:r>
      <w:r>
        <w:rPr/>
        <w:t>la</w:t>
      </w:r>
      <w:r>
        <w:rPr>
          <w:spacing w:val="-7"/>
        </w:rPr>
        <w:t> </w:t>
      </w:r>
      <w:r>
        <w:rPr/>
        <w:t>fabricación</w:t>
      </w:r>
      <w:r>
        <w:rPr>
          <w:spacing w:val="-8"/>
        </w:rPr>
        <w:t> </w:t>
      </w:r>
      <w:r>
        <w:rPr/>
        <w:t>de</w:t>
      </w:r>
      <w:r>
        <w:rPr>
          <w:spacing w:val="-7"/>
        </w:rPr>
        <w:t> </w:t>
      </w:r>
      <w:r>
        <w:rPr/>
        <w:t>carrocerías</w:t>
      </w:r>
      <w:r>
        <w:rPr>
          <w:spacing w:val="-4"/>
        </w:rPr>
        <w:t> </w:t>
      </w:r>
      <w:r>
        <w:rPr/>
        <w:t>y</w:t>
      </w:r>
      <w:r>
        <w:rPr>
          <w:spacing w:val="-11"/>
        </w:rPr>
        <w:t> </w:t>
      </w:r>
      <w:r>
        <w:rPr/>
        <w:t>remolques,</w:t>
      </w:r>
      <w:r>
        <w:rPr>
          <w:spacing w:val="-8"/>
        </w:rPr>
        <w:t> </w:t>
      </w:r>
      <w:r>
        <w:rPr/>
        <w:t>donde</w:t>
      </w:r>
      <w:r>
        <w:rPr>
          <w:spacing w:val="-10"/>
        </w:rPr>
        <w:t> </w:t>
      </w:r>
      <w:r>
        <w:rPr/>
        <w:t>se</w:t>
      </w:r>
      <w:r>
        <w:rPr>
          <w:spacing w:val="-9"/>
        </w:rPr>
        <w:t> </w:t>
      </w:r>
      <w:r>
        <w:rPr/>
        <w:t>obtuvo</w:t>
      </w:r>
      <w:r>
        <w:rPr>
          <w:spacing w:val="-9"/>
        </w:rPr>
        <w:t> </w:t>
      </w:r>
      <w:r>
        <w:rPr/>
        <w:t>un</w:t>
      </w:r>
      <w:r>
        <w:rPr>
          <w:spacing w:val="-9"/>
        </w:rPr>
        <w:t> </w:t>
      </w:r>
      <w:r>
        <w:rPr/>
        <w:t>índice</w:t>
      </w:r>
      <w:r>
        <w:rPr>
          <w:spacing w:val="-10"/>
        </w:rPr>
        <w:t> </w:t>
      </w:r>
      <w:r>
        <w:rPr/>
        <w:t>de</w:t>
      </w:r>
      <w:r>
        <w:rPr>
          <w:spacing w:val="-10"/>
        </w:rPr>
        <w:t> </w:t>
      </w:r>
      <w:r>
        <w:rPr/>
        <w:t>5.2, sin embargo </w:t>
      </w:r>
      <w:r>
        <w:rPr>
          <w:spacing w:val="-3"/>
        </w:rPr>
        <w:t>ya </w:t>
      </w:r>
      <w:r>
        <w:rPr/>
        <w:t>para el año 2008, la región norte aumentó su especialización en más actividades,</w:t>
      </w:r>
      <w:r>
        <w:rPr>
          <w:spacing w:val="-5"/>
        </w:rPr>
        <w:t> </w:t>
      </w:r>
      <w:r>
        <w:rPr/>
        <w:t>siendo</w:t>
      </w:r>
      <w:r>
        <w:rPr>
          <w:spacing w:val="-5"/>
        </w:rPr>
        <w:t> </w:t>
      </w:r>
      <w:r>
        <w:rPr/>
        <w:t>la</w:t>
      </w:r>
      <w:r>
        <w:rPr>
          <w:spacing w:val="-5"/>
        </w:rPr>
        <w:t> </w:t>
      </w:r>
      <w:r>
        <w:rPr/>
        <w:t>actividad</w:t>
      </w:r>
      <w:r>
        <w:rPr>
          <w:spacing w:val="-5"/>
        </w:rPr>
        <w:t> </w:t>
      </w:r>
      <w:r>
        <w:rPr/>
        <w:t>con</w:t>
      </w:r>
      <w:r>
        <w:rPr>
          <w:spacing w:val="-5"/>
        </w:rPr>
        <w:t> </w:t>
      </w:r>
      <w:r>
        <w:rPr/>
        <w:t>mayor</w:t>
      </w:r>
      <w:r>
        <w:rPr>
          <w:spacing w:val="-6"/>
        </w:rPr>
        <w:t> </w:t>
      </w:r>
      <w:r>
        <w:rPr/>
        <w:t>grado</w:t>
      </w:r>
      <w:r>
        <w:rPr>
          <w:spacing w:val="-5"/>
        </w:rPr>
        <w:t> </w:t>
      </w:r>
      <w:r>
        <w:rPr/>
        <w:t>de</w:t>
      </w:r>
      <w:r>
        <w:rPr>
          <w:spacing w:val="-6"/>
        </w:rPr>
        <w:t> </w:t>
      </w:r>
      <w:r>
        <w:rPr/>
        <w:t>especialización</w:t>
      </w:r>
      <w:r>
        <w:rPr>
          <w:spacing w:val="-4"/>
        </w:rPr>
        <w:t> </w:t>
      </w:r>
      <w:r>
        <w:rPr/>
        <w:t>la</w:t>
      </w:r>
      <w:r>
        <w:rPr>
          <w:spacing w:val="-5"/>
        </w:rPr>
        <w:t> </w:t>
      </w:r>
      <w:r>
        <w:rPr/>
        <w:t>fabricación</w:t>
      </w:r>
      <w:r>
        <w:rPr>
          <w:spacing w:val="-4"/>
        </w:rPr>
        <w:t> </w:t>
      </w:r>
      <w:r>
        <w:rPr/>
        <w:t>de</w:t>
      </w:r>
      <w:r>
        <w:rPr>
          <w:spacing w:val="-3"/>
        </w:rPr>
        <w:t> </w:t>
      </w:r>
      <w:r>
        <w:rPr/>
        <w:t>equipo eléctrico y electrónico con un coeficiente de</w:t>
      </w:r>
      <w:r>
        <w:rPr>
          <w:spacing w:val="-8"/>
        </w:rPr>
        <w:t> </w:t>
      </w:r>
      <w:r>
        <w:rPr/>
        <w:t>2.1.</w:t>
      </w:r>
    </w:p>
    <w:p>
      <w:pPr>
        <w:pStyle w:val="BodyText"/>
        <w:spacing w:before="9"/>
        <w:rPr>
          <w:sz w:val="21"/>
        </w:rPr>
      </w:pPr>
    </w:p>
    <w:p>
      <w:pPr>
        <w:pStyle w:val="Heading1"/>
        <w:spacing w:line="360" w:lineRule="auto" w:after="7"/>
        <w:ind w:left="574" w:right="260" w:hanging="401"/>
      </w:pPr>
      <w:r>
        <w:rPr/>
        <w:t>Cuadro 4.20. Cocientes de localización de las actividades de la industria automotriz a nivel nacional de la Región Norte, 1980-2008  (Valor Agregado Censal Bruto)</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18"/>
        <w:gridCol w:w="614"/>
        <w:gridCol w:w="617"/>
        <w:gridCol w:w="617"/>
        <w:gridCol w:w="614"/>
        <w:gridCol w:w="617"/>
        <w:gridCol w:w="617"/>
        <w:gridCol w:w="615"/>
      </w:tblGrid>
      <w:tr>
        <w:trPr>
          <w:trHeight w:val="351" w:hRule="exact"/>
        </w:trPr>
        <w:tc>
          <w:tcPr>
            <w:tcW w:w="4518" w:type="dxa"/>
            <w:tcBorders>
              <w:right w:val="nil"/>
            </w:tcBorders>
            <w:shd w:val="clear" w:color="auto" w:fill="A6A6A6"/>
          </w:tcPr>
          <w:p>
            <w:pPr/>
          </w:p>
        </w:tc>
        <w:tc>
          <w:tcPr>
            <w:tcW w:w="614" w:type="dxa"/>
            <w:tcBorders>
              <w:left w:val="nil"/>
              <w:right w:val="nil"/>
            </w:tcBorders>
            <w:shd w:val="clear" w:color="auto" w:fill="A6A6A6"/>
          </w:tcPr>
          <w:p>
            <w:pPr>
              <w:pStyle w:val="TableParagraph"/>
              <w:spacing w:before="53"/>
              <w:ind w:left="87" w:right="83"/>
              <w:rPr>
                <w:b/>
                <w:sz w:val="20"/>
              </w:rPr>
            </w:pPr>
            <w:r>
              <w:rPr>
                <w:b/>
                <w:sz w:val="20"/>
              </w:rPr>
              <w:t>1980</w:t>
            </w:r>
          </w:p>
        </w:tc>
        <w:tc>
          <w:tcPr>
            <w:tcW w:w="617" w:type="dxa"/>
            <w:tcBorders>
              <w:left w:val="nil"/>
              <w:right w:val="nil"/>
            </w:tcBorders>
            <w:shd w:val="clear" w:color="auto" w:fill="A6A6A6"/>
          </w:tcPr>
          <w:p>
            <w:pPr>
              <w:pStyle w:val="TableParagraph"/>
              <w:spacing w:before="53"/>
              <w:ind w:left="89" w:right="87"/>
              <w:rPr>
                <w:b/>
                <w:sz w:val="20"/>
              </w:rPr>
            </w:pPr>
            <w:r>
              <w:rPr>
                <w:b/>
                <w:sz w:val="20"/>
              </w:rPr>
              <w:t>1985</w:t>
            </w:r>
          </w:p>
        </w:tc>
        <w:tc>
          <w:tcPr>
            <w:tcW w:w="617" w:type="dxa"/>
            <w:tcBorders>
              <w:left w:val="nil"/>
              <w:right w:val="nil"/>
            </w:tcBorders>
            <w:shd w:val="clear" w:color="auto" w:fill="A6A6A6"/>
          </w:tcPr>
          <w:p>
            <w:pPr>
              <w:pStyle w:val="TableParagraph"/>
              <w:spacing w:before="53"/>
              <w:ind w:left="107"/>
              <w:jc w:val="left"/>
              <w:rPr>
                <w:b/>
                <w:sz w:val="20"/>
              </w:rPr>
            </w:pPr>
            <w:r>
              <w:rPr>
                <w:b/>
                <w:sz w:val="20"/>
              </w:rPr>
              <w:t>1988</w:t>
            </w:r>
          </w:p>
        </w:tc>
        <w:tc>
          <w:tcPr>
            <w:tcW w:w="614" w:type="dxa"/>
            <w:tcBorders>
              <w:left w:val="nil"/>
              <w:right w:val="nil"/>
            </w:tcBorders>
            <w:shd w:val="clear" w:color="auto" w:fill="A6A6A6"/>
          </w:tcPr>
          <w:p>
            <w:pPr>
              <w:pStyle w:val="TableParagraph"/>
              <w:spacing w:before="53"/>
              <w:ind w:left="85" w:right="85"/>
              <w:rPr>
                <w:b/>
                <w:sz w:val="20"/>
              </w:rPr>
            </w:pPr>
            <w:r>
              <w:rPr>
                <w:b/>
                <w:sz w:val="20"/>
              </w:rPr>
              <w:t>1993</w:t>
            </w:r>
          </w:p>
        </w:tc>
        <w:tc>
          <w:tcPr>
            <w:tcW w:w="617" w:type="dxa"/>
            <w:tcBorders>
              <w:left w:val="nil"/>
              <w:right w:val="nil"/>
            </w:tcBorders>
            <w:shd w:val="clear" w:color="auto" w:fill="A6A6A6"/>
          </w:tcPr>
          <w:p>
            <w:pPr>
              <w:pStyle w:val="TableParagraph"/>
              <w:spacing w:before="53"/>
              <w:ind w:right="103"/>
              <w:jc w:val="right"/>
              <w:rPr>
                <w:b/>
                <w:sz w:val="20"/>
              </w:rPr>
            </w:pPr>
            <w:r>
              <w:rPr>
                <w:b/>
                <w:sz w:val="20"/>
              </w:rPr>
              <w:t>1998</w:t>
            </w:r>
          </w:p>
        </w:tc>
        <w:tc>
          <w:tcPr>
            <w:tcW w:w="617" w:type="dxa"/>
            <w:tcBorders>
              <w:left w:val="nil"/>
              <w:right w:val="nil"/>
            </w:tcBorders>
            <w:shd w:val="clear" w:color="auto" w:fill="A6A6A6"/>
          </w:tcPr>
          <w:p>
            <w:pPr>
              <w:pStyle w:val="TableParagraph"/>
              <w:spacing w:before="53"/>
              <w:ind w:left="89" w:right="87"/>
              <w:rPr>
                <w:b/>
                <w:sz w:val="20"/>
              </w:rPr>
            </w:pPr>
            <w:r>
              <w:rPr>
                <w:b/>
                <w:sz w:val="20"/>
              </w:rPr>
              <w:t>2003</w:t>
            </w:r>
          </w:p>
        </w:tc>
        <w:tc>
          <w:tcPr>
            <w:tcW w:w="615" w:type="dxa"/>
            <w:tcBorders>
              <w:left w:val="nil"/>
              <w:right w:val="single" w:sz="4" w:space="0" w:color="6FAC46"/>
            </w:tcBorders>
            <w:shd w:val="clear" w:color="auto" w:fill="A6A6A6"/>
          </w:tcPr>
          <w:p>
            <w:pPr>
              <w:pStyle w:val="TableParagraph"/>
              <w:spacing w:before="53"/>
              <w:ind w:left="89" w:right="80"/>
              <w:rPr>
                <w:b/>
                <w:sz w:val="20"/>
              </w:rPr>
            </w:pPr>
            <w:r>
              <w:rPr>
                <w:b/>
                <w:sz w:val="20"/>
              </w:rPr>
              <w:t>2008</w:t>
            </w:r>
          </w:p>
        </w:tc>
      </w:tr>
      <w:tr>
        <w:trPr>
          <w:trHeight w:val="348" w:hRule="exact"/>
        </w:trPr>
        <w:tc>
          <w:tcPr>
            <w:tcW w:w="4518" w:type="dxa"/>
            <w:tcBorders>
              <w:top w:val="single" w:sz="48" w:space="0" w:color="A6A6A6"/>
            </w:tcBorders>
          </w:tcPr>
          <w:p>
            <w:pPr>
              <w:pStyle w:val="TableParagraph"/>
              <w:spacing w:line="228" w:lineRule="exact"/>
              <w:ind w:left="103" w:right="130"/>
              <w:jc w:val="left"/>
              <w:rPr>
                <w:b/>
                <w:sz w:val="20"/>
              </w:rPr>
            </w:pPr>
            <w:r>
              <w:rPr>
                <w:b/>
                <w:sz w:val="20"/>
              </w:rPr>
              <w:t>Fabricación de automóviles y camiones</w:t>
            </w:r>
          </w:p>
        </w:tc>
        <w:tc>
          <w:tcPr>
            <w:tcW w:w="614" w:type="dxa"/>
            <w:tcBorders>
              <w:top w:val="single" w:sz="26" w:space="0" w:color="A6A6A6"/>
            </w:tcBorders>
          </w:tcPr>
          <w:p>
            <w:pPr>
              <w:pStyle w:val="TableParagraph"/>
              <w:spacing w:before="21"/>
              <w:ind w:left="106" w:right="106"/>
              <w:rPr>
                <w:sz w:val="20"/>
              </w:rPr>
            </w:pPr>
            <w:r>
              <w:rPr>
                <w:sz w:val="20"/>
              </w:rPr>
              <w:t>0.2</w:t>
            </w:r>
          </w:p>
        </w:tc>
        <w:tc>
          <w:tcPr>
            <w:tcW w:w="617" w:type="dxa"/>
            <w:tcBorders>
              <w:top w:val="single" w:sz="26" w:space="0" w:color="A6A6A6"/>
            </w:tcBorders>
          </w:tcPr>
          <w:p>
            <w:pPr>
              <w:pStyle w:val="TableParagraph"/>
              <w:spacing w:before="21"/>
              <w:ind w:left="108" w:right="109"/>
              <w:rPr>
                <w:sz w:val="20"/>
              </w:rPr>
            </w:pPr>
            <w:r>
              <w:rPr>
                <w:sz w:val="20"/>
              </w:rPr>
              <w:t>0.3</w:t>
            </w:r>
          </w:p>
        </w:tc>
        <w:tc>
          <w:tcPr>
            <w:tcW w:w="617" w:type="dxa"/>
            <w:tcBorders>
              <w:top w:val="single" w:sz="26" w:space="0" w:color="A6A6A6"/>
            </w:tcBorders>
          </w:tcPr>
          <w:p>
            <w:pPr>
              <w:pStyle w:val="TableParagraph"/>
              <w:spacing w:before="21"/>
              <w:ind w:left="177"/>
              <w:jc w:val="left"/>
              <w:rPr>
                <w:sz w:val="20"/>
              </w:rPr>
            </w:pPr>
            <w:r>
              <w:rPr>
                <w:sz w:val="20"/>
              </w:rPr>
              <w:t>0.6</w:t>
            </w:r>
          </w:p>
        </w:tc>
        <w:tc>
          <w:tcPr>
            <w:tcW w:w="614" w:type="dxa"/>
            <w:tcBorders>
              <w:top w:val="single" w:sz="26" w:space="0" w:color="A6A6A6"/>
            </w:tcBorders>
          </w:tcPr>
          <w:p>
            <w:pPr>
              <w:pStyle w:val="TableParagraph"/>
              <w:spacing w:before="21"/>
              <w:ind w:left="105" w:right="107"/>
              <w:rPr>
                <w:sz w:val="20"/>
              </w:rPr>
            </w:pPr>
            <w:r>
              <w:rPr>
                <w:sz w:val="20"/>
              </w:rPr>
              <w:t>0.5</w:t>
            </w:r>
          </w:p>
        </w:tc>
        <w:tc>
          <w:tcPr>
            <w:tcW w:w="617" w:type="dxa"/>
            <w:tcBorders>
              <w:top w:val="single" w:sz="26" w:space="0" w:color="A6A6A6"/>
            </w:tcBorders>
          </w:tcPr>
          <w:p>
            <w:pPr>
              <w:pStyle w:val="TableParagraph"/>
              <w:spacing w:before="21"/>
              <w:ind w:right="177"/>
              <w:jc w:val="right"/>
              <w:rPr>
                <w:sz w:val="20"/>
              </w:rPr>
            </w:pPr>
            <w:r>
              <w:rPr>
                <w:sz w:val="20"/>
              </w:rPr>
              <w:t>0.8</w:t>
            </w:r>
          </w:p>
        </w:tc>
        <w:tc>
          <w:tcPr>
            <w:tcW w:w="617" w:type="dxa"/>
            <w:tcBorders>
              <w:top w:val="single" w:sz="26" w:space="0" w:color="A6A6A6"/>
            </w:tcBorders>
          </w:tcPr>
          <w:p>
            <w:pPr>
              <w:pStyle w:val="TableParagraph"/>
              <w:spacing w:before="21"/>
              <w:ind w:left="108" w:right="109"/>
              <w:rPr>
                <w:sz w:val="20"/>
              </w:rPr>
            </w:pPr>
            <w:r>
              <w:rPr>
                <w:sz w:val="20"/>
              </w:rPr>
              <w:t>0.4</w:t>
            </w:r>
          </w:p>
        </w:tc>
        <w:tc>
          <w:tcPr>
            <w:tcW w:w="615" w:type="dxa"/>
            <w:tcBorders>
              <w:top w:val="single" w:sz="26" w:space="0" w:color="A6A6A6"/>
            </w:tcBorders>
          </w:tcPr>
          <w:p>
            <w:pPr>
              <w:pStyle w:val="TableParagraph"/>
              <w:spacing w:before="21"/>
              <w:ind w:left="157" w:right="157"/>
              <w:rPr>
                <w:sz w:val="20"/>
              </w:rPr>
            </w:pPr>
            <w:r>
              <w:rPr>
                <w:sz w:val="20"/>
              </w:rPr>
              <w:t>1.0</w:t>
            </w:r>
          </w:p>
        </w:tc>
      </w:tr>
      <w:tr>
        <w:trPr>
          <w:trHeight w:val="350" w:hRule="exact"/>
        </w:trPr>
        <w:tc>
          <w:tcPr>
            <w:tcW w:w="4518" w:type="dxa"/>
          </w:tcPr>
          <w:p>
            <w:pPr>
              <w:pStyle w:val="TableParagraph"/>
              <w:spacing w:before="55"/>
              <w:ind w:left="103" w:right="130"/>
              <w:jc w:val="left"/>
              <w:rPr>
                <w:b/>
                <w:sz w:val="20"/>
              </w:rPr>
            </w:pPr>
            <w:r>
              <w:rPr>
                <w:b/>
                <w:sz w:val="20"/>
              </w:rPr>
              <w:t>Fabricación de carrocerías y remolques</w:t>
            </w:r>
          </w:p>
        </w:tc>
        <w:tc>
          <w:tcPr>
            <w:tcW w:w="614" w:type="dxa"/>
          </w:tcPr>
          <w:p>
            <w:pPr>
              <w:pStyle w:val="TableParagraph"/>
              <w:spacing w:before="51"/>
              <w:ind w:left="106" w:right="106"/>
              <w:rPr>
                <w:sz w:val="20"/>
              </w:rPr>
            </w:pPr>
            <w:r>
              <w:rPr>
                <w:sz w:val="20"/>
              </w:rPr>
              <w:t>5.2</w:t>
            </w:r>
          </w:p>
        </w:tc>
        <w:tc>
          <w:tcPr>
            <w:tcW w:w="617" w:type="dxa"/>
          </w:tcPr>
          <w:p>
            <w:pPr>
              <w:pStyle w:val="TableParagraph"/>
              <w:spacing w:before="51"/>
              <w:ind w:left="108" w:right="109"/>
              <w:rPr>
                <w:sz w:val="20"/>
              </w:rPr>
            </w:pPr>
            <w:r>
              <w:rPr>
                <w:sz w:val="20"/>
              </w:rPr>
              <w:t>1.1</w:t>
            </w:r>
          </w:p>
        </w:tc>
        <w:tc>
          <w:tcPr>
            <w:tcW w:w="617" w:type="dxa"/>
          </w:tcPr>
          <w:p>
            <w:pPr>
              <w:pStyle w:val="TableParagraph"/>
              <w:spacing w:before="51"/>
              <w:ind w:left="177"/>
              <w:jc w:val="left"/>
              <w:rPr>
                <w:sz w:val="20"/>
              </w:rPr>
            </w:pPr>
            <w:r>
              <w:rPr>
                <w:sz w:val="20"/>
              </w:rPr>
              <w:t>0.4</w:t>
            </w:r>
          </w:p>
        </w:tc>
        <w:tc>
          <w:tcPr>
            <w:tcW w:w="614" w:type="dxa"/>
          </w:tcPr>
          <w:p>
            <w:pPr>
              <w:pStyle w:val="TableParagraph"/>
              <w:spacing w:before="51"/>
              <w:ind w:left="105" w:right="107"/>
              <w:rPr>
                <w:sz w:val="20"/>
              </w:rPr>
            </w:pPr>
            <w:r>
              <w:rPr>
                <w:sz w:val="20"/>
              </w:rPr>
              <w:t>0.7</w:t>
            </w:r>
          </w:p>
        </w:tc>
        <w:tc>
          <w:tcPr>
            <w:tcW w:w="617" w:type="dxa"/>
          </w:tcPr>
          <w:p>
            <w:pPr>
              <w:pStyle w:val="TableParagraph"/>
              <w:spacing w:before="51"/>
              <w:ind w:right="177"/>
              <w:jc w:val="right"/>
              <w:rPr>
                <w:sz w:val="20"/>
              </w:rPr>
            </w:pPr>
            <w:r>
              <w:rPr>
                <w:sz w:val="20"/>
              </w:rPr>
              <w:t>0.5</w:t>
            </w:r>
          </w:p>
        </w:tc>
        <w:tc>
          <w:tcPr>
            <w:tcW w:w="617" w:type="dxa"/>
          </w:tcPr>
          <w:p>
            <w:pPr>
              <w:pStyle w:val="TableParagraph"/>
              <w:spacing w:before="51"/>
              <w:ind w:left="108" w:right="109"/>
              <w:rPr>
                <w:sz w:val="20"/>
              </w:rPr>
            </w:pPr>
            <w:r>
              <w:rPr>
                <w:sz w:val="20"/>
              </w:rPr>
              <w:t>0.9</w:t>
            </w:r>
          </w:p>
        </w:tc>
        <w:tc>
          <w:tcPr>
            <w:tcW w:w="615" w:type="dxa"/>
          </w:tcPr>
          <w:p>
            <w:pPr>
              <w:pStyle w:val="TableParagraph"/>
              <w:spacing w:before="51"/>
              <w:ind w:left="157" w:right="157"/>
              <w:rPr>
                <w:sz w:val="20"/>
              </w:rPr>
            </w:pPr>
            <w:r>
              <w:rPr>
                <w:sz w:val="20"/>
              </w:rPr>
              <w:t>1.2</w:t>
            </w:r>
          </w:p>
        </w:tc>
      </w:tr>
      <w:tr>
        <w:trPr>
          <w:trHeight w:val="470" w:hRule="exact"/>
        </w:trPr>
        <w:tc>
          <w:tcPr>
            <w:tcW w:w="4518" w:type="dxa"/>
          </w:tcPr>
          <w:p>
            <w:pPr>
              <w:pStyle w:val="TableParagraph"/>
              <w:ind w:left="103" w:right="130"/>
              <w:jc w:val="left"/>
              <w:rPr>
                <w:b/>
                <w:sz w:val="20"/>
              </w:rPr>
            </w:pPr>
            <w:r>
              <w:rPr>
                <w:b/>
                <w:sz w:val="20"/>
              </w:rPr>
              <w:t>Fabricación de motores de gasolina y sus partes para vehículos automotrices</w:t>
            </w:r>
          </w:p>
        </w:tc>
        <w:tc>
          <w:tcPr>
            <w:tcW w:w="614" w:type="dxa"/>
          </w:tcPr>
          <w:p>
            <w:pPr>
              <w:pStyle w:val="TableParagraph"/>
              <w:spacing w:before="108"/>
              <w:ind w:left="106" w:right="106"/>
              <w:rPr>
                <w:sz w:val="20"/>
              </w:rPr>
            </w:pPr>
            <w:r>
              <w:rPr>
                <w:sz w:val="20"/>
              </w:rPr>
              <w:t>0.3</w:t>
            </w:r>
          </w:p>
        </w:tc>
        <w:tc>
          <w:tcPr>
            <w:tcW w:w="617" w:type="dxa"/>
          </w:tcPr>
          <w:p>
            <w:pPr>
              <w:pStyle w:val="TableParagraph"/>
              <w:spacing w:before="108"/>
              <w:ind w:left="108" w:right="109"/>
              <w:rPr>
                <w:sz w:val="20"/>
              </w:rPr>
            </w:pPr>
            <w:r>
              <w:rPr>
                <w:sz w:val="20"/>
              </w:rPr>
              <w:t>2.3</w:t>
            </w:r>
          </w:p>
        </w:tc>
        <w:tc>
          <w:tcPr>
            <w:tcW w:w="617" w:type="dxa"/>
          </w:tcPr>
          <w:p>
            <w:pPr>
              <w:pStyle w:val="TableParagraph"/>
              <w:spacing w:before="108"/>
              <w:ind w:left="177"/>
              <w:jc w:val="left"/>
              <w:rPr>
                <w:sz w:val="20"/>
              </w:rPr>
            </w:pPr>
            <w:r>
              <w:rPr>
                <w:sz w:val="20"/>
              </w:rPr>
              <w:t>1.7</w:t>
            </w:r>
          </w:p>
        </w:tc>
        <w:tc>
          <w:tcPr>
            <w:tcW w:w="614" w:type="dxa"/>
          </w:tcPr>
          <w:p>
            <w:pPr>
              <w:pStyle w:val="TableParagraph"/>
              <w:spacing w:before="108"/>
              <w:ind w:left="105" w:right="107"/>
              <w:rPr>
                <w:sz w:val="20"/>
              </w:rPr>
            </w:pPr>
            <w:r>
              <w:rPr>
                <w:sz w:val="20"/>
              </w:rPr>
              <w:t>1.4</w:t>
            </w:r>
          </w:p>
        </w:tc>
        <w:tc>
          <w:tcPr>
            <w:tcW w:w="617" w:type="dxa"/>
          </w:tcPr>
          <w:p>
            <w:pPr>
              <w:pStyle w:val="TableParagraph"/>
              <w:spacing w:before="108"/>
              <w:ind w:right="177"/>
              <w:jc w:val="right"/>
              <w:rPr>
                <w:sz w:val="20"/>
              </w:rPr>
            </w:pPr>
            <w:r>
              <w:rPr>
                <w:sz w:val="20"/>
              </w:rPr>
              <w:t>1.1</w:t>
            </w:r>
          </w:p>
        </w:tc>
        <w:tc>
          <w:tcPr>
            <w:tcW w:w="617" w:type="dxa"/>
          </w:tcPr>
          <w:p>
            <w:pPr>
              <w:pStyle w:val="TableParagraph"/>
              <w:spacing w:before="108"/>
              <w:ind w:left="108" w:right="109"/>
              <w:rPr>
                <w:sz w:val="20"/>
              </w:rPr>
            </w:pPr>
            <w:r>
              <w:rPr>
                <w:sz w:val="20"/>
              </w:rPr>
              <w:t>1.1</w:t>
            </w:r>
          </w:p>
        </w:tc>
        <w:tc>
          <w:tcPr>
            <w:tcW w:w="615" w:type="dxa"/>
          </w:tcPr>
          <w:p>
            <w:pPr>
              <w:pStyle w:val="TableParagraph"/>
              <w:spacing w:before="108"/>
              <w:ind w:left="157" w:right="157"/>
              <w:rPr>
                <w:sz w:val="20"/>
              </w:rPr>
            </w:pPr>
            <w:r>
              <w:rPr>
                <w:sz w:val="20"/>
              </w:rPr>
              <w:t>1.9</w:t>
            </w:r>
          </w:p>
        </w:tc>
      </w:tr>
      <w:tr>
        <w:trPr>
          <w:trHeight w:val="350" w:hRule="exact"/>
        </w:trPr>
        <w:tc>
          <w:tcPr>
            <w:tcW w:w="4518" w:type="dxa"/>
          </w:tcPr>
          <w:p>
            <w:pPr>
              <w:pStyle w:val="TableParagraph"/>
              <w:spacing w:before="53"/>
              <w:ind w:left="103" w:right="130"/>
              <w:jc w:val="left"/>
              <w:rPr>
                <w:b/>
                <w:sz w:val="20"/>
              </w:rPr>
            </w:pPr>
            <w:r>
              <w:rPr>
                <w:b/>
                <w:sz w:val="20"/>
              </w:rPr>
              <w:t>Fabricación de partes de sistemas de transmisión</w:t>
            </w:r>
          </w:p>
        </w:tc>
        <w:tc>
          <w:tcPr>
            <w:tcW w:w="614" w:type="dxa"/>
          </w:tcPr>
          <w:p>
            <w:pPr>
              <w:pStyle w:val="TableParagraph"/>
              <w:spacing w:before="48"/>
              <w:ind w:left="106" w:right="106"/>
              <w:rPr>
                <w:sz w:val="20"/>
              </w:rPr>
            </w:pPr>
            <w:r>
              <w:rPr>
                <w:sz w:val="20"/>
              </w:rPr>
              <w:t>0.4</w:t>
            </w:r>
          </w:p>
        </w:tc>
        <w:tc>
          <w:tcPr>
            <w:tcW w:w="617" w:type="dxa"/>
          </w:tcPr>
          <w:p>
            <w:pPr>
              <w:pStyle w:val="TableParagraph"/>
              <w:spacing w:before="48"/>
              <w:ind w:left="108" w:right="109"/>
              <w:rPr>
                <w:sz w:val="20"/>
              </w:rPr>
            </w:pPr>
            <w:r>
              <w:rPr>
                <w:sz w:val="20"/>
              </w:rPr>
              <w:t>0.0</w:t>
            </w:r>
          </w:p>
        </w:tc>
        <w:tc>
          <w:tcPr>
            <w:tcW w:w="617" w:type="dxa"/>
          </w:tcPr>
          <w:p>
            <w:pPr>
              <w:pStyle w:val="TableParagraph"/>
              <w:spacing w:before="48"/>
              <w:ind w:left="177"/>
              <w:jc w:val="left"/>
              <w:rPr>
                <w:sz w:val="20"/>
              </w:rPr>
            </w:pPr>
            <w:r>
              <w:rPr>
                <w:sz w:val="20"/>
              </w:rPr>
              <w:t>0.0</w:t>
            </w:r>
          </w:p>
        </w:tc>
        <w:tc>
          <w:tcPr>
            <w:tcW w:w="614" w:type="dxa"/>
          </w:tcPr>
          <w:p>
            <w:pPr>
              <w:pStyle w:val="TableParagraph"/>
              <w:spacing w:before="48"/>
              <w:ind w:left="105" w:right="107"/>
              <w:rPr>
                <w:sz w:val="20"/>
              </w:rPr>
            </w:pPr>
            <w:r>
              <w:rPr>
                <w:sz w:val="20"/>
              </w:rPr>
              <w:t>0.8</w:t>
            </w:r>
          </w:p>
        </w:tc>
        <w:tc>
          <w:tcPr>
            <w:tcW w:w="617" w:type="dxa"/>
          </w:tcPr>
          <w:p>
            <w:pPr>
              <w:pStyle w:val="TableParagraph"/>
              <w:spacing w:before="48"/>
              <w:ind w:right="177"/>
              <w:jc w:val="right"/>
              <w:rPr>
                <w:sz w:val="20"/>
              </w:rPr>
            </w:pPr>
            <w:r>
              <w:rPr>
                <w:sz w:val="20"/>
              </w:rPr>
              <w:t>0.0</w:t>
            </w:r>
          </w:p>
        </w:tc>
        <w:tc>
          <w:tcPr>
            <w:tcW w:w="617" w:type="dxa"/>
          </w:tcPr>
          <w:p>
            <w:pPr>
              <w:pStyle w:val="TableParagraph"/>
              <w:spacing w:before="48"/>
              <w:ind w:left="108" w:right="109"/>
              <w:rPr>
                <w:sz w:val="20"/>
              </w:rPr>
            </w:pPr>
            <w:r>
              <w:rPr>
                <w:sz w:val="20"/>
              </w:rPr>
              <w:t>0.2</w:t>
            </w:r>
          </w:p>
        </w:tc>
        <w:tc>
          <w:tcPr>
            <w:tcW w:w="615" w:type="dxa"/>
          </w:tcPr>
          <w:p>
            <w:pPr>
              <w:pStyle w:val="TableParagraph"/>
              <w:spacing w:before="48"/>
              <w:ind w:left="157" w:right="157"/>
              <w:rPr>
                <w:sz w:val="20"/>
              </w:rPr>
            </w:pPr>
            <w:r>
              <w:rPr>
                <w:sz w:val="20"/>
              </w:rPr>
              <w:t>0.9</w:t>
            </w:r>
          </w:p>
        </w:tc>
      </w:tr>
      <w:tr>
        <w:trPr>
          <w:trHeight w:val="470" w:hRule="exact"/>
        </w:trPr>
        <w:tc>
          <w:tcPr>
            <w:tcW w:w="4518" w:type="dxa"/>
          </w:tcPr>
          <w:p>
            <w:pPr>
              <w:pStyle w:val="TableParagraph"/>
              <w:ind w:left="103" w:right="130"/>
              <w:jc w:val="left"/>
              <w:rPr>
                <w:b/>
                <w:sz w:val="20"/>
              </w:rPr>
            </w:pPr>
            <w:r>
              <w:rPr>
                <w:b/>
                <w:sz w:val="20"/>
              </w:rPr>
              <w:t>Fabricación de partes de sistemas de dirección y de suspensión para vehículos automotrices</w:t>
            </w:r>
          </w:p>
        </w:tc>
        <w:tc>
          <w:tcPr>
            <w:tcW w:w="614" w:type="dxa"/>
          </w:tcPr>
          <w:p>
            <w:pPr>
              <w:pStyle w:val="TableParagraph"/>
              <w:spacing w:before="108"/>
              <w:ind w:left="106" w:right="106"/>
              <w:rPr>
                <w:sz w:val="20"/>
              </w:rPr>
            </w:pPr>
            <w:r>
              <w:rPr>
                <w:sz w:val="20"/>
              </w:rPr>
              <w:t>3.7</w:t>
            </w:r>
          </w:p>
        </w:tc>
        <w:tc>
          <w:tcPr>
            <w:tcW w:w="617" w:type="dxa"/>
          </w:tcPr>
          <w:p>
            <w:pPr>
              <w:pStyle w:val="TableParagraph"/>
              <w:spacing w:before="108"/>
              <w:ind w:left="108" w:right="109"/>
              <w:rPr>
                <w:sz w:val="20"/>
              </w:rPr>
            </w:pPr>
            <w:r>
              <w:rPr>
                <w:sz w:val="20"/>
              </w:rPr>
              <w:t>0.9</w:t>
            </w:r>
          </w:p>
        </w:tc>
        <w:tc>
          <w:tcPr>
            <w:tcW w:w="617" w:type="dxa"/>
          </w:tcPr>
          <w:p>
            <w:pPr>
              <w:pStyle w:val="TableParagraph"/>
              <w:spacing w:before="108"/>
              <w:ind w:left="177"/>
              <w:jc w:val="left"/>
              <w:rPr>
                <w:sz w:val="20"/>
              </w:rPr>
            </w:pPr>
            <w:r>
              <w:rPr>
                <w:sz w:val="20"/>
              </w:rPr>
              <w:t>0.8</w:t>
            </w:r>
          </w:p>
        </w:tc>
        <w:tc>
          <w:tcPr>
            <w:tcW w:w="614" w:type="dxa"/>
          </w:tcPr>
          <w:p>
            <w:pPr>
              <w:pStyle w:val="TableParagraph"/>
              <w:spacing w:before="108"/>
              <w:ind w:left="105" w:right="107"/>
              <w:rPr>
                <w:sz w:val="20"/>
              </w:rPr>
            </w:pPr>
            <w:r>
              <w:rPr>
                <w:sz w:val="20"/>
              </w:rPr>
              <w:t>0.5</w:t>
            </w:r>
          </w:p>
        </w:tc>
        <w:tc>
          <w:tcPr>
            <w:tcW w:w="617" w:type="dxa"/>
          </w:tcPr>
          <w:p>
            <w:pPr>
              <w:pStyle w:val="TableParagraph"/>
              <w:spacing w:before="108"/>
              <w:ind w:right="177"/>
              <w:jc w:val="right"/>
              <w:rPr>
                <w:sz w:val="20"/>
              </w:rPr>
            </w:pPr>
            <w:r>
              <w:rPr>
                <w:sz w:val="20"/>
              </w:rPr>
              <w:t>0.9</w:t>
            </w:r>
          </w:p>
        </w:tc>
        <w:tc>
          <w:tcPr>
            <w:tcW w:w="617" w:type="dxa"/>
          </w:tcPr>
          <w:p>
            <w:pPr>
              <w:pStyle w:val="TableParagraph"/>
              <w:spacing w:before="108"/>
              <w:ind w:left="108" w:right="109"/>
              <w:rPr>
                <w:sz w:val="20"/>
              </w:rPr>
            </w:pPr>
            <w:r>
              <w:rPr>
                <w:sz w:val="20"/>
              </w:rPr>
              <w:t>0.6</w:t>
            </w:r>
          </w:p>
        </w:tc>
        <w:tc>
          <w:tcPr>
            <w:tcW w:w="615" w:type="dxa"/>
          </w:tcPr>
          <w:p>
            <w:pPr>
              <w:pStyle w:val="TableParagraph"/>
              <w:spacing w:before="108"/>
              <w:ind w:left="157" w:right="157"/>
              <w:rPr>
                <w:sz w:val="20"/>
              </w:rPr>
            </w:pPr>
            <w:r>
              <w:rPr>
                <w:sz w:val="20"/>
              </w:rPr>
              <w:t>1.3</w:t>
            </w:r>
          </w:p>
        </w:tc>
      </w:tr>
      <w:tr>
        <w:trPr>
          <w:trHeight w:val="470" w:hRule="exact"/>
        </w:trPr>
        <w:tc>
          <w:tcPr>
            <w:tcW w:w="4518" w:type="dxa"/>
          </w:tcPr>
          <w:p>
            <w:pPr>
              <w:pStyle w:val="TableParagraph"/>
              <w:ind w:left="103" w:right="130"/>
              <w:jc w:val="left"/>
              <w:rPr>
                <w:b/>
                <w:sz w:val="20"/>
              </w:rPr>
            </w:pPr>
            <w:r>
              <w:rPr>
                <w:b/>
                <w:sz w:val="20"/>
              </w:rPr>
              <w:t>Fabricación de partes de sistemas de frenos para vehículos automotrices</w:t>
            </w:r>
          </w:p>
        </w:tc>
        <w:tc>
          <w:tcPr>
            <w:tcW w:w="614" w:type="dxa"/>
          </w:tcPr>
          <w:p>
            <w:pPr>
              <w:pStyle w:val="TableParagraph"/>
              <w:spacing w:before="108"/>
              <w:ind w:left="106" w:right="106"/>
              <w:rPr>
                <w:sz w:val="20"/>
              </w:rPr>
            </w:pPr>
            <w:r>
              <w:rPr>
                <w:sz w:val="20"/>
              </w:rPr>
              <w:t>1.1</w:t>
            </w:r>
          </w:p>
        </w:tc>
        <w:tc>
          <w:tcPr>
            <w:tcW w:w="617" w:type="dxa"/>
          </w:tcPr>
          <w:p>
            <w:pPr>
              <w:pStyle w:val="TableParagraph"/>
              <w:spacing w:before="108"/>
              <w:ind w:left="108" w:right="109"/>
              <w:rPr>
                <w:sz w:val="20"/>
              </w:rPr>
            </w:pPr>
            <w:r>
              <w:rPr>
                <w:sz w:val="20"/>
              </w:rPr>
              <w:t>0.7</w:t>
            </w:r>
          </w:p>
        </w:tc>
        <w:tc>
          <w:tcPr>
            <w:tcW w:w="617" w:type="dxa"/>
          </w:tcPr>
          <w:p>
            <w:pPr>
              <w:pStyle w:val="TableParagraph"/>
              <w:spacing w:before="108"/>
              <w:ind w:left="177"/>
              <w:jc w:val="left"/>
              <w:rPr>
                <w:sz w:val="20"/>
              </w:rPr>
            </w:pPr>
            <w:r>
              <w:rPr>
                <w:sz w:val="20"/>
              </w:rPr>
              <w:t>0.0</w:t>
            </w:r>
          </w:p>
        </w:tc>
        <w:tc>
          <w:tcPr>
            <w:tcW w:w="614" w:type="dxa"/>
          </w:tcPr>
          <w:p>
            <w:pPr>
              <w:pStyle w:val="TableParagraph"/>
              <w:spacing w:before="108"/>
              <w:ind w:left="105" w:right="107"/>
              <w:rPr>
                <w:sz w:val="20"/>
              </w:rPr>
            </w:pPr>
            <w:r>
              <w:rPr>
                <w:sz w:val="20"/>
              </w:rPr>
              <w:t>0.6</w:t>
            </w:r>
          </w:p>
        </w:tc>
        <w:tc>
          <w:tcPr>
            <w:tcW w:w="617" w:type="dxa"/>
          </w:tcPr>
          <w:p>
            <w:pPr>
              <w:pStyle w:val="TableParagraph"/>
              <w:spacing w:before="108"/>
              <w:ind w:right="177"/>
              <w:jc w:val="right"/>
              <w:rPr>
                <w:sz w:val="20"/>
              </w:rPr>
            </w:pPr>
            <w:r>
              <w:rPr>
                <w:sz w:val="20"/>
              </w:rPr>
              <w:t>0.5</w:t>
            </w:r>
          </w:p>
        </w:tc>
        <w:tc>
          <w:tcPr>
            <w:tcW w:w="617" w:type="dxa"/>
          </w:tcPr>
          <w:p>
            <w:pPr>
              <w:pStyle w:val="TableParagraph"/>
              <w:spacing w:before="108"/>
              <w:ind w:left="108" w:right="109"/>
              <w:rPr>
                <w:sz w:val="20"/>
              </w:rPr>
            </w:pPr>
            <w:r>
              <w:rPr>
                <w:sz w:val="20"/>
              </w:rPr>
              <w:t>0.3</w:t>
            </w:r>
          </w:p>
        </w:tc>
        <w:tc>
          <w:tcPr>
            <w:tcW w:w="615" w:type="dxa"/>
          </w:tcPr>
          <w:p>
            <w:pPr>
              <w:pStyle w:val="TableParagraph"/>
              <w:spacing w:before="108"/>
              <w:ind w:left="157" w:right="157"/>
              <w:rPr>
                <w:sz w:val="20"/>
              </w:rPr>
            </w:pPr>
            <w:r>
              <w:rPr>
                <w:sz w:val="20"/>
              </w:rPr>
              <w:t>0.8</w:t>
            </w:r>
          </w:p>
        </w:tc>
      </w:tr>
      <w:tr>
        <w:trPr>
          <w:trHeight w:val="468" w:hRule="exact"/>
        </w:trPr>
        <w:tc>
          <w:tcPr>
            <w:tcW w:w="4518" w:type="dxa"/>
          </w:tcPr>
          <w:p>
            <w:pPr>
              <w:pStyle w:val="TableParagraph"/>
              <w:ind w:left="103"/>
              <w:jc w:val="left"/>
              <w:rPr>
                <w:b/>
                <w:sz w:val="20"/>
              </w:rPr>
            </w:pPr>
            <w:r>
              <w:rPr>
                <w:b/>
                <w:sz w:val="20"/>
              </w:rPr>
              <w:t>Fabricación de equipo eléctrico y electrónico para vehículos automotores</w:t>
            </w:r>
          </w:p>
        </w:tc>
        <w:tc>
          <w:tcPr>
            <w:tcW w:w="614" w:type="dxa"/>
          </w:tcPr>
          <w:p>
            <w:pPr>
              <w:pStyle w:val="TableParagraph"/>
              <w:spacing w:before="108"/>
              <w:ind w:left="106" w:right="106"/>
              <w:rPr>
                <w:sz w:val="20"/>
              </w:rPr>
            </w:pPr>
            <w:r>
              <w:rPr>
                <w:sz w:val="20"/>
              </w:rPr>
              <w:t>3.7</w:t>
            </w:r>
          </w:p>
        </w:tc>
        <w:tc>
          <w:tcPr>
            <w:tcW w:w="617" w:type="dxa"/>
          </w:tcPr>
          <w:p>
            <w:pPr>
              <w:pStyle w:val="TableParagraph"/>
              <w:spacing w:before="108"/>
              <w:ind w:left="108" w:right="109"/>
              <w:rPr>
                <w:sz w:val="20"/>
              </w:rPr>
            </w:pPr>
            <w:r>
              <w:rPr>
                <w:sz w:val="20"/>
              </w:rPr>
              <w:t>2.4</w:t>
            </w:r>
          </w:p>
        </w:tc>
        <w:tc>
          <w:tcPr>
            <w:tcW w:w="617" w:type="dxa"/>
          </w:tcPr>
          <w:p>
            <w:pPr>
              <w:pStyle w:val="TableParagraph"/>
              <w:spacing w:before="108"/>
              <w:ind w:left="177"/>
              <w:jc w:val="left"/>
              <w:rPr>
                <w:sz w:val="20"/>
              </w:rPr>
            </w:pPr>
            <w:r>
              <w:rPr>
                <w:sz w:val="20"/>
              </w:rPr>
              <w:t>1.7</w:t>
            </w:r>
          </w:p>
        </w:tc>
        <w:tc>
          <w:tcPr>
            <w:tcW w:w="614" w:type="dxa"/>
          </w:tcPr>
          <w:p>
            <w:pPr>
              <w:pStyle w:val="TableParagraph"/>
              <w:spacing w:before="108"/>
              <w:ind w:left="105" w:right="107"/>
              <w:rPr>
                <w:sz w:val="20"/>
              </w:rPr>
            </w:pPr>
            <w:r>
              <w:rPr>
                <w:sz w:val="20"/>
              </w:rPr>
              <w:t>2.7</w:t>
            </w:r>
          </w:p>
        </w:tc>
        <w:tc>
          <w:tcPr>
            <w:tcW w:w="617" w:type="dxa"/>
          </w:tcPr>
          <w:p>
            <w:pPr>
              <w:pStyle w:val="TableParagraph"/>
              <w:spacing w:before="108"/>
              <w:ind w:right="177"/>
              <w:jc w:val="right"/>
              <w:rPr>
                <w:sz w:val="20"/>
              </w:rPr>
            </w:pPr>
            <w:r>
              <w:rPr>
                <w:sz w:val="20"/>
              </w:rPr>
              <w:t>1.8</w:t>
            </w:r>
          </w:p>
        </w:tc>
        <w:tc>
          <w:tcPr>
            <w:tcW w:w="617" w:type="dxa"/>
          </w:tcPr>
          <w:p>
            <w:pPr>
              <w:pStyle w:val="TableParagraph"/>
              <w:spacing w:before="108"/>
              <w:ind w:left="108" w:right="109"/>
              <w:rPr>
                <w:sz w:val="20"/>
              </w:rPr>
            </w:pPr>
            <w:r>
              <w:rPr>
                <w:sz w:val="20"/>
              </w:rPr>
              <w:t>1.8</w:t>
            </w:r>
          </w:p>
        </w:tc>
        <w:tc>
          <w:tcPr>
            <w:tcW w:w="615" w:type="dxa"/>
          </w:tcPr>
          <w:p>
            <w:pPr>
              <w:pStyle w:val="TableParagraph"/>
              <w:spacing w:before="108"/>
              <w:ind w:left="157" w:right="157"/>
              <w:rPr>
                <w:sz w:val="20"/>
              </w:rPr>
            </w:pPr>
            <w:r>
              <w:rPr>
                <w:sz w:val="20"/>
              </w:rPr>
              <w:t>2.1</w:t>
            </w:r>
          </w:p>
        </w:tc>
      </w:tr>
      <w:tr>
        <w:trPr>
          <w:trHeight w:val="470" w:hRule="exact"/>
        </w:trPr>
        <w:tc>
          <w:tcPr>
            <w:tcW w:w="4518" w:type="dxa"/>
          </w:tcPr>
          <w:p>
            <w:pPr>
              <w:pStyle w:val="TableParagraph"/>
              <w:ind w:left="103" w:right="130"/>
              <w:jc w:val="left"/>
              <w:rPr>
                <w:b/>
                <w:sz w:val="20"/>
              </w:rPr>
            </w:pPr>
            <w:r>
              <w:rPr>
                <w:b/>
                <w:sz w:val="20"/>
              </w:rPr>
              <w:t>Fabricación de otras partes para vehículos automotrices</w:t>
            </w:r>
          </w:p>
        </w:tc>
        <w:tc>
          <w:tcPr>
            <w:tcW w:w="614" w:type="dxa"/>
          </w:tcPr>
          <w:p>
            <w:pPr>
              <w:pStyle w:val="TableParagraph"/>
              <w:spacing w:before="108"/>
              <w:ind w:left="106" w:right="106"/>
              <w:rPr>
                <w:sz w:val="20"/>
              </w:rPr>
            </w:pPr>
            <w:r>
              <w:rPr>
                <w:sz w:val="20"/>
              </w:rPr>
              <w:t>3.4</w:t>
            </w:r>
          </w:p>
        </w:tc>
        <w:tc>
          <w:tcPr>
            <w:tcW w:w="617" w:type="dxa"/>
          </w:tcPr>
          <w:p>
            <w:pPr>
              <w:pStyle w:val="TableParagraph"/>
              <w:spacing w:before="108"/>
              <w:ind w:left="108" w:right="109"/>
              <w:rPr>
                <w:sz w:val="20"/>
              </w:rPr>
            </w:pPr>
            <w:r>
              <w:rPr>
                <w:sz w:val="20"/>
              </w:rPr>
              <w:t>0.7</w:t>
            </w:r>
          </w:p>
        </w:tc>
        <w:tc>
          <w:tcPr>
            <w:tcW w:w="617" w:type="dxa"/>
          </w:tcPr>
          <w:p>
            <w:pPr>
              <w:pStyle w:val="TableParagraph"/>
              <w:spacing w:before="108"/>
              <w:ind w:left="177"/>
              <w:jc w:val="left"/>
              <w:rPr>
                <w:sz w:val="20"/>
              </w:rPr>
            </w:pPr>
            <w:r>
              <w:rPr>
                <w:sz w:val="20"/>
              </w:rPr>
              <w:t>1.3</w:t>
            </w:r>
          </w:p>
        </w:tc>
        <w:tc>
          <w:tcPr>
            <w:tcW w:w="614" w:type="dxa"/>
          </w:tcPr>
          <w:p>
            <w:pPr>
              <w:pStyle w:val="TableParagraph"/>
              <w:spacing w:before="108"/>
              <w:ind w:left="105" w:right="107"/>
              <w:rPr>
                <w:sz w:val="20"/>
              </w:rPr>
            </w:pPr>
            <w:r>
              <w:rPr>
                <w:sz w:val="20"/>
              </w:rPr>
              <w:t>1.4</w:t>
            </w:r>
          </w:p>
        </w:tc>
        <w:tc>
          <w:tcPr>
            <w:tcW w:w="617" w:type="dxa"/>
          </w:tcPr>
          <w:p>
            <w:pPr>
              <w:pStyle w:val="TableParagraph"/>
              <w:spacing w:before="108"/>
              <w:ind w:right="177"/>
              <w:jc w:val="right"/>
              <w:rPr>
                <w:sz w:val="20"/>
              </w:rPr>
            </w:pPr>
            <w:r>
              <w:rPr>
                <w:sz w:val="20"/>
              </w:rPr>
              <w:t>1.0</w:t>
            </w:r>
          </w:p>
        </w:tc>
        <w:tc>
          <w:tcPr>
            <w:tcW w:w="617" w:type="dxa"/>
          </w:tcPr>
          <w:p>
            <w:pPr>
              <w:pStyle w:val="TableParagraph"/>
              <w:spacing w:before="108"/>
              <w:ind w:left="108" w:right="109"/>
              <w:rPr>
                <w:sz w:val="20"/>
              </w:rPr>
            </w:pPr>
            <w:r>
              <w:rPr>
                <w:sz w:val="20"/>
              </w:rPr>
              <w:t>1.1</w:t>
            </w:r>
          </w:p>
        </w:tc>
        <w:tc>
          <w:tcPr>
            <w:tcW w:w="615" w:type="dxa"/>
          </w:tcPr>
          <w:p>
            <w:pPr>
              <w:pStyle w:val="TableParagraph"/>
              <w:spacing w:before="108"/>
              <w:ind w:left="157" w:right="157"/>
              <w:rPr>
                <w:sz w:val="20"/>
              </w:rPr>
            </w:pPr>
            <w:r>
              <w:rPr>
                <w:sz w:val="20"/>
              </w:rPr>
              <w:t>1.8</w:t>
            </w:r>
          </w:p>
        </w:tc>
      </w:tr>
    </w:tbl>
    <w:p>
      <w:pPr>
        <w:spacing w:line="202" w:lineRule="exact" w:before="0"/>
        <w:ind w:left="102" w:right="260" w:firstLine="0"/>
        <w:jc w:val="left"/>
        <w:rPr>
          <w:sz w:val="18"/>
        </w:rPr>
      </w:pPr>
      <w:r>
        <w:rPr>
          <w:sz w:val="18"/>
        </w:rPr>
        <w:t>Fuente: Elaboración propia con datos de INEGI (varios años).</w:t>
      </w:r>
    </w:p>
    <w:p>
      <w:pPr>
        <w:spacing w:after="0" w:line="202" w:lineRule="exact"/>
        <w:jc w:val="left"/>
        <w:rPr>
          <w:sz w:val="18"/>
        </w:rPr>
        <w:sectPr>
          <w:pgSz w:w="12240" w:h="15840"/>
          <w:pgMar w:header="0" w:footer="1035" w:top="1360" w:bottom="1220" w:left="1600" w:right="1040"/>
        </w:sectPr>
      </w:pPr>
    </w:p>
    <w:p>
      <w:pPr>
        <w:pStyle w:val="BodyText"/>
        <w:spacing w:line="360" w:lineRule="auto" w:before="50"/>
        <w:ind w:left="102" w:right="119"/>
        <w:jc w:val="both"/>
      </w:pPr>
      <w:r>
        <w:rPr/>
        <w:t>Lo anterior, deja ver la importancia que ha adquirido la industria automotriz de la región norte y sus entidades federativas en la industria automotriz nacional, además muestra evidencia</w:t>
      </w:r>
      <w:r>
        <w:rPr>
          <w:spacing w:val="-7"/>
        </w:rPr>
        <w:t> </w:t>
      </w:r>
      <w:r>
        <w:rPr/>
        <w:t>en</w:t>
      </w:r>
      <w:r>
        <w:rPr>
          <w:spacing w:val="-9"/>
        </w:rPr>
        <w:t> </w:t>
      </w:r>
      <w:r>
        <w:rPr/>
        <w:t>el</w:t>
      </w:r>
      <w:r>
        <w:rPr>
          <w:spacing w:val="-6"/>
        </w:rPr>
        <w:t> </w:t>
      </w:r>
      <w:r>
        <w:rPr/>
        <w:t>sentido</w:t>
      </w:r>
      <w:r>
        <w:rPr>
          <w:spacing w:val="-9"/>
        </w:rPr>
        <w:t> </w:t>
      </w:r>
      <w:r>
        <w:rPr/>
        <w:t>de</w:t>
      </w:r>
      <w:r>
        <w:rPr>
          <w:spacing w:val="-7"/>
        </w:rPr>
        <w:t> </w:t>
      </w:r>
      <w:r>
        <w:rPr/>
        <w:t>la</w:t>
      </w:r>
      <w:r>
        <w:rPr>
          <w:spacing w:val="-9"/>
        </w:rPr>
        <w:t> </w:t>
      </w:r>
      <w:r>
        <w:rPr/>
        <w:t>importancia</w:t>
      </w:r>
      <w:r>
        <w:rPr>
          <w:spacing w:val="-7"/>
        </w:rPr>
        <w:t> </w:t>
      </w:r>
      <w:r>
        <w:rPr/>
        <w:t>que</w:t>
      </w:r>
      <w:r>
        <w:rPr>
          <w:spacing w:val="-7"/>
        </w:rPr>
        <w:t> </w:t>
      </w:r>
      <w:r>
        <w:rPr/>
        <w:t>ejerce</w:t>
      </w:r>
      <w:r>
        <w:rPr>
          <w:spacing w:val="-7"/>
        </w:rPr>
        <w:t> </w:t>
      </w:r>
      <w:r>
        <w:rPr/>
        <w:t>la</w:t>
      </w:r>
      <w:r>
        <w:rPr>
          <w:spacing w:val="-9"/>
        </w:rPr>
        <w:t> </w:t>
      </w:r>
      <w:r>
        <w:rPr/>
        <w:t>industria</w:t>
      </w:r>
      <w:r>
        <w:rPr>
          <w:spacing w:val="-9"/>
        </w:rPr>
        <w:t> </w:t>
      </w:r>
      <w:r>
        <w:rPr/>
        <w:t>automotriz</w:t>
      </w:r>
      <w:r>
        <w:rPr>
          <w:spacing w:val="-7"/>
        </w:rPr>
        <w:t> </w:t>
      </w:r>
      <w:r>
        <w:rPr/>
        <w:t>de</w:t>
      </w:r>
      <w:r>
        <w:rPr>
          <w:spacing w:val="-10"/>
        </w:rPr>
        <w:t> </w:t>
      </w:r>
      <w:r>
        <w:rPr/>
        <w:t>la</w:t>
      </w:r>
      <w:r>
        <w:rPr>
          <w:spacing w:val="-9"/>
        </w:rPr>
        <w:t> </w:t>
      </w:r>
      <w:r>
        <w:rPr/>
        <w:t>región</w:t>
      </w:r>
      <w:r>
        <w:rPr>
          <w:spacing w:val="-8"/>
        </w:rPr>
        <w:t> </w:t>
      </w:r>
      <w:r>
        <w:rPr/>
        <w:t>norte en la manufactura tanto a nivel regional como nacional, es decir, fue posible comprobar que la industria automotriz ha intensificado el crecimiento de la manufactura de la</w:t>
      </w:r>
      <w:r>
        <w:rPr>
          <w:spacing w:val="-14"/>
        </w:rPr>
        <w:t> </w:t>
      </w:r>
      <w:r>
        <w:rPr/>
        <w:t>región.</w:t>
      </w:r>
    </w:p>
    <w:p>
      <w:pPr>
        <w:pStyle w:val="BodyText"/>
        <w:spacing w:before="4"/>
        <w:rPr>
          <w:sz w:val="21"/>
        </w:rPr>
      </w:pPr>
    </w:p>
    <w:p>
      <w:pPr>
        <w:pStyle w:val="BodyText"/>
        <w:spacing w:line="360" w:lineRule="auto" w:before="1"/>
        <w:ind w:left="102" w:right="114"/>
        <w:jc w:val="both"/>
      </w:pPr>
      <w:r>
        <w:rPr/>
        <w:t>Esto se debe en parte a las ventajas que presentan los estados fronterizos, pues los costos de producción son menores, porque se dispone de mano de obra abundante y barata, con poca experiencia</w:t>
      </w:r>
      <w:r>
        <w:rPr>
          <w:spacing w:val="-10"/>
        </w:rPr>
        <w:t> </w:t>
      </w:r>
      <w:r>
        <w:rPr/>
        <w:t>sindical,</w:t>
      </w:r>
      <w:r>
        <w:rPr>
          <w:spacing w:val="-9"/>
        </w:rPr>
        <w:t> </w:t>
      </w:r>
      <w:r>
        <w:rPr/>
        <w:t>además</w:t>
      </w:r>
      <w:r>
        <w:rPr>
          <w:spacing w:val="-9"/>
        </w:rPr>
        <w:t> </w:t>
      </w:r>
      <w:r>
        <w:rPr/>
        <w:t>de</w:t>
      </w:r>
      <w:r>
        <w:rPr>
          <w:spacing w:val="-10"/>
        </w:rPr>
        <w:t> </w:t>
      </w:r>
      <w:r>
        <w:rPr/>
        <w:t>que</w:t>
      </w:r>
      <w:r>
        <w:rPr>
          <w:spacing w:val="-10"/>
        </w:rPr>
        <w:t> </w:t>
      </w:r>
      <w:r>
        <w:rPr/>
        <w:t>existen</w:t>
      </w:r>
      <w:r>
        <w:rPr>
          <w:spacing w:val="-10"/>
        </w:rPr>
        <w:t> </w:t>
      </w:r>
      <w:r>
        <w:rPr/>
        <w:t>ventajas</w:t>
      </w:r>
      <w:r>
        <w:rPr>
          <w:spacing w:val="-9"/>
        </w:rPr>
        <w:t> </w:t>
      </w:r>
      <w:r>
        <w:rPr/>
        <w:t>en</w:t>
      </w:r>
      <w:r>
        <w:rPr>
          <w:spacing w:val="-10"/>
        </w:rPr>
        <w:t> </w:t>
      </w:r>
      <w:r>
        <w:rPr/>
        <w:t>su</w:t>
      </w:r>
      <w:r>
        <w:rPr>
          <w:spacing w:val="-9"/>
        </w:rPr>
        <w:t> </w:t>
      </w:r>
      <w:r>
        <w:rPr/>
        <w:t>localización</w:t>
      </w:r>
      <w:r>
        <w:rPr>
          <w:spacing w:val="-9"/>
        </w:rPr>
        <w:t> </w:t>
      </w:r>
      <w:r>
        <w:rPr/>
        <w:t>geográfica,</w:t>
      </w:r>
      <w:r>
        <w:rPr>
          <w:spacing w:val="-10"/>
        </w:rPr>
        <w:t> </w:t>
      </w:r>
      <w:r>
        <w:rPr/>
        <w:t>como</w:t>
      </w:r>
      <w:r>
        <w:rPr>
          <w:spacing w:val="-9"/>
        </w:rPr>
        <w:t> </w:t>
      </w:r>
      <w:r>
        <w:rPr/>
        <w:t>son la menor distancia con los Estados Unidos y el menor tiempo y costo de traslado de los productos terminados y otras ventajas que ofrecen los gobiernos estatales y municipales, como la exención de impuestos, la capacitación de mano de obra, etc. (Villarreal y Villegas 2007).</w:t>
      </w:r>
      <w:r>
        <w:rPr>
          <w:spacing w:val="-16"/>
        </w:rPr>
        <w:t> </w:t>
      </w:r>
      <w:r>
        <w:rPr/>
        <w:t>Todo</w:t>
      </w:r>
      <w:r>
        <w:rPr>
          <w:spacing w:val="-16"/>
        </w:rPr>
        <w:t> </w:t>
      </w:r>
      <w:r>
        <w:rPr/>
        <w:t>ello</w:t>
      </w:r>
      <w:r>
        <w:rPr>
          <w:spacing w:val="-16"/>
        </w:rPr>
        <w:t> </w:t>
      </w:r>
      <w:r>
        <w:rPr/>
        <w:t>ha</w:t>
      </w:r>
      <w:r>
        <w:rPr>
          <w:spacing w:val="-17"/>
        </w:rPr>
        <w:t> </w:t>
      </w:r>
      <w:r>
        <w:rPr/>
        <w:t>provocado</w:t>
      </w:r>
      <w:r>
        <w:rPr>
          <w:spacing w:val="-16"/>
        </w:rPr>
        <w:t> </w:t>
      </w:r>
      <w:r>
        <w:rPr/>
        <w:t>la</w:t>
      </w:r>
      <w:r>
        <w:rPr>
          <w:spacing w:val="-16"/>
        </w:rPr>
        <w:t> </w:t>
      </w:r>
      <w:r>
        <w:rPr/>
        <w:t>instalación</w:t>
      </w:r>
      <w:r>
        <w:rPr>
          <w:spacing w:val="-15"/>
        </w:rPr>
        <w:t> </w:t>
      </w:r>
      <w:r>
        <w:rPr/>
        <w:t>de</w:t>
      </w:r>
      <w:r>
        <w:rPr>
          <w:spacing w:val="-17"/>
        </w:rPr>
        <w:t> </w:t>
      </w:r>
      <w:r>
        <w:rPr/>
        <w:t>un</w:t>
      </w:r>
      <w:r>
        <w:rPr>
          <w:spacing w:val="-14"/>
        </w:rPr>
        <w:t> </w:t>
      </w:r>
      <w:r>
        <w:rPr/>
        <w:t>número</w:t>
      </w:r>
      <w:r>
        <w:rPr>
          <w:spacing w:val="-16"/>
        </w:rPr>
        <w:t> </w:t>
      </w:r>
      <w:r>
        <w:rPr/>
        <w:t>importante</w:t>
      </w:r>
      <w:r>
        <w:rPr>
          <w:spacing w:val="-16"/>
        </w:rPr>
        <w:t> </w:t>
      </w:r>
      <w:r>
        <w:rPr/>
        <w:t>de</w:t>
      </w:r>
      <w:r>
        <w:rPr>
          <w:spacing w:val="-14"/>
        </w:rPr>
        <w:t> </w:t>
      </w:r>
      <w:r>
        <w:rPr/>
        <w:t>empresas</w:t>
      </w:r>
      <w:r>
        <w:rPr>
          <w:spacing w:val="-16"/>
        </w:rPr>
        <w:t> </w:t>
      </w:r>
      <w:r>
        <w:rPr/>
        <w:t>dedicadas al sector manufacturero, entre las que destacan las industrias metálicas, y de maquinaria y equipo (Sánchez y Campos,</w:t>
      </w:r>
      <w:r>
        <w:rPr>
          <w:spacing w:val="-4"/>
        </w:rPr>
        <w:t> </w:t>
      </w:r>
      <w:r>
        <w:rPr/>
        <w:t>2010).</w:t>
      </w:r>
    </w:p>
    <w:p>
      <w:pPr>
        <w:pStyle w:val="BodyText"/>
        <w:spacing w:before="2"/>
        <w:rPr>
          <w:sz w:val="21"/>
        </w:rPr>
      </w:pPr>
    </w:p>
    <w:p>
      <w:pPr>
        <w:pStyle w:val="BodyText"/>
        <w:spacing w:line="360" w:lineRule="auto" w:before="1"/>
        <w:ind w:left="102" w:right="119"/>
        <w:jc w:val="both"/>
      </w:pPr>
      <w:r>
        <w:rPr/>
        <w:t>Es importante mencionar que, los resultados antes presentados en cuanto a la región norte son coincidentes con los estudios realizados por Sánchez y Campos (2010) y Vieyra</w:t>
      </w:r>
      <w:r>
        <w:rPr>
          <w:spacing w:val="-14"/>
        </w:rPr>
        <w:t> </w:t>
      </w:r>
      <w:r>
        <w:rPr/>
        <w:t>(2000), quienes mencionan que la región norte a partir de la apertura comercial y un sistema de producción</w:t>
      </w:r>
      <w:r>
        <w:rPr>
          <w:spacing w:val="-9"/>
        </w:rPr>
        <w:t> </w:t>
      </w:r>
      <w:r>
        <w:rPr/>
        <w:t>flexible,</w:t>
      </w:r>
      <w:r>
        <w:rPr>
          <w:spacing w:val="-10"/>
        </w:rPr>
        <w:t> </w:t>
      </w:r>
      <w:r>
        <w:rPr/>
        <w:t>la</w:t>
      </w:r>
      <w:r>
        <w:rPr>
          <w:spacing w:val="-10"/>
        </w:rPr>
        <w:t> </w:t>
      </w:r>
      <w:r>
        <w:rPr/>
        <w:t>actividad</w:t>
      </w:r>
      <w:r>
        <w:rPr>
          <w:spacing w:val="-10"/>
        </w:rPr>
        <w:t> </w:t>
      </w:r>
      <w:r>
        <w:rPr/>
        <w:t>industrial</w:t>
      </w:r>
      <w:r>
        <w:rPr>
          <w:spacing w:val="-9"/>
        </w:rPr>
        <w:t> </w:t>
      </w:r>
      <w:r>
        <w:rPr/>
        <w:t>se</w:t>
      </w:r>
      <w:r>
        <w:rPr>
          <w:spacing w:val="-10"/>
        </w:rPr>
        <w:t> </w:t>
      </w:r>
      <w:r>
        <w:rPr/>
        <w:t>reafirmó</w:t>
      </w:r>
      <w:r>
        <w:rPr>
          <w:spacing w:val="-9"/>
        </w:rPr>
        <w:t> </w:t>
      </w:r>
      <w:r>
        <w:rPr/>
        <w:t>como</w:t>
      </w:r>
      <w:r>
        <w:rPr>
          <w:spacing w:val="-9"/>
        </w:rPr>
        <w:t> </w:t>
      </w:r>
      <w:r>
        <w:rPr/>
        <w:t>la</w:t>
      </w:r>
      <w:r>
        <w:rPr>
          <w:spacing w:val="-10"/>
        </w:rPr>
        <w:t> </w:t>
      </w:r>
      <w:r>
        <w:rPr/>
        <w:t>gran</w:t>
      </w:r>
      <w:r>
        <w:rPr>
          <w:spacing w:val="-10"/>
        </w:rPr>
        <w:t> </w:t>
      </w:r>
      <w:r>
        <w:rPr/>
        <w:t>ganadora,</w:t>
      </w:r>
      <w:r>
        <w:rPr>
          <w:spacing w:val="-10"/>
        </w:rPr>
        <w:t> </w:t>
      </w:r>
      <w:r>
        <w:rPr/>
        <w:t>al</w:t>
      </w:r>
      <w:r>
        <w:rPr>
          <w:spacing w:val="-9"/>
        </w:rPr>
        <w:t> </w:t>
      </w:r>
      <w:r>
        <w:rPr/>
        <w:t>encontrarse en ella más y mejores ventajas</w:t>
      </w:r>
      <w:r>
        <w:rPr>
          <w:spacing w:val="-7"/>
        </w:rPr>
        <w:t> </w:t>
      </w:r>
      <w:r>
        <w:rPr/>
        <w:t>comparativas.</w:t>
      </w:r>
    </w:p>
    <w:p>
      <w:pPr>
        <w:pStyle w:val="BodyText"/>
        <w:spacing w:before="10"/>
        <w:rPr>
          <w:sz w:val="21"/>
        </w:rPr>
      </w:pPr>
    </w:p>
    <w:p>
      <w:pPr>
        <w:pStyle w:val="Heading1"/>
        <w:numPr>
          <w:ilvl w:val="2"/>
          <w:numId w:val="29"/>
        </w:numPr>
        <w:tabs>
          <w:tab w:pos="729" w:val="left" w:leader="none"/>
        </w:tabs>
        <w:spacing w:line="360" w:lineRule="auto" w:before="0" w:after="0"/>
        <w:ind w:left="102" w:right="117" w:firstLine="0"/>
        <w:jc w:val="both"/>
      </w:pPr>
      <w:r>
        <w:rPr/>
        <w:t>Desempeño de la industria automotriz y el sector manufacturero de la Región Centro-Norte</w:t>
      </w:r>
    </w:p>
    <w:p>
      <w:pPr>
        <w:pStyle w:val="BodyText"/>
        <w:rPr>
          <w:b/>
          <w:sz w:val="21"/>
        </w:rPr>
      </w:pPr>
    </w:p>
    <w:p>
      <w:pPr>
        <w:pStyle w:val="BodyText"/>
        <w:spacing w:line="360" w:lineRule="auto"/>
        <w:ind w:left="102" w:right="117"/>
        <w:jc w:val="both"/>
      </w:pPr>
      <w:r>
        <w:rPr/>
        <w:t>Otra</w:t>
      </w:r>
      <w:r>
        <w:rPr>
          <w:spacing w:val="-13"/>
        </w:rPr>
        <w:t> </w:t>
      </w:r>
      <w:r>
        <w:rPr/>
        <w:t>de</w:t>
      </w:r>
      <w:r>
        <w:rPr>
          <w:spacing w:val="-12"/>
        </w:rPr>
        <w:t> </w:t>
      </w:r>
      <w:r>
        <w:rPr/>
        <w:t>las</w:t>
      </w:r>
      <w:r>
        <w:rPr>
          <w:spacing w:val="-11"/>
        </w:rPr>
        <w:t> </w:t>
      </w:r>
      <w:r>
        <w:rPr/>
        <w:t>regiones</w:t>
      </w:r>
      <w:r>
        <w:rPr>
          <w:spacing w:val="-11"/>
        </w:rPr>
        <w:t> </w:t>
      </w:r>
      <w:r>
        <w:rPr/>
        <w:t>en</w:t>
      </w:r>
      <w:r>
        <w:rPr>
          <w:spacing w:val="-11"/>
        </w:rPr>
        <w:t> </w:t>
      </w:r>
      <w:r>
        <w:rPr/>
        <w:t>las</w:t>
      </w:r>
      <w:r>
        <w:rPr>
          <w:spacing w:val="-11"/>
        </w:rPr>
        <w:t> </w:t>
      </w:r>
      <w:r>
        <w:rPr/>
        <w:t>que</w:t>
      </w:r>
      <w:r>
        <w:rPr>
          <w:spacing w:val="-12"/>
        </w:rPr>
        <w:t> </w:t>
      </w:r>
      <w:r>
        <w:rPr/>
        <w:t>el</w:t>
      </w:r>
      <w:r>
        <w:rPr>
          <w:spacing w:val="-11"/>
        </w:rPr>
        <w:t> </w:t>
      </w:r>
      <w:r>
        <w:rPr/>
        <w:t>sector</w:t>
      </w:r>
      <w:r>
        <w:rPr>
          <w:spacing w:val="-11"/>
        </w:rPr>
        <w:t> </w:t>
      </w:r>
      <w:r>
        <w:rPr/>
        <w:t>automotriz</w:t>
      </w:r>
      <w:r>
        <w:rPr>
          <w:spacing w:val="-10"/>
        </w:rPr>
        <w:t> </w:t>
      </w:r>
      <w:r>
        <w:rPr/>
        <w:t>ha</w:t>
      </w:r>
      <w:r>
        <w:rPr>
          <w:spacing w:val="-12"/>
        </w:rPr>
        <w:t> </w:t>
      </w:r>
      <w:r>
        <w:rPr/>
        <w:t>tenido</w:t>
      </w:r>
      <w:r>
        <w:rPr>
          <w:spacing w:val="-11"/>
        </w:rPr>
        <w:t> </w:t>
      </w:r>
      <w:r>
        <w:rPr/>
        <w:t>un</w:t>
      </w:r>
      <w:r>
        <w:rPr>
          <w:spacing w:val="-11"/>
        </w:rPr>
        <w:t> </w:t>
      </w:r>
      <w:r>
        <w:rPr/>
        <w:t>crecimiento</w:t>
      </w:r>
      <w:r>
        <w:rPr>
          <w:spacing w:val="-11"/>
        </w:rPr>
        <w:t> </w:t>
      </w:r>
      <w:r>
        <w:rPr/>
        <w:t>muy</w:t>
      </w:r>
      <w:r>
        <w:rPr>
          <w:spacing w:val="-16"/>
        </w:rPr>
        <w:t> </w:t>
      </w:r>
      <w:r>
        <w:rPr/>
        <w:t>importante, sobre</w:t>
      </w:r>
      <w:r>
        <w:rPr>
          <w:spacing w:val="-10"/>
        </w:rPr>
        <w:t> </w:t>
      </w:r>
      <w:r>
        <w:rPr/>
        <w:t>todo</w:t>
      </w:r>
      <w:r>
        <w:rPr>
          <w:spacing w:val="-8"/>
        </w:rPr>
        <w:t> </w:t>
      </w:r>
      <w:r>
        <w:rPr/>
        <w:t>en</w:t>
      </w:r>
      <w:r>
        <w:rPr>
          <w:spacing w:val="-7"/>
        </w:rPr>
        <w:t> </w:t>
      </w:r>
      <w:r>
        <w:rPr/>
        <w:t>los</w:t>
      </w:r>
      <w:r>
        <w:rPr>
          <w:spacing w:val="-8"/>
        </w:rPr>
        <w:t> </w:t>
      </w:r>
      <w:r>
        <w:rPr/>
        <w:t>años</w:t>
      </w:r>
      <w:r>
        <w:rPr>
          <w:spacing w:val="-8"/>
        </w:rPr>
        <w:t> </w:t>
      </w:r>
      <w:r>
        <w:rPr/>
        <w:t>más</w:t>
      </w:r>
      <w:r>
        <w:rPr>
          <w:spacing w:val="-8"/>
        </w:rPr>
        <w:t> </w:t>
      </w:r>
      <w:r>
        <w:rPr/>
        <w:t>recientes,</w:t>
      </w:r>
      <w:r>
        <w:rPr>
          <w:spacing w:val="-8"/>
        </w:rPr>
        <w:t> </w:t>
      </w:r>
      <w:r>
        <w:rPr/>
        <w:t>es</w:t>
      </w:r>
      <w:r>
        <w:rPr>
          <w:spacing w:val="-8"/>
        </w:rPr>
        <w:t> </w:t>
      </w:r>
      <w:r>
        <w:rPr/>
        <w:t>la</w:t>
      </w:r>
      <w:r>
        <w:rPr>
          <w:spacing w:val="-7"/>
        </w:rPr>
        <w:t> </w:t>
      </w:r>
      <w:r>
        <w:rPr/>
        <w:t>centro-norte,</w:t>
      </w:r>
      <w:r>
        <w:rPr>
          <w:spacing w:val="-9"/>
        </w:rPr>
        <w:t> </w:t>
      </w:r>
      <w:r>
        <w:rPr/>
        <w:t>la</w:t>
      </w:r>
      <w:r>
        <w:rPr>
          <w:spacing w:val="-9"/>
        </w:rPr>
        <w:t> </w:t>
      </w:r>
      <w:r>
        <w:rPr/>
        <w:t>importancia</w:t>
      </w:r>
      <w:r>
        <w:rPr>
          <w:spacing w:val="-9"/>
        </w:rPr>
        <w:t> </w:t>
      </w:r>
      <w:r>
        <w:rPr/>
        <w:t>industrial</w:t>
      </w:r>
      <w:r>
        <w:rPr>
          <w:spacing w:val="-8"/>
        </w:rPr>
        <w:t> </w:t>
      </w:r>
      <w:r>
        <w:rPr/>
        <w:t>que</w:t>
      </w:r>
      <w:r>
        <w:rPr>
          <w:spacing w:val="-10"/>
        </w:rPr>
        <w:t> </w:t>
      </w:r>
      <w:r>
        <w:rPr/>
        <w:t>en</w:t>
      </w:r>
      <w:r>
        <w:rPr>
          <w:spacing w:val="-7"/>
        </w:rPr>
        <w:t> </w:t>
      </w:r>
      <w:r>
        <w:rPr/>
        <w:t>años recientes han adquirido los estados de esta región del país (Guanajuato, San Luis Potosí y Querétaro),</w:t>
      </w:r>
      <w:r>
        <w:rPr>
          <w:spacing w:val="-5"/>
        </w:rPr>
        <w:t> </w:t>
      </w:r>
      <w:r>
        <w:rPr/>
        <w:t>permite</w:t>
      </w:r>
      <w:r>
        <w:rPr>
          <w:spacing w:val="-5"/>
        </w:rPr>
        <w:t> </w:t>
      </w:r>
      <w:r>
        <w:rPr/>
        <w:t>considerarlos</w:t>
      </w:r>
      <w:r>
        <w:rPr>
          <w:spacing w:val="-5"/>
        </w:rPr>
        <w:t> </w:t>
      </w:r>
      <w:r>
        <w:rPr/>
        <w:t>como</w:t>
      </w:r>
      <w:r>
        <w:rPr>
          <w:spacing w:val="-7"/>
        </w:rPr>
        <w:t> </w:t>
      </w:r>
      <w:r>
        <w:rPr/>
        <w:t>potenciales</w:t>
      </w:r>
      <w:r>
        <w:rPr>
          <w:spacing w:val="-7"/>
        </w:rPr>
        <w:t> </w:t>
      </w:r>
      <w:r>
        <w:rPr/>
        <w:t>polos</w:t>
      </w:r>
      <w:r>
        <w:rPr>
          <w:spacing w:val="-7"/>
        </w:rPr>
        <w:t> </w:t>
      </w:r>
      <w:r>
        <w:rPr/>
        <w:t>de</w:t>
      </w:r>
      <w:r>
        <w:rPr>
          <w:spacing w:val="-8"/>
        </w:rPr>
        <w:t> </w:t>
      </w:r>
      <w:r>
        <w:rPr/>
        <w:t>desarrollo</w:t>
      </w:r>
      <w:r>
        <w:rPr>
          <w:spacing w:val="-7"/>
        </w:rPr>
        <w:t> </w:t>
      </w:r>
      <w:r>
        <w:rPr/>
        <w:t>para</w:t>
      </w:r>
      <w:r>
        <w:rPr>
          <w:spacing w:val="-6"/>
        </w:rPr>
        <w:t> </w:t>
      </w:r>
      <w:r>
        <w:rPr/>
        <w:t>la</w:t>
      </w:r>
      <w:r>
        <w:rPr>
          <w:spacing w:val="-8"/>
        </w:rPr>
        <w:t> </w:t>
      </w:r>
      <w:r>
        <w:rPr/>
        <w:t>manufactura.</w:t>
      </w:r>
    </w:p>
    <w:p>
      <w:pPr>
        <w:pStyle w:val="BodyText"/>
        <w:spacing w:before="5"/>
        <w:rPr>
          <w:sz w:val="21"/>
        </w:rPr>
      </w:pPr>
    </w:p>
    <w:p>
      <w:pPr>
        <w:pStyle w:val="BodyText"/>
        <w:spacing w:line="360" w:lineRule="auto"/>
        <w:ind w:left="102" w:right="118"/>
        <w:jc w:val="both"/>
      </w:pPr>
      <w:r>
        <w:rPr/>
        <w:t>A partir de los años setenta y principios de los ochenta empezaron a establecerse empresas proveedoras de autopartes en los corredores Querétaro-Celaya, San Luis Potosí y Aguascalientes</w:t>
      </w:r>
      <w:r>
        <w:rPr>
          <w:spacing w:val="-5"/>
        </w:rPr>
        <w:t> </w:t>
      </w:r>
      <w:r>
        <w:rPr/>
        <w:t>(Bueno,</w:t>
      </w:r>
      <w:r>
        <w:rPr>
          <w:spacing w:val="-7"/>
        </w:rPr>
        <w:t> </w:t>
      </w:r>
      <w:r>
        <w:rPr/>
        <w:t>2008).</w:t>
      </w:r>
      <w:r>
        <w:rPr>
          <w:spacing w:val="-7"/>
        </w:rPr>
        <w:t> </w:t>
      </w:r>
      <w:r>
        <w:rPr/>
        <w:t>Sin</w:t>
      </w:r>
      <w:r>
        <w:rPr>
          <w:spacing w:val="-7"/>
        </w:rPr>
        <w:t> </w:t>
      </w:r>
      <w:r>
        <w:rPr/>
        <w:t>embargo</w:t>
      </w:r>
      <w:r>
        <w:rPr>
          <w:spacing w:val="-7"/>
        </w:rPr>
        <w:t> </w:t>
      </w:r>
      <w:r>
        <w:rPr/>
        <w:t>es</w:t>
      </w:r>
      <w:r>
        <w:rPr>
          <w:spacing w:val="-7"/>
        </w:rPr>
        <w:t> </w:t>
      </w:r>
      <w:r>
        <w:rPr/>
        <w:t>hasta</w:t>
      </w:r>
      <w:r>
        <w:rPr>
          <w:spacing w:val="-8"/>
        </w:rPr>
        <w:t> </w:t>
      </w:r>
      <w:r>
        <w:rPr/>
        <w:t>1995,</w:t>
      </w:r>
      <w:r>
        <w:rPr>
          <w:spacing w:val="-7"/>
        </w:rPr>
        <w:t> </w:t>
      </w:r>
      <w:r>
        <w:rPr/>
        <w:t>con</w:t>
      </w:r>
      <w:r>
        <w:rPr>
          <w:spacing w:val="-7"/>
        </w:rPr>
        <w:t> </w:t>
      </w:r>
      <w:r>
        <w:rPr/>
        <w:t>el</w:t>
      </w:r>
      <w:r>
        <w:rPr>
          <w:spacing w:val="-7"/>
        </w:rPr>
        <w:t> </w:t>
      </w:r>
      <w:r>
        <w:rPr/>
        <w:t>inicio</w:t>
      </w:r>
      <w:r>
        <w:rPr>
          <w:spacing w:val="-7"/>
        </w:rPr>
        <w:t> </w:t>
      </w:r>
      <w:r>
        <w:rPr/>
        <w:t>de</w:t>
      </w:r>
      <w:r>
        <w:rPr>
          <w:spacing w:val="-8"/>
        </w:rPr>
        <w:t> </w:t>
      </w:r>
      <w:r>
        <w:rPr/>
        <w:t>operaciones</w:t>
      </w:r>
      <w:r>
        <w:rPr>
          <w:spacing w:val="-7"/>
        </w:rPr>
        <w:t> </w:t>
      </w:r>
      <w:r>
        <w:rPr/>
        <w:t>de</w:t>
      </w:r>
      <w:r>
        <w:rPr>
          <w:spacing w:val="-8"/>
        </w:rPr>
        <w:t> </w:t>
      </w:r>
      <w:r>
        <w:rPr/>
        <w:t>la</w:t>
      </w:r>
    </w:p>
    <w:p>
      <w:pPr>
        <w:spacing w:after="0" w:line="360" w:lineRule="auto"/>
        <w:jc w:val="both"/>
        <w:sectPr>
          <w:pgSz w:w="12240" w:h="15840"/>
          <w:pgMar w:header="0" w:footer="1035" w:top="1360" w:bottom="1220" w:left="1600" w:right="1580"/>
        </w:sectPr>
      </w:pPr>
    </w:p>
    <w:p>
      <w:pPr>
        <w:pStyle w:val="BodyText"/>
        <w:spacing w:line="360" w:lineRule="auto" w:before="50"/>
        <w:ind w:left="102" w:right="116"/>
        <w:jc w:val="both"/>
      </w:pPr>
      <w:r>
        <w:rPr/>
        <w:t>ensambladora</w:t>
      </w:r>
      <w:r>
        <w:rPr>
          <w:spacing w:val="-11"/>
        </w:rPr>
        <w:t> </w:t>
      </w:r>
      <w:r>
        <w:rPr/>
        <w:t>de</w:t>
      </w:r>
      <w:r>
        <w:rPr>
          <w:spacing w:val="-12"/>
        </w:rPr>
        <w:t> </w:t>
      </w:r>
      <w:r>
        <w:rPr/>
        <w:t>General</w:t>
      </w:r>
      <w:r>
        <w:rPr>
          <w:spacing w:val="-8"/>
        </w:rPr>
        <w:t> </w:t>
      </w:r>
      <w:r>
        <w:rPr/>
        <w:t>Motors</w:t>
      </w:r>
      <w:r>
        <w:rPr>
          <w:spacing w:val="-12"/>
        </w:rPr>
        <w:t> </w:t>
      </w:r>
      <w:r>
        <w:rPr/>
        <w:t>en</w:t>
      </w:r>
      <w:r>
        <w:rPr>
          <w:spacing w:val="-11"/>
        </w:rPr>
        <w:t> </w:t>
      </w:r>
      <w:r>
        <w:rPr/>
        <w:t>Silao,</w:t>
      </w:r>
      <w:r>
        <w:rPr>
          <w:spacing w:val="-11"/>
        </w:rPr>
        <w:t> </w:t>
      </w:r>
      <w:r>
        <w:rPr/>
        <w:t>Guanajuato,</w:t>
      </w:r>
      <w:r>
        <w:rPr>
          <w:spacing w:val="-11"/>
        </w:rPr>
        <w:t> </w:t>
      </w:r>
      <w:r>
        <w:rPr/>
        <w:t>que</w:t>
      </w:r>
      <w:r>
        <w:rPr>
          <w:spacing w:val="-12"/>
        </w:rPr>
        <w:t> </w:t>
      </w:r>
      <w:r>
        <w:rPr/>
        <w:t>la</w:t>
      </w:r>
      <w:r>
        <w:rPr>
          <w:spacing w:val="-9"/>
        </w:rPr>
        <w:t> </w:t>
      </w:r>
      <w:r>
        <w:rPr/>
        <w:t>industria</w:t>
      </w:r>
      <w:r>
        <w:rPr>
          <w:spacing w:val="-12"/>
        </w:rPr>
        <w:t> </w:t>
      </w:r>
      <w:r>
        <w:rPr/>
        <w:t>automotriz</w:t>
      </w:r>
      <w:r>
        <w:rPr>
          <w:spacing w:val="-10"/>
        </w:rPr>
        <w:t> </w:t>
      </w:r>
      <w:r>
        <w:rPr/>
        <w:t>comienza a tener un papel importante en la región, pues la instalación de dicha planta trajo consigo, que empresas proveedoras de autopartes se instalaran también en la región, con lo que a su vez requirió de otro tipo de industrias como la del hule, plástico, acero, etc., generando así un efecto dinamizador en las manufacturas de la</w:t>
      </w:r>
      <w:r>
        <w:rPr>
          <w:spacing w:val="-8"/>
        </w:rPr>
        <w:t> </w:t>
      </w:r>
      <w:r>
        <w:rPr/>
        <w:t>región.</w:t>
      </w:r>
    </w:p>
    <w:p>
      <w:pPr>
        <w:pStyle w:val="BodyText"/>
        <w:spacing w:before="4"/>
        <w:rPr>
          <w:sz w:val="21"/>
        </w:rPr>
      </w:pPr>
    </w:p>
    <w:p>
      <w:pPr>
        <w:pStyle w:val="BodyText"/>
        <w:spacing w:line="360" w:lineRule="auto" w:before="1"/>
        <w:ind w:left="102" w:right="119"/>
        <w:jc w:val="both"/>
      </w:pPr>
      <w:r>
        <w:rPr/>
        <w:t>En el cuadro 4.21, se observa que el sector manufacturero de la región centro-norte ha aumentado su participación en la manufactura nacional. Puntualmente en cuanto a unidades económica, en 1980 representaba el 7.9% y para 2008, representó el 8.5% del sector manufacturero nacional. Con ello generó más empleos, por lo que el personal ocupado en 2008</w:t>
      </w:r>
      <w:r>
        <w:rPr>
          <w:spacing w:val="-13"/>
        </w:rPr>
        <w:t> </w:t>
      </w:r>
      <w:r>
        <w:rPr/>
        <w:t>tuvo</w:t>
      </w:r>
      <w:r>
        <w:rPr>
          <w:spacing w:val="-13"/>
        </w:rPr>
        <w:t> </w:t>
      </w:r>
      <w:r>
        <w:rPr/>
        <w:t>una</w:t>
      </w:r>
      <w:r>
        <w:rPr>
          <w:spacing w:val="-14"/>
        </w:rPr>
        <w:t> </w:t>
      </w:r>
      <w:r>
        <w:rPr/>
        <w:t>participación</w:t>
      </w:r>
      <w:r>
        <w:rPr>
          <w:spacing w:val="-13"/>
        </w:rPr>
        <w:t> </w:t>
      </w:r>
      <w:r>
        <w:rPr/>
        <w:t>de</w:t>
      </w:r>
      <w:r>
        <w:rPr>
          <w:spacing w:val="-14"/>
        </w:rPr>
        <w:t> </w:t>
      </w:r>
      <w:r>
        <w:rPr/>
        <w:t>10.7%,</w:t>
      </w:r>
      <w:r>
        <w:rPr>
          <w:spacing w:val="-9"/>
        </w:rPr>
        <w:t> </w:t>
      </w:r>
      <w:r>
        <w:rPr/>
        <w:t>y</w:t>
      </w:r>
      <w:r>
        <w:rPr>
          <w:spacing w:val="-18"/>
        </w:rPr>
        <w:t> </w:t>
      </w:r>
      <w:r>
        <w:rPr/>
        <w:t>la</w:t>
      </w:r>
      <w:r>
        <w:rPr>
          <w:spacing w:val="-14"/>
        </w:rPr>
        <w:t> </w:t>
      </w:r>
      <w:r>
        <w:rPr/>
        <w:t>producción</w:t>
      </w:r>
      <w:r>
        <w:rPr>
          <w:spacing w:val="-13"/>
        </w:rPr>
        <w:t> </w:t>
      </w:r>
      <w:r>
        <w:rPr/>
        <w:t>bruta</w:t>
      </w:r>
      <w:r>
        <w:rPr>
          <w:spacing w:val="-15"/>
        </w:rPr>
        <w:t> </w:t>
      </w:r>
      <w:r>
        <w:rPr/>
        <w:t>total</w:t>
      </w:r>
      <w:r>
        <w:rPr>
          <w:spacing w:val="-13"/>
        </w:rPr>
        <w:t> </w:t>
      </w:r>
      <w:r>
        <w:rPr/>
        <w:t>pasó</w:t>
      </w:r>
      <w:r>
        <w:rPr>
          <w:spacing w:val="-13"/>
        </w:rPr>
        <w:t> </w:t>
      </w:r>
      <w:r>
        <w:rPr/>
        <w:t>de</w:t>
      </w:r>
      <w:r>
        <w:rPr>
          <w:spacing w:val="-14"/>
        </w:rPr>
        <w:t> </w:t>
      </w:r>
      <w:r>
        <w:rPr/>
        <w:t>representar</w:t>
      </w:r>
      <w:r>
        <w:rPr>
          <w:spacing w:val="-12"/>
        </w:rPr>
        <w:t> </w:t>
      </w:r>
      <w:r>
        <w:rPr/>
        <w:t>el</w:t>
      </w:r>
      <w:r>
        <w:rPr>
          <w:spacing w:val="-13"/>
        </w:rPr>
        <w:t> </w:t>
      </w:r>
      <w:r>
        <w:rPr/>
        <w:t>5.1% en 1980 a 12.0% en 2008, mientras tanto el valor agregado censal bruto tuvo un cambio importante, pues la región pasó de concentrar el 3.9% a concentrar el 11% del total de la manufactura</w:t>
      </w:r>
      <w:r>
        <w:rPr>
          <w:spacing w:val="-4"/>
        </w:rPr>
        <w:t> </w:t>
      </w:r>
      <w:r>
        <w:rPr/>
        <w:t>nacional.</w:t>
      </w:r>
    </w:p>
    <w:p>
      <w:pPr>
        <w:pStyle w:val="BodyText"/>
        <w:spacing w:before="10"/>
        <w:rPr>
          <w:sz w:val="21"/>
        </w:rPr>
      </w:pPr>
    </w:p>
    <w:p>
      <w:pPr>
        <w:pStyle w:val="Heading1"/>
        <w:spacing w:line="360" w:lineRule="auto" w:after="48"/>
        <w:ind w:left="157" w:right="157" w:hanging="17"/>
        <w:jc w:val="both"/>
      </w:pPr>
      <w:r>
        <w:rPr/>
        <w:t>Cuadro 4.21. Participación porcentual del sector manufacturero de la Región Centro- Norte en el total de la manufactura nacional, 1980 y 2008 (principales características)</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9"/>
        <w:gridCol w:w="1037"/>
        <w:gridCol w:w="890"/>
        <w:gridCol w:w="890"/>
        <w:gridCol w:w="1116"/>
        <w:gridCol w:w="1116"/>
        <w:gridCol w:w="1371"/>
        <w:gridCol w:w="1368"/>
      </w:tblGrid>
      <w:tr>
        <w:trPr>
          <w:trHeight w:val="503" w:hRule="exact"/>
        </w:trPr>
        <w:tc>
          <w:tcPr>
            <w:tcW w:w="2077" w:type="dxa"/>
            <w:gridSpan w:val="2"/>
            <w:shd w:val="clear" w:color="auto" w:fill="A6A6A6"/>
          </w:tcPr>
          <w:p>
            <w:pPr>
              <w:pStyle w:val="TableParagraph"/>
              <w:ind w:left="520" w:firstLine="112"/>
              <w:jc w:val="left"/>
              <w:rPr>
                <w:b/>
                <w:sz w:val="20"/>
              </w:rPr>
            </w:pPr>
            <w:r>
              <w:rPr>
                <w:b/>
                <w:sz w:val="20"/>
              </w:rPr>
              <w:t>Unidades </w:t>
            </w:r>
            <w:r>
              <w:rPr>
                <w:b/>
                <w:w w:val="95"/>
                <w:sz w:val="20"/>
              </w:rPr>
              <w:t>Económicas</w:t>
            </w:r>
          </w:p>
        </w:tc>
        <w:tc>
          <w:tcPr>
            <w:tcW w:w="1781" w:type="dxa"/>
            <w:gridSpan w:val="2"/>
            <w:shd w:val="clear" w:color="auto" w:fill="A6A6A6"/>
          </w:tcPr>
          <w:p>
            <w:pPr>
              <w:pStyle w:val="TableParagraph"/>
              <w:ind w:left="496" w:right="477" w:firstLine="16"/>
              <w:jc w:val="left"/>
              <w:rPr>
                <w:b/>
                <w:sz w:val="20"/>
              </w:rPr>
            </w:pPr>
            <w:r>
              <w:rPr>
                <w:b/>
                <w:sz w:val="20"/>
              </w:rPr>
              <w:t>Personal Ocupado</w:t>
            </w:r>
          </w:p>
        </w:tc>
        <w:tc>
          <w:tcPr>
            <w:tcW w:w="2232" w:type="dxa"/>
            <w:gridSpan w:val="2"/>
            <w:shd w:val="clear" w:color="auto" w:fill="A6A6A6"/>
          </w:tcPr>
          <w:p>
            <w:pPr>
              <w:pStyle w:val="TableParagraph"/>
              <w:ind w:left="883" w:right="328" w:hanging="536"/>
              <w:jc w:val="left"/>
              <w:rPr>
                <w:b/>
                <w:sz w:val="20"/>
              </w:rPr>
            </w:pPr>
            <w:r>
              <w:rPr>
                <w:b/>
                <w:sz w:val="20"/>
              </w:rPr>
              <w:t>Producción Bruta Total</w:t>
            </w:r>
          </w:p>
        </w:tc>
        <w:tc>
          <w:tcPr>
            <w:tcW w:w="2739" w:type="dxa"/>
            <w:gridSpan w:val="2"/>
            <w:shd w:val="clear" w:color="auto" w:fill="A6A6A6"/>
          </w:tcPr>
          <w:p>
            <w:pPr>
              <w:pStyle w:val="TableParagraph"/>
              <w:ind w:left="1114" w:right="348" w:hanging="752"/>
              <w:jc w:val="left"/>
              <w:rPr>
                <w:b/>
                <w:sz w:val="20"/>
              </w:rPr>
            </w:pPr>
            <w:r>
              <w:rPr>
                <w:b/>
                <w:sz w:val="20"/>
              </w:rPr>
              <w:t>Valor Agregado Censal Bruto</w:t>
            </w:r>
          </w:p>
        </w:tc>
      </w:tr>
      <w:tr>
        <w:trPr>
          <w:trHeight w:val="311" w:hRule="exact"/>
        </w:trPr>
        <w:tc>
          <w:tcPr>
            <w:tcW w:w="1039" w:type="dxa"/>
            <w:shd w:val="clear" w:color="auto" w:fill="E1EED9"/>
          </w:tcPr>
          <w:p>
            <w:pPr>
              <w:pStyle w:val="TableParagraph"/>
              <w:spacing w:before="33"/>
              <w:ind w:left="295" w:right="293"/>
              <w:rPr>
                <w:b/>
                <w:sz w:val="20"/>
              </w:rPr>
            </w:pPr>
            <w:r>
              <w:rPr>
                <w:b/>
                <w:sz w:val="20"/>
              </w:rPr>
              <w:t>1980</w:t>
            </w:r>
          </w:p>
        </w:tc>
        <w:tc>
          <w:tcPr>
            <w:tcW w:w="1037" w:type="dxa"/>
            <w:shd w:val="clear" w:color="auto" w:fill="E1EED9"/>
          </w:tcPr>
          <w:p>
            <w:pPr>
              <w:pStyle w:val="TableParagraph"/>
              <w:spacing w:before="33"/>
              <w:ind w:left="293" w:right="293"/>
              <w:rPr>
                <w:b/>
                <w:sz w:val="20"/>
              </w:rPr>
            </w:pPr>
            <w:r>
              <w:rPr>
                <w:b/>
                <w:sz w:val="20"/>
              </w:rPr>
              <w:t>2008</w:t>
            </w:r>
          </w:p>
        </w:tc>
        <w:tc>
          <w:tcPr>
            <w:tcW w:w="890" w:type="dxa"/>
            <w:shd w:val="clear" w:color="auto" w:fill="E1EED9"/>
          </w:tcPr>
          <w:p>
            <w:pPr>
              <w:pStyle w:val="TableParagraph"/>
              <w:spacing w:before="33"/>
              <w:ind w:left="220" w:right="218"/>
              <w:rPr>
                <w:b/>
                <w:sz w:val="20"/>
              </w:rPr>
            </w:pPr>
            <w:r>
              <w:rPr>
                <w:b/>
                <w:sz w:val="20"/>
              </w:rPr>
              <w:t>1980</w:t>
            </w:r>
          </w:p>
        </w:tc>
        <w:tc>
          <w:tcPr>
            <w:tcW w:w="890" w:type="dxa"/>
            <w:shd w:val="clear" w:color="auto" w:fill="E1EED9"/>
          </w:tcPr>
          <w:p>
            <w:pPr>
              <w:pStyle w:val="TableParagraph"/>
              <w:spacing w:before="33"/>
              <w:ind w:left="239"/>
              <w:jc w:val="left"/>
              <w:rPr>
                <w:b/>
                <w:sz w:val="20"/>
              </w:rPr>
            </w:pPr>
            <w:r>
              <w:rPr>
                <w:b/>
                <w:sz w:val="20"/>
              </w:rPr>
              <w:t>2008</w:t>
            </w:r>
          </w:p>
        </w:tc>
        <w:tc>
          <w:tcPr>
            <w:tcW w:w="1116" w:type="dxa"/>
            <w:shd w:val="clear" w:color="auto" w:fill="E1EED9"/>
          </w:tcPr>
          <w:p>
            <w:pPr>
              <w:pStyle w:val="TableParagraph"/>
              <w:spacing w:before="33"/>
              <w:ind w:left="353"/>
              <w:jc w:val="left"/>
              <w:rPr>
                <w:b/>
                <w:sz w:val="20"/>
              </w:rPr>
            </w:pPr>
            <w:r>
              <w:rPr>
                <w:b/>
                <w:sz w:val="20"/>
              </w:rPr>
              <w:t>1980</w:t>
            </w:r>
          </w:p>
        </w:tc>
        <w:tc>
          <w:tcPr>
            <w:tcW w:w="1116" w:type="dxa"/>
            <w:shd w:val="clear" w:color="auto" w:fill="E1EED9"/>
          </w:tcPr>
          <w:p>
            <w:pPr>
              <w:pStyle w:val="TableParagraph"/>
              <w:spacing w:before="33"/>
              <w:ind w:left="81" w:right="79"/>
              <w:rPr>
                <w:b/>
                <w:sz w:val="20"/>
              </w:rPr>
            </w:pPr>
            <w:r>
              <w:rPr>
                <w:b/>
                <w:sz w:val="20"/>
              </w:rPr>
              <w:t>2008</w:t>
            </w:r>
          </w:p>
        </w:tc>
        <w:tc>
          <w:tcPr>
            <w:tcW w:w="1371" w:type="dxa"/>
            <w:shd w:val="clear" w:color="auto" w:fill="E1EED9"/>
          </w:tcPr>
          <w:p>
            <w:pPr>
              <w:pStyle w:val="TableParagraph"/>
              <w:spacing w:before="33"/>
              <w:ind w:left="460" w:right="461"/>
              <w:rPr>
                <w:b/>
                <w:sz w:val="20"/>
              </w:rPr>
            </w:pPr>
            <w:r>
              <w:rPr>
                <w:b/>
                <w:sz w:val="20"/>
              </w:rPr>
              <w:t>1980</w:t>
            </w:r>
          </w:p>
        </w:tc>
        <w:tc>
          <w:tcPr>
            <w:tcW w:w="1368" w:type="dxa"/>
            <w:shd w:val="clear" w:color="auto" w:fill="E1EED9"/>
          </w:tcPr>
          <w:p>
            <w:pPr>
              <w:pStyle w:val="TableParagraph"/>
              <w:spacing w:before="33"/>
              <w:ind w:left="477"/>
              <w:jc w:val="left"/>
              <w:rPr>
                <w:b/>
                <w:sz w:val="20"/>
              </w:rPr>
            </w:pPr>
            <w:r>
              <w:rPr>
                <w:b/>
                <w:sz w:val="20"/>
              </w:rPr>
              <w:t>2008</w:t>
            </w:r>
          </w:p>
        </w:tc>
      </w:tr>
      <w:tr>
        <w:trPr>
          <w:trHeight w:val="506" w:hRule="exact"/>
        </w:trPr>
        <w:tc>
          <w:tcPr>
            <w:tcW w:w="1039" w:type="dxa"/>
          </w:tcPr>
          <w:p>
            <w:pPr>
              <w:pStyle w:val="TableParagraph"/>
              <w:spacing w:before="125"/>
              <w:ind w:left="292" w:right="293"/>
              <w:rPr>
                <w:sz w:val="20"/>
              </w:rPr>
            </w:pPr>
            <w:r>
              <w:rPr>
                <w:sz w:val="20"/>
              </w:rPr>
              <w:t>7.9</w:t>
            </w:r>
          </w:p>
        </w:tc>
        <w:tc>
          <w:tcPr>
            <w:tcW w:w="1037" w:type="dxa"/>
          </w:tcPr>
          <w:p>
            <w:pPr>
              <w:pStyle w:val="TableParagraph"/>
              <w:spacing w:before="125"/>
              <w:ind w:left="291" w:right="293"/>
              <w:rPr>
                <w:sz w:val="20"/>
              </w:rPr>
            </w:pPr>
            <w:r>
              <w:rPr>
                <w:sz w:val="20"/>
              </w:rPr>
              <w:t>8.5</w:t>
            </w:r>
          </w:p>
        </w:tc>
        <w:tc>
          <w:tcPr>
            <w:tcW w:w="890" w:type="dxa"/>
          </w:tcPr>
          <w:p>
            <w:pPr>
              <w:pStyle w:val="TableParagraph"/>
              <w:spacing w:before="125"/>
              <w:ind w:left="218" w:right="219"/>
              <w:rPr>
                <w:sz w:val="20"/>
              </w:rPr>
            </w:pPr>
            <w:r>
              <w:rPr>
                <w:sz w:val="20"/>
              </w:rPr>
              <w:t>6.4</w:t>
            </w:r>
          </w:p>
        </w:tc>
        <w:tc>
          <w:tcPr>
            <w:tcW w:w="890" w:type="dxa"/>
          </w:tcPr>
          <w:p>
            <w:pPr>
              <w:pStyle w:val="TableParagraph"/>
              <w:spacing w:before="125"/>
              <w:ind w:left="263"/>
              <w:jc w:val="left"/>
              <w:rPr>
                <w:sz w:val="20"/>
              </w:rPr>
            </w:pPr>
            <w:r>
              <w:rPr>
                <w:sz w:val="20"/>
              </w:rPr>
              <w:t>10.7</w:t>
            </w:r>
          </w:p>
        </w:tc>
        <w:tc>
          <w:tcPr>
            <w:tcW w:w="1116" w:type="dxa"/>
          </w:tcPr>
          <w:p>
            <w:pPr>
              <w:pStyle w:val="TableParagraph"/>
              <w:spacing w:before="125"/>
              <w:ind w:left="427"/>
              <w:jc w:val="left"/>
              <w:rPr>
                <w:sz w:val="20"/>
              </w:rPr>
            </w:pPr>
            <w:r>
              <w:rPr>
                <w:sz w:val="20"/>
              </w:rPr>
              <w:t>5.1</w:t>
            </w:r>
          </w:p>
        </w:tc>
        <w:tc>
          <w:tcPr>
            <w:tcW w:w="1116" w:type="dxa"/>
          </w:tcPr>
          <w:p>
            <w:pPr>
              <w:pStyle w:val="TableParagraph"/>
              <w:spacing w:before="125"/>
              <w:ind w:left="81" w:right="82"/>
              <w:rPr>
                <w:sz w:val="20"/>
              </w:rPr>
            </w:pPr>
            <w:r>
              <w:rPr>
                <w:sz w:val="20"/>
              </w:rPr>
              <w:t>12.0</w:t>
            </w:r>
          </w:p>
        </w:tc>
        <w:tc>
          <w:tcPr>
            <w:tcW w:w="1371" w:type="dxa"/>
          </w:tcPr>
          <w:p>
            <w:pPr>
              <w:pStyle w:val="TableParagraph"/>
              <w:spacing w:before="125"/>
              <w:ind w:left="458" w:right="461"/>
              <w:rPr>
                <w:sz w:val="20"/>
              </w:rPr>
            </w:pPr>
            <w:r>
              <w:rPr>
                <w:sz w:val="20"/>
              </w:rPr>
              <w:t>3.9</w:t>
            </w:r>
          </w:p>
        </w:tc>
        <w:tc>
          <w:tcPr>
            <w:tcW w:w="1368" w:type="dxa"/>
          </w:tcPr>
          <w:p>
            <w:pPr>
              <w:pStyle w:val="TableParagraph"/>
              <w:spacing w:before="125"/>
              <w:ind w:left="501"/>
              <w:jc w:val="left"/>
              <w:rPr>
                <w:sz w:val="20"/>
              </w:rPr>
            </w:pPr>
            <w:r>
              <w:rPr>
                <w:sz w:val="20"/>
              </w:rPr>
              <w:t>11.0</w:t>
            </w:r>
          </w:p>
        </w:tc>
      </w:tr>
    </w:tbl>
    <w:p>
      <w:pPr>
        <w:spacing w:line="202" w:lineRule="exact" w:before="0"/>
        <w:ind w:left="102" w:right="0" w:firstLine="0"/>
        <w:jc w:val="both"/>
        <w:rPr>
          <w:sz w:val="18"/>
        </w:rPr>
      </w:pPr>
      <w:r>
        <w:rPr>
          <w:sz w:val="18"/>
        </w:rPr>
        <w:t>Fuente: Elaboración propia con datos del INEGI (1980 y 2009).</w:t>
      </w:r>
    </w:p>
    <w:p>
      <w:pPr>
        <w:pStyle w:val="BodyText"/>
        <w:rPr>
          <w:sz w:val="18"/>
        </w:rPr>
      </w:pPr>
    </w:p>
    <w:p>
      <w:pPr>
        <w:pStyle w:val="BodyText"/>
        <w:spacing w:line="360" w:lineRule="auto" w:before="135"/>
        <w:ind w:left="102" w:right="117"/>
        <w:jc w:val="both"/>
      </w:pPr>
      <w:r>
        <w:rPr/>
        <w:t>Por otro lado, la región centro-norte ha mostrado una evolución muy importante en su participación dentro de la industria automotriz a nivel nacional, en cuanto a unidades económicas</w:t>
      </w:r>
      <w:r>
        <w:rPr>
          <w:spacing w:val="-11"/>
        </w:rPr>
        <w:t> </w:t>
      </w:r>
      <w:r>
        <w:rPr/>
        <w:t>creció</w:t>
      </w:r>
      <w:r>
        <w:rPr>
          <w:spacing w:val="-11"/>
        </w:rPr>
        <w:t> </w:t>
      </w:r>
      <w:r>
        <w:rPr/>
        <w:t>de</w:t>
      </w:r>
      <w:r>
        <w:rPr>
          <w:spacing w:val="-12"/>
        </w:rPr>
        <w:t> </w:t>
      </w:r>
      <w:r>
        <w:rPr/>
        <w:t>1980</w:t>
      </w:r>
      <w:r>
        <w:rPr>
          <w:spacing w:val="-11"/>
        </w:rPr>
        <w:t> </w:t>
      </w:r>
      <w:r>
        <w:rPr/>
        <w:t>a</w:t>
      </w:r>
      <w:r>
        <w:rPr>
          <w:spacing w:val="-12"/>
        </w:rPr>
        <w:t> </w:t>
      </w:r>
      <w:r>
        <w:rPr/>
        <w:t>2008</w:t>
      </w:r>
      <w:r>
        <w:rPr>
          <w:spacing w:val="-11"/>
        </w:rPr>
        <w:t> </w:t>
      </w:r>
      <w:r>
        <w:rPr/>
        <w:t>un</w:t>
      </w:r>
      <w:r>
        <w:rPr>
          <w:spacing w:val="-11"/>
        </w:rPr>
        <w:t> </w:t>
      </w:r>
      <w:r>
        <w:rPr/>
        <w:t>6.9%,</w:t>
      </w:r>
      <w:r>
        <w:rPr>
          <w:spacing w:val="-11"/>
        </w:rPr>
        <w:t> </w:t>
      </w:r>
      <w:r>
        <w:rPr/>
        <w:t>con</w:t>
      </w:r>
      <w:r>
        <w:rPr>
          <w:spacing w:val="-11"/>
        </w:rPr>
        <w:t> </w:t>
      </w:r>
      <w:r>
        <w:rPr/>
        <w:t>lo</w:t>
      </w:r>
      <w:r>
        <w:rPr>
          <w:spacing w:val="-11"/>
        </w:rPr>
        <w:t> </w:t>
      </w:r>
      <w:r>
        <w:rPr/>
        <w:t>que</w:t>
      </w:r>
      <w:r>
        <w:rPr>
          <w:spacing w:val="-12"/>
        </w:rPr>
        <w:t> </w:t>
      </w:r>
      <w:r>
        <w:rPr/>
        <w:t>su</w:t>
      </w:r>
      <w:r>
        <w:rPr>
          <w:spacing w:val="-11"/>
        </w:rPr>
        <w:t> </w:t>
      </w:r>
      <w:r>
        <w:rPr/>
        <w:t>participación</w:t>
      </w:r>
      <w:r>
        <w:rPr>
          <w:spacing w:val="-11"/>
        </w:rPr>
        <w:t> </w:t>
      </w:r>
      <w:r>
        <w:rPr/>
        <w:t>a</w:t>
      </w:r>
      <w:r>
        <w:rPr>
          <w:spacing w:val="-12"/>
        </w:rPr>
        <w:t> </w:t>
      </w:r>
      <w:r>
        <w:rPr/>
        <w:t>nivel</w:t>
      </w:r>
      <w:r>
        <w:rPr>
          <w:spacing w:val="-11"/>
        </w:rPr>
        <w:t> </w:t>
      </w:r>
      <w:r>
        <w:rPr/>
        <w:t>nacional</w:t>
      </w:r>
      <w:r>
        <w:rPr>
          <w:spacing w:val="-11"/>
        </w:rPr>
        <w:t> </w:t>
      </w:r>
      <w:r>
        <w:rPr/>
        <w:t>llegó a 10.1%. Así, el crecimiento más significativo fue dentro de la producción bruta total, pues tuvo un crecimiento del 14.2%, no obstante tanto el valor agregado censal bruto como el personal ocupado, también incrementaron su participación en la industria automotriz nacional, en éste último rubro se pasó de emplear en 1980 a 987 trabajadores a emplear en 2008 a 64,654 personas, teniendo un crecimiento de 13.9% (véase</w:t>
      </w:r>
      <w:r>
        <w:rPr>
          <w:spacing w:val="-10"/>
        </w:rPr>
        <w:t> </w:t>
      </w:r>
      <w:r>
        <w:rPr/>
        <w:t>4.22).</w:t>
      </w:r>
    </w:p>
    <w:p>
      <w:pPr>
        <w:pStyle w:val="BodyText"/>
        <w:spacing w:before="5"/>
        <w:rPr>
          <w:sz w:val="21"/>
        </w:rPr>
      </w:pPr>
    </w:p>
    <w:p>
      <w:pPr>
        <w:pStyle w:val="BodyText"/>
        <w:spacing w:line="360" w:lineRule="auto"/>
        <w:ind w:left="102" w:right="115"/>
        <w:jc w:val="both"/>
      </w:pPr>
      <w:r>
        <w:rPr/>
        <w:t>A nivel estatal, se observa que, los tres estados de la región han aumentado sus participaciones</w:t>
      </w:r>
      <w:r>
        <w:rPr>
          <w:spacing w:val="-12"/>
        </w:rPr>
        <w:t> </w:t>
      </w:r>
      <w:r>
        <w:rPr/>
        <w:t>en</w:t>
      </w:r>
      <w:r>
        <w:rPr>
          <w:spacing w:val="-13"/>
        </w:rPr>
        <w:t> </w:t>
      </w:r>
      <w:r>
        <w:rPr/>
        <w:t>todas</w:t>
      </w:r>
      <w:r>
        <w:rPr>
          <w:spacing w:val="-13"/>
        </w:rPr>
        <w:t> </w:t>
      </w:r>
      <w:r>
        <w:rPr/>
        <w:t>las</w:t>
      </w:r>
      <w:r>
        <w:rPr>
          <w:spacing w:val="-13"/>
        </w:rPr>
        <w:t> </w:t>
      </w:r>
      <w:r>
        <w:rPr/>
        <w:t>variables</w:t>
      </w:r>
      <w:r>
        <w:rPr>
          <w:spacing w:val="-14"/>
        </w:rPr>
        <w:t> </w:t>
      </w:r>
      <w:r>
        <w:rPr/>
        <w:t>de</w:t>
      </w:r>
      <w:r>
        <w:rPr>
          <w:spacing w:val="-12"/>
        </w:rPr>
        <w:t> </w:t>
      </w:r>
      <w:r>
        <w:rPr/>
        <w:t>análisis.</w:t>
      </w:r>
      <w:r>
        <w:rPr>
          <w:spacing w:val="-13"/>
        </w:rPr>
        <w:t> </w:t>
      </w:r>
      <w:r>
        <w:rPr/>
        <w:t>En</w:t>
      </w:r>
      <w:r>
        <w:rPr>
          <w:spacing w:val="-13"/>
        </w:rPr>
        <w:t> </w:t>
      </w:r>
      <w:r>
        <w:rPr/>
        <w:t>cuanto</w:t>
      </w:r>
      <w:r>
        <w:rPr>
          <w:spacing w:val="-11"/>
        </w:rPr>
        <w:t> </w:t>
      </w:r>
      <w:r>
        <w:rPr/>
        <w:t>a</w:t>
      </w:r>
      <w:r>
        <w:rPr>
          <w:spacing w:val="-14"/>
        </w:rPr>
        <w:t> </w:t>
      </w:r>
      <w:r>
        <w:rPr/>
        <w:t>unidades</w:t>
      </w:r>
      <w:r>
        <w:rPr>
          <w:spacing w:val="-13"/>
        </w:rPr>
        <w:t> </w:t>
      </w:r>
      <w:r>
        <w:rPr/>
        <w:t>económicas</w:t>
      </w:r>
      <w:r>
        <w:rPr>
          <w:spacing w:val="-13"/>
        </w:rPr>
        <w:t> </w:t>
      </w:r>
      <w:r>
        <w:rPr/>
        <w:t>la</w:t>
      </w:r>
      <w:r>
        <w:rPr>
          <w:spacing w:val="-12"/>
        </w:rPr>
        <w:t> </w:t>
      </w:r>
      <w:r>
        <w:rPr/>
        <w:t>entidad</w:t>
      </w:r>
    </w:p>
    <w:p>
      <w:pPr>
        <w:spacing w:after="0" w:line="360" w:lineRule="auto"/>
        <w:jc w:val="both"/>
        <w:sectPr>
          <w:pgSz w:w="12240" w:h="15840"/>
          <w:pgMar w:header="0" w:footer="1035" w:top="1360" w:bottom="1220" w:left="1600" w:right="1580"/>
        </w:sectPr>
      </w:pPr>
    </w:p>
    <w:p>
      <w:pPr>
        <w:pStyle w:val="BodyText"/>
        <w:spacing w:line="360" w:lineRule="auto" w:before="50"/>
        <w:ind w:left="102" w:right="116"/>
        <w:jc w:val="both"/>
      </w:pPr>
      <w:r>
        <w:rPr/>
        <w:t>que más participación tiene es el estado de Querétaro pues en 1980 solo aportaba el 0.3% y en 2008 aportó el 4.3%, en este sentido es importante decir que actualmente en la entidad se localizan 60 proveedores de partes de primer nivel y más de 200 de segundo y tercer nivel, con</w:t>
      </w:r>
      <w:r>
        <w:rPr>
          <w:spacing w:val="-13"/>
        </w:rPr>
        <w:t> </w:t>
      </w:r>
      <w:r>
        <w:rPr/>
        <w:t>lo</w:t>
      </w:r>
      <w:r>
        <w:rPr>
          <w:spacing w:val="-13"/>
        </w:rPr>
        <w:t> </w:t>
      </w:r>
      <w:r>
        <w:rPr/>
        <w:t>que</w:t>
      </w:r>
      <w:r>
        <w:rPr>
          <w:spacing w:val="-14"/>
        </w:rPr>
        <w:t> </w:t>
      </w:r>
      <w:r>
        <w:rPr/>
        <w:t>se</w:t>
      </w:r>
      <w:r>
        <w:rPr>
          <w:spacing w:val="-14"/>
        </w:rPr>
        <w:t> </w:t>
      </w:r>
      <w:r>
        <w:rPr/>
        <w:t>ha</w:t>
      </w:r>
      <w:r>
        <w:rPr>
          <w:spacing w:val="-14"/>
        </w:rPr>
        <w:t> </w:t>
      </w:r>
      <w:r>
        <w:rPr/>
        <w:t>convertido</w:t>
      </w:r>
      <w:r>
        <w:rPr>
          <w:spacing w:val="-13"/>
        </w:rPr>
        <w:t> </w:t>
      </w:r>
      <w:r>
        <w:rPr/>
        <w:t>en</w:t>
      </w:r>
      <w:r>
        <w:rPr>
          <w:spacing w:val="-13"/>
        </w:rPr>
        <w:t> </w:t>
      </w:r>
      <w:r>
        <w:rPr/>
        <w:t>un</w:t>
      </w:r>
      <w:r>
        <w:rPr>
          <w:spacing w:val="-13"/>
        </w:rPr>
        <w:t> </w:t>
      </w:r>
      <w:r>
        <w:rPr/>
        <w:t>importante</w:t>
      </w:r>
      <w:r>
        <w:rPr>
          <w:spacing w:val="-14"/>
        </w:rPr>
        <w:t> </w:t>
      </w:r>
      <w:r>
        <w:rPr/>
        <w:t>centro</w:t>
      </w:r>
      <w:r>
        <w:rPr>
          <w:spacing w:val="-12"/>
        </w:rPr>
        <w:t> </w:t>
      </w:r>
      <w:r>
        <w:rPr/>
        <w:t>de</w:t>
      </w:r>
      <w:r>
        <w:rPr>
          <w:spacing w:val="-14"/>
        </w:rPr>
        <w:t> </w:t>
      </w:r>
      <w:r>
        <w:rPr/>
        <w:t>proveeduría</w:t>
      </w:r>
      <w:r>
        <w:rPr>
          <w:spacing w:val="-15"/>
        </w:rPr>
        <w:t> </w:t>
      </w:r>
      <w:r>
        <w:rPr/>
        <w:t>a</w:t>
      </w:r>
      <w:r>
        <w:rPr>
          <w:spacing w:val="-14"/>
        </w:rPr>
        <w:t> </w:t>
      </w:r>
      <w:r>
        <w:rPr/>
        <w:t>nivel</w:t>
      </w:r>
      <w:r>
        <w:rPr>
          <w:spacing w:val="-13"/>
        </w:rPr>
        <w:t> </w:t>
      </w:r>
      <w:r>
        <w:rPr/>
        <w:t>nacional</w:t>
      </w:r>
      <w:r>
        <w:rPr>
          <w:spacing w:val="-14"/>
        </w:rPr>
        <w:t> </w:t>
      </w:r>
      <w:r>
        <w:rPr/>
        <w:t>(Becerril, 2013). Al mismo tiempo Querétaro también fue la entidad con mayor participación y crecimiento al 2008, en cuanto al personal ocupado, pues en 1980 solo aportaba el 0.1% y para el 2009, participó con el 4.6%, creciendo en 4.5% (véase cuadro</w:t>
      </w:r>
      <w:r>
        <w:rPr>
          <w:spacing w:val="-10"/>
        </w:rPr>
        <w:t> </w:t>
      </w:r>
      <w:r>
        <w:rPr/>
        <w:t>4.22).</w:t>
      </w:r>
    </w:p>
    <w:p>
      <w:pPr>
        <w:pStyle w:val="BodyText"/>
        <w:spacing w:before="5"/>
        <w:rPr>
          <w:sz w:val="21"/>
        </w:rPr>
      </w:pPr>
    </w:p>
    <w:p>
      <w:pPr>
        <w:pStyle w:val="BodyText"/>
        <w:spacing w:line="360" w:lineRule="auto"/>
        <w:ind w:left="102" w:right="119"/>
        <w:jc w:val="both"/>
      </w:pPr>
      <w:r>
        <w:rPr/>
        <w:t>Por el lado de la producción bruta total, Guanajuato es el estado de la región que más aporta a la industria automotriz, pues al año 2008 representó el 7.5%, lo mismo sucede con el</w:t>
      </w:r>
      <w:r>
        <w:rPr>
          <w:spacing w:val="-34"/>
        </w:rPr>
        <w:t> </w:t>
      </w:r>
      <w:r>
        <w:rPr/>
        <w:t>valor agregado</w:t>
      </w:r>
      <w:r>
        <w:rPr>
          <w:spacing w:val="-4"/>
        </w:rPr>
        <w:t> </w:t>
      </w:r>
      <w:r>
        <w:rPr/>
        <w:t>censal</w:t>
      </w:r>
      <w:r>
        <w:rPr>
          <w:spacing w:val="-6"/>
        </w:rPr>
        <w:t> </w:t>
      </w:r>
      <w:r>
        <w:rPr/>
        <w:t>bruto,</w:t>
      </w:r>
      <w:r>
        <w:rPr>
          <w:spacing w:val="-4"/>
        </w:rPr>
        <w:t> </w:t>
      </w:r>
      <w:r>
        <w:rPr/>
        <w:t>cuya</w:t>
      </w:r>
      <w:r>
        <w:rPr>
          <w:spacing w:val="-3"/>
        </w:rPr>
        <w:t> </w:t>
      </w:r>
      <w:r>
        <w:rPr/>
        <w:t>participación</w:t>
      </w:r>
      <w:r>
        <w:rPr>
          <w:spacing w:val="-6"/>
        </w:rPr>
        <w:t> </w:t>
      </w:r>
      <w:r>
        <w:rPr/>
        <w:t>fue</w:t>
      </w:r>
      <w:r>
        <w:rPr>
          <w:spacing w:val="-7"/>
        </w:rPr>
        <w:t> </w:t>
      </w:r>
      <w:r>
        <w:rPr/>
        <w:t>del</w:t>
      </w:r>
      <w:r>
        <w:rPr>
          <w:spacing w:val="-6"/>
        </w:rPr>
        <w:t> </w:t>
      </w:r>
      <w:r>
        <w:rPr/>
        <w:t>6.3%</w:t>
      </w:r>
      <w:r>
        <w:rPr>
          <w:spacing w:val="-7"/>
        </w:rPr>
        <w:t> </w:t>
      </w:r>
      <w:r>
        <w:rPr/>
        <w:t>en</w:t>
      </w:r>
      <w:r>
        <w:rPr>
          <w:spacing w:val="-6"/>
        </w:rPr>
        <w:t> </w:t>
      </w:r>
      <w:r>
        <w:rPr/>
        <w:t>2008.</w:t>
      </w:r>
      <w:r>
        <w:rPr>
          <w:spacing w:val="-4"/>
        </w:rPr>
        <w:t> </w:t>
      </w:r>
      <w:r>
        <w:rPr/>
        <w:t>Actualmente</w:t>
      </w:r>
      <w:r>
        <w:rPr>
          <w:spacing w:val="-7"/>
        </w:rPr>
        <w:t> </w:t>
      </w:r>
      <w:r>
        <w:rPr/>
        <w:t>en</w:t>
      </w:r>
      <w:r>
        <w:rPr>
          <w:spacing w:val="-4"/>
        </w:rPr>
        <w:t> </w:t>
      </w:r>
      <w:r>
        <w:rPr/>
        <w:t>el</w:t>
      </w:r>
      <w:r>
        <w:rPr>
          <w:spacing w:val="-6"/>
        </w:rPr>
        <w:t> </w:t>
      </w:r>
      <w:r>
        <w:rPr/>
        <w:t>estado</w:t>
      </w:r>
      <w:r>
        <w:rPr>
          <w:spacing w:val="-6"/>
        </w:rPr>
        <w:t> </w:t>
      </w:r>
      <w:r>
        <w:rPr/>
        <w:t>se encuentran dos armadoras en el municipio de Silao, Guanajuato, la primera corresponde a</w:t>
      </w:r>
      <w:r>
        <w:rPr>
          <w:spacing w:val="-38"/>
        </w:rPr>
        <w:t> </w:t>
      </w:r>
      <w:r>
        <w:rPr/>
        <w:t>la firma</w:t>
      </w:r>
      <w:r>
        <w:rPr>
          <w:spacing w:val="-10"/>
        </w:rPr>
        <w:t> </w:t>
      </w:r>
      <w:r>
        <w:rPr/>
        <w:t>de</w:t>
      </w:r>
      <w:r>
        <w:rPr>
          <w:spacing w:val="-8"/>
        </w:rPr>
        <w:t> </w:t>
      </w:r>
      <w:r>
        <w:rPr/>
        <w:t>General</w:t>
      </w:r>
      <w:r>
        <w:rPr>
          <w:spacing w:val="-9"/>
        </w:rPr>
        <w:t> </w:t>
      </w:r>
      <w:r>
        <w:rPr/>
        <w:t>Motors</w:t>
      </w:r>
      <w:r>
        <w:rPr>
          <w:spacing w:val="-8"/>
        </w:rPr>
        <w:t> </w:t>
      </w:r>
      <w:r>
        <w:rPr/>
        <w:t>que</w:t>
      </w:r>
      <w:r>
        <w:rPr>
          <w:spacing w:val="-11"/>
        </w:rPr>
        <w:t> </w:t>
      </w:r>
      <w:r>
        <w:rPr/>
        <w:t>produce</w:t>
      </w:r>
      <w:r>
        <w:rPr>
          <w:spacing w:val="-11"/>
        </w:rPr>
        <w:t> </w:t>
      </w:r>
      <w:r>
        <w:rPr/>
        <w:t>autos</w:t>
      </w:r>
      <w:r>
        <w:rPr>
          <w:spacing w:val="-7"/>
        </w:rPr>
        <w:t> </w:t>
      </w:r>
      <w:r>
        <w:rPr/>
        <w:t>como</w:t>
      </w:r>
      <w:r>
        <w:rPr>
          <w:spacing w:val="-7"/>
        </w:rPr>
        <w:t> </w:t>
      </w:r>
      <w:r>
        <w:rPr/>
        <w:t>Chevrolet</w:t>
      </w:r>
      <w:r>
        <w:rPr>
          <w:spacing w:val="-9"/>
        </w:rPr>
        <w:t> </w:t>
      </w:r>
      <w:r>
        <w:rPr/>
        <w:t>Cheyenne,</w:t>
      </w:r>
      <w:r>
        <w:rPr>
          <w:spacing w:val="-10"/>
        </w:rPr>
        <w:t> </w:t>
      </w:r>
      <w:r>
        <w:rPr/>
        <w:t>Chevrolet</w:t>
      </w:r>
      <w:r>
        <w:rPr>
          <w:spacing w:val="-9"/>
        </w:rPr>
        <w:t> </w:t>
      </w:r>
      <w:r>
        <w:rPr/>
        <w:t>Silverado, y</w:t>
      </w:r>
      <w:r>
        <w:rPr>
          <w:spacing w:val="-12"/>
        </w:rPr>
        <w:t> </w:t>
      </w:r>
      <w:r>
        <w:rPr/>
        <w:t>GMC</w:t>
      </w:r>
      <w:r>
        <w:rPr>
          <w:spacing w:val="-9"/>
        </w:rPr>
        <w:t> </w:t>
      </w:r>
      <w:r>
        <w:rPr/>
        <w:t>Sierra,</w:t>
      </w:r>
      <w:r>
        <w:rPr>
          <w:spacing w:val="-10"/>
        </w:rPr>
        <w:t> </w:t>
      </w:r>
      <w:r>
        <w:rPr/>
        <w:t>la</w:t>
      </w:r>
      <w:r>
        <w:rPr>
          <w:spacing w:val="-10"/>
        </w:rPr>
        <w:t> </w:t>
      </w:r>
      <w:r>
        <w:rPr/>
        <w:t>segunda</w:t>
      </w:r>
      <w:r>
        <w:rPr>
          <w:spacing w:val="-11"/>
        </w:rPr>
        <w:t> </w:t>
      </w:r>
      <w:r>
        <w:rPr/>
        <w:t>corresponde</w:t>
      </w:r>
      <w:r>
        <w:rPr>
          <w:spacing w:val="-11"/>
        </w:rPr>
        <w:t> </w:t>
      </w:r>
      <w:r>
        <w:rPr/>
        <w:t>a</w:t>
      </w:r>
      <w:r>
        <w:rPr>
          <w:spacing w:val="-11"/>
        </w:rPr>
        <w:t> </w:t>
      </w:r>
      <w:r>
        <w:rPr/>
        <w:t>la</w:t>
      </w:r>
      <w:r>
        <w:rPr>
          <w:spacing w:val="-10"/>
        </w:rPr>
        <w:t> </w:t>
      </w:r>
      <w:r>
        <w:rPr/>
        <w:t>empresa</w:t>
      </w:r>
      <w:r>
        <w:rPr>
          <w:spacing w:val="-10"/>
        </w:rPr>
        <w:t> </w:t>
      </w:r>
      <w:r>
        <w:rPr/>
        <w:t>Volkswagen</w:t>
      </w:r>
      <w:r>
        <w:rPr>
          <w:spacing w:val="-10"/>
        </w:rPr>
        <w:t> </w:t>
      </w:r>
      <w:r>
        <w:rPr/>
        <w:t>donde</w:t>
      </w:r>
      <w:r>
        <w:rPr>
          <w:spacing w:val="-11"/>
        </w:rPr>
        <w:t> </w:t>
      </w:r>
      <w:r>
        <w:rPr/>
        <w:t>se</w:t>
      </w:r>
      <w:r>
        <w:rPr>
          <w:spacing w:val="-10"/>
        </w:rPr>
        <w:t> </w:t>
      </w:r>
      <w:r>
        <w:rPr/>
        <w:t>producen</w:t>
      </w:r>
      <w:r>
        <w:rPr>
          <w:spacing w:val="-10"/>
        </w:rPr>
        <w:t> </w:t>
      </w:r>
      <w:r>
        <w:rPr/>
        <w:t>motores de alta tecnología. De manera más reciente, se han instalado la planta ensambladora de Mazda en Salamanca, que produce los autos Mazda 3 y la planta de Honda en Celaya, cuya producción se enfoca en el auto Fit (AMIA,</w:t>
      </w:r>
      <w:r>
        <w:rPr>
          <w:spacing w:val="-11"/>
        </w:rPr>
        <w:t> </w:t>
      </w:r>
      <w:r>
        <w:rPr/>
        <w:t>2015).</w:t>
      </w:r>
    </w:p>
    <w:p>
      <w:pPr>
        <w:pStyle w:val="BodyText"/>
        <w:spacing w:before="2"/>
        <w:rPr>
          <w:sz w:val="21"/>
        </w:rPr>
      </w:pPr>
    </w:p>
    <w:p>
      <w:pPr>
        <w:pStyle w:val="BodyText"/>
        <w:spacing w:line="360" w:lineRule="auto"/>
        <w:ind w:left="102" w:right="117"/>
        <w:jc w:val="both"/>
      </w:pPr>
      <w:r>
        <w:rPr/>
        <w:t>La industria automotriz de San Luis Potosí, ha sido una industria en constante crecimiento, en cuanto a unidades económicas aumentó su participación en 1980 concentraba el 1.3% y para 2008 concentró el 3.7%, sin embargo sus cambios más importantes se observan en la producción</w:t>
      </w:r>
      <w:r>
        <w:rPr>
          <w:spacing w:val="-8"/>
        </w:rPr>
        <w:t> </w:t>
      </w:r>
      <w:r>
        <w:rPr/>
        <w:t>bruta</w:t>
      </w:r>
      <w:r>
        <w:rPr>
          <w:spacing w:val="-10"/>
        </w:rPr>
        <w:t> </w:t>
      </w:r>
      <w:r>
        <w:rPr/>
        <w:t>total,</w:t>
      </w:r>
      <w:r>
        <w:rPr>
          <w:spacing w:val="-8"/>
        </w:rPr>
        <w:t> </w:t>
      </w:r>
      <w:r>
        <w:rPr/>
        <w:t>valor</w:t>
      </w:r>
      <w:r>
        <w:rPr>
          <w:spacing w:val="-9"/>
        </w:rPr>
        <w:t> </w:t>
      </w:r>
      <w:r>
        <w:rPr/>
        <w:t>agregado</w:t>
      </w:r>
      <w:r>
        <w:rPr>
          <w:spacing w:val="-9"/>
        </w:rPr>
        <w:t> </w:t>
      </w:r>
      <w:r>
        <w:rPr/>
        <w:t>censal</w:t>
      </w:r>
      <w:r>
        <w:rPr>
          <w:spacing w:val="-8"/>
        </w:rPr>
        <w:t> </w:t>
      </w:r>
      <w:r>
        <w:rPr/>
        <w:t>bruto</w:t>
      </w:r>
      <w:r>
        <w:rPr>
          <w:spacing w:val="-6"/>
        </w:rPr>
        <w:t> </w:t>
      </w:r>
      <w:r>
        <w:rPr/>
        <w:t>y</w:t>
      </w:r>
      <w:r>
        <w:rPr>
          <w:spacing w:val="-16"/>
        </w:rPr>
        <w:t> </w:t>
      </w:r>
      <w:r>
        <w:rPr/>
        <w:t>personal</w:t>
      </w:r>
      <w:r>
        <w:rPr>
          <w:spacing w:val="-8"/>
        </w:rPr>
        <w:t> </w:t>
      </w:r>
      <w:r>
        <w:rPr/>
        <w:t>ocupado</w:t>
      </w:r>
      <w:r>
        <w:rPr>
          <w:spacing w:val="-9"/>
        </w:rPr>
        <w:t> </w:t>
      </w:r>
      <w:r>
        <w:rPr/>
        <w:t>donde</w:t>
      </w:r>
      <w:r>
        <w:rPr>
          <w:spacing w:val="-10"/>
        </w:rPr>
        <w:t> </w:t>
      </w:r>
      <w:r>
        <w:rPr/>
        <w:t>en</w:t>
      </w:r>
      <w:r>
        <w:rPr>
          <w:spacing w:val="-9"/>
        </w:rPr>
        <w:t> </w:t>
      </w:r>
      <w:r>
        <w:rPr/>
        <w:t>1980</w:t>
      </w:r>
      <w:r>
        <w:rPr>
          <w:spacing w:val="-9"/>
        </w:rPr>
        <w:t> </w:t>
      </w:r>
      <w:r>
        <w:rPr/>
        <w:t>tenían una participación del 0.1, 0.1 y 0.3% respectivamente, y en 2008 participaron con el 2.9,</w:t>
      </w:r>
      <w:r>
        <w:rPr>
          <w:spacing w:val="-36"/>
        </w:rPr>
        <w:t> </w:t>
      </w:r>
      <w:r>
        <w:rPr/>
        <w:t>2.6</w:t>
      </w:r>
    </w:p>
    <w:p>
      <w:pPr>
        <w:pStyle w:val="BodyText"/>
        <w:spacing w:before="6"/>
        <w:ind w:left="102"/>
        <w:jc w:val="both"/>
      </w:pPr>
      <w:r>
        <w:rPr/>
        <w:t>y 4.2%.</w:t>
      </w:r>
    </w:p>
    <w:p>
      <w:pPr>
        <w:pStyle w:val="BodyText"/>
        <w:spacing w:before="2"/>
        <w:rPr>
          <w:sz w:val="33"/>
        </w:rPr>
      </w:pPr>
    </w:p>
    <w:p>
      <w:pPr>
        <w:pStyle w:val="Heading1"/>
        <w:spacing w:line="360" w:lineRule="auto" w:after="5"/>
        <w:ind w:left="1126" w:right="128" w:hanging="1001"/>
      </w:pPr>
      <w:r>
        <w:rPr/>
        <w:t>Cuadro 4.22 Participación porcentual de la industria automotriz de la Región Centro- Norte en el total nacional, 1980 y 2008 (principales características)</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04"/>
        <w:gridCol w:w="780"/>
        <w:gridCol w:w="780"/>
        <w:gridCol w:w="994"/>
        <w:gridCol w:w="994"/>
        <w:gridCol w:w="877"/>
        <w:gridCol w:w="878"/>
        <w:gridCol w:w="662"/>
        <w:gridCol w:w="660"/>
      </w:tblGrid>
      <w:tr>
        <w:trPr>
          <w:trHeight w:val="535" w:hRule="exact"/>
        </w:trPr>
        <w:tc>
          <w:tcPr>
            <w:tcW w:w="2204" w:type="dxa"/>
            <w:tcBorders>
              <w:right w:val="nil"/>
            </w:tcBorders>
            <w:shd w:val="clear" w:color="auto" w:fill="A6A6A6"/>
          </w:tcPr>
          <w:p>
            <w:pPr/>
          </w:p>
        </w:tc>
        <w:tc>
          <w:tcPr>
            <w:tcW w:w="1560" w:type="dxa"/>
            <w:gridSpan w:val="2"/>
            <w:tcBorders>
              <w:left w:val="nil"/>
              <w:right w:val="nil"/>
            </w:tcBorders>
            <w:shd w:val="clear" w:color="auto" w:fill="A6A6A6"/>
          </w:tcPr>
          <w:p>
            <w:pPr>
              <w:pStyle w:val="TableParagraph"/>
              <w:spacing w:before="31"/>
              <w:ind w:left="266" w:firstLine="112"/>
              <w:jc w:val="left"/>
              <w:rPr>
                <w:b/>
                <w:sz w:val="20"/>
              </w:rPr>
            </w:pPr>
            <w:r>
              <w:rPr>
                <w:b/>
                <w:sz w:val="20"/>
              </w:rPr>
              <w:t>Unidades </w:t>
            </w:r>
            <w:r>
              <w:rPr>
                <w:b/>
                <w:w w:val="95"/>
                <w:sz w:val="20"/>
              </w:rPr>
              <w:t>Económicas</w:t>
            </w:r>
          </w:p>
        </w:tc>
        <w:tc>
          <w:tcPr>
            <w:tcW w:w="1988" w:type="dxa"/>
            <w:gridSpan w:val="2"/>
            <w:tcBorders>
              <w:left w:val="nil"/>
              <w:right w:val="nil"/>
            </w:tcBorders>
            <w:shd w:val="clear" w:color="auto" w:fill="A6A6A6"/>
          </w:tcPr>
          <w:p>
            <w:pPr>
              <w:pStyle w:val="TableParagraph"/>
              <w:spacing w:before="31"/>
              <w:ind w:left="765" w:hanging="536"/>
              <w:jc w:val="left"/>
              <w:rPr>
                <w:b/>
                <w:sz w:val="20"/>
              </w:rPr>
            </w:pPr>
            <w:r>
              <w:rPr>
                <w:b/>
                <w:sz w:val="20"/>
              </w:rPr>
              <w:t>Producción Bruta Total</w:t>
            </w:r>
          </w:p>
        </w:tc>
        <w:tc>
          <w:tcPr>
            <w:tcW w:w="1755" w:type="dxa"/>
            <w:gridSpan w:val="2"/>
            <w:tcBorders>
              <w:left w:val="nil"/>
              <w:right w:val="nil"/>
            </w:tcBorders>
            <w:shd w:val="clear" w:color="auto" w:fill="A6A6A6"/>
          </w:tcPr>
          <w:p>
            <w:pPr>
              <w:pStyle w:val="TableParagraph"/>
              <w:spacing w:before="31"/>
              <w:ind w:left="311" w:right="175" w:hanging="123"/>
              <w:jc w:val="left"/>
              <w:rPr>
                <w:b/>
                <w:sz w:val="20"/>
              </w:rPr>
            </w:pPr>
            <w:r>
              <w:rPr>
                <w:b/>
                <w:sz w:val="20"/>
              </w:rPr>
              <w:t>Valor Agregado Censal Bruto</w:t>
            </w:r>
          </w:p>
        </w:tc>
        <w:tc>
          <w:tcPr>
            <w:tcW w:w="1323" w:type="dxa"/>
            <w:gridSpan w:val="2"/>
            <w:tcBorders>
              <w:left w:val="nil"/>
            </w:tcBorders>
            <w:shd w:val="clear" w:color="auto" w:fill="A6A6A6"/>
          </w:tcPr>
          <w:p>
            <w:pPr>
              <w:pStyle w:val="TableParagraph"/>
              <w:spacing w:before="31"/>
              <w:ind w:left="271" w:right="266" w:firstLine="16"/>
              <w:jc w:val="left"/>
              <w:rPr>
                <w:b/>
                <w:sz w:val="20"/>
              </w:rPr>
            </w:pPr>
            <w:r>
              <w:rPr>
                <w:b/>
                <w:sz w:val="20"/>
              </w:rPr>
              <w:t>Personal </w:t>
            </w:r>
            <w:r>
              <w:rPr>
                <w:b/>
                <w:w w:val="95"/>
                <w:sz w:val="20"/>
              </w:rPr>
              <w:t>Ocupado</w:t>
            </w:r>
          </w:p>
        </w:tc>
      </w:tr>
      <w:tr>
        <w:trPr>
          <w:trHeight w:val="310" w:hRule="exact"/>
        </w:trPr>
        <w:tc>
          <w:tcPr>
            <w:tcW w:w="2204" w:type="dxa"/>
          </w:tcPr>
          <w:p>
            <w:pPr/>
          </w:p>
        </w:tc>
        <w:tc>
          <w:tcPr>
            <w:tcW w:w="780" w:type="dxa"/>
          </w:tcPr>
          <w:p>
            <w:pPr>
              <w:pStyle w:val="TableParagraph"/>
              <w:spacing w:before="34"/>
              <w:ind w:left="165" w:right="165"/>
              <w:rPr>
                <w:b/>
                <w:sz w:val="20"/>
              </w:rPr>
            </w:pPr>
            <w:r>
              <w:rPr>
                <w:b/>
                <w:sz w:val="20"/>
              </w:rPr>
              <w:t>1980</w:t>
            </w:r>
          </w:p>
        </w:tc>
        <w:tc>
          <w:tcPr>
            <w:tcW w:w="780" w:type="dxa"/>
          </w:tcPr>
          <w:p>
            <w:pPr>
              <w:pStyle w:val="TableParagraph"/>
              <w:spacing w:before="34"/>
              <w:ind w:left="165" w:right="165"/>
              <w:rPr>
                <w:b/>
                <w:sz w:val="20"/>
              </w:rPr>
            </w:pPr>
            <w:r>
              <w:rPr>
                <w:b/>
                <w:sz w:val="20"/>
              </w:rPr>
              <w:t>2008</w:t>
            </w:r>
          </w:p>
        </w:tc>
        <w:tc>
          <w:tcPr>
            <w:tcW w:w="994" w:type="dxa"/>
          </w:tcPr>
          <w:p>
            <w:pPr>
              <w:pStyle w:val="TableParagraph"/>
              <w:spacing w:before="34"/>
              <w:ind w:left="272" w:right="272"/>
              <w:rPr>
                <w:b/>
                <w:sz w:val="20"/>
              </w:rPr>
            </w:pPr>
            <w:r>
              <w:rPr>
                <w:b/>
                <w:sz w:val="20"/>
              </w:rPr>
              <w:t>1980</w:t>
            </w:r>
          </w:p>
        </w:tc>
        <w:tc>
          <w:tcPr>
            <w:tcW w:w="994" w:type="dxa"/>
          </w:tcPr>
          <w:p>
            <w:pPr>
              <w:pStyle w:val="TableParagraph"/>
              <w:spacing w:before="34"/>
              <w:ind w:right="288"/>
              <w:jc w:val="right"/>
              <w:rPr>
                <w:b/>
                <w:sz w:val="20"/>
              </w:rPr>
            </w:pPr>
            <w:r>
              <w:rPr>
                <w:b/>
                <w:sz w:val="20"/>
              </w:rPr>
              <w:t>2008</w:t>
            </w:r>
          </w:p>
        </w:tc>
        <w:tc>
          <w:tcPr>
            <w:tcW w:w="877" w:type="dxa"/>
          </w:tcPr>
          <w:p>
            <w:pPr>
              <w:pStyle w:val="TableParagraph"/>
              <w:spacing w:before="34"/>
              <w:ind w:left="214" w:right="213"/>
              <w:rPr>
                <w:b/>
                <w:sz w:val="20"/>
              </w:rPr>
            </w:pPr>
            <w:r>
              <w:rPr>
                <w:b/>
                <w:sz w:val="20"/>
              </w:rPr>
              <w:t>1980</w:t>
            </w:r>
          </w:p>
        </w:tc>
        <w:tc>
          <w:tcPr>
            <w:tcW w:w="878" w:type="dxa"/>
          </w:tcPr>
          <w:p>
            <w:pPr>
              <w:pStyle w:val="TableParagraph"/>
              <w:spacing w:before="34"/>
              <w:ind w:left="214" w:right="214"/>
              <w:rPr>
                <w:b/>
                <w:sz w:val="20"/>
              </w:rPr>
            </w:pPr>
            <w:r>
              <w:rPr>
                <w:b/>
                <w:sz w:val="20"/>
              </w:rPr>
              <w:t>2008</w:t>
            </w:r>
          </w:p>
        </w:tc>
        <w:tc>
          <w:tcPr>
            <w:tcW w:w="662" w:type="dxa"/>
          </w:tcPr>
          <w:p>
            <w:pPr>
              <w:pStyle w:val="TableParagraph"/>
              <w:spacing w:before="34"/>
              <w:ind w:left="106" w:right="106"/>
              <w:rPr>
                <w:b/>
                <w:sz w:val="20"/>
              </w:rPr>
            </w:pPr>
            <w:r>
              <w:rPr>
                <w:b/>
                <w:sz w:val="20"/>
              </w:rPr>
              <w:t>1980</w:t>
            </w:r>
          </w:p>
        </w:tc>
        <w:tc>
          <w:tcPr>
            <w:tcW w:w="660" w:type="dxa"/>
          </w:tcPr>
          <w:p>
            <w:pPr>
              <w:pStyle w:val="TableParagraph"/>
              <w:spacing w:before="34"/>
              <w:ind w:left="106" w:right="104"/>
              <w:rPr>
                <w:b/>
                <w:sz w:val="20"/>
              </w:rPr>
            </w:pPr>
            <w:r>
              <w:rPr>
                <w:b/>
                <w:sz w:val="20"/>
              </w:rPr>
              <w:t>2008</w:t>
            </w:r>
          </w:p>
        </w:tc>
      </w:tr>
      <w:tr>
        <w:trPr>
          <w:trHeight w:val="310" w:hRule="exact"/>
        </w:trPr>
        <w:tc>
          <w:tcPr>
            <w:tcW w:w="2204" w:type="dxa"/>
            <w:shd w:val="clear" w:color="auto" w:fill="D9D9D9"/>
          </w:tcPr>
          <w:p>
            <w:pPr>
              <w:pStyle w:val="TableParagraph"/>
              <w:spacing w:before="34"/>
              <w:ind w:left="103"/>
              <w:jc w:val="left"/>
              <w:rPr>
                <w:b/>
                <w:sz w:val="20"/>
              </w:rPr>
            </w:pPr>
            <w:r>
              <w:rPr>
                <w:b/>
                <w:sz w:val="20"/>
              </w:rPr>
              <w:t>Región Centro-Norte</w:t>
            </w:r>
          </w:p>
        </w:tc>
        <w:tc>
          <w:tcPr>
            <w:tcW w:w="780" w:type="dxa"/>
            <w:shd w:val="clear" w:color="auto" w:fill="D9D9D9"/>
          </w:tcPr>
          <w:p>
            <w:pPr>
              <w:pStyle w:val="TableParagraph"/>
              <w:spacing w:before="29"/>
              <w:ind w:left="161" w:right="165"/>
              <w:rPr>
                <w:sz w:val="20"/>
              </w:rPr>
            </w:pPr>
            <w:r>
              <w:rPr>
                <w:sz w:val="20"/>
              </w:rPr>
              <w:t>3.2</w:t>
            </w:r>
          </w:p>
        </w:tc>
        <w:tc>
          <w:tcPr>
            <w:tcW w:w="780" w:type="dxa"/>
            <w:shd w:val="clear" w:color="auto" w:fill="D9D9D9"/>
          </w:tcPr>
          <w:p>
            <w:pPr>
              <w:pStyle w:val="TableParagraph"/>
              <w:spacing w:before="29"/>
              <w:ind w:left="164" w:right="165"/>
              <w:rPr>
                <w:sz w:val="20"/>
              </w:rPr>
            </w:pPr>
            <w:r>
              <w:rPr>
                <w:sz w:val="20"/>
              </w:rPr>
              <w:t>10.1</w:t>
            </w:r>
          </w:p>
        </w:tc>
        <w:tc>
          <w:tcPr>
            <w:tcW w:w="994" w:type="dxa"/>
            <w:shd w:val="clear" w:color="auto" w:fill="D9D9D9"/>
          </w:tcPr>
          <w:p>
            <w:pPr>
              <w:pStyle w:val="TableParagraph"/>
              <w:spacing w:before="29"/>
              <w:ind w:left="271" w:right="272"/>
              <w:rPr>
                <w:sz w:val="20"/>
              </w:rPr>
            </w:pPr>
            <w:r>
              <w:rPr>
                <w:sz w:val="20"/>
              </w:rPr>
              <w:t>0.2</w:t>
            </w:r>
          </w:p>
        </w:tc>
        <w:tc>
          <w:tcPr>
            <w:tcW w:w="994" w:type="dxa"/>
            <w:shd w:val="clear" w:color="auto" w:fill="D9D9D9"/>
          </w:tcPr>
          <w:p>
            <w:pPr>
              <w:pStyle w:val="TableParagraph"/>
              <w:spacing w:before="29"/>
              <w:ind w:right="314"/>
              <w:jc w:val="right"/>
              <w:rPr>
                <w:sz w:val="20"/>
              </w:rPr>
            </w:pPr>
            <w:r>
              <w:rPr>
                <w:sz w:val="20"/>
              </w:rPr>
              <w:t>14.4</w:t>
            </w:r>
          </w:p>
        </w:tc>
        <w:tc>
          <w:tcPr>
            <w:tcW w:w="877" w:type="dxa"/>
            <w:shd w:val="clear" w:color="auto" w:fill="D9D9D9"/>
          </w:tcPr>
          <w:p>
            <w:pPr>
              <w:pStyle w:val="TableParagraph"/>
              <w:spacing w:before="29"/>
              <w:ind w:left="213" w:right="213"/>
              <w:rPr>
                <w:sz w:val="20"/>
              </w:rPr>
            </w:pPr>
            <w:r>
              <w:rPr>
                <w:sz w:val="20"/>
              </w:rPr>
              <w:t>0.3</w:t>
            </w:r>
          </w:p>
        </w:tc>
        <w:tc>
          <w:tcPr>
            <w:tcW w:w="878" w:type="dxa"/>
            <w:shd w:val="clear" w:color="auto" w:fill="D9D9D9"/>
          </w:tcPr>
          <w:p>
            <w:pPr>
              <w:pStyle w:val="TableParagraph"/>
              <w:spacing w:before="29"/>
              <w:ind w:left="214" w:right="214"/>
              <w:rPr>
                <w:sz w:val="20"/>
              </w:rPr>
            </w:pPr>
            <w:r>
              <w:rPr>
                <w:sz w:val="20"/>
              </w:rPr>
              <w:t>13.6</w:t>
            </w:r>
          </w:p>
        </w:tc>
        <w:tc>
          <w:tcPr>
            <w:tcW w:w="662" w:type="dxa"/>
            <w:shd w:val="clear" w:color="auto" w:fill="D9D9D9"/>
          </w:tcPr>
          <w:p>
            <w:pPr>
              <w:pStyle w:val="TableParagraph"/>
              <w:spacing w:before="29"/>
              <w:ind w:left="104" w:right="106"/>
              <w:rPr>
                <w:sz w:val="20"/>
              </w:rPr>
            </w:pPr>
            <w:r>
              <w:rPr>
                <w:sz w:val="20"/>
              </w:rPr>
              <w:t>0.8</w:t>
            </w:r>
          </w:p>
        </w:tc>
        <w:tc>
          <w:tcPr>
            <w:tcW w:w="660" w:type="dxa"/>
            <w:shd w:val="clear" w:color="auto" w:fill="D9D9D9"/>
          </w:tcPr>
          <w:p>
            <w:pPr>
              <w:pStyle w:val="TableParagraph"/>
              <w:spacing w:before="29"/>
              <w:ind w:left="104" w:right="104"/>
              <w:rPr>
                <w:sz w:val="20"/>
              </w:rPr>
            </w:pPr>
            <w:r>
              <w:rPr>
                <w:sz w:val="20"/>
              </w:rPr>
              <w:t>12.6</w:t>
            </w:r>
          </w:p>
        </w:tc>
      </w:tr>
      <w:tr>
        <w:trPr>
          <w:trHeight w:val="310" w:hRule="exact"/>
        </w:trPr>
        <w:tc>
          <w:tcPr>
            <w:tcW w:w="2204" w:type="dxa"/>
          </w:tcPr>
          <w:p>
            <w:pPr>
              <w:pStyle w:val="TableParagraph"/>
              <w:spacing w:before="29"/>
              <w:ind w:left="103"/>
              <w:jc w:val="left"/>
              <w:rPr>
                <w:sz w:val="20"/>
              </w:rPr>
            </w:pPr>
            <w:r>
              <w:rPr>
                <w:sz w:val="20"/>
              </w:rPr>
              <w:t>Guanajuato</w:t>
            </w:r>
          </w:p>
        </w:tc>
        <w:tc>
          <w:tcPr>
            <w:tcW w:w="780" w:type="dxa"/>
          </w:tcPr>
          <w:p>
            <w:pPr>
              <w:pStyle w:val="TableParagraph"/>
              <w:spacing w:before="29"/>
              <w:ind w:left="161" w:right="165"/>
              <w:rPr>
                <w:sz w:val="20"/>
              </w:rPr>
            </w:pPr>
            <w:r>
              <w:rPr>
                <w:sz w:val="20"/>
              </w:rPr>
              <w:t>1.6</w:t>
            </w:r>
          </w:p>
        </w:tc>
        <w:tc>
          <w:tcPr>
            <w:tcW w:w="780" w:type="dxa"/>
          </w:tcPr>
          <w:p>
            <w:pPr>
              <w:pStyle w:val="TableParagraph"/>
              <w:spacing w:before="29"/>
              <w:ind w:left="164" w:right="165"/>
              <w:rPr>
                <w:sz w:val="20"/>
              </w:rPr>
            </w:pPr>
            <w:r>
              <w:rPr>
                <w:sz w:val="20"/>
              </w:rPr>
              <w:t>2.1</w:t>
            </w:r>
          </w:p>
        </w:tc>
        <w:tc>
          <w:tcPr>
            <w:tcW w:w="994" w:type="dxa"/>
          </w:tcPr>
          <w:p>
            <w:pPr>
              <w:pStyle w:val="TableParagraph"/>
              <w:spacing w:before="29"/>
              <w:ind w:left="271" w:right="272"/>
              <w:rPr>
                <w:sz w:val="20"/>
              </w:rPr>
            </w:pPr>
            <w:r>
              <w:rPr>
                <w:sz w:val="20"/>
              </w:rPr>
              <w:t>0.1</w:t>
            </w:r>
          </w:p>
        </w:tc>
        <w:tc>
          <w:tcPr>
            <w:tcW w:w="994" w:type="dxa"/>
          </w:tcPr>
          <w:p>
            <w:pPr>
              <w:pStyle w:val="TableParagraph"/>
              <w:spacing w:before="29"/>
              <w:ind w:right="364"/>
              <w:jc w:val="right"/>
              <w:rPr>
                <w:sz w:val="20"/>
              </w:rPr>
            </w:pPr>
            <w:r>
              <w:rPr>
                <w:sz w:val="20"/>
              </w:rPr>
              <w:t>7.5</w:t>
            </w:r>
          </w:p>
        </w:tc>
        <w:tc>
          <w:tcPr>
            <w:tcW w:w="877" w:type="dxa"/>
          </w:tcPr>
          <w:p>
            <w:pPr>
              <w:pStyle w:val="TableParagraph"/>
              <w:spacing w:before="29"/>
              <w:ind w:left="213" w:right="213"/>
              <w:rPr>
                <w:sz w:val="20"/>
              </w:rPr>
            </w:pPr>
            <w:r>
              <w:rPr>
                <w:sz w:val="20"/>
              </w:rPr>
              <w:t>0.2</w:t>
            </w:r>
          </w:p>
        </w:tc>
        <w:tc>
          <w:tcPr>
            <w:tcW w:w="878" w:type="dxa"/>
          </w:tcPr>
          <w:p>
            <w:pPr>
              <w:pStyle w:val="TableParagraph"/>
              <w:spacing w:before="29"/>
              <w:ind w:left="214" w:right="214"/>
              <w:rPr>
                <w:sz w:val="20"/>
              </w:rPr>
            </w:pPr>
            <w:r>
              <w:rPr>
                <w:sz w:val="20"/>
              </w:rPr>
              <w:t>6.3</w:t>
            </w:r>
          </w:p>
        </w:tc>
        <w:tc>
          <w:tcPr>
            <w:tcW w:w="662" w:type="dxa"/>
          </w:tcPr>
          <w:p>
            <w:pPr>
              <w:pStyle w:val="TableParagraph"/>
              <w:spacing w:before="29"/>
              <w:ind w:left="104" w:right="106"/>
              <w:rPr>
                <w:sz w:val="20"/>
              </w:rPr>
            </w:pPr>
            <w:r>
              <w:rPr>
                <w:sz w:val="20"/>
              </w:rPr>
              <w:t>0.4</w:t>
            </w:r>
          </w:p>
        </w:tc>
        <w:tc>
          <w:tcPr>
            <w:tcW w:w="660" w:type="dxa"/>
          </w:tcPr>
          <w:p>
            <w:pPr>
              <w:pStyle w:val="TableParagraph"/>
              <w:spacing w:before="29"/>
              <w:ind w:left="104" w:right="104"/>
              <w:rPr>
                <w:sz w:val="20"/>
              </w:rPr>
            </w:pPr>
            <w:r>
              <w:rPr>
                <w:sz w:val="20"/>
              </w:rPr>
              <w:t>3.8</w:t>
            </w:r>
          </w:p>
        </w:tc>
      </w:tr>
      <w:tr>
        <w:trPr>
          <w:trHeight w:val="312" w:hRule="exact"/>
        </w:trPr>
        <w:tc>
          <w:tcPr>
            <w:tcW w:w="2204" w:type="dxa"/>
          </w:tcPr>
          <w:p>
            <w:pPr>
              <w:pStyle w:val="TableParagraph"/>
              <w:spacing w:before="29"/>
              <w:ind w:left="103"/>
              <w:jc w:val="left"/>
              <w:rPr>
                <w:sz w:val="20"/>
              </w:rPr>
            </w:pPr>
            <w:r>
              <w:rPr>
                <w:sz w:val="20"/>
              </w:rPr>
              <w:t>Querétaro</w:t>
            </w:r>
          </w:p>
        </w:tc>
        <w:tc>
          <w:tcPr>
            <w:tcW w:w="780" w:type="dxa"/>
          </w:tcPr>
          <w:p>
            <w:pPr>
              <w:pStyle w:val="TableParagraph"/>
              <w:spacing w:before="29"/>
              <w:ind w:left="161" w:right="165"/>
              <w:rPr>
                <w:sz w:val="20"/>
              </w:rPr>
            </w:pPr>
            <w:r>
              <w:rPr>
                <w:sz w:val="20"/>
              </w:rPr>
              <w:t>0.3</w:t>
            </w:r>
          </w:p>
        </w:tc>
        <w:tc>
          <w:tcPr>
            <w:tcW w:w="780" w:type="dxa"/>
          </w:tcPr>
          <w:p>
            <w:pPr>
              <w:pStyle w:val="TableParagraph"/>
              <w:spacing w:before="29"/>
              <w:ind w:left="164" w:right="165"/>
              <w:rPr>
                <w:sz w:val="20"/>
              </w:rPr>
            </w:pPr>
            <w:r>
              <w:rPr>
                <w:sz w:val="20"/>
              </w:rPr>
              <w:t>4.3</w:t>
            </w:r>
          </w:p>
        </w:tc>
        <w:tc>
          <w:tcPr>
            <w:tcW w:w="994" w:type="dxa"/>
          </w:tcPr>
          <w:p>
            <w:pPr>
              <w:pStyle w:val="TableParagraph"/>
              <w:spacing w:before="29"/>
              <w:ind w:left="271" w:right="272"/>
              <w:rPr>
                <w:sz w:val="20"/>
              </w:rPr>
            </w:pPr>
            <w:r>
              <w:rPr>
                <w:sz w:val="20"/>
              </w:rPr>
              <w:t>0.1</w:t>
            </w:r>
          </w:p>
        </w:tc>
        <w:tc>
          <w:tcPr>
            <w:tcW w:w="994" w:type="dxa"/>
          </w:tcPr>
          <w:p>
            <w:pPr>
              <w:pStyle w:val="TableParagraph"/>
              <w:spacing w:before="29"/>
              <w:ind w:right="364"/>
              <w:jc w:val="right"/>
              <w:rPr>
                <w:sz w:val="20"/>
              </w:rPr>
            </w:pPr>
            <w:r>
              <w:rPr>
                <w:sz w:val="20"/>
              </w:rPr>
              <w:t>4.1</w:t>
            </w:r>
          </w:p>
        </w:tc>
        <w:tc>
          <w:tcPr>
            <w:tcW w:w="877" w:type="dxa"/>
          </w:tcPr>
          <w:p>
            <w:pPr>
              <w:pStyle w:val="TableParagraph"/>
              <w:spacing w:before="29"/>
              <w:ind w:right="2"/>
              <w:rPr>
                <w:sz w:val="20"/>
              </w:rPr>
            </w:pPr>
            <w:r>
              <w:rPr>
                <w:w w:val="99"/>
                <w:sz w:val="20"/>
              </w:rPr>
              <w:t>0</w:t>
            </w:r>
          </w:p>
        </w:tc>
        <w:tc>
          <w:tcPr>
            <w:tcW w:w="878" w:type="dxa"/>
          </w:tcPr>
          <w:p>
            <w:pPr>
              <w:pStyle w:val="TableParagraph"/>
              <w:spacing w:before="29"/>
              <w:ind w:left="214" w:right="214"/>
              <w:rPr>
                <w:sz w:val="20"/>
              </w:rPr>
            </w:pPr>
            <w:r>
              <w:rPr>
                <w:sz w:val="20"/>
              </w:rPr>
              <w:t>4.6</w:t>
            </w:r>
          </w:p>
        </w:tc>
        <w:tc>
          <w:tcPr>
            <w:tcW w:w="662" w:type="dxa"/>
          </w:tcPr>
          <w:p>
            <w:pPr>
              <w:pStyle w:val="TableParagraph"/>
              <w:spacing w:before="29"/>
              <w:ind w:left="104" w:right="106"/>
              <w:rPr>
                <w:sz w:val="20"/>
              </w:rPr>
            </w:pPr>
            <w:r>
              <w:rPr>
                <w:sz w:val="20"/>
              </w:rPr>
              <w:t>0.1</w:t>
            </w:r>
          </w:p>
        </w:tc>
        <w:tc>
          <w:tcPr>
            <w:tcW w:w="660" w:type="dxa"/>
          </w:tcPr>
          <w:p>
            <w:pPr>
              <w:pStyle w:val="TableParagraph"/>
              <w:spacing w:before="29"/>
              <w:ind w:left="104" w:right="104"/>
              <w:rPr>
                <w:sz w:val="20"/>
              </w:rPr>
            </w:pPr>
            <w:r>
              <w:rPr>
                <w:sz w:val="20"/>
              </w:rPr>
              <w:t>4.6</w:t>
            </w:r>
          </w:p>
        </w:tc>
      </w:tr>
      <w:tr>
        <w:trPr>
          <w:trHeight w:val="310" w:hRule="exact"/>
        </w:trPr>
        <w:tc>
          <w:tcPr>
            <w:tcW w:w="2204" w:type="dxa"/>
          </w:tcPr>
          <w:p>
            <w:pPr>
              <w:pStyle w:val="TableParagraph"/>
              <w:spacing w:before="27"/>
              <w:ind w:left="103"/>
              <w:jc w:val="left"/>
              <w:rPr>
                <w:sz w:val="20"/>
              </w:rPr>
            </w:pPr>
            <w:r>
              <w:rPr>
                <w:sz w:val="20"/>
              </w:rPr>
              <w:t>San Luis Potosí</w:t>
            </w:r>
          </w:p>
        </w:tc>
        <w:tc>
          <w:tcPr>
            <w:tcW w:w="780" w:type="dxa"/>
          </w:tcPr>
          <w:p>
            <w:pPr>
              <w:pStyle w:val="TableParagraph"/>
              <w:spacing w:before="27"/>
              <w:ind w:left="161" w:right="165"/>
              <w:rPr>
                <w:sz w:val="20"/>
              </w:rPr>
            </w:pPr>
            <w:r>
              <w:rPr>
                <w:sz w:val="20"/>
              </w:rPr>
              <w:t>1.3</w:t>
            </w:r>
          </w:p>
        </w:tc>
        <w:tc>
          <w:tcPr>
            <w:tcW w:w="780" w:type="dxa"/>
          </w:tcPr>
          <w:p>
            <w:pPr>
              <w:pStyle w:val="TableParagraph"/>
              <w:spacing w:before="27"/>
              <w:ind w:left="164" w:right="165"/>
              <w:rPr>
                <w:sz w:val="20"/>
              </w:rPr>
            </w:pPr>
            <w:r>
              <w:rPr>
                <w:sz w:val="20"/>
              </w:rPr>
              <w:t>3.7</w:t>
            </w:r>
          </w:p>
        </w:tc>
        <w:tc>
          <w:tcPr>
            <w:tcW w:w="994" w:type="dxa"/>
          </w:tcPr>
          <w:p>
            <w:pPr>
              <w:pStyle w:val="TableParagraph"/>
              <w:spacing w:before="27"/>
              <w:ind w:left="271" w:right="272"/>
              <w:rPr>
                <w:sz w:val="20"/>
              </w:rPr>
            </w:pPr>
            <w:r>
              <w:rPr>
                <w:sz w:val="20"/>
              </w:rPr>
              <w:t>0.1</w:t>
            </w:r>
          </w:p>
        </w:tc>
        <w:tc>
          <w:tcPr>
            <w:tcW w:w="994" w:type="dxa"/>
          </w:tcPr>
          <w:p>
            <w:pPr>
              <w:pStyle w:val="TableParagraph"/>
              <w:spacing w:before="27"/>
              <w:ind w:right="364"/>
              <w:jc w:val="right"/>
              <w:rPr>
                <w:sz w:val="20"/>
              </w:rPr>
            </w:pPr>
            <w:r>
              <w:rPr>
                <w:sz w:val="20"/>
              </w:rPr>
              <w:t>2.9</w:t>
            </w:r>
          </w:p>
        </w:tc>
        <w:tc>
          <w:tcPr>
            <w:tcW w:w="877" w:type="dxa"/>
          </w:tcPr>
          <w:p>
            <w:pPr>
              <w:pStyle w:val="TableParagraph"/>
              <w:spacing w:before="27"/>
              <w:ind w:left="213" w:right="213"/>
              <w:rPr>
                <w:sz w:val="20"/>
              </w:rPr>
            </w:pPr>
            <w:r>
              <w:rPr>
                <w:sz w:val="20"/>
              </w:rPr>
              <w:t>0.1</w:t>
            </w:r>
          </w:p>
        </w:tc>
        <w:tc>
          <w:tcPr>
            <w:tcW w:w="878" w:type="dxa"/>
          </w:tcPr>
          <w:p>
            <w:pPr>
              <w:pStyle w:val="TableParagraph"/>
              <w:spacing w:before="27"/>
              <w:ind w:left="214" w:right="214"/>
              <w:rPr>
                <w:sz w:val="20"/>
              </w:rPr>
            </w:pPr>
            <w:r>
              <w:rPr>
                <w:sz w:val="20"/>
              </w:rPr>
              <w:t>2.6</w:t>
            </w:r>
          </w:p>
        </w:tc>
        <w:tc>
          <w:tcPr>
            <w:tcW w:w="662" w:type="dxa"/>
          </w:tcPr>
          <w:p>
            <w:pPr>
              <w:pStyle w:val="TableParagraph"/>
              <w:spacing w:before="27"/>
              <w:ind w:left="104" w:right="106"/>
              <w:rPr>
                <w:sz w:val="20"/>
              </w:rPr>
            </w:pPr>
            <w:r>
              <w:rPr>
                <w:sz w:val="20"/>
              </w:rPr>
              <w:t>0.3</w:t>
            </w:r>
          </w:p>
        </w:tc>
        <w:tc>
          <w:tcPr>
            <w:tcW w:w="660" w:type="dxa"/>
          </w:tcPr>
          <w:p>
            <w:pPr>
              <w:pStyle w:val="TableParagraph"/>
              <w:spacing w:before="27"/>
              <w:ind w:left="104" w:right="104"/>
              <w:rPr>
                <w:sz w:val="20"/>
              </w:rPr>
            </w:pPr>
            <w:r>
              <w:rPr>
                <w:sz w:val="20"/>
              </w:rPr>
              <w:t>4.2</w:t>
            </w:r>
          </w:p>
        </w:tc>
      </w:tr>
    </w:tbl>
    <w:p>
      <w:pPr>
        <w:spacing w:line="202" w:lineRule="exact" w:before="0"/>
        <w:ind w:left="162" w:right="119" w:firstLine="0"/>
        <w:jc w:val="left"/>
        <w:rPr>
          <w:sz w:val="18"/>
        </w:rPr>
      </w:pPr>
      <w:r>
        <w:rPr>
          <w:sz w:val="18"/>
        </w:rPr>
        <w:t>Fuente: Elaboración propia con datos de INEGI (1980 y 2009).</w:t>
      </w:r>
    </w:p>
    <w:p>
      <w:pPr>
        <w:spacing w:after="0" w:line="202" w:lineRule="exact"/>
        <w:jc w:val="left"/>
        <w:rPr>
          <w:sz w:val="18"/>
        </w:rPr>
        <w:sectPr>
          <w:pgSz w:w="12240" w:h="15840"/>
          <w:pgMar w:header="0" w:footer="1035" w:top="1360" w:bottom="1220" w:left="1600" w:right="1580"/>
        </w:sectPr>
      </w:pPr>
    </w:p>
    <w:p>
      <w:pPr>
        <w:pStyle w:val="BodyText"/>
        <w:spacing w:line="360" w:lineRule="auto" w:before="50"/>
        <w:ind w:left="102" w:right="118"/>
        <w:jc w:val="both"/>
      </w:pPr>
      <w:r>
        <w:rPr/>
        <w:t>Al realizar el análisis de la evolución que la industria automotriz ha tenido en el sector manufacturero de la región centro-norte, se encontró que pese a que en 2009, la región solo aportaba el 0.5% de la unidades económicas del sector manufacturero de la región, la producción bruta total, el valor agregado censal bruto y el personal ocupado tuvieron importantes crecimientos en su participación porcentual. Al respecto, la producción bruta se incrementó en 18.1%, mientras que el valor agregado censal bruto lo hizo en 17.1%, y el personal ocupado en 12.3% (véase cuadro 4.23).</w:t>
      </w:r>
    </w:p>
    <w:p>
      <w:pPr>
        <w:pStyle w:val="BodyText"/>
        <w:spacing w:before="5"/>
        <w:rPr>
          <w:sz w:val="21"/>
        </w:rPr>
      </w:pPr>
    </w:p>
    <w:p>
      <w:pPr>
        <w:pStyle w:val="BodyText"/>
        <w:spacing w:line="360" w:lineRule="auto"/>
        <w:ind w:left="102" w:right="117"/>
        <w:jc w:val="both"/>
      </w:pPr>
      <w:r>
        <w:rPr/>
        <w:t>Por entidad federativa encontramos que al año 2008, la industria automotriz del estado de Querétaro</w:t>
      </w:r>
      <w:r>
        <w:rPr>
          <w:spacing w:val="-9"/>
        </w:rPr>
        <w:t> </w:t>
      </w:r>
      <w:r>
        <w:rPr/>
        <w:t>fue</w:t>
      </w:r>
      <w:r>
        <w:rPr>
          <w:spacing w:val="-10"/>
        </w:rPr>
        <w:t> </w:t>
      </w:r>
      <w:r>
        <w:rPr/>
        <w:t>la</w:t>
      </w:r>
      <w:r>
        <w:rPr>
          <w:spacing w:val="-9"/>
        </w:rPr>
        <w:t> </w:t>
      </w:r>
      <w:r>
        <w:rPr/>
        <w:t>más</w:t>
      </w:r>
      <w:r>
        <w:rPr>
          <w:spacing w:val="-8"/>
        </w:rPr>
        <w:t> </w:t>
      </w:r>
      <w:r>
        <w:rPr/>
        <w:t>dinámica</w:t>
      </w:r>
      <w:r>
        <w:rPr>
          <w:spacing w:val="-8"/>
        </w:rPr>
        <w:t> </w:t>
      </w:r>
      <w:r>
        <w:rPr/>
        <w:t>de</w:t>
      </w:r>
      <w:r>
        <w:rPr>
          <w:spacing w:val="-10"/>
        </w:rPr>
        <w:t> </w:t>
      </w:r>
      <w:r>
        <w:rPr/>
        <w:t>la</w:t>
      </w:r>
      <w:r>
        <w:rPr>
          <w:spacing w:val="-7"/>
        </w:rPr>
        <w:t> </w:t>
      </w:r>
      <w:r>
        <w:rPr/>
        <w:t>región,</w:t>
      </w:r>
      <w:r>
        <w:rPr>
          <w:spacing w:val="-8"/>
        </w:rPr>
        <w:t> </w:t>
      </w:r>
      <w:r>
        <w:rPr/>
        <w:t>pues</w:t>
      </w:r>
      <w:r>
        <w:rPr>
          <w:spacing w:val="-8"/>
        </w:rPr>
        <w:t> </w:t>
      </w:r>
      <w:r>
        <w:rPr/>
        <w:t>sus</w:t>
      </w:r>
      <w:r>
        <w:rPr>
          <w:spacing w:val="-7"/>
        </w:rPr>
        <w:t> </w:t>
      </w:r>
      <w:r>
        <w:rPr/>
        <w:t>unidades</w:t>
      </w:r>
      <w:r>
        <w:rPr>
          <w:spacing w:val="-8"/>
        </w:rPr>
        <w:t> </w:t>
      </w:r>
      <w:r>
        <w:rPr/>
        <w:t>económicas,</w:t>
      </w:r>
      <w:r>
        <w:rPr>
          <w:spacing w:val="-6"/>
        </w:rPr>
        <w:t> </w:t>
      </w:r>
      <w:r>
        <w:rPr/>
        <w:t>producción</w:t>
      </w:r>
      <w:r>
        <w:rPr>
          <w:spacing w:val="-8"/>
        </w:rPr>
        <w:t> </w:t>
      </w:r>
      <w:r>
        <w:rPr/>
        <w:t>bruta y valor agregado censal bruto, aportaron el 1.4, 20.1 y 20.2%, respectivamente a la manufactura del estado (véase cuadro</w:t>
      </w:r>
      <w:r>
        <w:rPr>
          <w:spacing w:val="-6"/>
        </w:rPr>
        <w:t> </w:t>
      </w:r>
      <w:r>
        <w:rPr/>
        <w:t>4.23).</w:t>
      </w:r>
    </w:p>
    <w:p>
      <w:pPr>
        <w:pStyle w:val="BodyText"/>
        <w:spacing w:before="4"/>
        <w:rPr>
          <w:sz w:val="21"/>
        </w:rPr>
      </w:pPr>
    </w:p>
    <w:p>
      <w:pPr>
        <w:pStyle w:val="BodyText"/>
        <w:spacing w:line="360" w:lineRule="auto" w:before="1"/>
        <w:ind w:left="102" w:right="123"/>
        <w:jc w:val="both"/>
      </w:pPr>
      <w:r>
        <w:rPr/>
        <w:t>Siguiendo con el cuadro 4.23, se observa que la industria automotriz de Guanajuato es también de gran importancia para la manufactura de la entidad, ya que al 2008, aportó el 18.8% de la producción bruta total y el 17.8% del valor agregado censal bruto.</w:t>
      </w:r>
    </w:p>
    <w:p>
      <w:pPr>
        <w:pStyle w:val="BodyText"/>
        <w:spacing w:before="2"/>
        <w:rPr>
          <w:sz w:val="21"/>
        </w:rPr>
      </w:pPr>
    </w:p>
    <w:p>
      <w:pPr>
        <w:pStyle w:val="BodyText"/>
        <w:spacing w:line="360" w:lineRule="auto"/>
        <w:ind w:left="102" w:right="116" w:firstLine="60"/>
        <w:jc w:val="both"/>
      </w:pPr>
      <w:r>
        <w:rPr/>
        <w:t>En cuanto a personal ocupado, la industria automotriz del estado de San Luis Potosí figura como la entidad que más empleo genera a nivel regional dentro del sector manufacturero a nivel</w:t>
      </w:r>
      <w:r>
        <w:rPr>
          <w:spacing w:val="-9"/>
        </w:rPr>
        <w:t> </w:t>
      </w:r>
      <w:r>
        <w:rPr/>
        <w:t>estatal,</w:t>
      </w:r>
      <w:r>
        <w:rPr>
          <w:spacing w:val="-8"/>
        </w:rPr>
        <w:t> </w:t>
      </w:r>
      <w:r>
        <w:rPr/>
        <w:t>con</w:t>
      </w:r>
      <w:r>
        <w:rPr>
          <w:spacing w:val="-9"/>
        </w:rPr>
        <w:t> </w:t>
      </w:r>
      <w:r>
        <w:rPr/>
        <w:t>una</w:t>
      </w:r>
      <w:r>
        <w:rPr>
          <w:spacing w:val="-10"/>
        </w:rPr>
        <w:t> </w:t>
      </w:r>
      <w:r>
        <w:rPr/>
        <w:t>participación</w:t>
      </w:r>
      <w:r>
        <w:rPr>
          <w:spacing w:val="-8"/>
        </w:rPr>
        <w:t> </w:t>
      </w:r>
      <w:r>
        <w:rPr/>
        <w:t>del</w:t>
      </w:r>
      <w:r>
        <w:rPr>
          <w:spacing w:val="-8"/>
        </w:rPr>
        <w:t> </w:t>
      </w:r>
      <w:r>
        <w:rPr/>
        <w:t>20.1%;</w:t>
      </w:r>
      <w:r>
        <w:rPr>
          <w:spacing w:val="-8"/>
        </w:rPr>
        <w:t> </w:t>
      </w:r>
      <w:r>
        <w:rPr/>
        <w:t>en</w:t>
      </w:r>
      <w:r>
        <w:rPr>
          <w:spacing w:val="-6"/>
        </w:rPr>
        <w:t> </w:t>
      </w:r>
      <w:r>
        <w:rPr/>
        <w:t>este</w:t>
      </w:r>
      <w:r>
        <w:rPr>
          <w:spacing w:val="-9"/>
        </w:rPr>
        <w:t> </w:t>
      </w:r>
      <w:r>
        <w:rPr/>
        <w:t>sentido,</w:t>
      </w:r>
      <w:r>
        <w:rPr>
          <w:spacing w:val="-9"/>
        </w:rPr>
        <w:t> </w:t>
      </w:r>
      <w:r>
        <w:rPr/>
        <w:t>dicha</w:t>
      </w:r>
      <w:r>
        <w:rPr>
          <w:spacing w:val="-10"/>
        </w:rPr>
        <w:t> </w:t>
      </w:r>
      <w:r>
        <w:rPr/>
        <w:t>entidad</w:t>
      </w:r>
      <w:r>
        <w:rPr>
          <w:spacing w:val="-7"/>
        </w:rPr>
        <w:t> </w:t>
      </w:r>
      <w:r>
        <w:rPr/>
        <w:t>pasó</w:t>
      </w:r>
      <w:r>
        <w:rPr>
          <w:spacing w:val="-8"/>
        </w:rPr>
        <w:t> </w:t>
      </w:r>
      <w:r>
        <w:rPr/>
        <w:t>de</w:t>
      </w:r>
      <w:r>
        <w:rPr>
          <w:spacing w:val="-10"/>
        </w:rPr>
        <w:t> </w:t>
      </w:r>
      <w:r>
        <w:rPr/>
        <w:t>emplear en 1980 a 365 trabajadores a emplear en 2009 a 21,660 trabajadores (véase cuadro</w:t>
      </w:r>
      <w:r>
        <w:rPr>
          <w:spacing w:val="-10"/>
        </w:rPr>
        <w:t> </w:t>
      </w:r>
      <w:r>
        <w:rPr/>
        <w:t>4.23).</w:t>
      </w:r>
    </w:p>
    <w:p>
      <w:pPr>
        <w:pStyle w:val="BodyText"/>
        <w:spacing w:before="2"/>
        <w:rPr>
          <w:sz w:val="21"/>
        </w:rPr>
      </w:pPr>
    </w:p>
    <w:p>
      <w:pPr>
        <w:pStyle w:val="BodyText"/>
        <w:spacing w:line="360" w:lineRule="auto"/>
        <w:ind w:left="102" w:right="122"/>
        <w:jc w:val="both"/>
      </w:pPr>
      <w:r>
        <w:rPr/>
        <w:t>En la actualidad en el estado de San Luis Potosí se encuentran 103 unidades económicas dedicas</w:t>
      </w:r>
      <w:r>
        <w:rPr>
          <w:spacing w:val="-10"/>
        </w:rPr>
        <w:t> </w:t>
      </w:r>
      <w:r>
        <w:rPr/>
        <w:t>a</w:t>
      </w:r>
      <w:r>
        <w:rPr>
          <w:spacing w:val="-13"/>
        </w:rPr>
        <w:t> </w:t>
      </w:r>
      <w:r>
        <w:rPr/>
        <w:t>la</w:t>
      </w:r>
      <w:r>
        <w:rPr>
          <w:spacing w:val="-11"/>
        </w:rPr>
        <w:t> </w:t>
      </w:r>
      <w:r>
        <w:rPr/>
        <w:t>industria</w:t>
      </w:r>
      <w:r>
        <w:rPr>
          <w:spacing w:val="-11"/>
        </w:rPr>
        <w:t> </w:t>
      </w:r>
      <w:r>
        <w:rPr/>
        <w:t>automotriz:</w:t>
      </w:r>
      <w:r>
        <w:rPr>
          <w:spacing w:val="-12"/>
        </w:rPr>
        <w:t> </w:t>
      </w:r>
      <w:r>
        <w:rPr/>
        <w:t>una</w:t>
      </w:r>
      <w:r>
        <w:rPr>
          <w:spacing w:val="-13"/>
        </w:rPr>
        <w:t> </w:t>
      </w:r>
      <w:r>
        <w:rPr/>
        <w:t>planta</w:t>
      </w:r>
      <w:r>
        <w:rPr>
          <w:spacing w:val="-13"/>
        </w:rPr>
        <w:t> </w:t>
      </w:r>
      <w:r>
        <w:rPr/>
        <w:t>armadora</w:t>
      </w:r>
      <w:r>
        <w:rPr>
          <w:spacing w:val="-14"/>
        </w:rPr>
        <w:t> </w:t>
      </w:r>
      <w:r>
        <w:rPr/>
        <w:t>de</w:t>
      </w:r>
      <w:r>
        <w:rPr>
          <w:spacing w:val="-13"/>
        </w:rPr>
        <w:t> </w:t>
      </w:r>
      <w:r>
        <w:rPr/>
        <w:t>General</w:t>
      </w:r>
      <w:r>
        <w:rPr>
          <w:spacing w:val="-12"/>
        </w:rPr>
        <w:t> </w:t>
      </w:r>
      <w:r>
        <w:rPr/>
        <w:t>Motors</w:t>
      </w:r>
      <w:r>
        <w:rPr>
          <w:spacing w:val="-13"/>
        </w:rPr>
        <w:t> </w:t>
      </w:r>
      <w:r>
        <w:rPr/>
        <w:t>,</w:t>
      </w:r>
      <w:r>
        <w:rPr>
          <w:spacing w:val="-10"/>
        </w:rPr>
        <w:t> </w:t>
      </w:r>
      <w:r>
        <w:rPr/>
        <w:t>que</w:t>
      </w:r>
      <w:r>
        <w:rPr>
          <w:spacing w:val="-13"/>
        </w:rPr>
        <w:t> </w:t>
      </w:r>
      <w:r>
        <w:rPr/>
        <w:t>produce</w:t>
      </w:r>
      <w:r>
        <w:rPr>
          <w:spacing w:val="-11"/>
        </w:rPr>
        <w:t> </w:t>
      </w:r>
      <w:r>
        <w:rPr/>
        <w:t>autos Aveo y Trax y102 proveedoras de autopartes, no obstante recientemente se anunció la instalación de una planta de la empresa BMW en la entidad (AMIA, 2015 y SE,</w:t>
      </w:r>
      <w:r>
        <w:rPr>
          <w:spacing w:val="-14"/>
        </w:rPr>
        <w:t> </w:t>
      </w:r>
      <w:r>
        <w:rPr/>
        <w:t>2014).</w:t>
      </w:r>
    </w:p>
    <w:p>
      <w:pPr>
        <w:pStyle w:val="BodyText"/>
        <w:spacing w:before="2"/>
        <w:rPr>
          <w:sz w:val="21"/>
        </w:rPr>
      </w:pPr>
    </w:p>
    <w:p>
      <w:pPr>
        <w:pStyle w:val="BodyText"/>
        <w:spacing w:line="360" w:lineRule="auto"/>
        <w:ind w:left="102" w:right="117"/>
        <w:jc w:val="both"/>
      </w:pPr>
      <w:r>
        <w:rPr/>
        <w:t>Además recientemente se anunció una inversión por 550 mdd por parte del fabricante de llantas</w:t>
      </w:r>
      <w:r>
        <w:rPr>
          <w:spacing w:val="-6"/>
        </w:rPr>
        <w:t> </w:t>
      </w:r>
      <w:r>
        <w:rPr/>
        <w:t>Goodyear</w:t>
      </w:r>
      <w:r>
        <w:rPr>
          <w:spacing w:val="-7"/>
        </w:rPr>
        <w:t> </w:t>
      </w:r>
      <w:r>
        <w:rPr/>
        <w:t>Tire</w:t>
      </w:r>
      <w:r>
        <w:rPr>
          <w:spacing w:val="-5"/>
        </w:rPr>
        <w:t> </w:t>
      </w:r>
      <w:r>
        <w:rPr/>
        <w:t>&amp;</w:t>
      </w:r>
      <w:r>
        <w:rPr>
          <w:spacing w:val="-6"/>
        </w:rPr>
        <w:t> </w:t>
      </w:r>
      <w:r>
        <w:rPr/>
        <w:t>Rubber,</w:t>
      </w:r>
      <w:r>
        <w:rPr>
          <w:spacing w:val="-7"/>
        </w:rPr>
        <w:t> </w:t>
      </w:r>
      <w:r>
        <w:rPr/>
        <w:t>para</w:t>
      </w:r>
      <w:r>
        <w:rPr>
          <w:spacing w:val="-8"/>
        </w:rPr>
        <w:t> </w:t>
      </w:r>
      <w:r>
        <w:rPr/>
        <w:t>la</w:t>
      </w:r>
      <w:r>
        <w:rPr>
          <w:spacing w:val="-7"/>
        </w:rPr>
        <w:t> </w:t>
      </w:r>
      <w:r>
        <w:rPr/>
        <w:t>construcción</w:t>
      </w:r>
      <w:r>
        <w:rPr>
          <w:spacing w:val="-6"/>
        </w:rPr>
        <w:t> </w:t>
      </w:r>
      <w:r>
        <w:rPr/>
        <w:t>de</w:t>
      </w:r>
      <w:r>
        <w:rPr>
          <w:spacing w:val="-7"/>
        </w:rPr>
        <w:t> </w:t>
      </w:r>
      <w:r>
        <w:rPr/>
        <w:t>una</w:t>
      </w:r>
      <w:r>
        <w:rPr>
          <w:spacing w:val="-7"/>
        </w:rPr>
        <w:t> </w:t>
      </w:r>
      <w:r>
        <w:rPr/>
        <w:t>de</w:t>
      </w:r>
      <w:r>
        <w:rPr>
          <w:spacing w:val="-7"/>
        </w:rPr>
        <w:t> </w:t>
      </w:r>
      <w:r>
        <w:rPr/>
        <w:t>las</w:t>
      </w:r>
      <w:r>
        <w:rPr>
          <w:spacing w:val="-7"/>
        </w:rPr>
        <w:t> </w:t>
      </w:r>
      <w:r>
        <w:rPr/>
        <w:t>plantas</w:t>
      </w:r>
      <w:r>
        <w:rPr>
          <w:spacing w:val="-6"/>
        </w:rPr>
        <w:t> </w:t>
      </w:r>
      <w:r>
        <w:rPr/>
        <w:t>más</w:t>
      </w:r>
      <w:r>
        <w:rPr>
          <w:spacing w:val="-7"/>
        </w:rPr>
        <w:t> </w:t>
      </w:r>
      <w:r>
        <w:rPr/>
        <w:t>grandes</w:t>
      </w:r>
      <w:r>
        <w:rPr>
          <w:spacing w:val="-1"/>
        </w:rPr>
        <w:t> </w:t>
      </w:r>
      <w:r>
        <w:rPr/>
        <w:t>y</w:t>
      </w:r>
      <w:r>
        <w:rPr>
          <w:spacing w:val="-13"/>
        </w:rPr>
        <w:t> </w:t>
      </w:r>
      <w:r>
        <w:rPr/>
        <w:t>de alta</w:t>
      </w:r>
      <w:r>
        <w:rPr>
          <w:spacing w:val="-7"/>
        </w:rPr>
        <w:t> </w:t>
      </w:r>
      <w:r>
        <w:rPr/>
        <w:t>tecnología</w:t>
      </w:r>
      <w:r>
        <w:rPr>
          <w:spacing w:val="-7"/>
        </w:rPr>
        <w:t> </w:t>
      </w:r>
      <w:r>
        <w:rPr/>
        <w:t>en</w:t>
      </w:r>
      <w:r>
        <w:rPr>
          <w:spacing w:val="-6"/>
        </w:rPr>
        <w:t> </w:t>
      </w:r>
      <w:r>
        <w:rPr/>
        <w:t>la</w:t>
      </w:r>
      <w:r>
        <w:rPr>
          <w:spacing w:val="-7"/>
        </w:rPr>
        <w:t> </w:t>
      </w:r>
      <w:r>
        <w:rPr/>
        <w:t>entidad,</w:t>
      </w:r>
      <w:r>
        <w:rPr>
          <w:spacing w:val="-6"/>
        </w:rPr>
        <w:t> </w:t>
      </w:r>
      <w:r>
        <w:rPr/>
        <w:t>esperando</w:t>
      </w:r>
      <w:r>
        <w:rPr>
          <w:spacing w:val="-6"/>
        </w:rPr>
        <w:t> </w:t>
      </w:r>
      <w:r>
        <w:rPr/>
        <w:t>que</w:t>
      </w:r>
      <w:r>
        <w:rPr>
          <w:spacing w:val="-7"/>
        </w:rPr>
        <w:t> </w:t>
      </w:r>
      <w:r>
        <w:rPr/>
        <w:t>dicha</w:t>
      </w:r>
      <w:r>
        <w:rPr>
          <w:spacing w:val="-5"/>
        </w:rPr>
        <w:t> </w:t>
      </w:r>
      <w:r>
        <w:rPr/>
        <w:t>planta</w:t>
      </w:r>
      <w:r>
        <w:rPr>
          <w:spacing w:val="-7"/>
        </w:rPr>
        <w:t> </w:t>
      </w:r>
      <w:r>
        <w:rPr/>
        <w:t>entre</w:t>
      </w:r>
      <w:r>
        <w:rPr>
          <w:spacing w:val="-7"/>
        </w:rPr>
        <w:t> </w:t>
      </w:r>
      <w:r>
        <w:rPr/>
        <w:t>en</w:t>
      </w:r>
      <w:r>
        <w:rPr>
          <w:spacing w:val="-6"/>
        </w:rPr>
        <w:t> </w:t>
      </w:r>
      <w:r>
        <w:rPr/>
        <w:t>operaciones</w:t>
      </w:r>
      <w:r>
        <w:rPr>
          <w:spacing w:val="-7"/>
        </w:rPr>
        <w:t> </w:t>
      </w:r>
      <w:r>
        <w:rPr/>
        <w:t>en</w:t>
      </w:r>
      <w:r>
        <w:rPr>
          <w:spacing w:val="-3"/>
        </w:rPr>
        <w:t> </w:t>
      </w:r>
      <w:r>
        <w:rPr/>
        <w:t>el</w:t>
      </w:r>
      <w:r>
        <w:rPr>
          <w:spacing w:val="-6"/>
        </w:rPr>
        <w:t> </w:t>
      </w:r>
      <w:r>
        <w:rPr/>
        <w:t>año</w:t>
      </w:r>
      <w:r>
        <w:rPr>
          <w:spacing w:val="-6"/>
        </w:rPr>
        <w:t> </w:t>
      </w:r>
      <w:r>
        <w:rPr/>
        <w:t>2017 y genere más de mil empleos directos y más de cinco mil indirectos (monitor económico, 2015).</w:t>
      </w:r>
    </w:p>
    <w:p>
      <w:pPr>
        <w:spacing w:after="0" w:line="360" w:lineRule="auto"/>
        <w:jc w:val="both"/>
        <w:sectPr>
          <w:pgSz w:w="12240" w:h="15840"/>
          <w:pgMar w:header="0" w:footer="1035" w:top="1360" w:bottom="1220" w:left="1600" w:right="1580"/>
        </w:sectPr>
      </w:pPr>
    </w:p>
    <w:p>
      <w:pPr>
        <w:pStyle w:val="Heading1"/>
        <w:spacing w:line="360" w:lineRule="auto" w:before="55" w:after="7"/>
        <w:ind w:left="222" w:right="242" w:firstLine="3"/>
        <w:jc w:val="center"/>
      </w:pPr>
      <w:r>
        <w:rPr/>
        <w:t>Cuadro 4.23. Participación porcentual de la industria automotriz de la Región Centro-Norte en el total de la manufactura regional y por entidad federativa, 1980</w:t>
      </w:r>
      <w:r>
        <w:rPr>
          <w:spacing w:val="-20"/>
        </w:rPr>
        <w:t> </w:t>
      </w:r>
      <w:r>
        <w:rPr/>
        <w:t>y 2008 (principales</w:t>
      </w:r>
      <w:r>
        <w:rPr>
          <w:spacing w:val="-6"/>
        </w:rPr>
        <w:t> </w:t>
      </w:r>
      <w:r>
        <w:rPr/>
        <w:t>características)</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47"/>
        <w:gridCol w:w="833"/>
        <w:gridCol w:w="830"/>
        <w:gridCol w:w="872"/>
        <w:gridCol w:w="869"/>
        <w:gridCol w:w="1013"/>
        <w:gridCol w:w="1013"/>
        <w:gridCol w:w="727"/>
        <w:gridCol w:w="725"/>
      </w:tblGrid>
      <w:tr>
        <w:trPr>
          <w:trHeight w:val="497" w:hRule="exact"/>
        </w:trPr>
        <w:tc>
          <w:tcPr>
            <w:tcW w:w="1947" w:type="dxa"/>
            <w:tcBorders>
              <w:right w:val="nil"/>
            </w:tcBorders>
            <w:shd w:val="clear" w:color="auto" w:fill="A6A6A6"/>
          </w:tcPr>
          <w:p>
            <w:pPr/>
          </w:p>
        </w:tc>
        <w:tc>
          <w:tcPr>
            <w:tcW w:w="1663" w:type="dxa"/>
            <w:gridSpan w:val="2"/>
            <w:tcBorders>
              <w:left w:val="nil"/>
              <w:right w:val="nil"/>
            </w:tcBorders>
            <w:shd w:val="clear" w:color="auto" w:fill="A6A6A6"/>
          </w:tcPr>
          <w:p>
            <w:pPr>
              <w:pStyle w:val="TableParagraph"/>
              <w:spacing w:line="252" w:lineRule="auto"/>
              <w:ind w:left="319" w:firstLine="112"/>
              <w:jc w:val="left"/>
              <w:rPr>
                <w:b/>
                <w:sz w:val="20"/>
              </w:rPr>
            </w:pPr>
            <w:r>
              <w:rPr>
                <w:b/>
                <w:sz w:val="20"/>
              </w:rPr>
              <w:t>Unidades </w:t>
            </w:r>
            <w:r>
              <w:rPr>
                <w:b/>
                <w:w w:val="95"/>
                <w:sz w:val="20"/>
              </w:rPr>
              <w:t>Económicas</w:t>
            </w:r>
          </w:p>
        </w:tc>
        <w:tc>
          <w:tcPr>
            <w:tcW w:w="1740" w:type="dxa"/>
            <w:gridSpan w:val="2"/>
            <w:tcBorders>
              <w:left w:val="nil"/>
              <w:right w:val="nil"/>
            </w:tcBorders>
            <w:shd w:val="clear" w:color="auto" w:fill="A6A6A6"/>
          </w:tcPr>
          <w:p>
            <w:pPr>
              <w:pStyle w:val="TableParagraph"/>
              <w:spacing w:line="252" w:lineRule="auto"/>
              <w:ind w:left="641" w:hanging="536"/>
              <w:jc w:val="left"/>
              <w:rPr>
                <w:b/>
                <w:sz w:val="20"/>
              </w:rPr>
            </w:pPr>
            <w:r>
              <w:rPr>
                <w:b/>
                <w:sz w:val="20"/>
              </w:rPr>
              <w:t>Producción Bruta Total</w:t>
            </w:r>
          </w:p>
        </w:tc>
        <w:tc>
          <w:tcPr>
            <w:tcW w:w="2026" w:type="dxa"/>
            <w:gridSpan w:val="2"/>
            <w:tcBorders>
              <w:left w:val="nil"/>
              <w:right w:val="nil"/>
            </w:tcBorders>
            <w:shd w:val="clear" w:color="auto" w:fill="A6A6A6"/>
          </w:tcPr>
          <w:p>
            <w:pPr>
              <w:pStyle w:val="TableParagraph"/>
              <w:spacing w:line="252" w:lineRule="auto"/>
              <w:ind w:left="448" w:right="311" w:hanging="125"/>
              <w:jc w:val="left"/>
              <w:rPr>
                <w:b/>
                <w:sz w:val="20"/>
              </w:rPr>
            </w:pPr>
            <w:r>
              <w:rPr>
                <w:b/>
                <w:sz w:val="20"/>
              </w:rPr>
              <w:t>Valor Agregado Censal Bruto</w:t>
            </w:r>
          </w:p>
        </w:tc>
        <w:tc>
          <w:tcPr>
            <w:tcW w:w="1452" w:type="dxa"/>
            <w:gridSpan w:val="2"/>
            <w:tcBorders>
              <w:left w:val="nil"/>
            </w:tcBorders>
            <w:shd w:val="clear" w:color="auto" w:fill="A6A6A6"/>
          </w:tcPr>
          <w:p>
            <w:pPr>
              <w:pStyle w:val="TableParagraph"/>
              <w:spacing w:line="252" w:lineRule="auto"/>
              <w:ind w:left="335" w:right="332" w:firstLine="16"/>
              <w:jc w:val="left"/>
              <w:rPr>
                <w:b/>
                <w:sz w:val="20"/>
              </w:rPr>
            </w:pPr>
            <w:r>
              <w:rPr>
                <w:b/>
                <w:sz w:val="20"/>
              </w:rPr>
              <w:t>Personal </w:t>
            </w:r>
            <w:r>
              <w:rPr>
                <w:b/>
                <w:w w:val="95"/>
                <w:sz w:val="20"/>
              </w:rPr>
              <w:t>Ocupado</w:t>
            </w:r>
          </w:p>
        </w:tc>
      </w:tr>
      <w:tr>
        <w:trPr>
          <w:trHeight w:val="324" w:hRule="exact"/>
        </w:trPr>
        <w:tc>
          <w:tcPr>
            <w:tcW w:w="1947" w:type="dxa"/>
          </w:tcPr>
          <w:p>
            <w:pPr/>
          </w:p>
        </w:tc>
        <w:tc>
          <w:tcPr>
            <w:tcW w:w="833" w:type="dxa"/>
          </w:tcPr>
          <w:p>
            <w:pPr>
              <w:pStyle w:val="TableParagraph"/>
              <w:spacing w:before="34"/>
              <w:ind w:left="191" w:right="191"/>
              <w:rPr>
                <w:b/>
                <w:sz w:val="20"/>
              </w:rPr>
            </w:pPr>
            <w:r>
              <w:rPr>
                <w:b/>
                <w:sz w:val="20"/>
              </w:rPr>
              <w:t>1980</w:t>
            </w:r>
          </w:p>
        </w:tc>
        <w:tc>
          <w:tcPr>
            <w:tcW w:w="830" w:type="dxa"/>
          </w:tcPr>
          <w:p>
            <w:pPr>
              <w:pStyle w:val="TableParagraph"/>
              <w:spacing w:before="34"/>
              <w:ind w:left="188" w:right="190"/>
              <w:rPr>
                <w:b/>
                <w:sz w:val="20"/>
              </w:rPr>
            </w:pPr>
            <w:r>
              <w:rPr>
                <w:b/>
                <w:sz w:val="20"/>
              </w:rPr>
              <w:t>2008</w:t>
            </w:r>
          </w:p>
        </w:tc>
        <w:tc>
          <w:tcPr>
            <w:tcW w:w="872" w:type="dxa"/>
          </w:tcPr>
          <w:p>
            <w:pPr>
              <w:pStyle w:val="TableParagraph"/>
              <w:spacing w:before="34"/>
              <w:ind w:left="210" w:right="210"/>
              <w:rPr>
                <w:b/>
                <w:sz w:val="20"/>
              </w:rPr>
            </w:pPr>
            <w:r>
              <w:rPr>
                <w:b/>
                <w:sz w:val="20"/>
              </w:rPr>
              <w:t>1980</w:t>
            </w:r>
          </w:p>
        </w:tc>
        <w:tc>
          <w:tcPr>
            <w:tcW w:w="869" w:type="dxa"/>
          </w:tcPr>
          <w:p>
            <w:pPr>
              <w:pStyle w:val="TableParagraph"/>
              <w:spacing w:before="34"/>
              <w:ind w:left="209" w:right="209"/>
              <w:rPr>
                <w:b/>
                <w:sz w:val="20"/>
              </w:rPr>
            </w:pPr>
            <w:r>
              <w:rPr>
                <w:b/>
                <w:sz w:val="20"/>
              </w:rPr>
              <w:t>2008</w:t>
            </w:r>
          </w:p>
        </w:tc>
        <w:tc>
          <w:tcPr>
            <w:tcW w:w="1013" w:type="dxa"/>
          </w:tcPr>
          <w:p>
            <w:pPr>
              <w:pStyle w:val="TableParagraph"/>
              <w:spacing w:before="34"/>
              <w:ind w:left="281" w:right="281"/>
              <w:rPr>
                <w:b/>
                <w:sz w:val="20"/>
              </w:rPr>
            </w:pPr>
            <w:r>
              <w:rPr>
                <w:b/>
                <w:sz w:val="20"/>
              </w:rPr>
              <w:t>1980</w:t>
            </w:r>
          </w:p>
        </w:tc>
        <w:tc>
          <w:tcPr>
            <w:tcW w:w="1013" w:type="dxa"/>
          </w:tcPr>
          <w:p>
            <w:pPr>
              <w:pStyle w:val="TableParagraph"/>
              <w:spacing w:before="34"/>
              <w:ind w:left="299"/>
              <w:jc w:val="left"/>
              <w:rPr>
                <w:b/>
                <w:sz w:val="20"/>
              </w:rPr>
            </w:pPr>
            <w:r>
              <w:rPr>
                <w:b/>
                <w:sz w:val="20"/>
              </w:rPr>
              <w:t>2008</w:t>
            </w:r>
          </w:p>
        </w:tc>
        <w:tc>
          <w:tcPr>
            <w:tcW w:w="727" w:type="dxa"/>
          </w:tcPr>
          <w:p>
            <w:pPr>
              <w:pStyle w:val="TableParagraph"/>
              <w:spacing w:before="34"/>
              <w:ind w:left="138" w:right="138"/>
              <w:rPr>
                <w:b/>
                <w:sz w:val="20"/>
              </w:rPr>
            </w:pPr>
            <w:r>
              <w:rPr>
                <w:b/>
                <w:sz w:val="20"/>
              </w:rPr>
              <w:t>1980</w:t>
            </w:r>
          </w:p>
        </w:tc>
        <w:tc>
          <w:tcPr>
            <w:tcW w:w="725" w:type="dxa"/>
          </w:tcPr>
          <w:p>
            <w:pPr>
              <w:pStyle w:val="TableParagraph"/>
              <w:spacing w:before="34"/>
              <w:ind w:right="154"/>
              <w:jc w:val="right"/>
              <w:rPr>
                <w:b/>
                <w:sz w:val="20"/>
              </w:rPr>
            </w:pPr>
            <w:r>
              <w:rPr>
                <w:b/>
                <w:sz w:val="20"/>
              </w:rPr>
              <w:t>2008</w:t>
            </w:r>
          </w:p>
        </w:tc>
      </w:tr>
      <w:tr>
        <w:trPr>
          <w:trHeight w:val="308" w:hRule="exact"/>
        </w:trPr>
        <w:tc>
          <w:tcPr>
            <w:tcW w:w="1947" w:type="dxa"/>
            <w:shd w:val="clear" w:color="auto" w:fill="D9D9D9"/>
          </w:tcPr>
          <w:p>
            <w:pPr>
              <w:pStyle w:val="TableParagraph"/>
              <w:spacing w:before="34"/>
              <w:ind w:left="64"/>
              <w:jc w:val="left"/>
              <w:rPr>
                <w:b/>
                <w:sz w:val="20"/>
              </w:rPr>
            </w:pPr>
            <w:r>
              <w:rPr>
                <w:b/>
                <w:sz w:val="20"/>
              </w:rPr>
              <w:t>Región Centro-Norte</w:t>
            </w:r>
          </w:p>
        </w:tc>
        <w:tc>
          <w:tcPr>
            <w:tcW w:w="833" w:type="dxa"/>
            <w:shd w:val="clear" w:color="auto" w:fill="D9D9D9"/>
          </w:tcPr>
          <w:p>
            <w:pPr>
              <w:pStyle w:val="TableParagraph"/>
              <w:spacing w:before="29"/>
              <w:ind w:left="190" w:right="191"/>
              <w:rPr>
                <w:sz w:val="20"/>
              </w:rPr>
            </w:pPr>
            <w:r>
              <w:rPr>
                <w:sz w:val="20"/>
              </w:rPr>
              <w:t>0.3</w:t>
            </w:r>
          </w:p>
        </w:tc>
        <w:tc>
          <w:tcPr>
            <w:tcW w:w="830" w:type="dxa"/>
            <w:shd w:val="clear" w:color="auto" w:fill="D9D9D9"/>
          </w:tcPr>
          <w:p>
            <w:pPr>
              <w:pStyle w:val="TableParagraph"/>
              <w:spacing w:before="29"/>
              <w:ind w:left="188" w:right="190"/>
              <w:rPr>
                <w:sz w:val="20"/>
              </w:rPr>
            </w:pPr>
            <w:r>
              <w:rPr>
                <w:sz w:val="20"/>
              </w:rPr>
              <w:t>0.5</w:t>
            </w:r>
          </w:p>
        </w:tc>
        <w:tc>
          <w:tcPr>
            <w:tcW w:w="872" w:type="dxa"/>
            <w:shd w:val="clear" w:color="auto" w:fill="D9D9D9"/>
          </w:tcPr>
          <w:p>
            <w:pPr>
              <w:pStyle w:val="TableParagraph"/>
              <w:spacing w:before="29"/>
              <w:ind w:left="210" w:right="210"/>
              <w:rPr>
                <w:sz w:val="20"/>
              </w:rPr>
            </w:pPr>
            <w:r>
              <w:rPr>
                <w:sz w:val="20"/>
              </w:rPr>
              <w:t>0.5</w:t>
            </w:r>
          </w:p>
        </w:tc>
        <w:tc>
          <w:tcPr>
            <w:tcW w:w="869" w:type="dxa"/>
            <w:shd w:val="clear" w:color="auto" w:fill="D9D9D9"/>
          </w:tcPr>
          <w:p>
            <w:pPr>
              <w:pStyle w:val="TableParagraph"/>
              <w:spacing w:before="29"/>
              <w:ind w:left="209" w:right="209"/>
              <w:rPr>
                <w:sz w:val="20"/>
              </w:rPr>
            </w:pPr>
            <w:r>
              <w:rPr>
                <w:sz w:val="20"/>
              </w:rPr>
              <w:t>18.6</w:t>
            </w:r>
          </w:p>
        </w:tc>
        <w:tc>
          <w:tcPr>
            <w:tcW w:w="1013" w:type="dxa"/>
            <w:shd w:val="clear" w:color="auto" w:fill="D9D9D9"/>
          </w:tcPr>
          <w:p>
            <w:pPr>
              <w:pStyle w:val="TableParagraph"/>
              <w:spacing w:before="29"/>
              <w:ind w:left="281" w:right="281"/>
              <w:rPr>
                <w:sz w:val="20"/>
              </w:rPr>
            </w:pPr>
            <w:r>
              <w:rPr>
                <w:sz w:val="20"/>
              </w:rPr>
              <w:t>0.7</w:t>
            </w:r>
          </w:p>
        </w:tc>
        <w:tc>
          <w:tcPr>
            <w:tcW w:w="1013" w:type="dxa"/>
            <w:shd w:val="clear" w:color="auto" w:fill="D9D9D9"/>
          </w:tcPr>
          <w:p>
            <w:pPr>
              <w:pStyle w:val="TableParagraph"/>
              <w:spacing w:before="29"/>
              <w:ind w:left="326"/>
              <w:jc w:val="left"/>
              <w:rPr>
                <w:sz w:val="20"/>
              </w:rPr>
            </w:pPr>
            <w:r>
              <w:rPr>
                <w:sz w:val="20"/>
              </w:rPr>
              <w:t>17.8</w:t>
            </w:r>
          </w:p>
        </w:tc>
        <w:tc>
          <w:tcPr>
            <w:tcW w:w="727" w:type="dxa"/>
            <w:shd w:val="clear" w:color="auto" w:fill="D9D9D9"/>
          </w:tcPr>
          <w:p>
            <w:pPr>
              <w:pStyle w:val="TableParagraph"/>
              <w:spacing w:before="29"/>
              <w:ind w:left="137" w:right="138"/>
              <w:rPr>
                <w:sz w:val="20"/>
              </w:rPr>
            </w:pPr>
            <w:r>
              <w:rPr>
                <w:sz w:val="20"/>
              </w:rPr>
              <w:t>0.7</w:t>
            </w:r>
          </w:p>
        </w:tc>
        <w:tc>
          <w:tcPr>
            <w:tcW w:w="725" w:type="dxa"/>
            <w:shd w:val="clear" w:color="auto" w:fill="D9D9D9"/>
          </w:tcPr>
          <w:p>
            <w:pPr>
              <w:pStyle w:val="TableParagraph"/>
              <w:spacing w:before="29"/>
              <w:ind w:left="237" w:right="237"/>
              <w:rPr>
                <w:sz w:val="20"/>
              </w:rPr>
            </w:pPr>
            <w:r>
              <w:rPr>
                <w:sz w:val="20"/>
              </w:rPr>
              <w:t>13</w:t>
            </w:r>
          </w:p>
        </w:tc>
      </w:tr>
      <w:tr>
        <w:trPr>
          <w:trHeight w:val="342" w:hRule="exact"/>
        </w:trPr>
        <w:tc>
          <w:tcPr>
            <w:tcW w:w="1947" w:type="dxa"/>
            <w:tcBorders>
              <w:top w:val="single" w:sz="14" w:space="0" w:color="D9D9D9"/>
            </w:tcBorders>
          </w:tcPr>
          <w:p>
            <w:pPr>
              <w:pStyle w:val="TableParagraph"/>
              <w:spacing w:before="34"/>
              <w:ind w:left="64"/>
              <w:jc w:val="left"/>
              <w:rPr>
                <w:sz w:val="20"/>
              </w:rPr>
            </w:pPr>
            <w:r>
              <w:rPr>
                <w:sz w:val="20"/>
              </w:rPr>
              <w:t>Guanajuato</w:t>
            </w:r>
          </w:p>
        </w:tc>
        <w:tc>
          <w:tcPr>
            <w:tcW w:w="833" w:type="dxa"/>
            <w:tcBorders>
              <w:top w:val="single" w:sz="14" w:space="0" w:color="D9D9D9"/>
            </w:tcBorders>
          </w:tcPr>
          <w:p>
            <w:pPr>
              <w:pStyle w:val="TableParagraph"/>
              <w:spacing w:before="34"/>
              <w:ind w:left="190" w:right="191"/>
              <w:rPr>
                <w:sz w:val="20"/>
              </w:rPr>
            </w:pPr>
            <w:r>
              <w:rPr>
                <w:sz w:val="20"/>
              </w:rPr>
              <w:t>0.3</w:t>
            </w:r>
          </w:p>
        </w:tc>
        <w:tc>
          <w:tcPr>
            <w:tcW w:w="830" w:type="dxa"/>
            <w:tcBorders>
              <w:top w:val="single" w:sz="14" w:space="0" w:color="D9D9D9"/>
            </w:tcBorders>
          </w:tcPr>
          <w:p>
            <w:pPr>
              <w:pStyle w:val="TableParagraph"/>
              <w:spacing w:before="34"/>
              <w:ind w:left="188" w:right="190"/>
              <w:rPr>
                <w:sz w:val="20"/>
              </w:rPr>
            </w:pPr>
            <w:r>
              <w:rPr>
                <w:sz w:val="20"/>
              </w:rPr>
              <w:t>0.2</w:t>
            </w:r>
          </w:p>
        </w:tc>
        <w:tc>
          <w:tcPr>
            <w:tcW w:w="872" w:type="dxa"/>
            <w:tcBorders>
              <w:top w:val="single" w:sz="14" w:space="0" w:color="D9D9D9"/>
            </w:tcBorders>
          </w:tcPr>
          <w:p>
            <w:pPr>
              <w:pStyle w:val="TableParagraph"/>
              <w:spacing w:before="34"/>
              <w:ind w:left="210" w:right="210"/>
              <w:rPr>
                <w:sz w:val="20"/>
              </w:rPr>
            </w:pPr>
            <w:r>
              <w:rPr>
                <w:sz w:val="20"/>
              </w:rPr>
              <w:t>0.5</w:t>
            </w:r>
          </w:p>
        </w:tc>
        <w:tc>
          <w:tcPr>
            <w:tcW w:w="869" w:type="dxa"/>
            <w:tcBorders>
              <w:top w:val="single" w:sz="14" w:space="0" w:color="D9D9D9"/>
            </w:tcBorders>
          </w:tcPr>
          <w:p>
            <w:pPr>
              <w:pStyle w:val="TableParagraph"/>
              <w:spacing w:before="34"/>
              <w:ind w:left="209" w:right="209"/>
              <w:rPr>
                <w:sz w:val="20"/>
              </w:rPr>
            </w:pPr>
            <w:r>
              <w:rPr>
                <w:sz w:val="20"/>
              </w:rPr>
              <w:t>18.8</w:t>
            </w:r>
          </w:p>
        </w:tc>
        <w:tc>
          <w:tcPr>
            <w:tcW w:w="1013" w:type="dxa"/>
            <w:tcBorders>
              <w:top w:val="single" w:sz="14" w:space="0" w:color="D9D9D9"/>
            </w:tcBorders>
          </w:tcPr>
          <w:p>
            <w:pPr>
              <w:pStyle w:val="TableParagraph"/>
              <w:spacing w:before="34"/>
              <w:ind w:left="281" w:right="281"/>
              <w:rPr>
                <w:sz w:val="20"/>
              </w:rPr>
            </w:pPr>
            <w:r>
              <w:rPr>
                <w:sz w:val="20"/>
              </w:rPr>
              <w:t>3.3</w:t>
            </w:r>
          </w:p>
        </w:tc>
        <w:tc>
          <w:tcPr>
            <w:tcW w:w="1013" w:type="dxa"/>
            <w:tcBorders>
              <w:top w:val="single" w:sz="14" w:space="0" w:color="D9D9D9"/>
            </w:tcBorders>
          </w:tcPr>
          <w:p>
            <w:pPr>
              <w:pStyle w:val="TableParagraph"/>
              <w:spacing w:before="34"/>
              <w:ind w:left="326"/>
              <w:jc w:val="left"/>
              <w:rPr>
                <w:sz w:val="20"/>
              </w:rPr>
            </w:pPr>
            <w:r>
              <w:rPr>
                <w:sz w:val="20"/>
              </w:rPr>
              <w:t>17.8</w:t>
            </w:r>
          </w:p>
        </w:tc>
        <w:tc>
          <w:tcPr>
            <w:tcW w:w="727" w:type="dxa"/>
            <w:tcBorders>
              <w:top w:val="single" w:sz="14" w:space="0" w:color="D9D9D9"/>
            </w:tcBorders>
          </w:tcPr>
          <w:p>
            <w:pPr>
              <w:pStyle w:val="TableParagraph"/>
              <w:spacing w:before="34"/>
              <w:ind w:left="137" w:right="138"/>
              <w:rPr>
                <w:sz w:val="20"/>
              </w:rPr>
            </w:pPr>
            <w:r>
              <w:rPr>
                <w:sz w:val="20"/>
              </w:rPr>
              <w:t>0.8</w:t>
            </w:r>
          </w:p>
        </w:tc>
        <w:tc>
          <w:tcPr>
            <w:tcW w:w="725" w:type="dxa"/>
            <w:tcBorders>
              <w:top w:val="single" w:sz="14" w:space="0" w:color="D9D9D9"/>
            </w:tcBorders>
          </w:tcPr>
          <w:p>
            <w:pPr>
              <w:pStyle w:val="TableParagraph"/>
              <w:spacing w:before="34"/>
              <w:ind w:right="230"/>
              <w:jc w:val="right"/>
              <w:rPr>
                <w:sz w:val="20"/>
              </w:rPr>
            </w:pPr>
            <w:r>
              <w:rPr>
                <w:sz w:val="20"/>
              </w:rPr>
              <w:t>7.3</w:t>
            </w:r>
          </w:p>
        </w:tc>
      </w:tr>
      <w:tr>
        <w:trPr>
          <w:trHeight w:val="327" w:hRule="exact"/>
        </w:trPr>
        <w:tc>
          <w:tcPr>
            <w:tcW w:w="1947" w:type="dxa"/>
          </w:tcPr>
          <w:p>
            <w:pPr>
              <w:pStyle w:val="TableParagraph"/>
              <w:spacing w:before="30"/>
              <w:ind w:left="64"/>
              <w:jc w:val="left"/>
              <w:rPr>
                <w:sz w:val="20"/>
              </w:rPr>
            </w:pPr>
            <w:r>
              <w:rPr>
                <w:sz w:val="20"/>
              </w:rPr>
              <w:t>Querétaro</w:t>
            </w:r>
          </w:p>
        </w:tc>
        <w:tc>
          <w:tcPr>
            <w:tcW w:w="833" w:type="dxa"/>
          </w:tcPr>
          <w:p>
            <w:pPr>
              <w:pStyle w:val="TableParagraph"/>
              <w:spacing w:before="30"/>
              <w:ind w:left="190" w:right="191"/>
              <w:rPr>
                <w:sz w:val="20"/>
              </w:rPr>
            </w:pPr>
            <w:r>
              <w:rPr>
                <w:sz w:val="20"/>
              </w:rPr>
              <w:t>0.3</w:t>
            </w:r>
          </w:p>
        </w:tc>
        <w:tc>
          <w:tcPr>
            <w:tcW w:w="830" w:type="dxa"/>
          </w:tcPr>
          <w:p>
            <w:pPr>
              <w:pStyle w:val="TableParagraph"/>
              <w:spacing w:before="30"/>
              <w:ind w:left="188" w:right="190"/>
              <w:rPr>
                <w:sz w:val="20"/>
              </w:rPr>
            </w:pPr>
            <w:r>
              <w:rPr>
                <w:sz w:val="20"/>
              </w:rPr>
              <w:t>1.4</w:t>
            </w:r>
          </w:p>
        </w:tc>
        <w:tc>
          <w:tcPr>
            <w:tcW w:w="872" w:type="dxa"/>
          </w:tcPr>
          <w:p>
            <w:pPr>
              <w:pStyle w:val="TableParagraph"/>
              <w:spacing w:before="30"/>
              <w:ind w:left="210" w:right="210"/>
              <w:rPr>
                <w:sz w:val="20"/>
              </w:rPr>
            </w:pPr>
            <w:r>
              <w:rPr>
                <w:sz w:val="20"/>
              </w:rPr>
              <w:t>0.3</w:t>
            </w:r>
          </w:p>
        </w:tc>
        <w:tc>
          <w:tcPr>
            <w:tcW w:w="869" w:type="dxa"/>
          </w:tcPr>
          <w:p>
            <w:pPr>
              <w:pStyle w:val="TableParagraph"/>
              <w:spacing w:before="30"/>
              <w:ind w:left="209" w:right="209"/>
              <w:rPr>
                <w:sz w:val="20"/>
              </w:rPr>
            </w:pPr>
            <w:r>
              <w:rPr>
                <w:sz w:val="20"/>
              </w:rPr>
              <w:t>20.1</w:t>
            </w:r>
          </w:p>
        </w:tc>
        <w:tc>
          <w:tcPr>
            <w:tcW w:w="1013" w:type="dxa"/>
          </w:tcPr>
          <w:p>
            <w:pPr>
              <w:pStyle w:val="TableParagraph"/>
              <w:spacing w:before="30"/>
              <w:ind w:left="281" w:right="281"/>
              <w:rPr>
                <w:sz w:val="20"/>
              </w:rPr>
            </w:pPr>
            <w:r>
              <w:rPr>
                <w:sz w:val="20"/>
              </w:rPr>
              <w:t>0.2</w:t>
            </w:r>
          </w:p>
        </w:tc>
        <w:tc>
          <w:tcPr>
            <w:tcW w:w="1013" w:type="dxa"/>
          </w:tcPr>
          <w:p>
            <w:pPr>
              <w:pStyle w:val="TableParagraph"/>
              <w:spacing w:before="30"/>
              <w:ind w:left="326"/>
              <w:jc w:val="left"/>
              <w:rPr>
                <w:sz w:val="20"/>
              </w:rPr>
            </w:pPr>
            <w:r>
              <w:rPr>
                <w:sz w:val="20"/>
              </w:rPr>
              <w:t>20.2</w:t>
            </w:r>
          </w:p>
        </w:tc>
        <w:tc>
          <w:tcPr>
            <w:tcW w:w="727" w:type="dxa"/>
          </w:tcPr>
          <w:p>
            <w:pPr>
              <w:pStyle w:val="TableParagraph"/>
              <w:spacing w:before="30"/>
              <w:ind w:left="137" w:right="138"/>
              <w:rPr>
                <w:sz w:val="20"/>
              </w:rPr>
            </w:pPr>
            <w:r>
              <w:rPr>
                <w:sz w:val="20"/>
              </w:rPr>
              <w:t>0.3</w:t>
            </w:r>
          </w:p>
        </w:tc>
        <w:tc>
          <w:tcPr>
            <w:tcW w:w="725" w:type="dxa"/>
          </w:tcPr>
          <w:p>
            <w:pPr>
              <w:pStyle w:val="TableParagraph"/>
              <w:spacing w:before="30"/>
              <w:ind w:right="180"/>
              <w:jc w:val="right"/>
              <w:rPr>
                <w:sz w:val="20"/>
              </w:rPr>
            </w:pPr>
            <w:r>
              <w:rPr>
                <w:sz w:val="20"/>
              </w:rPr>
              <w:t>19.6</w:t>
            </w:r>
          </w:p>
        </w:tc>
      </w:tr>
      <w:tr>
        <w:trPr>
          <w:trHeight w:val="324" w:hRule="exact"/>
        </w:trPr>
        <w:tc>
          <w:tcPr>
            <w:tcW w:w="1947" w:type="dxa"/>
          </w:tcPr>
          <w:p>
            <w:pPr>
              <w:pStyle w:val="TableParagraph"/>
              <w:spacing w:before="29"/>
              <w:ind w:left="64"/>
              <w:jc w:val="left"/>
              <w:rPr>
                <w:sz w:val="20"/>
              </w:rPr>
            </w:pPr>
            <w:r>
              <w:rPr>
                <w:sz w:val="20"/>
              </w:rPr>
              <w:t>San Luis Potosí</w:t>
            </w:r>
          </w:p>
        </w:tc>
        <w:tc>
          <w:tcPr>
            <w:tcW w:w="833" w:type="dxa"/>
          </w:tcPr>
          <w:p>
            <w:pPr>
              <w:pStyle w:val="TableParagraph"/>
              <w:spacing w:before="29"/>
              <w:ind w:left="190" w:right="191"/>
              <w:rPr>
                <w:sz w:val="20"/>
              </w:rPr>
            </w:pPr>
            <w:r>
              <w:rPr>
                <w:sz w:val="20"/>
              </w:rPr>
              <w:t>0.5</w:t>
            </w:r>
          </w:p>
        </w:tc>
        <w:tc>
          <w:tcPr>
            <w:tcW w:w="830" w:type="dxa"/>
          </w:tcPr>
          <w:p>
            <w:pPr>
              <w:pStyle w:val="TableParagraph"/>
              <w:spacing w:before="29"/>
              <w:ind w:left="188" w:right="190"/>
              <w:rPr>
                <w:sz w:val="20"/>
              </w:rPr>
            </w:pPr>
            <w:r>
              <w:rPr>
                <w:sz w:val="20"/>
              </w:rPr>
              <w:t>0.9</w:t>
            </w:r>
          </w:p>
        </w:tc>
        <w:tc>
          <w:tcPr>
            <w:tcW w:w="872" w:type="dxa"/>
          </w:tcPr>
          <w:p>
            <w:pPr>
              <w:pStyle w:val="TableParagraph"/>
              <w:spacing w:before="29"/>
              <w:ind w:left="210" w:right="210"/>
              <w:rPr>
                <w:sz w:val="20"/>
              </w:rPr>
            </w:pPr>
            <w:r>
              <w:rPr>
                <w:sz w:val="20"/>
              </w:rPr>
              <w:t>0.7</w:t>
            </w:r>
          </w:p>
        </w:tc>
        <w:tc>
          <w:tcPr>
            <w:tcW w:w="869" w:type="dxa"/>
          </w:tcPr>
          <w:p>
            <w:pPr>
              <w:pStyle w:val="TableParagraph"/>
              <w:spacing w:before="29"/>
              <w:ind w:left="209" w:right="209"/>
              <w:rPr>
                <w:sz w:val="20"/>
              </w:rPr>
            </w:pPr>
            <w:r>
              <w:rPr>
                <w:sz w:val="20"/>
              </w:rPr>
              <w:t>16.6</w:t>
            </w:r>
          </w:p>
        </w:tc>
        <w:tc>
          <w:tcPr>
            <w:tcW w:w="1013" w:type="dxa"/>
          </w:tcPr>
          <w:p>
            <w:pPr>
              <w:pStyle w:val="TableParagraph"/>
              <w:spacing w:before="29"/>
              <w:ind w:left="281" w:right="281"/>
              <w:rPr>
                <w:sz w:val="20"/>
              </w:rPr>
            </w:pPr>
            <w:r>
              <w:rPr>
                <w:sz w:val="20"/>
              </w:rPr>
              <w:t>0.5</w:t>
            </w:r>
          </w:p>
        </w:tc>
        <w:tc>
          <w:tcPr>
            <w:tcW w:w="1013" w:type="dxa"/>
          </w:tcPr>
          <w:p>
            <w:pPr>
              <w:pStyle w:val="TableParagraph"/>
              <w:spacing w:before="29"/>
              <w:ind w:left="326"/>
              <w:jc w:val="left"/>
              <w:rPr>
                <w:sz w:val="20"/>
              </w:rPr>
            </w:pPr>
            <w:r>
              <w:rPr>
                <w:sz w:val="20"/>
              </w:rPr>
              <w:t>14.7</w:t>
            </w:r>
          </w:p>
        </w:tc>
        <w:tc>
          <w:tcPr>
            <w:tcW w:w="727" w:type="dxa"/>
          </w:tcPr>
          <w:p>
            <w:pPr>
              <w:pStyle w:val="TableParagraph"/>
              <w:spacing w:before="29"/>
              <w:ind w:left="137" w:right="138"/>
              <w:rPr>
                <w:sz w:val="20"/>
              </w:rPr>
            </w:pPr>
            <w:r>
              <w:rPr>
                <w:sz w:val="20"/>
              </w:rPr>
              <w:t>1.2</w:t>
            </w:r>
          </w:p>
        </w:tc>
        <w:tc>
          <w:tcPr>
            <w:tcW w:w="725" w:type="dxa"/>
          </w:tcPr>
          <w:p>
            <w:pPr>
              <w:pStyle w:val="TableParagraph"/>
              <w:spacing w:before="29"/>
              <w:ind w:right="180"/>
              <w:jc w:val="right"/>
              <w:rPr>
                <w:sz w:val="20"/>
              </w:rPr>
            </w:pPr>
            <w:r>
              <w:rPr>
                <w:sz w:val="20"/>
              </w:rPr>
              <w:t>20.1</w:t>
            </w:r>
          </w:p>
        </w:tc>
      </w:tr>
    </w:tbl>
    <w:p>
      <w:pPr>
        <w:spacing w:line="202" w:lineRule="exact" w:before="0"/>
        <w:ind w:left="102" w:right="0" w:firstLine="0"/>
        <w:jc w:val="both"/>
        <w:rPr>
          <w:sz w:val="18"/>
        </w:rPr>
      </w:pPr>
      <w:r>
        <w:rPr>
          <w:sz w:val="18"/>
        </w:rPr>
        <w:t>Fuente: Elaboración propia con datos de INEGI (1980 y 2009).</w:t>
      </w:r>
    </w:p>
    <w:p>
      <w:pPr>
        <w:pStyle w:val="BodyText"/>
        <w:rPr>
          <w:sz w:val="18"/>
        </w:rPr>
      </w:pPr>
    </w:p>
    <w:p>
      <w:pPr>
        <w:pStyle w:val="BodyText"/>
        <w:spacing w:line="360" w:lineRule="auto" w:before="135"/>
        <w:ind w:left="102" w:right="118"/>
        <w:jc w:val="both"/>
      </w:pPr>
      <w:r>
        <w:rPr/>
        <w:t>Dentro de la región centro-norte se ha observado que la industria automotriz de Guanajuato y Querétaro son las que mayor participación presentan por sus aportaciones a la producción bruta total y al valor agregado censal bruto. Al analizar con mayor profundidad la participación que tiene la industria automotriz y manufacturera del estado en la</w:t>
      </w:r>
      <w:r>
        <w:rPr>
          <w:spacing w:val="-25"/>
        </w:rPr>
        <w:t> </w:t>
      </w:r>
      <w:r>
        <w:rPr/>
        <w:t>manufactura nacional encontramos, respecto al valor agregado censal bruto que ambas industrias han mostrado altas y bajas en su participación a nivel nacional, sin embargo si comparamos los años 1980 y 2008 se observa que dichas industrias han aumentado su participación en la manufactura</w:t>
      </w:r>
      <w:r>
        <w:rPr>
          <w:spacing w:val="-13"/>
        </w:rPr>
        <w:t> </w:t>
      </w:r>
      <w:r>
        <w:rPr/>
        <w:t>nacional.</w:t>
      </w:r>
      <w:r>
        <w:rPr>
          <w:spacing w:val="-12"/>
        </w:rPr>
        <w:t> </w:t>
      </w:r>
      <w:r>
        <w:rPr/>
        <w:t>Precisamente</w:t>
      </w:r>
      <w:r>
        <w:rPr>
          <w:spacing w:val="-12"/>
        </w:rPr>
        <w:t> </w:t>
      </w:r>
      <w:r>
        <w:rPr/>
        <w:t>la</w:t>
      </w:r>
      <w:r>
        <w:rPr>
          <w:spacing w:val="-13"/>
        </w:rPr>
        <w:t> </w:t>
      </w:r>
      <w:r>
        <w:rPr/>
        <w:t>manufactura</w:t>
      </w:r>
      <w:r>
        <w:rPr>
          <w:spacing w:val="-11"/>
        </w:rPr>
        <w:t> </w:t>
      </w:r>
      <w:r>
        <w:rPr/>
        <w:t>y</w:t>
      </w:r>
      <w:r>
        <w:rPr>
          <w:spacing w:val="-17"/>
        </w:rPr>
        <w:t> </w:t>
      </w:r>
      <w:r>
        <w:rPr/>
        <w:t>la</w:t>
      </w:r>
      <w:r>
        <w:rPr>
          <w:spacing w:val="-13"/>
        </w:rPr>
        <w:t> </w:t>
      </w:r>
      <w:r>
        <w:rPr/>
        <w:t>automotriz</w:t>
      </w:r>
      <w:r>
        <w:rPr>
          <w:spacing w:val="-11"/>
        </w:rPr>
        <w:t> </w:t>
      </w:r>
      <w:r>
        <w:rPr/>
        <w:t>en</w:t>
      </w:r>
      <w:r>
        <w:rPr>
          <w:spacing w:val="-12"/>
        </w:rPr>
        <w:t> </w:t>
      </w:r>
      <w:r>
        <w:rPr/>
        <w:t>1980,</w:t>
      </w:r>
      <w:r>
        <w:rPr>
          <w:spacing w:val="-12"/>
        </w:rPr>
        <w:t> </w:t>
      </w:r>
      <w:r>
        <w:rPr/>
        <w:t>aportaban</w:t>
      </w:r>
      <w:r>
        <w:rPr>
          <w:spacing w:val="-12"/>
        </w:rPr>
        <w:t> </w:t>
      </w:r>
      <w:r>
        <w:rPr/>
        <w:t>el</w:t>
      </w:r>
      <w:r>
        <w:rPr>
          <w:spacing w:val="-12"/>
        </w:rPr>
        <w:t> </w:t>
      </w:r>
      <w:r>
        <w:rPr/>
        <w:t>0.5 y el 0% respectivamente, del total de valor agregado censal bruto en la manufactura total, mientras que en 2008, su participación fue de 5.1 y 0.9% (véase gráfica</w:t>
      </w:r>
      <w:r>
        <w:rPr>
          <w:spacing w:val="-13"/>
        </w:rPr>
        <w:t> </w:t>
      </w:r>
      <w:r>
        <w:rPr/>
        <w:t>4.14).</w:t>
      </w:r>
    </w:p>
    <w:p>
      <w:pPr>
        <w:pStyle w:val="BodyText"/>
        <w:spacing w:before="7"/>
        <w:rPr>
          <w:sz w:val="21"/>
        </w:rPr>
      </w:pPr>
    </w:p>
    <w:p>
      <w:pPr>
        <w:pStyle w:val="Heading1"/>
        <w:spacing w:line="362" w:lineRule="auto"/>
        <w:ind w:left="222" w:right="119" w:hanging="44"/>
      </w:pPr>
      <w:r>
        <w:rPr/>
        <w:t>Gráfica 4.14.Participación porcentual de la industria manufacturera y automotriz de Guanajuato en la manufactura nacional, 1980-2008  (Valor Agregado Censal Bruto)</w:t>
      </w:r>
    </w:p>
    <w:p>
      <w:pPr>
        <w:pStyle w:val="BodyText"/>
        <w:ind w:left="538"/>
        <w:rPr>
          <w:sz w:val="20"/>
        </w:rPr>
      </w:pPr>
      <w:r>
        <w:rPr>
          <w:sz w:val="20"/>
        </w:rPr>
        <w:pict>
          <v:group style="width:397.6pt;height:170.8pt;mso-position-horizontal-relative:char;mso-position-vertical-relative:line" coordorigin="0,0" coordsize="7952,3416">
            <v:shape style="position:absolute;left:514;top:228;width:7210;height:2306" type="#_x0000_t75" stroked="false">
              <v:imagedata r:id="rId74" o:title=""/>
            </v:shape>
            <v:line style="position:absolute" from="7167,2206" to="7723,2206" stroked="true" strokeweight=".72pt" strokecolor="#d9d9d9"/>
            <v:line style="position:absolute" from="6425,2206" to="6963,2206" stroked="true" strokeweight=".72pt" strokecolor="#d9d9d9"/>
            <v:line style="position:absolute" from="6135,2206" to="6223,2206" stroked="true" strokeweight=".72pt" strokecolor="#d9d9d9"/>
            <v:line style="position:absolute" from="5395,2206" to="5933,2206" stroked="true" strokeweight=".72pt" strokecolor="#d9d9d9"/>
            <v:line style="position:absolute" from="5105,2206" to="5194,2206" stroked="true" strokeweight=".72pt" strokecolor="#d9d9d9"/>
            <v:line style="position:absolute" from="4075,2206" to="4903,2206" stroked="true" strokeweight=".72pt" strokecolor="#d9d9d9"/>
            <v:line style="position:absolute" from="3046,2206" to="3874,2206" stroked="true" strokeweight=".72pt" strokecolor="#d9d9d9"/>
            <v:line style="position:absolute" from="2016,2206" to="2844,2206" stroked="true" strokeweight=".72pt" strokecolor="#d9d9d9"/>
            <v:line style="position:absolute" from="514,2206" to="1815,2206" stroked="true" strokeweight=".72pt" strokecolor="#d9d9d9"/>
            <v:line style="position:absolute" from="7167,1877" to="7723,1877" stroked="true" strokeweight=".72pt" strokecolor="#d9d9d9"/>
            <v:line style="position:absolute" from="6425,1877" to="6963,1877" stroked="true" strokeweight=".72pt" strokecolor="#d9d9d9"/>
            <v:line style="position:absolute" from="6135,1877" to="6223,1877" stroked="true" strokeweight=".72pt" strokecolor="#d9d9d9"/>
            <v:line style="position:absolute" from="5395,1877" to="5933,1877" stroked="true" strokeweight=".72pt" strokecolor="#d9d9d9"/>
            <v:line style="position:absolute" from="5105,1877" to="5194,1877" stroked="true" strokeweight=".72pt" strokecolor="#d9d9d9"/>
            <v:line style="position:absolute" from="4075,1877" to="4903,1877" stroked="true" strokeweight=".72pt" strokecolor="#d9d9d9"/>
            <v:line style="position:absolute" from="3046,1877" to="3874,1877" stroked="true" strokeweight=".72pt" strokecolor="#d9d9d9"/>
            <v:line style="position:absolute" from="2016,1877" to="2844,1877" stroked="true" strokeweight=".72pt" strokecolor="#d9d9d9"/>
            <v:line style="position:absolute" from="514,1877" to="1815,1877" stroked="true" strokeweight=".72pt" strokecolor="#d9d9d9"/>
            <v:line style="position:absolute" from="7167,1546" to="7723,1546" stroked="true" strokeweight=".72pt" strokecolor="#d9d9d9"/>
            <v:line style="position:absolute" from="6135,1546" to="6963,1546" stroked="true" strokeweight=".72pt" strokecolor="#d9d9d9"/>
            <v:line style="position:absolute" from="5105,1546" to="5933,1546" stroked="true" strokeweight=".72pt" strokecolor="#d9d9d9"/>
            <v:line style="position:absolute" from="4075,1546" to="4903,1546" stroked="true" strokeweight=".72pt" strokecolor="#d9d9d9"/>
            <v:line style="position:absolute" from="3046,1546" to="3874,1546" stroked="true" strokeweight=".72pt" strokecolor="#d9d9d9"/>
            <v:line style="position:absolute" from="514,1546" to="2844,1546" stroked="true" strokeweight=".72pt" strokecolor="#d9d9d9"/>
            <v:line style="position:absolute" from="7167,1217" to="7723,1217" stroked="true" strokeweight=".72pt" strokecolor="#d9d9d9"/>
            <v:line style="position:absolute" from="6135,1217" to="6963,1217" stroked="true" strokeweight=".72pt" strokecolor="#d9d9d9"/>
            <v:line style="position:absolute" from="5105,1217" to="5933,1217" stroked="true" strokeweight=".72pt" strokecolor="#d9d9d9"/>
            <v:line style="position:absolute" from="3046,1217" to="4903,1217" stroked="true" strokeweight=".72pt" strokecolor="#d9d9d9"/>
            <v:line style="position:absolute" from="514,1217" to="2844,1217" stroked="true" strokeweight=".72pt" strokecolor="#d9d9d9"/>
            <v:line style="position:absolute" from="7167,888" to="7723,888" stroked="true" strokeweight=".72pt" strokecolor="#d9d9d9"/>
            <v:line style="position:absolute" from="6135,888" to="6963,888" stroked="true" strokeweight=".72pt" strokecolor="#d9d9d9"/>
            <v:line style="position:absolute" from="5105,888" to="5933,888" stroked="true" strokeweight=".72pt" strokecolor="#d9d9d9"/>
            <v:line style="position:absolute" from="514,888" to="4903,888" stroked="true" strokeweight=".72pt" strokecolor="#d9d9d9"/>
            <v:line style="position:absolute" from="514,557" to="7723,557" stroked="true" strokeweight=".72pt" strokecolor="#d9d9d9"/>
            <v:line style="position:absolute" from="514,228" to="7723,228" stroked="true" strokeweight=".72pt" strokecolor="#d9d9d9"/>
            <v:line style="position:absolute" from="514,228" to="514,2535" stroked="true" strokeweight=".72pt" strokecolor="#d9d9d9"/>
            <v:line style="position:absolute" from="1546,228" to="1546,2535" stroked="true" strokeweight=".72pt" strokecolor="#d9d9d9"/>
            <v:line style="position:absolute" from="2575,228" to="2575,2535" stroked="true" strokeweight=".72pt" strokecolor="#d9d9d9"/>
            <v:line style="position:absolute" from="3605,228" to="3605,2535" stroked="true" strokeweight=".72pt" strokecolor="#d9d9d9"/>
            <v:line style="position:absolute" from="4635,228" to="4635,2535" stroked="true" strokeweight=".72pt" strokecolor="#d9d9d9"/>
            <v:line style="position:absolute" from="5664,228" to="5664,2535" stroked="true" strokeweight=".72pt" strokecolor="#d9d9d9"/>
            <v:line style="position:absolute" from="6694,228" to="6694,2535" stroked="true" strokeweight=".72pt" strokecolor="#d9d9d9"/>
            <v:line style="position:absolute" from="7723,228" to="7723,2535" stroked="true" strokeweight=".72pt" strokecolor="#d9d9d9"/>
            <v:rect style="position:absolute;left:785;top:2376;width:202;height:158" filled="true" fillcolor="#539e39" stroked="false">
              <v:fill type="solid"/>
            </v:rect>
            <v:rect style="position:absolute;left:1815;top:1579;width:202;height:955" filled="true" fillcolor="#539e39" stroked="false">
              <v:fill type="solid"/>
            </v:rect>
            <v:rect style="position:absolute;left:2844;top:1025;width:202;height:1510" filled="true" fillcolor="#539e39" stroked="false">
              <v:fill type="solid"/>
            </v:rect>
            <v:rect style="position:absolute;left:3874;top:1385;width:202;height:1150" filled="true" fillcolor="#539e39" stroked="false">
              <v:fill type="solid"/>
            </v:rect>
            <v:rect style="position:absolute;left:4904;top:684;width:202;height:1850" filled="true" fillcolor="#539e39" stroked="false">
              <v:fill type="solid"/>
            </v:rect>
            <v:rect style="position:absolute;left:5933;top:632;width:202;height:1903" filled="true" fillcolor="#539e39" stroked="false">
              <v:fill type="solid"/>
            </v:rect>
            <v:rect style="position:absolute;left:6963;top:848;width:204;height:1687" filled="true" fillcolor="#539e39" stroked="false">
              <v:fill type="solid"/>
            </v:rect>
            <v:line style="position:absolute" from="1073,2532" to="1275,2532" stroked="true" strokeweight=".24pt" strokecolor="#89b833"/>
            <v:line style="position:absolute" from="2103,2505" to="2304,2505" stroked="true" strokeweight="3pt" strokecolor="#89b833"/>
            <v:line style="position:absolute" from="3132,2494" to="3334,2494" stroked="true" strokeweight="4.08pt" strokecolor="#89b833"/>
            <v:line style="position:absolute" from="4162,2520" to="4366,2520" stroked="true" strokeweight="1.44pt" strokecolor="#89b833"/>
            <v:rect style="position:absolute;left:5194;top:1678;width:202;height:857" filled="true" fillcolor="#89b833" stroked="false">
              <v:fill type="solid"/>
            </v:rect>
            <v:rect style="position:absolute;left:6223;top:1841;width:202;height:694" filled="true" fillcolor="#89b833" stroked="false">
              <v:fill type="solid"/>
            </v:rect>
            <v:rect style="position:absolute;left:7253;top:2235;width:202;height:300" filled="true" fillcolor="#89b833" stroked="false">
              <v:fill type="solid"/>
            </v:rect>
            <v:line style="position:absolute" from="514,2535" to="7723,2535" stroked="true" strokeweight=".72pt" strokecolor="#d9d9d9"/>
            <v:line style="position:absolute" from="2144,3131" to="2232,3131" stroked="true" strokeweight="4.440pt" strokecolor="#539e39"/>
            <v:line style="position:absolute" from="4284,3131" to="4373,3131" stroked="true" strokeweight="4.440pt" strokecolor="#89b833"/>
            <v:rect style="position:absolute;left:8;top:8;width:7937;height:3401" filled="false" stroked="true" strokeweight=".72pt" strokecolor="#d9d9d9"/>
            <v:shape style="position:absolute;left:138;top:141;width:225;height:2488" type="#_x0000_t202" filled="false" stroked="false">
              <v:textbox inset="0,0,0,0">
                <w:txbxContent>
                  <w:p>
                    <w:pPr>
                      <w:spacing w:line="184" w:lineRule="exact" w:before="0"/>
                      <w:ind w:left="0" w:right="-20" w:firstLine="0"/>
                      <w:jc w:val="left"/>
                      <w:rPr>
                        <w:sz w:val="18"/>
                      </w:rPr>
                    </w:pPr>
                    <w:r>
                      <w:rPr>
                        <w:color w:val="585858"/>
                        <w:sz w:val="18"/>
                      </w:rPr>
                      <w:t>7.0</w:t>
                    </w:r>
                  </w:p>
                  <w:p>
                    <w:pPr>
                      <w:spacing w:before="123"/>
                      <w:ind w:left="0" w:right="-20" w:firstLine="0"/>
                      <w:jc w:val="left"/>
                      <w:rPr>
                        <w:sz w:val="18"/>
                      </w:rPr>
                    </w:pPr>
                    <w:r>
                      <w:rPr>
                        <w:color w:val="585858"/>
                        <w:sz w:val="18"/>
                      </w:rPr>
                      <w:t>6.0</w:t>
                    </w:r>
                  </w:p>
                  <w:p>
                    <w:pPr>
                      <w:spacing w:before="123"/>
                      <w:ind w:left="0" w:right="-20" w:firstLine="0"/>
                      <w:jc w:val="left"/>
                      <w:rPr>
                        <w:sz w:val="18"/>
                      </w:rPr>
                    </w:pPr>
                    <w:r>
                      <w:rPr>
                        <w:color w:val="585858"/>
                        <w:sz w:val="18"/>
                      </w:rPr>
                      <w:t>5.0</w:t>
                    </w:r>
                  </w:p>
                  <w:p>
                    <w:pPr>
                      <w:spacing w:before="122"/>
                      <w:ind w:left="0" w:right="-20" w:firstLine="0"/>
                      <w:jc w:val="left"/>
                      <w:rPr>
                        <w:sz w:val="18"/>
                      </w:rPr>
                    </w:pPr>
                    <w:r>
                      <w:rPr>
                        <w:color w:val="585858"/>
                        <w:sz w:val="18"/>
                      </w:rPr>
                      <w:t>4.0</w:t>
                    </w:r>
                  </w:p>
                  <w:p>
                    <w:pPr>
                      <w:spacing w:before="123"/>
                      <w:ind w:left="0" w:right="-20" w:firstLine="0"/>
                      <w:jc w:val="left"/>
                      <w:rPr>
                        <w:sz w:val="18"/>
                      </w:rPr>
                    </w:pPr>
                    <w:r>
                      <w:rPr>
                        <w:color w:val="585858"/>
                        <w:sz w:val="18"/>
                      </w:rPr>
                      <w:t>3.0</w:t>
                    </w:r>
                  </w:p>
                  <w:p>
                    <w:pPr>
                      <w:spacing w:before="123"/>
                      <w:ind w:left="0" w:right="-20" w:firstLine="0"/>
                      <w:jc w:val="left"/>
                      <w:rPr>
                        <w:sz w:val="18"/>
                      </w:rPr>
                    </w:pPr>
                    <w:r>
                      <w:rPr>
                        <w:color w:val="585858"/>
                        <w:sz w:val="18"/>
                      </w:rPr>
                      <w:t>2.0</w:t>
                    </w:r>
                  </w:p>
                  <w:p>
                    <w:pPr>
                      <w:spacing w:before="123"/>
                      <w:ind w:left="0" w:right="-20" w:firstLine="0"/>
                      <w:jc w:val="left"/>
                      <w:rPr>
                        <w:sz w:val="18"/>
                      </w:rPr>
                    </w:pPr>
                    <w:r>
                      <w:rPr>
                        <w:color w:val="585858"/>
                        <w:sz w:val="18"/>
                      </w:rPr>
                      <w:t>1.0</w:t>
                    </w:r>
                  </w:p>
                  <w:p>
                    <w:pPr>
                      <w:spacing w:line="203" w:lineRule="exact" w:before="123"/>
                      <w:ind w:left="0" w:right="-20" w:firstLine="0"/>
                      <w:jc w:val="left"/>
                      <w:rPr>
                        <w:sz w:val="18"/>
                      </w:rPr>
                    </w:pPr>
                    <w:r>
                      <w:rPr>
                        <w:color w:val="585858"/>
                        <w:sz w:val="18"/>
                      </w:rPr>
                      <w:t>0.0</w:t>
                    </w:r>
                  </w:p>
                </w:txbxContent>
              </v:textbox>
              <w10:wrap type="none"/>
            </v:shape>
            <v:shape style="position:absolute;left:4892;top:411;width:227;height:180" type="#_x0000_t202" filled="false" stroked="false">
              <v:textbox inset="0,0,0,0">
                <w:txbxContent>
                  <w:p>
                    <w:pPr>
                      <w:spacing w:line="180" w:lineRule="exact" w:before="0"/>
                      <w:ind w:left="0" w:right="-18" w:firstLine="0"/>
                      <w:jc w:val="left"/>
                      <w:rPr>
                        <w:sz w:val="18"/>
                      </w:rPr>
                    </w:pPr>
                    <w:r>
                      <w:rPr>
                        <w:color w:val="404040"/>
                        <w:sz w:val="18"/>
                      </w:rPr>
                      <w:t>5.6</w:t>
                    </w:r>
                  </w:p>
                </w:txbxContent>
              </v:textbox>
              <w10:wrap type="none"/>
            </v:shape>
            <v:shape style="position:absolute;left:5922;top:360;width:227;height:180" type="#_x0000_t202" filled="false" stroked="false">
              <v:textbox inset="0,0,0,0">
                <w:txbxContent>
                  <w:p>
                    <w:pPr>
                      <w:spacing w:line="180" w:lineRule="exact" w:before="0"/>
                      <w:ind w:left="0" w:right="-18" w:firstLine="0"/>
                      <w:jc w:val="left"/>
                      <w:rPr>
                        <w:sz w:val="18"/>
                      </w:rPr>
                    </w:pPr>
                    <w:r>
                      <w:rPr>
                        <w:color w:val="404040"/>
                        <w:sz w:val="18"/>
                      </w:rPr>
                      <w:t>5.8</w:t>
                    </w:r>
                  </w:p>
                </w:txbxContent>
              </v:textbox>
              <w10:wrap type="none"/>
            </v:shape>
            <v:shape style="position:absolute;left:6952;top:577;width:227;height:180" type="#_x0000_t202" filled="false" stroked="false">
              <v:textbox inset="0,0,0,0">
                <w:txbxContent>
                  <w:p>
                    <w:pPr>
                      <w:spacing w:line="180" w:lineRule="exact" w:before="0"/>
                      <w:ind w:left="0" w:right="-18" w:firstLine="0"/>
                      <w:jc w:val="left"/>
                      <w:rPr>
                        <w:sz w:val="18"/>
                      </w:rPr>
                    </w:pPr>
                    <w:r>
                      <w:rPr>
                        <w:color w:val="404040"/>
                        <w:sz w:val="18"/>
                      </w:rPr>
                      <w:t>5.1</w:t>
                    </w:r>
                  </w:p>
                </w:txbxContent>
              </v:textbox>
              <w10:wrap type="none"/>
            </v:shape>
            <v:shape style="position:absolute;left:2832;top:753;width:227;height:180" type="#_x0000_t202" filled="false" stroked="false">
              <v:textbox inset="0,0,0,0">
                <w:txbxContent>
                  <w:p>
                    <w:pPr>
                      <w:spacing w:line="180" w:lineRule="exact" w:before="0"/>
                      <w:ind w:left="0" w:right="-18" w:firstLine="0"/>
                      <w:jc w:val="left"/>
                      <w:rPr>
                        <w:sz w:val="18"/>
                      </w:rPr>
                    </w:pPr>
                    <w:r>
                      <w:rPr>
                        <w:color w:val="404040"/>
                        <w:sz w:val="18"/>
                      </w:rPr>
                      <w:t>4.6</w:t>
                    </w:r>
                  </w:p>
                </w:txbxContent>
              </v:textbox>
              <w10:wrap type="none"/>
            </v:shape>
            <v:shape style="position:absolute;left:3862;top:1114;width:227;height:180" type="#_x0000_t202" filled="false" stroked="false">
              <v:textbox inset="0,0,0,0">
                <w:txbxContent>
                  <w:p>
                    <w:pPr>
                      <w:spacing w:line="180" w:lineRule="exact" w:before="0"/>
                      <w:ind w:left="0" w:right="-18" w:firstLine="0"/>
                      <w:jc w:val="left"/>
                      <w:rPr>
                        <w:sz w:val="18"/>
                      </w:rPr>
                    </w:pPr>
                    <w:r>
                      <w:rPr>
                        <w:color w:val="404040"/>
                        <w:sz w:val="18"/>
                      </w:rPr>
                      <w:t>3.5</w:t>
                    </w:r>
                  </w:p>
                </w:txbxContent>
              </v:textbox>
              <w10:wrap type="none"/>
            </v:shape>
            <v:shape style="position:absolute;left:1802;top:1307;width:227;height:180" type="#_x0000_t202" filled="false" stroked="false">
              <v:textbox inset="0,0,0,0">
                <w:txbxContent>
                  <w:p>
                    <w:pPr>
                      <w:spacing w:line="180" w:lineRule="exact" w:before="0"/>
                      <w:ind w:left="0" w:right="-18" w:firstLine="0"/>
                      <w:jc w:val="left"/>
                      <w:rPr>
                        <w:sz w:val="18"/>
                      </w:rPr>
                    </w:pPr>
                    <w:r>
                      <w:rPr>
                        <w:color w:val="404040"/>
                        <w:sz w:val="18"/>
                      </w:rPr>
                      <w:t>2.9</w:t>
                    </w:r>
                  </w:p>
                </w:txbxContent>
              </v:textbox>
              <w10:wrap type="none"/>
            </v:shape>
            <v:shape style="position:absolute;left:5181;top:1405;width:227;height:181" type="#_x0000_t202" filled="false" stroked="false">
              <v:textbox inset="0,0,0,0">
                <w:txbxContent>
                  <w:p>
                    <w:pPr>
                      <w:spacing w:line="180" w:lineRule="exact" w:before="0"/>
                      <w:ind w:left="0" w:right="-18" w:firstLine="0"/>
                      <w:jc w:val="left"/>
                      <w:rPr>
                        <w:sz w:val="18"/>
                      </w:rPr>
                    </w:pPr>
                    <w:r>
                      <w:rPr>
                        <w:color w:val="404040"/>
                        <w:sz w:val="18"/>
                      </w:rPr>
                      <w:t>2.6</w:t>
                    </w:r>
                  </w:p>
                </w:txbxContent>
              </v:textbox>
              <w10:wrap type="none"/>
            </v:shape>
            <v:shape style="position:absolute;left:6210;top:1569;width:227;height:180" type="#_x0000_t202" filled="false" stroked="false">
              <v:textbox inset="0,0,0,0">
                <w:txbxContent>
                  <w:p>
                    <w:pPr>
                      <w:spacing w:line="180" w:lineRule="exact" w:before="0"/>
                      <w:ind w:left="0" w:right="-18" w:firstLine="0"/>
                      <w:jc w:val="left"/>
                      <w:rPr>
                        <w:sz w:val="18"/>
                      </w:rPr>
                    </w:pPr>
                    <w:r>
                      <w:rPr>
                        <w:color w:val="404040"/>
                        <w:sz w:val="18"/>
                      </w:rPr>
                      <w:t>2.1</w:t>
                    </w:r>
                  </w:p>
                </w:txbxContent>
              </v:textbox>
              <w10:wrap type="none"/>
            </v:shape>
            <v:shape style="position:absolute;left:7241;top:1963;width:227;height:180" type="#_x0000_t202" filled="false" stroked="false">
              <v:textbox inset="0,0,0,0">
                <w:txbxContent>
                  <w:p>
                    <w:pPr>
                      <w:spacing w:line="180" w:lineRule="exact" w:before="0"/>
                      <w:ind w:left="0" w:right="-18" w:firstLine="0"/>
                      <w:jc w:val="left"/>
                      <w:rPr>
                        <w:sz w:val="18"/>
                      </w:rPr>
                    </w:pPr>
                    <w:r>
                      <w:rPr>
                        <w:color w:val="404040"/>
                        <w:sz w:val="18"/>
                      </w:rPr>
                      <w:t>0.9</w:t>
                    </w:r>
                  </w:p>
                </w:txbxContent>
              </v:textbox>
              <w10:wrap type="none"/>
            </v:shape>
            <v:shape style="position:absolute;left:772;top:2104;width:227;height:180" type="#_x0000_t202" filled="false" stroked="false">
              <v:textbox inset="0,0,0,0">
                <w:txbxContent>
                  <w:p>
                    <w:pPr>
                      <w:spacing w:line="180" w:lineRule="exact" w:before="0"/>
                      <w:ind w:left="0" w:right="-18" w:firstLine="0"/>
                      <w:jc w:val="left"/>
                      <w:rPr>
                        <w:sz w:val="18"/>
                      </w:rPr>
                    </w:pPr>
                    <w:r>
                      <w:rPr>
                        <w:color w:val="404040"/>
                        <w:sz w:val="18"/>
                      </w:rPr>
                      <w:t>0.5</w:t>
                    </w:r>
                  </w:p>
                </w:txbxContent>
              </v:textbox>
              <w10:wrap type="none"/>
            </v:shape>
            <v:shape style="position:absolute;left:1061;top:2259;width:227;height:180" type="#_x0000_t202" filled="false" stroked="false">
              <v:textbox inset="0,0,0,0">
                <w:txbxContent>
                  <w:p>
                    <w:pPr>
                      <w:spacing w:line="180" w:lineRule="exact" w:before="0"/>
                      <w:ind w:left="0" w:right="-18" w:firstLine="0"/>
                      <w:jc w:val="left"/>
                      <w:rPr>
                        <w:sz w:val="18"/>
                      </w:rPr>
                    </w:pPr>
                    <w:r>
                      <w:rPr>
                        <w:color w:val="404040"/>
                        <w:sz w:val="18"/>
                      </w:rPr>
                      <w:t>0.0</w:t>
                    </w:r>
                  </w:p>
                </w:txbxContent>
              </v:textbox>
              <w10:wrap type="none"/>
            </v:shape>
            <v:shape style="position:absolute;left:2091;top:2203;width:227;height:181" type="#_x0000_t202" filled="false" stroked="false">
              <v:textbox inset="0,0,0,0">
                <w:txbxContent>
                  <w:p>
                    <w:pPr>
                      <w:spacing w:line="180" w:lineRule="exact" w:before="0"/>
                      <w:ind w:left="0" w:right="-18" w:firstLine="0"/>
                      <w:jc w:val="left"/>
                      <w:rPr>
                        <w:sz w:val="18"/>
                      </w:rPr>
                    </w:pPr>
                    <w:r>
                      <w:rPr>
                        <w:color w:val="404040"/>
                        <w:sz w:val="18"/>
                      </w:rPr>
                      <w:t>0.2</w:t>
                    </w:r>
                  </w:p>
                </w:txbxContent>
              </v:textbox>
              <w10:wrap type="none"/>
            </v:shape>
            <v:shape style="position:absolute;left:3121;top:2182;width:227;height:180" type="#_x0000_t202" filled="false" stroked="false">
              <v:textbox inset="0,0,0,0">
                <w:txbxContent>
                  <w:p>
                    <w:pPr>
                      <w:spacing w:line="180" w:lineRule="exact" w:before="0"/>
                      <w:ind w:left="0" w:right="-18" w:firstLine="0"/>
                      <w:jc w:val="left"/>
                      <w:rPr>
                        <w:sz w:val="18"/>
                      </w:rPr>
                    </w:pPr>
                    <w:r>
                      <w:rPr>
                        <w:color w:val="404040"/>
                        <w:sz w:val="18"/>
                      </w:rPr>
                      <w:t>0.2</w:t>
                    </w:r>
                  </w:p>
                </w:txbxContent>
              </v:textbox>
              <w10:wrap type="none"/>
            </v:shape>
            <v:shape style="position:absolute;left:4151;top:2233;width:227;height:180" type="#_x0000_t202" filled="false" stroked="false">
              <v:textbox inset="0,0,0,0">
                <w:txbxContent>
                  <w:p>
                    <w:pPr>
                      <w:spacing w:line="180" w:lineRule="exact" w:before="0"/>
                      <w:ind w:left="0" w:right="-18" w:firstLine="0"/>
                      <w:jc w:val="left"/>
                      <w:rPr>
                        <w:sz w:val="18"/>
                      </w:rPr>
                    </w:pPr>
                    <w:r>
                      <w:rPr>
                        <w:color w:val="404040"/>
                        <w:sz w:val="18"/>
                      </w:rPr>
                      <w:t>0.1</w:t>
                    </w:r>
                  </w:p>
                </w:txbxContent>
              </v:textbox>
              <w10:wrap type="none"/>
            </v:shape>
            <v:shape style="position:absolute;left:850;top:2661;width:6542;height:180" type="#_x0000_t202" filled="false" stroked="false">
              <v:textbox inset="0,0,0,0">
                <w:txbxContent>
                  <w:p>
                    <w:pPr>
                      <w:tabs>
                        <w:tab w:pos="1030" w:val="left" w:leader="none"/>
                        <w:tab w:pos="2060" w:val="left" w:leader="none"/>
                        <w:tab w:pos="3090" w:val="left" w:leader="none"/>
                        <w:tab w:pos="4120" w:val="left" w:leader="none"/>
                        <w:tab w:pos="5150" w:val="left" w:leader="none"/>
                        <w:tab w:pos="6180" w:val="left" w:leader="none"/>
                      </w:tabs>
                      <w:spacing w:line="180" w:lineRule="exact" w:before="0"/>
                      <w:ind w:left="0" w:right="0" w:firstLine="0"/>
                      <w:jc w:val="left"/>
                      <w:rPr>
                        <w:sz w:val="18"/>
                      </w:rPr>
                    </w:pPr>
                    <w:r>
                      <w:rPr>
                        <w:color w:val="585858"/>
                        <w:sz w:val="18"/>
                      </w:rPr>
                      <w:t>1980</w:t>
                      <w:tab/>
                      <w:t>1985</w:t>
                      <w:tab/>
                      <w:t>1988</w:t>
                      <w:tab/>
                      <w:t>1993</w:t>
                      <w:tab/>
                      <w:t>1998</w:t>
                      <w:tab/>
                      <w:t>2003</w:t>
                      <w:tab/>
                      <w:t>2008</w:t>
                    </w:r>
                  </w:p>
                </w:txbxContent>
              </v:textbox>
              <w10:wrap type="none"/>
            </v:shape>
            <v:shape style="position:absolute;left:2272;top:3044;width:1723;height:181" type="#_x0000_t202" filled="false" stroked="false">
              <v:textbox inset="0,0,0,0">
                <w:txbxContent>
                  <w:p>
                    <w:pPr>
                      <w:spacing w:line="180" w:lineRule="exact" w:before="0"/>
                      <w:ind w:left="0" w:right="-13" w:firstLine="0"/>
                      <w:jc w:val="left"/>
                      <w:rPr>
                        <w:sz w:val="18"/>
                      </w:rPr>
                    </w:pPr>
                    <w:r>
                      <w:rPr>
                        <w:color w:val="585858"/>
                        <w:sz w:val="18"/>
                      </w:rPr>
                      <w:t>Industria</w:t>
                    </w:r>
                    <w:r>
                      <w:rPr>
                        <w:color w:val="585858"/>
                        <w:spacing w:val="-9"/>
                        <w:sz w:val="18"/>
                      </w:rPr>
                      <w:t> </w:t>
                    </w:r>
                    <w:r>
                      <w:rPr>
                        <w:color w:val="585858"/>
                        <w:sz w:val="18"/>
                      </w:rPr>
                      <w:t>manufacturera</w:t>
                    </w:r>
                  </w:p>
                </w:txbxContent>
              </v:textbox>
              <w10:wrap type="none"/>
            </v:shape>
            <v:shape style="position:absolute;left:4411;top:3044;width:1464;height:181" type="#_x0000_t202" filled="false" stroked="false">
              <v:textbox inset="0,0,0,0">
                <w:txbxContent>
                  <w:p>
                    <w:pPr>
                      <w:spacing w:line="180" w:lineRule="exact" w:before="0"/>
                      <w:ind w:left="0" w:right="-13" w:firstLine="0"/>
                      <w:jc w:val="left"/>
                      <w:rPr>
                        <w:sz w:val="18"/>
                      </w:rPr>
                    </w:pPr>
                    <w:r>
                      <w:rPr>
                        <w:color w:val="585858"/>
                        <w:sz w:val="18"/>
                      </w:rPr>
                      <w:t>Industria</w:t>
                    </w:r>
                    <w:r>
                      <w:rPr>
                        <w:color w:val="585858"/>
                        <w:spacing w:val="-8"/>
                        <w:sz w:val="18"/>
                      </w:rPr>
                      <w:t> </w:t>
                    </w:r>
                    <w:r>
                      <w:rPr>
                        <w:color w:val="585858"/>
                        <w:sz w:val="18"/>
                      </w:rPr>
                      <w:t>automotriz</w:t>
                    </w:r>
                  </w:p>
                </w:txbxContent>
              </v:textbox>
              <w10:wrap type="none"/>
            </v:shape>
          </v:group>
        </w:pict>
      </w:r>
      <w:r>
        <w:rPr>
          <w:sz w:val="20"/>
        </w:rPr>
      </w:r>
    </w:p>
    <w:p>
      <w:pPr>
        <w:spacing w:before="122"/>
        <w:ind w:left="383" w:right="399" w:firstLine="0"/>
        <w:jc w:val="center"/>
        <w:rPr>
          <w:sz w:val="18"/>
        </w:rPr>
      </w:pPr>
      <w:r>
        <w:rPr>
          <w:sz w:val="18"/>
        </w:rPr>
        <w:t>Fuente: Elaboración propia con datos de INEGI (varios años).</w:t>
      </w:r>
    </w:p>
    <w:p>
      <w:pPr>
        <w:spacing w:after="0"/>
        <w:jc w:val="center"/>
        <w:rPr>
          <w:sz w:val="18"/>
        </w:rPr>
        <w:sectPr>
          <w:pgSz w:w="12240" w:h="15840"/>
          <w:pgMar w:header="0" w:footer="1035" w:top="1360" w:bottom="1220" w:left="1600" w:right="1580"/>
        </w:sectPr>
      </w:pPr>
    </w:p>
    <w:p>
      <w:pPr>
        <w:pStyle w:val="BodyText"/>
        <w:spacing w:line="360" w:lineRule="auto" w:before="50"/>
        <w:ind w:left="102" w:right="120"/>
        <w:jc w:val="both"/>
      </w:pPr>
      <w:r>
        <w:rPr/>
        <w:t>Por el lado del personal ocupado, se observa un comportamiento de crecimiento constante a lo largo del tiempo, incluso, pese a la crisis económica de 2008. Específicamente, el</w:t>
      </w:r>
      <w:r>
        <w:rPr>
          <w:spacing w:val="-11"/>
        </w:rPr>
        <w:t> </w:t>
      </w:r>
      <w:r>
        <w:rPr/>
        <w:t>empleo de</w:t>
      </w:r>
      <w:r>
        <w:rPr>
          <w:spacing w:val="-17"/>
        </w:rPr>
        <w:t> </w:t>
      </w:r>
      <w:r>
        <w:rPr/>
        <w:t>la</w:t>
      </w:r>
      <w:r>
        <w:rPr>
          <w:spacing w:val="-16"/>
        </w:rPr>
        <w:t> </w:t>
      </w:r>
      <w:r>
        <w:rPr/>
        <w:t>industria</w:t>
      </w:r>
      <w:r>
        <w:rPr>
          <w:spacing w:val="-17"/>
        </w:rPr>
        <w:t> </w:t>
      </w:r>
      <w:r>
        <w:rPr/>
        <w:t>manufacturera</w:t>
      </w:r>
      <w:r>
        <w:rPr>
          <w:spacing w:val="-15"/>
        </w:rPr>
        <w:t> </w:t>
      </w:r>
      <w:r>
        <w:rPr/>
        <w:t>de</w:t>
      </w:r>
      <w:r>
        <w:rPr>
          <w:spacing w:val="-14"/>
        </w:rPr>
        <w:t> </w:t>
      </w:r>
      <w:r>
        <w:rPr/>
        <w:t>Guanajuato</w:t>
      </w:r>
      <w:r>
        <w:rPr>
          <w:spacing w:val="-15"/>
        </w:rPr>
        <w:t> </w:t>
      </w:r>
      <w:r>
        <w:rPr/>
        <w:t>en</w:t>
      </w:r>
      <w:r>
        <w:rPr>
          <w:spacing w:val="-16"/>
        </w:rPr>
        <w:t> </w:t>
      </w:r>
      <w:r>
        <w:rPr/>
        <w:t>1980</w:t>
      </w:r>
      <w:r>
        <w:rPr>
          <w:spacing w:val="-16"/>
        </w:rPr>
        <w:t> </w:t>
      </w:r>
      <w:r>
        <w:rPr/>
        <w:t>representaba</w:t>
      </w:r>
      <w:r>
        <w:rPr>
          <w:spacing w:val="-17"/>
        </w:rPr>
        <w:t> </w:t>
      </w:r>
      <w:r>
        <w:rPr/>
        <w:t>el</w:t>
      </w:r>
      <w:r>
        <w:rPr>
          <w:spacing w:val="-15"/>
        </w:rPr>
        <w:t> </w:t>
      </w:r>
      <w:r>
        <w:rPr/>
        <w:t>3.2%</w:t>
      </w:r>
      <w:r>
        <w:rPr>
          <w:spacing w:val="-17"/>
        </w:rPr>
        <w:t> </w:t>
      </w:r>
      <w:r>
        <w:rPr/>
        <w:t>en</w:t>
      </w:r>
      <w:r>
        <w:rPr>
          <w:spacing w:val="-16"/>
        </w:rPr>
        <w:t> </w:t>
      </w:r>
      <w:r>
        <w:rPr/>
        <w:t>el</w:t>
      </w:r>
      <w:r>
        <w:rPr>
          <w:spacing w:val="-15"/>
        </w:rPr>
        <w:t> </w:t>
      </w:r>
      <w:r>
        <w:rPr/>
        <w:t>total</w:t>
      </w:r>
      <w:r>
        <w:rPr>
          <w:spacing w:val="-15"/>
        </w:rPr>
        <w:t> </w:t>
      </w:r>
      <w:r>
        <w:rPr/>
        <w:t>nacional y en 2008 alcanzó su mayor participación con el 5.2%. En cuanto a la industria automotriz, se observa que el crecimiento ha sido menos significativo; en 1980, el personal ocupado en la</w:t>
      </w:r>
      <w:r>
        <w:rPr>
          <w:spacing w:val="-12"/>
        </w:rPr>
        <w:t> </w:t>
      </w:r>
      <w:r>
        <w:rPr/>
        <w:t>automotriz</w:t>
      </w:r>
      <w:r>
        <w:rPr>
          <w:spacing w:val="-10"/>
        </w:rPr>
        <w:t> </w:t>
      </w:r>
      <w:r>
        <w:rPr/>
        <w:t>del</w:t>
      </w:r>
      <w:r>
        <w:rPr>
          <w:spacing w:val="-11"/>
        </w:rPr>
        <w:t> </w:t>
      </w:r>
      <w:r>
        <w:rPr/>
        <w:t>estado</w:t>
      </w:r>
      <w:r>
        <w:rPr>
          <w:spacing w:val="-11"/>
        </w:rPr>
        <w:t> </w:t>
      </w:r>
      <w:r>
        <w:rPr/>
        <w:t>era</w:t>
      </w:r>
      <w:r>
        <w:rPr>
          <w:spacing w:val="-13"/>
        </w:rPr>
        <w:t> </w:t>
      </w:r>
      <w:r>
        <w:rPr/>
        <w:t>apenas</w:t>
      </w:r>
      <w:r>
        <w:rPr>
          <w:spacing w:val="-11"/>
        </w:rPr>
        <w:t> </w:t>
      </w:r>
      <w:r>
        <w:rPr/>
        <w:t>de</w:t>
      </w:r>
      <w:r>
        <w:rPr>
          <w:spacing w:val="-12"/>
        </w:rPr>
        <w:t> </w:t>
      </w:r>
      <w:r>
        <w:rPr/>
        <w:t>518</w:t>
      </w:r>
      <w:r>
        <w:rPr>
          <w:spacing w:val="-11"/>
        </w:rPr>
        <w:t> </w:t>
      </w:r>
      <w:r>
        <w:rPr/>
        <w:t>empleados,</w:t>
      </w:r>
      <w:r>
        <w:rPr>
          <w:spacing w:val="-11"/>
        </w:rPr>
        <w:t> </w:t>
      </w:r>
      <w:r>
        <w:rPr/>
        <w:t>provocando</w:t>
      </w:r>
      <w:r>
        <w:rPr>
          <w:spacing w:val="-11"/>
        </w:rPr>
        <w:t> </w:t>
      </w:r>
      <w:r>
        <w:rPr/>
        <w:t>que</w:t>
      </w:r>
      <w:r>
        <w:rPr>
          <w:spacing w:val="-12"/>
        </w:rPr>
        <w:t> </w:t>
      </w:r>
      <w:r>
        <w:rPr/>
        <w:t>su</w:t>
      </w:r>
      <w:r>
        <w:rPr>
          <w:spacing w:val="-11"/>
        </w:rPr>
        <w:t> </w:t>
      </w:r>
      <w:r>
        <w:rPr/>
        <w:t>participación</w:t>
      </w:r>
      <w:r>
        <w:rPr>
          <w:spacing w:val="-11"/>
        </w:rPr>
        <w:t> </w:t>
      </w:r>
      <w:r>
        <w:rPr/>
        <w:t>fuera prácticamente de 0% en el empleo manufacturero nacional y en 2008 apenas representó el 0.4% (véase gráfica</w:t>
      </w:r>
      <w:r>
        <w:rPr>
          <w:spacing w:val="-5"/>
        </w:rPr>
        <w:t> </w:t>
      </w:r>
      <w:r>
        <w:rPr/>
        <w:t>4.15).</w:t>
      </w:r>
    </w:p>
    <w:p>
      <w:pPr>
        <w:pStyle w:val="BodyText"/>
        <w:spacing w:before="2"/>
        <w:rPr>
          <w:sz w:val="21"/>
        </w:rPr>
      </w:pPr>
    </w:p>
    <w:p>
      <w:pPr>
        <w:pStyle w:val="BodyText"/>
        <w:spacing w:line="360" w:lineRule="auto"/>
        <w:ind w:left="102" w:right="115"/>
        <w:jc w:val="both"/>
      </w:pPr>
      <w:r>
        <w:rPr/>
        <w:t>Se</w:t>
      </w:r>
      <w:r>
        <w:rPr>
          <w:spacing w:val="-10"/>
        </w:rPr>
        <w:t> </w:t>
      </w:r>
      <w:r>
        <w:rPr/>
        <w:t>espera</w:t>
      </w:r>
      <w:r>
        <w:rPr>
          <w:spacing w:val="-10"/>
        </w:rPr>
        <w:t> </w:t>
      </w:r>
      <w:r>
        <w:rPr/>
        <w:t>que</w:t>
      </w:r>
      <w:r>
        <w:rPr>
          <w:spacing w:val="-7"/>
        </w:rPr>
        <w:t> </w:t>
      </w:r>
      <w:r>
        <w:rPr/>
        <w:t>el</w:t>
      </w:r>
      <w:r>
        <w:rPr>
          <w:spacing w:val="-8"/>
        </w:rPr>
        <w:t> </w:t>
      </w:r>
      <w:r>
        <w:rPr/>
        <w:t>empleo</w:t>
      </w:r>
      <w:r>
        <w:rPr>
          <w:spacing w:val="-4"/>
        </w:rPr>
        <w:t> </w:t>
      </w:r>
      <w:r>
        <w:rPr/>
        <w:t>dentro</w:t>
      </w:r>
      <w:r>
        <w:rPr>
          <w:spacing w:val="-9"/>
        </w:rPr>
        <w:t> </w:t>
      </w:r>
      <w:r>
        <w:rPr/>
        <w:t>de</w:t>
      </w:r>
      <w:r>
        <w:rPr>
          <w:spacing w:val="-7"/>
        </w:rPr>
        <w:t> </w:t>
      </w:r>
      <w:r>
        <w:rPr/>
        <w:t>la</w:t>
      </w:r>
      <w:r>
        <w:rPr>
          <w:spacing w:val="-7"/>
        </w:rPr>
        <w:t> </w:t>
      </w:r>
      <w:r>
        <w:rPr/>
        <w:t>industria</w:t>
      </w:r>
      <w:r>
        <w:rPr>
          <w:spacing w:val="-9"/>
        </w:rPr>
        <w:t> </w:t>
      </w:r>
      <w:r>
        <w:rPr/>
        <w:t>automotriz</w:t>
      </w:r>
      <w:r>
        <w:rPr>
          <w:spacing w:val="-8"/>
        </w:rPr>
        <w:t> </w:t>
      </w:r>
      <w:r>
        <w:rPr/>
        <w:t>siga</w:t>
      </w:r>
      <w:r>
        <w:rPr>
          <w:spacing w:val="-9"/>
        </w:rPr>
        <w:t> </w:t>
      </w:r>
      <w:r>
        <w:rPr/>
        <w:t>creciendo,</w:t>
      </w:r>
      <w:r>
        <w:rPr>
          <w:spacing w:val="-9"/>
        </w:rPr>
        <w:t> </w:t>
      </w:r>
      <w:r>
        <w:rPr/>
        <w:t>pues</w:t>
      </w:r>
      <w:r>
        <w:rPr>
          <w:spacing w:val="-8"/>
        </w:rPr>
        <w:t> </w:t>
      </w:r>
      <w:r>
        <w:rPr/>
        <w:t>recientemente la empresa Toyota anunció que invertirá 1 mdd para construir una nueva planta ensambladora,</w:t>
      </w:r>
      <w:r>
        <w:rPr>
          <w:spacing w:val="-12"/>
        </w:rPr>
        <w:t> </w:t>
      </w:r>
      <w:r>
        <w:rPr/>
        <w:t>donde</w:t>
      </w:r>
      <w:r>
        <w:rPr>
          <w:spacing w:val="-13"/>
        </w:rPr>
        <w:t> </w:t>
      </w:r>
      <w:r>
        <w:rPr/>
        <w:t>se</w:t>
      </w:r>
      <w:r>
        <w:rPr>
          <w:spacing w:val="-11"/>
        </w:rPr>
        <w:t> </w:t>
      </w:r>
      <w:r>
        <w:rPr/>
        <w:t>espera</w:t>
      </w:r>
      <w:r>
        <w:rPr>
          <w:spacing w:val="-14"/>
        </w:rPr>
        <w:t> </w:t>
      </w:r>
      <w:r>
        <w:rPr/>
        <w:t>que</w:t>
      </w:r>
      <w:r>
        <w:rPr>
          <w:spacing w:val="-11"/>
        </w:rPr>
        <w:t> </w:t>
      </w:r>
      <w:r>
        <w:rPr/>
        <w:t>fabrique</w:t>
      </w:r>
      <w:r>
        <w:rPr>
          <w:spacing w:val="-13"/>
        </w:rPr>
        <w:t> </w:t>
      </w:r>
      <w:r>
        <w:rPr/>
        <w:t>más</w:t>
      </w:r>
      <w:r>
        <w:rPr>
          <w:spacing w:val="-13"/>
        </w:rPr>
        <w:t> </w:t>
      </w:r>
      <w:r>
        <w:rPr/>
        <w:t>de</w:t>
      </w:r>
      <w:r>
        <w:rPr>
          <w:spacing w:val="-13"/>
        </w:rPr>
        <w:t> </w:t>
      </w:r>
      <w:r>
        <w:rPr/>
        <w:t>200</w:t>
      </w:r>
      <w:r>
        <w:rPr>
          <w:spacing w:val="-12"/>
        </w:rPr>
        <w:t> </w:t>
      </w:r>
      <w:r>
        <w:rPr/>
        <w:t>mil</w:t>
      </w:r>
      <w:r>
        <w:rPr>
          <w:spacing w:val="-12"/>
        </w:rPr>
        <w:t> </w:t>
      </w:r>
      <w:r>
        <w:rPr/>
        <w:t>vehículos</w:t>
      </w:r>
      <w:r>
        <w:rPr>
          <w:spacing w:val="-12"/>
        </w:rPr>
        <w:t> </w:t>
      </w:r>
      <w:r>
        <w:rPr/>
        <w:t>por</w:t>
      </w:r>
      <w:r>
        <w:rPr>
          <w:spacing w:val="-13"/>
        </w:rPr>
        <w:t> </w:t>
      </w:r>
      <w:r>
        <w:rPr/>
        <w:t>año</w:t>
      </w:r>
      <w:r>
        <w:rPr>
          <w:spacing w:val="-10"/>
        </w:rPr>
        <w:t> </w:t>
      </w:r>
      <w:r>
        <w:rPr/>
        <w:t>y</w:t>
      </w:r>
      <w:r>
        <w:rPr>
          <w:spacing w:val="-17"/>
        </w:rPr>
        <w:t> </w:t>
      </w:r>
      <w:r>
        <w:rPr/>
        <w:t>genere</w:t>
      </w:r>
      <w:r>
        <w:rPr>
          <w:spacing w:val="-13"/>
        </w:rPr>
        <w:t> </w:t>
      </w:r>
      <w:r>
        <w:rPr/>
        <w:t>2,400 empleos (CNN expansión, 2015). En cuanto a la industria de autopartes, Ford anunció que invertirá 2,500 mdd para la construcción de una planta de transmisiones en la entidad, esto, en alianza con la alemana Getrag (El Financiero, 2015). Asimismo la empresa Poliuretanos Summa Woodbridge invertirá 25 mdd en una segunda planta, que se espera se ubique en el corredor Salamanca-Celeya (El Economista,</w:t>
      </w:r>
      <w:r>
        <w:rPr>
          <w:spacing w:val="-7"/>
        </w:rPr>
        <w:t> </w:t>
      </w:r>
      <w:r>
        <w:rPr/>
        <w:t>2015).</w:t>
      </w:r>
    </w:p>
    <w:p>
      <w:pPr>
        <w:pStyle w:val="BodyText"/>
        <w:spacing w:before="7"/>
        <w:rPr>
          <w:sz w:val="21"/>
        </w:rPr>
      </w:pPr>
    </w:p>
    <w:p>
      <w:pPr>
        <w:pStyle w:val="Heading1"/>
        <w:spacing w:line="360" w:lineRule="auto"/>
        <w:ind w:left="111" w:right="132"/>
        <w:jc w:val="center"/>
      </w:pPr>
      <w:r>
        <w:rPr/>
        <w:t>Gráfica 4.15.Participación porcentual de la industria manufacturera y automotriz de Guanajuato en la manufactura nacional, 1980-2008 (Personal Ocupado)</w:t>
      </w:r>
    </w:p>
    <w:p>
      <w:pPr>
        <w:pStyle w:val="BodyText"/>
        <w:ind w:left="538"/>
        <w:rPr>
          <w:sz w:val="20"/>
        </w:rPr>
      </w:pPr>
      <w:r>
        <w:rPr>
          <w:sz w:val="20"/>
        </w:rPr>
        <w:pict>
          <v:group style="width:397.6pt;height:170.8pt;mso-position-horizontal-relative:char;mso-position-vertical-relative:line" coordorigin="0,0" coordsize="7952,3416">
            <v:shape style="position:absolute;left:514;top:228;width:7210;height:2306" type="#_x0000_t75" stroked="false">
              <v:imagedata r:id="rId74" o:title=""/>
            </v:shape>
            <v:line style="position:absolute" from="7167,2206" to="7723,2206" stroked="true" strokeweight=".72pt" strokecolor="#d9d9d9"/>
            <v:line style="position:absolute" from="6135,2206" to="6963,2206" stroked="true" strokeweight=".72pt" strokecolor="#d9d9d9"/>
            <v:line style="position:absolute" from="5105,2206" to="5933,2206" stroked="true" strokeweight=".72pt" strokecolor="#d9d9d9"/>
            <v:line style="position:absolute" from="4075,2206" to="4903,2206" stroked="true" strokeweight=".72pt" strokecolor="#d9d9d9"/>
            <v:line style="position:absolute" from="3046,2206" to="3874,2206" stroked="true" strokeweight=".72pt" strokecolor="#d9d9d9"/>
            <v:line style="position:absolute" from="2016,2206" to="2844,2206" stroked="true" strokeweight=".72pt" strokecolor="#d9d9d9"/>
            <v:line style="position:absolute" from="987,2206" to="1815,2206" stroked="true" strokeweight=".72pt" strokecolor="#d9d9d9"/>
            <v:line style="position:absolute" from="514,2206" to="785,2206" stroked="true" strokeweight=".72pt" strokecolor="#d9d9d9"/>
            <v:line style="position:absolute" from="7167,1877" to="7723,1877" stroked="true" strokeweight=".72pt" strokecolor="#d9d9d9"/>
            <v:line style="position:absolute" from="6135,1877" to="6963,1877" stroked="true" strokeweight=".72pt" strokecolor="#d9d9d9"/>
            <v:line style="position:absolute" from="5105,1877" to="5933,1877" stroked="true" strokeweight=".72pt" strokecolor="#d9d9d9"/>
            <v:line style="position:absolute" from="4075,1877" to="4903,1877" stroked="true" strokeweight=".72pt" strokecolor="#d9d9d9"/>
            <v:line style="position:absolute" from="3046,1877" to="3874,1877" stroked="true" strokeweight=".72pt" strokecolor="#d9d9d9"/>
            <v:line style="position:absolute" from="2016,1877" to="2844,1877" stroked="true" strokeweight=".72pt" strokecolor="#d9d9d9"/>
            <v:line style="position:absolute" from="987,1877" to="1815,1877" stroked="true" strokeweight=".72pt" strokecolor="#d9d9d9"/>
            <v:line style="position:absolute" from="514,1877" to="785,1877" stroked="true" strokeweight=".72pt" strokecolor="#d9d9d9"/>
            <v:line style="position:absolute" from="7167,1546" to="7723,1546" stroked="true" strokeweight=".72pt" strokecolor="#d9d9d9"/>
            <v:line style="position:absolute" from="6135,1546" to="6963,1546" stroked="true" strokeweight=".72pt" strokecolor="#d9d9d9"/>
            <v:line style="position:absolute" from="5105,1546" to="5933,1546" stroked="true" strokeweight=".72pt" strokecolor="#d9d9d9"/>
            <v:line style="position:absolute" from="4075,1546" to="4903,1546" stroked="true" strokeweight=".72pt" strokecolor="#d9d9d9"/>
            <v:line style="position:absolute" from="3046,1546" to="3874,1546" stroked="true" strokeweight=".72pt" strokecolor="#d9d9d9"/>
            <v:line style="position:absolute" from="2016,1546" to="2844,1546" stroked="true" strokeweight=".72pt" strokecolor="#d9d9d9"/>
            <v:line style="position:absolute" from="987,1546" to="1815,1546" stroked="true" strokeweight=".72pt" strokecolor="#d9d9d9"/>
            <v:line style="position:absolute" from="514,1546" to="785,1546" stroked="true" strokeweight=".72pt" strokecolor="#d9d9d9"/>
            <v:line style="position:absolute" from="7167,1217" to="7723,1217" stroked="true" strokeweight=".72pt" strokecolor="#d9d9d9"/>
            <v:line style="position:absolute" from="6135,1217" to="6963,1217" stroked="true" strokeweight=".72pt" strokecolor="#d9d9d9"/>
            <v:line style="position:absolute" from="5105,1217" to="5933,1217" stroked="true" strokeweight=".72pt" strokecolor="#d9d9d9"/>
            <v:line style="position:absolute" from="4075,1217" to="4903,1217" stroked="true" strokeweight=".72pt" strokecolor="#d9d9d9"/>
            <v:line style="position:absolute" from="3046,1217" to="3874,1217" stroked="true" strokeweight=".72pt" strokecolor="#d9d9d9"/>
            <v:line style="position:absolute" from="2016,1217" to="2844,1217" stroked="true" strokeweight=".72pt" strokecolor="#d9d9d9"/>
            <v:line style="position:absolute" from="514,1217" to="1815,1217" stroked="true" strokeweight=".72pt" strokecolor="#d9d9d9"/>
            <v:line style="position:absolute" from="7167,888" to="7723,888" stroked="true" strokeweight=".72pt" strokecolor="#d9d9d9"/>
            <v:line style="position:absolute" from="6135,888" to="6963,888" stroked="true" strokeweight=".72pt" strokecolor="#d9d9d9"/>
            <v:line style="position:absolute" from="5105,888" to="5933,888" stroked="true" strokeweight=".72pt" strokecolor="#d9d9d9"/>
            <v:line style="position:absolute" from="514,888" to="4903,888" stroked="true" strokeweight=".72pt" strokecolor="#d9d9d9"/>
            <v:line style="position:absolute" from="514,557" to="7723,557" stroked="true" strokeweight=".72pt" strokecolor="#d9d9d9"/>
            <v:line style="position:absolute" from="514,228" to="7723,228" stroked="true" strokeweight=".72pt" strokecolor="#d9d9d9"/>
            <v:line style="position:absolute" from="514,228" to="514,2535" stroked="true" strokeweight=".72pt" strokecolor="#d9d9d9"/>
            <v:line style="position:absolute" from="1546,228" to="1546,2535" stroked="true" strokeweight=".72pt" strokecolor="#d9d9d9"/>
            <v:line style="position:absolute" from="2575,228" to="2575,2535" stroked="true" strokeweight=".72pt" strokecolor="#d9d9d9"/>
            <v:line style="position:absolute" from="3605,228" to="3605,2535" stroked="true" strokeweight=".72pt" strokecolor="#d9d9d9"/>
            <v:line style="position:absolute" from="4635,228" to="4635,2535" stroked="true" strokeweight=".72pt" strokecolor="#d9d9d9"/>
            <v:line style="position:absolute" from="5664,228" to="5664,2535" stroked="true" strokeweight=".72pt" strokecolor="#d9d9d9"/>
            <v:line style="position:absolute" from="6694,228" to="6694,2535" stroked="true" strokeweight=".72pt" strokecolor="#d9d9d9"/>
            <v:line style="position:absolute" from="7723,228" to="7723,2535" stroked="true" strokeweight=".72pt" strokecolor="#d9d9d9"/>
            <v:rect style="position:absolute;left:785;top:1493;width:202;height:1042" filled="true" fillcolor="#539e39" stroked="false">
              <v:fill type="solid"/>
            </v:rect>
            <v:rect style="position:absolute;left:1815;top:1164;width:202;height:1370" filled="true" fillcolor="#539e39" stroked="false">
              <v:fill type="solid"/>
            </v:rect>
            <v:rect style="position:absolute;left:2844;top:1047;width:202;height:1488" filled="true" fillcolor="#539e39" stroked="false">
              <v:fill type="solid"/>
            </v:rect>
            <v:rect style="position:absolute;left:3874;top:903;width:202;height:1632" filled="true" fillcolor="#539e39" stroked="false">
              <v:fill type="solid"/>
            </v:rect>
            <v:rect style="position:absolute;left:4904;top:723;width:202;height:1812" filled="true" fillcolor="#539e39" stroked="false">
              <v:fill type="solid"/>
            </v:rect>
            <v:rect style="position:absolute;left:5933;top:783;width:202;height:1752" filled="true" fillcolor="#539e39" stroked="false">
              <v:fill type="solid"/>
            </v:rect>
            <v:rect style="position:absolute;left:6963;top:629;width:204;height:1906" filled="true" fillcolor="#539e39" stroked="false">
              <v:fill type="solid"/>
            </v:rect>
            <v:line style="position:absolute" from="1073,2531" to="1275,2531" stroked="true" strokeweight=".36pt" strokecolor="#89b833"/>
            <v:line style="position:absolute" from="2103,2509" to="2304,2509" stroked="true" strokeweight="2.52pt" strokecolor="#89b833"/>
            <v:line style="position:absolute" from="3132,2512" to="3334,2512" stroked="true" strokeweight="2.280pt" strokecolor="#89b833"/>
            <v:line style="position:absolute" from="4162,2516" to="4366,2516" stroked="true" strokeweight="1.92pt" strokecolor="#89b833"/>
            <v:line style="position:absolute" from="5194,2494" to="5396,2494" stroked="true" strokeweight="4.08pt" strokecolor="#89b833"/>
            <v:rect style="position:absolute;left:6223;top:2422;width:202;height:113" filled="true" fillcolor="#89b833" stroked="false">
              <v:fill type="solid"/>
            </v:rect>
            <v:rect style="position:absolute;left:7253;top:2396;width:202;height:139" filled="true" fillcolor="#89b833" stroked="false">
              <v:fill type="solid"/>
            </v:rect>
            <v:line style="position:absolute" from="514,2535" to="7723,2535" stroked="true" strokeweight=".72pt" strokecolor="#d9d9d9"/>
            <v:line style="position:absolute" from="2188,3084" to="2188,3175" stroked="true" strokeweight="4.440pt" strokecolor="#539e39"/>
            <v:line style="position:absolute" from="4329,3084" to="4329,3175" stroked="true" strokeweight="4.440pt" strokecolor="#89b833"/>
            <v:rect style="position:absolute;left:8;top:8;width:7937;height:3401" filled="false" stroked="true" strokeweight=".72pt" strokecolor="#d9d9d9"/>
            <v:shape style="position:absolute;left:138;top:141;width:225;height:510" type="#_x0000_t202" filled="false" stroked="false">
              <v:textbox inset="0,0,0,0">
                <w:txbxContent>
                  <w:p>
                    <w:pPr>
                      <w:spacing w:line="184" w:lineRule="exact" w:before="0"/>
                      <w:ind w:left="0" w:right="-20" w:firstLine="0"/>
                      <w:jc w:val="left"/>
                      <w:rPr>
                        <w:sz w:val="18"/>
                      </w:rPr>
                    </w:pPr>
                    <w:r>
                      <w:rPr>
                        <w:color w:val="585858"/>
                        <w:sz w:val="18"/>
                      </w:rPr>
                      <w:t>7.0</w:t>
                    </w:r>
                  </w:p>
                  <w:p>
                    <w:pPr>
                      <w:spacing w:line="203" w:lineRule="exact" w:before="123"/>
                      <w:ind w:left="0" w:right="-20" w:firstLine="0"/>
                      <w:jc w:val="left"/>
                      <w:rPr>
                        <w:sz w:val="18"/>
                      </w:rPr>
                    </w:pPr>
                    <w:r>
                      <w:rPr>
                        <w:color w:val="585858"/>
                        <w:sz w:val="18"/>
                      </w:rPr>
                      <w:t>6.0</w:t>
                    </w:r>
                  </w:p>
                </w:txbxContent>
              </v:textbox>
              <w10:wrap type="none"/>
            </v:shape>
            <v:shape style="position:absolute;left:4892;top:451;width:227;height:180" type="#_x0000_t202" filled="false" stroked="false">
              <v:textbox inset="0,0,0,0">
                <w:txbxContent>
                  <w:p>
                    <w:pPr>
                      <w:spacing w:line="180" w:lineRule="exact" w:before="0"/>
                      <w:ind w:left="0" w:right="-18" w:firstLine="0"/>
                      <w:jc w:val="left"/>
                      <w:rPr>
                        <w:sz w:val="18"/>
                      </w:rPr>
                    </w:pPr>
                    <w:r>
                      <w:rPr>
                        <w:color w:val="404040"/>
                        <w:sz w:val="18"/>
                      </w:rPr>
                      <w:t>5.5</w:t>
                    </w:r>
                  </w:p>
                </w:txbxContent>
              </v:textbox>
              <w10:wrap type="none"/>
            </v:shape>
            <v:shape style="position:absolute;left:6952;top:357;width:227;height:180" type="#_x0000_t202" filled="false" stroked="false">
              <v:textbox inset="0,0,0,0">
                <w:txbxContent>
                  <w:p>
                    <w:pPr>
                      <w:spacing w:line="180" w:lineRule="exact" w:before="0"/>
                      <w:ind w:left="0" w:right="-18" w:firstLine="0"/>
                      <w:jc w:val="left"/>
                      <w:rPr>
                        <w:sz w:val="18"/>
                      </w:rPr>
                    </w:pPr>
                    <w:r>
                      <w:rPr>
                        <w:color w:val="404040"/>
                        <w:sz w:val="18"/>
                      </w:rPr>
                      <w:t>5.8</w:t>
                    </w:r>
                  </w:p>
                </w:txbxContent>
              </v:textbox>
              <w10:wrap type="none"/>
            </v:shape>
            <v:shape style="position:absolute;left:3862;top:631;width:227;height:180" type="#_x0000_t202" filled="false" stroked="false">
              <v:textbox inset="0,0,0,0">
                <w:txbxContent>
                  <w:p>
                    <w:pPr>
                      <w:spacing w:line="180" w:lineRule="exact" w:before="0"/>
                      <w:ind w:left="0" w:right="-18" w:firstLine="0"/>
                      <w:jc w:val="left"/>
                      <w:rPr>
                        <w:sz w:val="18"/>
                      </w:rPr>
                    </w:pPr>
                    <w:r>
                      <w:rPr>
                        <w:color w:val="404040"/>
                        <w:sz w:val="18"/>
                      </w:rPr>
                      <w:t>5.0</w:t>
                    </w:r>
                  </w:p>
                </w:txbxContent>
              </v:textbox>
              <w10:wrap type="none"/>
            </v:shape>
            <v:shape style="position:absolute;left:5922;top:510;width:227;height:180" type="#_x0000_t202" filled="false" stroked="false">
              <v:textbox inset="0,0,0,0">
                <w:txbxContent>
                  <w:p>
                    <w:pPr>
                      <w:spacing w:line="180" w:lineRule="exact" w:before="0"/>
                      <w:ind w:left="0" w:right="-18" w:firstLine="0"/>
                      <w:jc w:val="left"/>
                      <w:rPr>
                        <w:sz w:val="18"/>
                      </w:rPr>
                    </w:pPr>
                    <w:r>
                      <w:rPr>
                        <w:color w:val="404040"/>
                        <w:sz w:val="18"/>
                      </w:rPr>
                      <w:t>5.3</w:t>
                    </w:r>
                  </w:p>
                </w:txbxContent>
              </v:textbox>
              <w10:wrap type="none"/>
            </v:shape>
            <v:shape style="position:absolute;left:138;top:800;width:225;height:181" type="#_x0000_t202" filled="false" stroked="false">
              <v:textbox inset="0,0,0,0">
                <w:txbxContent>
                  <w:p>
                    <w:pPr>
                      <w:spacing w:line="180" w:lineRule="exact" w:before="0"/>
                      <w:ind w:left="0" w:right="-20" w:firstLine="0"/>
                      <w:jc w:val="left"/>
                      <w:rPr>
                        <w:sz w:val="18"/>
                      </w:rPr>
                    </w:pPr>
                    <w:r>
                      <w:rPr>
                        <w:color w:val="585858"/>
                        <w:sz w:val="18"/>
                      </w:rPr>
                      <w:t>5.0</w:t>
                    </w:r>
                  </w:p>
                </w:txbxContent>
              </v:textbox>
              <w10:wrap type="none"/>
            </v:shape>
            <v:shape style="position:absolute;left:1802;top:892;width:227;height:180" type="#_x0000_t202" filled="false" stroked="false">
              <v:textbox inset="0,0,0,0">
                <w:txbxContent>
                  <w:p>
                    <w:pPr>
                      <w:spacing w:line="180" w:lineRule="exact" w:before="0"/>
                      <w:ind w:left="0" w:right="-18" w:firstLine="0"/>
                      <w:jc w:val="left"/>
                      <w:rPr>
                        <w:sz w:val="18"/>
                      </w:rPr>
                    </w:pPr>
                    <w:r>
                      <w:rPr>
                        <w:color w:val="404040"/>
                        <w:sz w:val="18"/>
                      </w:rPr>
                      <w:t>4.2</w:t>
                    </w:r>
                  </w:p>
                </w:txbxContent>
              </v:textbox>
              <w10:wrap type="none"/>
            </v:shape>
            <v:shape style="position:absolute;left:2832;top:775;width:227;height:180" type="#_x0000_t202" filled="false" stroked="false">
              <v:textbox inset="0,0,0,0">
                <w:txbxContent>
                  <w:p>
                    <w:pPr>
                      <w:spacing w:line="180" w:lineRule="exact" w:before="0"/>
                      <w:ind w:left="0" w:right="-18" w:firstLine="0"/>
                      <w:jc w:val="left"/>
                      <w:rPr>
                        <w:sz w:val="18"/>
                      </w:rPr>
                    </w:pPr>
                    <w:r>
                      <w:rPr>
                        <w:color w:val="404040"/>
                        <w:sz w:val="18"/>
                      </w:rPr>
                      <w:t>4.5</w:t>
                    </w:r>
                  </w:p>
                </w:txbxContent>
              </v:textbox>
              <w10:wrap type="none"/>
            </v:shape>
            <v:shape style="position:absolute;left:138;top:1130;width:225;height:840" type="#_x0000_t202" filled="false" stroked="false">
              <v:textbox inset="0,0,0,0">
                <w:txbxContent>
                  <w:p>
                    <w:pPr>
                      <w:spacing w:line="184" w:lineRule="exact" w:before="0"/>
                      <w:ind w:left="0" w:right="-20" w:firstLine="0"/>
                      <w:jc w:val="left"/>
                      <w:rPr>
                        <w:sz w:val="18"/>
                      </w:rPr>
                    </w:pPr>
                    <w:r>
                      <w:rPr>
                        <w:color w:val="585858"/>
                        <w:sz w:val="18"/>
                      </w:rPr>
                      <w:t>4.0</w:t>
                    </w:r>
                  </w:p>
                  <w:p>
                    <w:pPr>
                      <w:spacing w:before="123"/>
                      <w:ind w:left="0" w:right="-20" w:firstLine="0"/>
                      <w:jc w:val="left"/>
                      <w:rPr>
                        <w:sz w:val="18"/>
                      </w:rPr>
                    </w:pPr>
                    <w:r>
                      <w:rPr>
                        <w:color w:val="585858"/>
                        <w:sz w:val="18"/>
                      </w:rPr>
                      <w:t>3.0</w:t>
                    </w:r>
                  </w:p>
                  <w:p>
                    <w:pPr>
                      <w:spacing w:line="203" w:lineRule="exact" w:before="123"/>
                      <w:ind w:left="0" w:right="-20" w:firstLine="0"/>
                      <w:jc w:val="left"/>
                      <w:rPr>
                        <w:sz w:val="18"/>
                      </w:rPr>
                    </w:pPr>
                    <w:r>
                      <w:rPr>
                        <w:color w:val="585858"/>
                        <w:sz w:val="18"/>
                      </w:rPr>
                      <w:t>2.0</w:t>
                    </w:r>
                  </w:p>
                </w:txbxContent>
              </v:textbox>
              <w10:wrap type="none"/>
            </v:shape>
            <v:shape style="position:absolute;left:772;top:1221;width:227;height:180" type="#_x0000_t202" filled="false" stroked="false">
              <v:textbox inset="0,0,0,0">
                <w:txbxContent>
                  <w:p>
                    <w:pPr>
                      <w:spacing w:line="180" w:lineRule="exact" w:before="0"/>
                      <w:ind w:left="0" w:right="-18" w:firstLine="0"/>
                      <w:jc w:val="left"/>
                      <w:rPr>
                        <w:sz w:val="18"/>
                      </w:rPr>
                    </w:pPr>
                    <w:r>
                      <w:rPr>
                        <w:color w:val="404040"/>
                        <w:sz w:val="18"/>
                      </w:rPr>
                      <w:t>3.2</w:t>
                    </w:r>
                  </w:p>
                </w:txbxContent>
              </v:textbox>
              <w10:wrap type="none"/>
            </v:shape>
            <v:shape style="position:absolute;left:138;top:2119;width:225;height:510" type="#_x0000_t202" filled="false" stroked="false">
              <v:textbox inset="0,0,0,0">
                <w:txbxContent>
                  <w:p>
                    <w:pPr>
                      <w:spacing w:line="184" w:lineRule="exact" w:before="0"/>
                      <w:ind w:left="0" w:right="-20" w:firstLine="0"/>
                      <w:jc w:val="left"/>
                      <w:rPr>
                        <w:sz w:val="18"/>
                      </w:rPr>
                    </w:pPr>
                    <w:r>
                      <w:rPr>
                        <w:color w:val="585858"/>
                        <w:sz w:val="18"/>
                      </w:rPr>
                      <w:t>1.0</w:t>
                    </w:r>
                  </w:p>
                  <w:p>
                    <w:pPr>
                      <w:spacing w:line="203" w:lineRule="exact" w:before="123"/>
                      <w:ind w:left="0" w:right="-20" w:firstLine="0"/>
                      <w:jc w:val="left"/>
                      <w:rPr>
                        <w:sz w:val="18"/>
                      </w:rPr>
                    </w:pPr>
                    <w:r>
                      <w:rPr>
                        <w:color w:val="585858"/>
                        <w:sz w:val="18"/>
                      </w:rPr>
                      <w:t>0.0</w:t>
                    </w:r>
                  </w:p>
                </w:txbxContent>
              </v:textbox>
              <w10:wrap type="none"/>
            </v:shape>
            <v:shape style="position:absolute;left:1061;top:2255;width:227;height:180" type="#_x0000_t202" filled="false" stroked="false">
              <v:textbox inset="0,0,0,0">
                <w:txbxContent>
                  <w:p>
                    <w:pPr>
                      <w:spacing w:line="180" w:lineRule="exact" w:before="0"/>
                      <w:ind w:left="0" w:right="-18" w:firstLine="0"/>
                      <w:jc w:val="left"/>
                      <w:rPr>
                        <w:sz w:val="18"/>
                      </w:rPr>
                    </w:pPr>
                    <w:r>
                      <w:rPr>
                        <w:color w:val="404040"/>
                        <w:sz w:val="18"/>
                      </w:rPr>
                      <w:t>0.0</w:t>
                    </w:r>
                  </w:p>
                </w:txbxContent>
              </v:textbox>
              <w10:wrap type="none"/>
            </v:shape>
            <v:shape style="position:absolute;left:2091;top:2212;width:227;height:180" type="#_x0000_t202" filled="false" stroked="false">
              <v:textbox inset="0,0,0,0">
                <w:txbxContent>
                  <w:p>
                    <w:pPr>
                      <w:spacing w:line="180" w:lineRule="exact" w:before="0"/>
                      <w:ind w:left="0" w:right="-18" w:firstLine="0"/>
                      <w:jc w:val="left"/>
                      <w:rPr>
                        <w:sz w:val="18"/>
                      </w:rPr>
                    </w:pPr>
                    <w:r>
                      <w:rPr>
                        <w:color w:val="404040"/>
                        <w:sz w:val="18"/>
                      </w:rPr>
                      <w:t>0.2</w:t>
                    </w:r>
                  </w:p>
                </w:txbxContent>
              </v:textbox>
              <w10:wrap type="none"/>
            </v:shape>
            <v:shape style="position:absolute;left:3121;top:2217;width:227;height:180" type="#_x0000_t202" filled="false" stroked="false">
              <v:textbox inset="0,0,0,0">
                <w:txbxContent>
                  <w:p>
                    <w:pPr>
                      <w:spacing w:line="180" w:lineRule="exact" w:before="0"/>
                      <w:ind w:left="0" w:right="-18" w:firstLine="0"/>
                      <w:jc w:val="left"/>
                      <w:rPr>
                        <w:sz w:val="18"/>
                      </w:rPr>
                    </w:pPr>
                    <w:r>
                      <w:rPr>
                        <w:color w:val="404040"/>
                        <w:sz w:val="18"/>
                      </w:rPr>
                      <w:t>0.1</w:t>
                    </w:r>
                  </w:p>
                </w:txbxContent>
              </v:textbox>
              <w10:wrap type="none"/>
            </v:shape>
            <v:shape style="position:absolute;left:4151;top:2225;width:227;height:180" type="#_x0000_t202" filled="false" stroked="false">
              <v:textbox inset="0,0,0,0">
                <w:txbxContent>
                  <w:p>
                    <w:pPr>
                      <w:spacing w:line="180" w:lineRule="exact" w:before="0"/>
                      <w:ind w:left="0" w:right="-18" w:firstLine="0"/>
                      <w:jc w:val="left"/>
                      <w:rPr>
                        <w:sz w:val="18"/>
                      </w:rPr>
                    </w:pPr>
                    <w:r>
                      <w:rPr>
                        <w:color w:val="404040"/>
                        <w:sz w:val="18"/>
                      </w:rPr>
                      <w:t>0.1</w:t>
                    </w:r>
                  </w:p>
                </w:txbxContent>
              </v:textbox>
              <w10:wrap type="none"/>
            </v:shape>
            <v:shape style="position:absolute;left:5181;top:2182;width:227;height:180" type="#_x0000_t202" filled="false" stroked="false">
              <v:textbox inset="0,0,0,0">
                <w:txbxContent>
                  <w:p>
                    <w:pPr>
                      <w:spacing w:line="180" w:lineRule="exact" w:before="0"/>
                      <w:ind w:left="0" w:right="-18" w:firstLine="0"/>
                      <w:jc w:val="left"/>
                      <w:rPr>
                        <w:sz w:val="18"/>
                      </w:rPr>
                    </w:pPr>
                    <w:r>
                      <w:rPr>
                        <w:color w:val="404040"/>
                        <w:sz w:val="18"/>
                      </w:rPr>
                      <w:t>0.2</w:t>
                    </w:r>
                  </w:p>
                </w:txbxContent>
              </v:textbox>
              <w10:wrap type="none"/>
            </v:shape>
            <v:shape style="position:absolute;left:6210;top:2150;width:227;height:180" type="#_x0000_t202" filled="false" stroked="false">
              <v:textbox inset="0,0,0,0">
                <w:txbxContent>
                  <w:p>
                    <w:pPr>
                      <w:spacing w:line="180" w:lineRule="exact" w:before="0"/>
                      <w:ind w:left="0" w:right="-18" w:firstLine="0"/>
                      <w:jc w:val="left"/>
                      <w:rPr>
                        <w:sz w:val="18"/>
                      </w:rPr>
                    </w:pPr>
                    <w:r>
                      <w:rPr>
                        <w:color w:val="404040"/>
                        <w:sz w:val="18"/>
                      </w:rPr>
                      <w:t>0.3</w:t>
                    </w:r>
                  </w:p>
                </w:txbxContent>
              </v:textbox>
              <w10:wrap type="none"/>
            </v:shape>
            <v:shape style="position:absolute;left:7241;top:2125;width:227;height:180" type="#_x0000_t202" filled="false" stroked="false">
              <v:textbox inset="0,0,0,0">
                <w:txbxContent>
                  <w:p>
                    <w:pPr>
                      <w:spacing w:line="180" w:lineRule="exact" w:before="0"/>
                      <w:ind w:left="0" w:right="-18" w:firstLine="0"/>
                      <w:jc w:val="left"/>
                      <w:rPr>
                        <w:sz w:val="18"/>
                      </w:rPr>
                    </w:pPr>
                    <w:r>
                      <w:rPr>
                        <w:color w:val="404040"/>
                        <w:sz w:val="18"/>
                      </w:rPr>
                      <w:t>0.4</w:t>
                    </w:r>
                  </w:p>
                </w:txbxContent>
              </v:textbox>
              <w10:wrap type="none"/>
            </v:shape>
            <v:shape style="position:absolute;left:850;top:2660;width:6542;height:180" type="#_x0000_t202" filled="false" stroked="false">
              <v:textbox inset="0,0,0,0">
                <w:txbxContent>
                  <w:p>
                    <w:pPr>
                      <w:tabs>
                        <w:tab w:pos="1030" w:val="left" w:leader="none"/>
                        <w:tab w:pos="2060" w:val="left" w:leader="none"/>
                        <w:tab w:pos="3090" w:val="left" w:leader="none"/>
                        <w:tab w:pos="4120" w:val="left" w:leader="none"/>
                        <w:tab w:pos="5150" w:val="left" w:leader="none"/>
                        <w:tab w:pos="6180" w:val="left" w:leader="none"/>
                      </w:tabs>
                      <w:spacing w:line="180" w:lineRule="exact" w:before="0"/>
                      <w:ind w:left="0" w:right="0" w:firstLine="0"/>
                      <w:jc w:val="left"/>
                      <w:rPr>
                        <w:sz w:val="18"/>
                      </w:rPr>
                    </w:pPr>
                    <w:r>
                      <w:rPr>
                        <w:color w:val="585858"/>
                        <w:sz w:val="18"/>
                      </w:rPr>
                      <w:t>1980</w:t>
                      <w:tab/>
                      <w:t>1985</w:t>
                      <w:tab/>
                      <w:t>1988</w:t>
                      <w:tab/>
                      <w:t>1993</w:t>
                      <w:tab/>
                      <w:t>1998</w:t>
                      <w:tab/>
                      <w:t>2003</w:t>
                      <w:tab/>
                      <w:t>2008</w:t>
                    </w:r>
                  </w:p>
                </w:txbxContent>
              </v:textbox>
              <w10:wrap type="none"/>
            </v:shape>
            <v:shape style="position:absolute;left:2272;top:3044;width:1723;height:180" type="#_x0000_t202" filled="false" stroked="false">
              <v:textbox inset="0,0,0,0">
                <w:txbxContent>
                  <w:p>
                    <w:pPr>
                      <w:spacing w:line="180" w:lineRule="exact" w:before="0"/>
                      <w:ind w:left="0" w:right="-15" w:firstLine="0"/>
                      <w:jc w:val="left"/>
                      <w:rPr>
                        <w:sz w:val="18"/>
                      </w:rPr>
                    </w:pPr>
                    <w:r>
                      <w:rPr>
                        <w:color w:val="585858"/>
                        <w:sz w:val="18"/>
                      </w:rPr>
                      <w:t>Industria</w:t>
                    </w:r>
                    <w:r>
                      <w:rPr>
                        <w:color w:val="585858"/>
                        <w:spacing w:val="-7"/>
                        <w:sz w:val="18"/>
                      </w:rPr>
                      <w:t> </w:t>
                    </w:r>
                    <w:r>
                      <w:rPr>
                        <w:color w:val="585858"/>
                        <w:sz w:val="18"/>
                      </w:rPr>
                      <w:t>manufacturera</w:t>
                    </w:r>
                  </w:p>
                </w:txbxContent>
              </v:textbox>
              <w10:wrap type="none"/>
            </v:shape>
            <v:shape style="position:absolute;left:4411;top:3044;width:1464;height:180" type="#_x0000_t202" filled="false" stroked="false">
              <v:textbox inset="0,0,0,0">
                <w:txbxContent>
                  <w:p>
                    <w:pPr>
                      <w:spacing w:line="180" w:lineRule="exact" w:before="0"/>
                      <w:ind w:left="0" w:right="-14" w:firstLine="0"/>
                      <w:jc w:val="left"/>
                      <w:rPr>
                        <w:sz w:val="18"/>
                      </w:rPr>
                    </w:pPr>
                    <w:r>
                      <w:rPr>
                        <w:color w:val="585858"/>
                        <w:sz w:val="18"/>
                      </w:rPr>
                      <w:t>Industria</w:t>
                    </w:r>
                    <w:r>
                      <w:rPr>
                        <w:color w:val="585858"/>
                        <w:spacing w:val="-7"/>
                        <w:sz w:val="18"/>
                      </w:rPr>
                      <w:t> </w:t>
                    </w:r>
                    <w:r>
                      <w:rPr>
                        <w:color w:val="585858"/>
                        <w:sz w:val="18"/>
                      </w:rPr>
                      <w:t>automotriz</w:t>
                    </w:r>
                  </w:p>
                </w:txbxContent>
              </v:textbox>
              <w10:wrap type="none"/>
            </v:shape>
          </v:group>
        </w:pict>
      </w:r>
      <w:r>
        <w:rPr>
          <w:sz w:val="20"/>
        </w:rPr>
      </w:r>
    </w:p>
    <w:p>
      <w:pPr>
        <w:spacing w:before="124"/>
        <w:ind w:left="383" w:right="399" w:firstLine="0"/>
        <w:jc w:val="center"/>
        <w:rPr>
          <w:sz w:val="18"/>
        </w:rPr>
      </w:pPr>
      <w:r>
        <w:rPr>
          <w:sz w:val="18"/>
        </w:rPr>
        <w:t>Fuente: Elaboración propia con datos de INEGI (varios años).</w:t>
      </w:r>
    </w:p>
    <w:p>
      <w:pPr>
        <w:pStyle w:val="BodyText"/>
        <w:rPr>
          <w:sz w:val="18"/>
        </w:rPr>
      </w:pPr>
    </w:p>
    <w:p>
      <w:pPr>
        <w:pStyle w:val="BodyText"/>
        <w:spacing w:line="360" w:lineRule="auto" w:before="135"/>
        <w:ind w:left="102" w:right="119"/>
        <w:jc w:val="both"/>
      </w:pPr>
      <w:r>
        <w:rPr/>
        <w:t>El estado de Querétaro, muestra un comportamiento similar al de Guanajuato; en cuanto al valor  agregado  censal  bruto,  la  industria  manufacturera  del  estado        tuvo  su  mayor</w:t>
      </w:r>
    </w:p>
    <w:p>
      <w:pPr>
        <w:spacing w:after="0" w:line="360" w:lineRule="auto"/>
        <w:jc w:val="both"/>
        <w:sectPr>
          <w:pgSz w:w="12240" w:h="15840"/>
          <w:pgMar w:header="0" w:footer="1035" w:top="1360" w:bottom="1220" w:left="1600" w:right="1580"/>
        </w:sectPr>
      </w:pPr>
    </w:p>
    <w:p>
      <w:pPr>
        <w:pStyle w:val="BodyText"/>
        <w:spacing w:line="360" w:lineRule="auto" w:before="50"/>
        <w:ind w:left="102" w:right="121"/>
        <w:jc w:val="both"/>
      </w:pPr>
      <w:r>
        <w:rPr/>
        <w:t>participación en 1998, pues representó el 3.5% de la manufactura nacional. Por su parte, la industria</w:t>
      </w:r>
      <w:r>
        <w:rPr>
          <w:spacing w:val="-12"/>
        </w:rPr>
        <w:t> </w:t>
      </w:r>
      <w:r>
        <w:rPr/>
        <w:t>automotriz</w:t>
      </w:r>
      <w:r>
        <w:rPr>
          <w:spacing w:val="-10"/>
        </w:rPr>
        <w:t> </w:t>
      </w:r>
      <w:r>
        <w:rPr/>
        <w:t>de</w:t>
      </w:r>
      <w:r>
        <w:rPr>
          <w:spacing w:val="-12"/>
        </w:rPr>
        <w:t> </w:t>
      </w:r>
      <w:r>
        <w:rPr/>
        <w:t>la</w:t>
      </w:r>
      <w:r>
        <w:rPr>
          <w:spacing w:val="-12"/>
        </w:rPr>
        <w:t> </w:t>
      </w:r>
      <w:r>
        <w:rPr/>
        <w:t>entidad,</w:t>
      </w:r>
      <w:r>
        <w:rPr>
          <w:spacing w:val="-11"/>
        </w:rPr>
        <w:t> </w:t>
      </w:r>
      <w:r>
        <w:rPr/>
        <w:t>tuvo</w:t>
      </w:r>
      <w:r>
        <w:rPr>
          <w:spacing w:val="-11"/>
        </w:rPr>
        <w:t> </w:t>
      </w:r>
      <w:r>
        <w:rPr/>
        <w:t>su</w:t>
      </w:r>
      <w:r>
        <w:rPr>
          <w:spacing w:val="-11"/>
        </w:rPr>
        <w:t> </w:t>
      </w:r>
      <w:r>
        <w:rPr/>
        <w:t>mayor</w:t>
      </w:r>
      <w:r>
        <w:rPr>
          <w:spacing w:val="-12"/>
        </w:rPr>
        <w:t> </w:t>
      </w:r>
      <w:r>
        <w:rPr/>
        <w:t>participación</w:t>
      </w:r>
      <w:r>
        <w:rPr>
          <w:spacing w:val="-8"/>
        </w:rPr>
        <w:t> </w:t>
      </w:r>
      <w:r>
        <w:rPr/>
        <w:t>en</w:t>
      </w:r>
      <w:r>
        <w:rPr>
          <w:spacing w:val="-11"/>
        </w:rPr>
        <w:t> </w:t>
      </w:r>
      <w:r>
        <w:rPr/>
        <w:t>los</w:t>
      </w:r>
      <w:r>
        <w:rPr>
          <w:spacing w:val="-10"/>
        </w:rPr>
        <w:t> </w:t>
      </w:r>
      <w:r>
        <w:rPr/>
        <w:t>años</w:t>
      </w:r>
      <w:r>
        <w:rPr>
          <w:spacing w:val="-11"/>
        </w:rPr>
        <w:t> </w:t>
      </w:r>
      <w:r>
        <w:rPr/>
        <w:t>2003</w:t>
      </w:r>
      <w:r>
        <w:rPr>
          <w:spacing w:val="-9"/>
        </w:rPr>
        <w:t> </w:t>
      </w:r>
      <w:r>
        <w:rPr/>
        <w:t>y</w:t>
      </w:r>
      <w:r>
        <w:rPr>
          <w:spacing w:val="-16"/>
        </w:rPr>
        <w:t> </w:t>
      </w:r>
      <w:r>
        <w:rPr/>
        <w:t>2008,</w:t>
      </w:r>
      <w:r>
        <w:rPr>
          <w:spacing w:val="-11"/>
        </w:rPr>
        <w:t> </w:t>
      </w:r>
      <w:r>
        <w:rPr/>
        <w:t>pues representó el 0.7%. Estos datos nos permiten evaluar la importancia que poco a poco ha ido adquiriendo la industria automotriz de Querétaro, incluso, pese a que la participación de su manufactura en la manufactura nacional se vio reducida en los años 2003 y 2008 (véase gráfica</w:t>
      </w:r>
      <w:r>
        <w:rPr>
          <w:spacing w:val="58"/>
        </w:rPr>
        <w:t> </w:t>
      </w:r>
      <w:r>
        <w:rPr/>
        <w:t>4.16)</w:t>
      </w:r>
    </w:p>
    <w:p>
      <w:pPr>
        <w:pStyle w:val="BodyText"/>
        <w:spacing w:before="7"/>
        <w:rPr>
          <w:sz w:val="21"/>
        </w:rPr>
      </w:pPr>
    </w:p>
    <w:p>
      <w:pPr>
        <w:pStyle w:val="Heading1"/>
        <w:spacing w:line="360" w:lineRule="auto" w:before="1"/>
        <w:ind w:left="111" w:right="132"/>
        <w:jc w:val="center"/>
      </w:pPr>
      <w:r>
        <w:rPr/>
        <w:t>Gráfica 4.16.Participación porcentual de la industria manufacturera y automotriz de Querétaro en la manufactura nacional, 1980-2008 (Valor Agregado Censal Bruto)</w:t>
      </w:r>
    </w:p>
    <w:p>
      <w:pPr>
        <w:pStyle w:val="BodyText"/>
        <w:ind w:left="538"/>
        <w:rPr>
          <w:sz w:val="20"/>
        </w:rPr>
      </w:pPr>
      <w:r>
        <w:rPr>
          <w:sz w:val="20"/>
        </w:rPr>
        <w:pict>
          <v:group style="width:397.6pt;height:170.8pt;mso-position-horizontal-relative:char;mso-position-vertical-relative:line" coordorigin="0,0" coordsize="7952,3416">
            <v:shape style="position:absolute;left:514;top:228;width:7210;height:2306" type="#_x0000_t75" stroked="false">
              <v:imagedata r:id="rId75" o:title=""/>
            </v:shape>
            <v:line style="position:absolute" from="7455,2247" to="7723,2247" stroked="true" strokeweight=".72pt" strokecolor="#d9d9d9"/>
            <v:line style="position:absolute" from="7167,2247" to="7253,2247" stroked="true" strokeweight=".72pt" strokecolor="#d9d9d9"/>
            <v:line style="position:absolute" from="6425,2247" to="6963,2247" stroked="true" strokeweight=".72pt" strokecolor="#d9d9d9"/>
            <v:line style="position:absolute" from="6135,2247" to="6223,2247" stroked="true" strokeweight=".72pt" strokecolor="#d9d9d9"/>
            <v:line style="position:absolute" from="5395,2247" to="5933,2247" stroked="true" strokeweight=".72pt" strokecolor="#d9d9d9"/>
            <v:line style="position:absolute" from="5105,2247" to="5194,2247" stroked="true" strokeweight=".72pt" strokecolor="#d9d9d9"/>
            <v:line style="position:absolute" from="4075,2247" to="4903,2247" stroked="true" strokeweight=".72pt" strokecolor="#d9d9d9"/>
            <v:line style="position:absolute" from="3046,2247" to="3874,2247" stroked="true" strokeweight=".72pt" strokecolor="#d9d9d9"/>
            <v:line style="position:absolute" from="2016,2247" to="2844,2247" stroked="true" strokeweight=".72pt" strokecolor="#d9d9d9"/>
            <v:line style="position:absolute" from="987,2247" to="1815,2247" stroked="true" strokeweight=".72pt" strokecolor="#d9d9d9"/>
            <v:line style="position:absolute" from="514,2247" to="785,2247" stroked="true" strokeweight=".72pt" strokecolor="#d9d9d9"/>
            <v:line style="position:absolute" from="7167,1959" to="7723,1959" stroked="true" strokeweight=".72pt" strokecolor="#d9d9d9"/>
            <v:line style="position:absolute" from="6135,1959" to="6963,1959" stroked="true" strokeweight=".72pt" strokecolor="#d9d9d9"/>
            <v:line style="position:absolute" from="5105,1959" to="5933,1959" stroked="true" strokeweight=".72pt" strokecolor="#d9d9d9"/>
            <v:line style="position:absolute" from="4075,1959" to="4903,1959" stroked="true" strokeweight=".72pt" strokecolor="#d9d9d9"/>
            <v:line style="position:absolute" from="3046,1959" to="3874,1959" stroked="true" strokeweight=".72pt" strokecolor="#d9d9d9"/>
            <v:line style="position:absolute" from="2016,1959" to="2844,1959" stroked="true" strokeweight=".72pt" strokecolor="#d9d9d9"/>
            <v:line style="position:absolute" from="987,1959" to="1815,1959" stroked="true" strokeweight=".72pt" strokecolor="#d9d9d9"/>
            <v:line style="position:absolute" from="514,1959" to="785,1959" stroked="true" strokeweight=".72pt" strokecolor="#d9d9d9"/>
            <v:line style="position:absolute" from="7167,1671" to="7723,1671" stroked="true" strokeweight=".72pt" strokecolor="#d9d9d9"/>
            <v:line style="position:absolute" from="6135,1671" to="6963,1671" stroked="true" strokeweight=".72pt" strokecolor="#d9d9d9"/>
            <v:line style="position:absolute" from="5105,1671" to="5933,1671" stroked="true" strokeweight=".72pt" strokecolor="#d9d9d9"/>
            <v:line style="position:absolute" from="4075,1671" to="4903,1671" stroked="true" strokeweight=".72pt" strokecolor="#d9d9d9"/>
            <v:line style="position:absolute" from="3046,1671" to="3874,1671" stroked="true" strokeweight=".72pt" strokecolor="#d9d9d9"/>
            <v:line style="position:absolute" from="2016,1671" to="2844,1671" stroked="true" strokeweight=".72pt" strokecolor="#d9d9d9"/>
            <v:line style="position:absolute" from="987,1671" to="1815,1671" stroked="true" strokeweight=".72pt" strokecolor="#d9d9d9"/>
            <v:line style="position:absolute" from="514,1671" to="785,1671" stroked="true" strokeweight=".72pt" strokecolor="#d9d9d9"/>
            <v:line style="position:absolute" from="7167,1383" to="7723,1383" stroked="true" strokeweight=".72pt" strokecolor="#d9d9d9"/>
            <v:line style="position:absolute" from="6135,1383" to="6963,1383" stroked="true" strokeweight=".72pt" strokecolor="#d9d9d9"/>
            <v:line style="position:absolute" from="5105,1383" to="5933,1383" stroked="true" strokeweight=".72pt" strokecolor="#d9d9d9"/>
            <v:line style="position:absolute" from="4075,1383" to="4903,1383" stroked="true" strokeweight=".72pt" strokecolor="#d9d9d9"/>
            <v:line style="position:absolute" from="3046,1383" to="3874,1383" stroked="true" strokeweight=".72pt" strokecolor="#d9d9d9"/>
            <v:line style="position:absolute" from="2016,1383" to="2844,1383" stroked="true" strokeweight=".72pt" strokecolor="#d9d9d9"/>
            <v:line style="position:absolute" from="987,1383" to="1815,1383" stroked="true" strokeweight=".72pt" strokecolor="#d9d9d9"/>
            <v:line style="position:absolute" from="514,1383" to="785,1383" stroked="true" strokeweight=".72pt" strokecolor="#d9d9d9"/>
            <v:line style="position:absolute" from="7167,1095" to="7723,1095" stroked="true" strokeweight=".72pt" strokecolor="#d9d9d9"/>
            <v:line style="position:absolute" from="6135,1095" to="6963,1095" stroked="true" strokeweight=".72pt" strokecolor="#d9d9d9"/>
            <v:line style="position:absolute" from="5105,1095" to="5933,1095" stroked="true" strokeweight=".72pt" strokecolor="#d9d9d9"/>
            <v:line style="position:absolute" from="514,1095" to="4903,1095" stroked="true" strokeweight=".72pt" strokecolor="#d9d9d9"/>
            <v:line style="position:absolute" from="7167,804" to="7723,804" stroked="true" strokeweight=".72pt" strokecolor="#d9d9d9"/>
            <v:line style="position:absolute" from="5105,804" to="6963,804" stroked="true" strokeweight=".72pt" strokecolor="#d9d9d9"/>
            <v:line style="position:absolute" from="514,804" to="4903,804" stroked="true" strokeweight=".72pt" strokecolor="#d9d9d9"/>
            <v:line style="position:absolute" from="514,516" to="7723,516" stroked="true" strokeweight=".72pt" strokecolor="#d9d9d9"/>
            <v:line style="position:absolute" from="514,228" to="7723,228" stroked="true" strokeweight=".72pt" strokecolor="#d9d9d9"/>
            <v:line style="position:absolute" from="514,228" to="514,2535" stroked="true" strokeweight=".72pt" strokecolor="#d9d9d9"/>
            <v:line style="position:absolute" from="1546,228" to="1546,2535" stroked="true" strokeweight=".72pt" strokecolor="#d9d9d9"/>
            <v:line style="position:absolute" from="2575,228" to="2575,2535" stroked="true" strokeweight=".72pt" strokecolor="#d9d9d9"/>
            <v:line style="position:absolute" from="3605,228" to="3605,2535" stroked="true" strokeweight=".72pt" strokecolor="#d9d9d9"/>
            <v:line style="position:absolute" from="4635,228" to="4635,2535" stroked="true" strokeweight=".72pt" strokecolor="#d9d9d9"/>
            <v:line style="position:absolute" from="5664,228" to="5664,2535" stroked="true" strokeweight=".72pt" strokecolor="#d9d9d9"/>
            <v:line style="position:absolute" from="6694,228" to="6694,2535" stroked="true" strokeweight=".72pt" strokecolor="#d9d9d9"/>
            <v:line style="position:absolute" from="7723,228" to="7723,2535" stroked="true" strokeweight=".72pt" strokecolor="#d9d9d9"/>
            <v:rect style="position:absolute;left:785;top:1351;width:202;height:1183" filled="true" fillcolor="#539e39" stroked="false">
              <v:fill type="solid"/>
            </v:rect>
            <v:rect style="position:absolute;left:1815;top:1167;width:202;height:1368" filled="true" fillcolor="#539e39" stroked="false">
              <v:fill type="solid"/>
            </v:rect>
            <v:rect style="position:absolute;left:2844;top:1279;width:202;height:1255" filled="true" fillcolor="#539e39" stroked="false">
              <v:fill type="solid"/>
            </v:rect>
            <v:rect style="position:absolute;left:3874;top:1337;width:202;height:1198" filled="true" fillcolor="#539e39" stroked="false">
              <v:fill type="solid"/>
            </v:rect>
            <v:rect style="position:absolute;left:4904;top:519;width:202;height:2016" filled="true" fillcolor="#539e39" stroked="false">
              <v:fill type="solid"/>
            </v:rect>
            <v:rect style="position:absolute;left:5933;top:1047;width:202;height:1488" filled="true" fillcolor="#539e39" stroked="false">
              <v:fill type="solid"/>
            </v:rect>
            <v:rect style="position:absolute;left:6963;top:636;width:204;height:1898" filled="true" fillcolor="#539e39" stroked="false">
              <v:fill type="solid"/>
            </v:rect>
            <v:line style="position:absolute" from="1073,2534" to="1275,2534" stroked="true" strokeweight=".12pt" strokecolor="#89b833"/>
            <v:rect style="position:absolute;left:2103;top:2230;width:202;height:305" filled="true" fillcolor="#89b833" stroked="false">
              <v:fill type="solid"/>
            </v:rect>
            <v:rect style="position:absolute;left:3132;top:2311;width:202;height:223" filled="true" fillcolor="#89b833" stroked="false">
              <v:fill type="solid"/>
            </v:rect>
            <v:rect style="position:absolute;left:4162;top:2336;width:204;height:199" filled="true" fillcolor="#89b833" stroked="false">
              <v:fill type="solid"/>
            </v:rect>
            <v:rect style="position:absolute;left:5194;top:2189;width:202;height:346" filled="true" fillcolor="#89b833" stroked="false">
              <v:fill type="solid"/>
            </v:rect>
            <v:rect style="position:absolute;left:6223;top:2115;width:202;height:420" filled="true" fillcolor="#89b833" stroked="false">
              <v:fill type="solid"/>
            </v:rect>
            <v:rect style="position:absolute;left:7253;top:2151;width:202;height:384" filled="true" fillcolor="#89b833" stroked="false">
              <v:fill type="solid"/>
            </v:rect>
            <v:line style="position:absolute" from="514,2535" to="7723,2535" stroked="true" strokeweight=".72pt" strokecolor="#d9d9d9"/>
            <v:line style="position:absolute" from="2144,3131" to="2232,3131" stroked="true" strokeweight="4.440pt" strokecolor="#539e39"/>
            <v:line style="position:absolute" from="4284,3131" to="4373,3131" stroked="true" strokeweight="4.440pt" strokecolor="#89b833"/>
            <v:rect style="position:absolute;left:8;top:8;width:7937;height:3401" filled="false" stroked="true" strokeweight=".72pt" strokecolor="#d9d9d9"/>
            <v:shape style="position:absolute;left:138;top:141;width:225;height:2488" type="#_x0000_t202" filled="false" stroked="false">
              <v:textbox inset="0,0,0,0">
                <w:txbxContent>
                  <w:p>
                    <w:pPr>
                      <w:spacing w:line="184" w:lineRule="exact" w:before="0"/>
                      <w:ind w:left="0" w:right="-20" w:firstLine="0"/>
                      <w:jc w:val="left"/>
                      <w:rPr>
                        <w:sz w:val="18"/>
                      </w:rPr>
                    </w:pPr>
                    <w:r>
                      <w:rPr>
                        <w:color w:val="585858"/>
                        <w:sz w:val="18"/>
                      </w:rPr>
                      <w:t>4.0</w:t>
                    </w:r>
                  </w:p>
                  <w:p>
                    <w:pPr>
                      <w:spacing w:before="81"/>
                      <w:ind w:left="0" w:right="-20" w:firstLine="0"/>
                      <w:jc w:val="left"/>
                      <w:rPr>
                        <w:sz w:val="18"/>
                      </w:rPr>
                    </w:pPr>
                    <w:r>
                      <w:rPr>
                        <w:color w:val="585858"/>
                        <w:sz w:val="18"/>
                      </w:rPr>
                      <w:t>3.5</w:t>
                    </w:r>
                  </w:p>
                  <w:p>
                    <w:pPr>
                      <w:spacing w:before="81"/>
                      <w:ind w:left="0" w:right="-20" w:firstLine="0"/>
                      <w:jc w:val="left"/>
                      <w:rPr>
                        <w:sz w:val="18"/>
                      </w:rPr>
                    </w:pPr>
                    <w:r>
                      <w:rPr>
                        <w:color w:val="585858"/>
                        <w:sz w:val="18"/>
                      </w:rPr>
                      <w:t>3.0</w:t>
                    </w:r>
                  </w:p>
                  <w:p>
                    <w:pPr>
                      <w:spacing w:before="81"/>
                      <w:ind w:left="0" w:right="-20" w:firstLine="0"/>
                      <w:jc w:val="left"/>
                      <w:rPr>
                        <w:sz w:val="18"/>
                      </w:rPr>
                    </w:pPr>
                    <w:r>
                      <w:rPr>
                        <w:color w:val="585858"/>
                        <w:sz w:val="18"/>
                      </w:rPr>
                      <w:t>2.5</w:t>
                    </w:r>
                  </w:p>
                  <w:p>
                    <w:pPr>
                      <w:spacing w:before="81"/>
                      <w:ind w:left="0" w:right="-20" w:firstLine="0"/>
                      <w:jc w:val="left"/>
                      <w:rPr>
                        <w:sz w:val="18"/>
                      </w:rPr>
                    </w:pPr>
                    <w:r>
                      <w:rPr>
                        <w:color w:val="585858"/>
                        <w:sz w:val="18"/>
                      </w:rPr>
                      <w:t>2.0</w:t>
                    </w:r>
                  </w:p>
                  <w:p>
                    <w:pPr>
                      <w:spacing w:before="81"/>
                      <w:ind w:left="0" w:right="-20" w:firstLine="0"/>
                      <w:jc w:val="left"/>
                      <w:rPr>
                        <w:sz w:val="18"/>
                      </w:rPr>
                    </w:pPr>
                    <w:r>
                      <w:rPr>
                        <w:color w:val="585858"/>
                        <w:sz w:val="18"/>
                      </w:rPr>
                      <w:t>1.5</w:t>
                    </w:r>
                  </w:p>
                  <w:p>
                    <w:pPr>
                      <w:spacing w:before="81"/>
                      <w:ind w:left="0" w:right="-20" w:firstLine="0"/>
                      <w:jc w:val="left"/>
                      <w:rPr>
                        <w:sz w:val="18"/>
                      </w:rPr>
                    </w:pPr>
                    <w:r>
                      <w:rPr>
                        <w:color w:val="585858"/>
                        <w:sz w:val="18"/>
                      </w:rPr>
                      <w:t>1.0</w:t>
                    </w:r>
                  </w:p>
                  <w:p>
                    <w:pPr>
                      <w:spacing w:before="81"/>
                      <w:ind w:left="0" w:right="-20" w:firstLine="0"/>
                      <w:jc w:val="left"/>
                      <w:rPr>
                        <w:sz w:val="18"/>
                      </w:rPr>
                    </w:pPr>
                    <w:r>
                      <w:rPr>
                        <w:color w:val="585858"/>
                        <w:sz w:val="18"/>
                      </w:rPr>
                      <w:t>0.5</w:t>
                    </w:r>
                  </w:p>
                  <w:p>
                    <w:pPr>
                      <w:spacing w:line="203" w:lineRule="exact" w:before="81"/>
                      <w:ind w:left="0" w:right="-20" w:firstLine="0"/>
                      <w:jc w:val="left"/>
                      <w:rPr>
                        <w:sz w:val="18"/>
                      </w:rPr>
                    </w:pPr>
                    <w:r>
                      <w:rPr>
                        <w:color w:val="585858"/>
                        <w:sz w:val="18"/>
                      </w:rPr>
                      <w:t>0.0</w:t>
                    </w:r>
                  </w:p>
                </w:txbxContent>
              </v:textbox>
              <w10:wrap type="none"/>
            </v:shape>
            <v:shape style="position:absolute;left:4892;top:247;width:227;height:180" type="#_x0000_t202" filled="false" stroked="false">
              <v:textbox inset="0,0,0,0">
                <w:txbxContent>
                  <w:p>
                    <w:pPr>
                      <w:spacing w:line="180" w:lineRule="exact" w:before="0"/>
                      <w:ind w:left="0" w:right="-18" w:firstLine="0"/>
                      <w:jc w:val="left"/>
                      <w:rPr>
                        <w:sz w:val="18"/>
                      </w:rPr>
                    </w:pPr>
                    <w:r>
                      <w:rPr>
                        <w:color w:val="404040"/>
                        <w:sz w:val="18"/>
                      </w:rPr>
                      <w:t>3.5</w:t>
                    </w:r>
                  </w:p>
                </w:txbxContent>
              </v:textbox>
              <w10:wrap type="none"/>
            </v:shape>
            <v:shape style="position:absolute;left:6952;top:364;width:227;height:180" type="#_x0000_t202" filled="false" stroked="false">
              <v:textbox inset="0,0,0,0">
                <w:txbxContent>
                  <w:p>
                    <w:pPr>
                      <w:spacing w:line="180" w:lineRule="exact" w:before="0"/>
                      <w:ind w:left="0" w:right="-18" w:firstLine="0"/>
                      <w:jc w:val="left"/>
                      <w:rPr>
                        <w:sz w:val="18"/>
                      </w:rPr>
                    </w:pPr>
                    <w:r>
                      <w:rPr>
                        <w:color w:val="404040"/>
                        <w:sz w:val="18"/>
                      </w:rPr>
                      <w:t>3.3</w:t>
                    </w:r>
                  </w:p>
                </w:txbxContent>
              </v:textbox>
              <w10:wrap type="none"/>
            </v:shape>
            <v:shape style="position:absolute;left:1802;top:893;width:227;height:180" type="#_x0000_t202" filled="false" stroked="false">
              <v:textbox inset="0,0,0,0">
                <w:txbxContent>
                  <w:p>
                    <w:pPr>
                      <w:spacing w:line="180" w:lineRule="exact" w:before="0"/>
                      <w:ind w:left="0" w:right="-18" w:firstLine="0"/>
                      <w:jc w:val="left"/>
                      <w:rPr>
                        <w:sz w:val="18"/>
                      </w:rPr>
                    </w:pPr>
                    <w:r>
                      <w:rPr>
                        <w:color w:val="404040"/>
                        <w:sz w:val="18"/>
                      </w:rPr>
                      <w:t>2.4</w:t>
                    </w:r>
                  </w:p>
                </w:txbxContent>
              </v:textbox>
              <w10:wrap type="none"/>
            </v:shape>
            <v:shape style="position:absolute;left:5922;top:774;width:227;height:180" type="#_x0000_t202" filled="false" stroked="false">
              <v:textbox inset="0,0,0,0">
                <w:txbxContent>
                  <w:p>
                    <w:pPr>
                      <w:spacing w:line="180" w:lineRule="exact" w:before="0"/>
                      <w:ind w:left="0" w:right="-18" w:firstLine="0"/>
                      <w:jc w:val="left"/>
                      <w:rPr>
                        <w:sz w:val="18"/>
                      </w:rPr>
                    </w:pPr>
                    <w:r>
                      <w:rPr>
                        <w:color w:val="404040"/>
                        <w:sz w:val="18"/>
                      </w:rPr>
                      <w:t>2.6</w:t>
                    </w:r>
                  </w:p>
                </w:txbxContent>
              </v:textbox>
              <w10:wrap type="none"/>
            </v:shape>
            <v:shape style="position:absolute;left:772;top:1077;width:227;height:180" type="#_x0000_t202" filled="false" stroked="false">
              <v:textbox inset="0,0,0,0">
                <w:txbxContent>
                  <w:p>
                    <w:pPr>
                      <w:spacing w:line="180" w:lineRule="exact" w:before="0"/>
                      <w:ind w:left="0" w:right="-18" w:firstLine="0"/>
                      <w:jc w:val="left"/>
                      <w:rPr>
                        <w:sz w:val="18"/>
                      </w:rPr>
                    </w:pPr>
                    <w:r>
                      <w:rPr>
                        <w:color w:val="404040"/>
                        <w:sz w:val="18"/>
                      </w:rPr>
                      <w:t>2.1</w:t>
                    </w:r>
                  </w:p>
                </w:txbxContent>
              </v:textbox>
              <w10:wrap type="none"/>
            </v:shape>
            <v:shape style="position:absolute;left:2832;top:1007;width:227;height:180" type="#_x0000_t202" filled="false" stroked="false">
              <v:textbox inset="0,0,0,0">
                <w:txbxContent>
                  <w:p>
                    <w:pPr>
                      <w:spacing w:line="180" w:lineRule="exact" w:before="0"/>
                      <w:ind w:left="0" w:right="-18" w:firstLine="0"/>
                      <w:jc w:val="left"/>
                      <w:rPr>
                        <w:sz w:val="18"/>
                      </w:rPr>
                    </w:pPr>
                    <w:r>
                      <w:rPr>
                        <w:color w:val="404040"/>
                        <w:sz w:val="18"/>
                      </w:rPr>
                      <w:t>2.2</w:t>
                    </w:r>
                  </w:p>
                </w:txbxContent>
              </v:textbox>
              <w10:wrap type="none"/>
            </v:shape>
            <v:shape style="position:absolute;left:3862;top:1064;width:227;height:180" type="#_x0000_t202" filled="false" stroked="false">
              <v:textbox inset="0,0,0,0">
                <w:txbxContent>
                  <w:p>
                    <w:pPr>
                      <w:spacing w:line="180" w:lineRule="exact" w:before="0"/>
                      <w:ind w:left="0" w:right="-18" w:firstLine="0"/>
                      <w:jc w:val="left"/>
                      <w:rPr>
                        <w:sz w:val="18"/>
                      </w:rPr>
                    </w:pPr>
                    <w:r>
                      <w:rPr>
                        <w:color w:val="404040"/>
                        <w:sz w:val="18"/>
                      </w:rPr>
                      <w:t>2.1</w:t>
                    </w:r>
                  </w:p>
                </w:txbxContent>
              </v:textbox>
              <w10:wrap type="none"/>
            </v:shape>
            <v:shape style="position:absolute;left:2091;top:1956;width:227;height:180" type="#_x0000_t202" filled="false" stroked="false">
              <v:textbox inset="0,0,0,0">
                <w:txbxContent>
                  <w:p>
                    <w:pPr>
                      <w:spacing w:line="180" w:lineRule="exact" w:before="0"/>
                      <w:ind w:left="0" w:right="-18" w:firstLine="0"/>
                      <w:jc w:val="left"/>
                      <w:rPr>
                        <w:sz w:val="18"/>
                      </w:rPr>
                    </w:pPr>
                    <w:r>
                      <w:rPr>
                        <w:color w:val="404040"/>
                        <w:sz w:val="18"/>
                      </w:rPr>
                      <w:t>0.5</w:t>
                    </w:r>
                  </w:p>
                </w:txbxContent>
              </v:textbox>
              <w10:wrap type="none"/>
            </v:shape>
            <v:shape style="position:absolute;left:3121;top:2038;width:227;height:180" type="#_x0000_t202" filled="false" stroked="false">
              <v:textbox inset="0,0,0,0">
                <w:txbxContent>
                  <w:p>
                    <w:pPr>
                      <w:spacing w:line="180" w:lineRule="exact" w:before="0"/>
                      <w:ind w:left="0" w:right="-18" w:firstLine="0"/>
                      <w:jc w:val="left"/>
                      <w:rPr>
                        <w:sz w:val="18"/>
                      </w:rPr>
                    </w:pPr>
                    <w:r>
                      <w:rPr>
                        <w:color w:val="404040"/>
                        <w:sz w:val="18"/>
                      </w:rPr>
                      <w:t>0.4</w:t>
                    </w:r>
                  </w:p>
                </w:txbxContent>
              </v:textbox>
              <w10:wrap type="none"/>
            </v:shape>
            <v:shape style="position:absolute;left:5181;top:1916;width:227;height:180" type="#_x0000_t202" filled="false" stroked="false">
              <v:textbox inset="0,0,0,0">
                <w:txbxContent>
                  <w:p>
                    <w:pPr>
                      <w:spacing w:line="180" w:lineRule="exact" w:before="0"/>
                      <w:ind w:left="0" w:right="-18" w:firstLine="0"/>
                      <w:jc w:val="left"/>
                      <w:rPr>
                        <w:sz w:val="18"/>
                      </w:rPr>
                    </w:pPr>
                    <w:r>
                      <w:rPr>
                        <w:color w:val="404040"/>
                        <w:sz w:val="18"/>
                      </w:rPr>
                      <w:t>0.6</w:t>
                    </w:r>
                  </w:p>
                </w:txbxContent>
              </v:textbox>
              <w10:wrap type="none"/>
            </v:shape>
            <v:shape style="position:absolute;left:6210;top:1841;width:227;height:180" type="#_x0000_t202" filled="false" stroked="false">
              <v:textbox inset="0,0,0,0">
                <w:txbxContent>
                  <w:p>
                    <w:pPr>
                      <w:spacing w:line="180" w:lineRule="exact" w:before="0"/>
                      <w:ind w:left="0" w:right="-18" w:firstLine="0"/>
                      <w:jc w:val="left"/>
                      <w:rPr>
                        <w:sz w:val="18"/>
                      </w:rPr>
                    </w:pPr>
                    <w:r>
                      <w:rPr>
                        <w:color w:val="404040"/>
                        <w:sz w:val="18"/>
                      </w:rPr>
                      <w:t>0.7</w:t>
                    </w:r>
                  </w:p>
                </w:txbxContent>
              </v:textbox>
              <w10:wrap type="none"/>
            </v:shape>
            <v:shape style="position:absolute;left:7241;top:1878;width:227;height:181" type="#_x0000_t202" filled="false" stroked="false">
              <v:textbox inset="0,0,0,0">
                <w:txbxContent>
                  <w:p>
                    <w:pPr>
                      <w:spacing w:line="180" w:lineRule="exact" w:before="0"/>
                      <w:ind w:left="0" w:right="-18" w:firstLine="0"/>
                      <w:jc w:val="left"/>
                      <w:rPr>
                        <w:sz w:val="18"/>
                      </w:rPr>
                    </w:pPr>
                    <w:r>
                      <w:rPr>
                        <w:color w:val="404040"/>
                        <w:sz w:val="18"/>
                      </w:rPr>
                      <w:t>0.7</w:t>
                    </w:r>
                  </w:p>
                </w:txbxContent>
              </v:textbox>
              <w10:wrap type="none"/>
            </v:shape>
            <v:shape style="position:absolute;left:4151;top:2063;width:227;height:180" type="#_x0000_t202" filled="false" stroked="false">
              <v:textbox inset="0,0,0,0">
                <w:txbxContent>
                  <w:p>
                    <w:pPr>
                      <w:spacing w:line="180" w:lineRule="exact" w:before="0"/>
                      <w:ind w:left="0" w:right="-18" w:firstLine="0"/>
                      <w:jc w:val="left"/>
                      <w:rPr>
                        <w:sz w:val="18"/>
                      </w:rPr>
                    </w:pPr>
                    <w:r>
                      <w:rPr>
                        <w:color w:val="404040"/>
                        <w:sz w:val="18"/>
                      </w:rPr>
                      <w:t>0.3</w:t>
                    </w:r>
                  </w:p>
                </w:txbxContent>
              </v:textbox>
              <w10:wrap type="none"/>
            </v:shape>
            <v:shape style="position:absolute;left:1061;top:2261;width:227;height:180" type="#_x0000_t202" filled="false" stroked="false">
              <v:textbox inset="0,0,0,0">
                <w:txbxContent>
                  <w:p>
                    <w:pPr>
                      <w:spacing w:line="180" w:lineRule="exact" w:before="0"/>
                      <w:ind w:left="0" w:right="-18" w:firstLine="0"/>
                      <w:jc w:val="left"/>
                      <w:rPr>
                        <w:sz w:val="18"/>
                      </w:rPr>
                    </w:pPr>
                    <w:r>
                      <w:rPr>
                        <w:color w:val="404040"/>
                        <w:sz w:val="18"/>
                      </w:rPr>
                      <w:t>0.0</w:t>
                    </w:r>
                  </w:p>
                </w:txbxContent>
              </v:textbox>
              <w10:wrap type="none"/>
            </v:shape>
            <v:shape style="position:absolute;left:850;top:2659;width:6542;height:181" type="#_x0000_t202" filled="false" stroked="false">
              <v:textbox inset="0,0,0,0">
                <w:txbxContent>
                  <w:p>
                    <w:pPr>
                      <w:tabs>
                        <w:tab w:pos="1030" w:val="left" w:leader="none"/>
                        <w:tab w:pos="2060" w:val="left" w:leader="none"/>
                        <w:tab w:pos="3090" w:val="left" w:leader="none"/>
                        <w:tab w:pos="4120" w:val="left" w:leader="none"/>
                        <w:tab w:pos="5150" w:val="left" w:leader="none"/>
                        <w:tab w:pos="6180" w:val="left" w:leader="none"/>
                      </w:tabs>
                      <w:spacing w:line="180" w:lineRule="exact" w:before="0"/>
                      <w:ind w:left="0" w:right="0" w:firstLine="0"/>
                      <w:jc w:val="left"/>
                      <w:rPr>
                        <w:sz w:val="18"/>
                      </w:rPr>
                    </w:pPr>
                    <w:r>
                      <w:rPr>
                        <w:color w:val="585858"/>
                        <w:sz w:val="18"/>
                      </w:rPr>
                      <w:t>1980</w:t>
                      <w:tab/>
                      <w:t>1985</w:t>
                      <w:tab/>
                      <w:t>1988</w:t>
                      <w:tab/>
                      <w:t>1993</w:t>
                      <w:tab/>
                      <w:t>1998</w:t>
                      <w:tab/>
                      <w:t>2003</w:t>
                      <w:tab/>
                      <w:t>2008</w:t>
                    </w:r>
                  </w:p>
                </w:txbxContent>
              </v:textbox>
              <w10:wrap type="none"/>
            </v:shape>
            <v:shape style="position:absolute;left:2272;top:3044;width:1723;height:180" type="#_x0000_t202" filled="false" stroked="false">
              <v:textbox inset="0,0,0,0">
                <w:txbxContent>
                  <w:p>
                    <w:pPr>
                      <w:spacing w:line="180" w:lineRule="exact" w:before="0"/>
                      <w:ind w:left="0" w:right="-15" w:firstLine="0"/>
                      <w:jc w:val="left"/>
                      <w:rPr>
                        <w:sz w:val="18"/>
                      </w:rPr>
                    </w:pPr>
                    <w:r>
                      <w:rPr>
                        <w:color w:val="585858"/>
                        <w:sz w:val="18"/>
                      </w:rPr>
                      <w:t>Industria</w:t>
                    </w:r>
                    <w:r>
                      <w:rPr>
                        <w:color w:val="585858"/>
                        <w:spacing w:val="-7"/>
                        <w:sz w:val="18"/>
                      </w:rPr>
                      <w:t> </w:t>
                    </w:r>
                    <w:r>
                      <w:rPr>
                        <w:color w:val="585858"/>
                        <w:sz w:val="18"/>
                      </w:rPr>
                      <w:t>manufacturera</w:t>
                    </w:r>
                  </w:p>
                </w:txbxContent>
              </v:textbox>
              <w10:wrap type="none"/>
            </v:shape>
            <v:shape style="position:absolute;left:4411;top:3044;width:1464;height:180" type="#_x0000_t202" filled="false" stroked="false">
              <v:textbox inset="0,0,0,0">
                <w:txbxContent>
                  <w:p>
                    <w:pPr>
                      <w:spacing w:line="180" w:lineRule="exact" w:before="0"/>
                      <w:ind w:left="0" w:right="-14" w:firstLine="0"/>
                      <w:jc w:val="left"/>
                      <w:rPr>
                        <w:sz w:val="18"/>
                      </w:rPr>
                    </w:pPr>
                    <w:r>
                      <w:rPr>
                        <w:color w:val="585858"/>
                        <w:sz w:val="18"/>
                      </w:rPr>
                      <w:t>Industria</w:t>
                    </w:r>
                    <w:r>
                      <w:rPr>
                        <w:color w:val="585858"/>
                        <w:spacing w:val="-7"/>
                        <w:sz w:val="18"/>
                      </w:rPr>
                      <w:t> </w:t>
                    </w:r>
                    <w:r>
                      <w:rPr>
                        <w:color w:val="585858"/>
                        <w:sz w:val="18"/>
                      </w:rPr>
                      <w:t>automotriz</w:t>
                    </w:r>
                  </w:p>
                </w:txbxContent>
              </v:textbox>
              <w10:wrap type="none"/>
            </v:shape>
          </v:group>
        </w:pict>
      </w:r>
      <w:r>
        <w:rPr>
          <w:sz w:val="20"/>
        </w:rPr>
      </w:r>
    </w:p>
    <w:p>
      <w:pPr>
        <w:spacing w:before="124"/>
        <w:ind w:left="383" w:right="399" w:firstLine="0"/>
        <w:jc w:val="center"/>
        <w:rPr>
          <w:sz w:val="18"/>
        </w:rPr>
      </w:pPr>
      <w:r>
        <w:rPr>
          <w:sz w:val="18"/>
        </w:rPr>
        <w:t>Fuente: Elaboración propia con datos de INEGI (varios años).</w:t>
      </w:r>
    </w:p>
    <w:p>
      <w:pPr>
        <w:pStyle w:val="BodyText"/>
        <w:rPr>
          <w:sz w:val="18"/>
        </w:rPr>
      </w:pPr>
    </w:p>
    <w:p>
      <w:pPr>
        <w:pStyle w:val="BodyText"/>
        <w:spacing w:line="360" w:lineRule="auto" w:before="135"/>
        <w:ind w:left="102" w:right="119"/>
        <w:jc w:val="both"/>
      </w:pPr>
      <w:r>
        <w:rPr/>
        <w:t>En cuanto al empleo, Querétaro, ha mostrado una tendencia creciente a lo largo del tiempo tanto</w:t>
      </w:r>
      <w:r>
        <w:rPr>
          <w:spacing w:val="-9"/>
        </w:rPr>
        <w:t> </w:t>
      </w:r>
      <w:r>
        <w:rPr/>
        <w:t>en</w:t>
      </w:r>
      <w:r>
        <w:rPr>
          <w:spacing w:val="-9"/>
        </w:rPr>
        <w:t> </w:t>
      </w:r>
      <w:r>
        <w:rPr/>
        <w:t>la</w:t>
      </w:r>
      <w:r>
        <w:rPr>
          <w:spacing w:val="-9"/>
        </w:rPr>
        <w:t> </w:t>
      </w:r>
      <w:r>
        <w:rPr/>
        <w:t>industria</w:t>
      </w:r>
      <w:r>
        <w:rPr>
          <w:spacing w:val="-9"/>
        </w:rPr>
        <w:t> </w:t>
      </w:r>
      <w:r>
        <w:rPr/>
        <w:t>manufacturera</w:t>
      </w:r>
      <w:r>
        <w:rPr>
          <w:spacing w:val="-10"/>
        </w:rPr>
        <w:t> </w:t>
      </w:r>
      <w:r>
        <w:rPr/>
        <w:t>como</w:t>
      </w:r>
      <w:r>
        <w:rPr>
          <w:spacing w:val="-8"/>
        </w:rPr>
        <w:t> </w:t>
      </w:r>
      <w:r>
        <w:rPr/>
        <w:t>automotriz.</w:t>
      </w:r>
      <w:r>
        <w:rPr>
          <w:spacing w:val="-9"/>
        </w:rPr>
        <w:t> </w:t>
      </w:r>
      <w:r>
        <w:rPr/>
        <w:t>En</w:t>
      </w:r>
      <w:r>
        <w:rPr>
          <w:spacing w:val="-9"/>
        </w:rPr>
        <w:t> </w:t>
      </w:r>
      <w:r>
        <w:rPr/>
        <w:t>este</w:t>
      </w:r>
      <w:r>
        <w:rPr>
          <w:spacing w:val="-9"/>
        </w:rPr>
        <w:t> </w:t>
      </w:r>
      <w:r>
        <w:rPr/>
        <w:t>sentido,</w:t>
      </w:r>
      <w:r>
        <w:rPr>
          <w:spacing w:val="-9"/>
        </w:rPr>
        <w:t> </w:t>
      </w:r>
      <w:r>
        <w:rPr/>
        <w:t>el</w:t>
      </w:r>
      <w:r>
        <w:rPr>
          <w:spacing w:val="-8"/>
        </w:rPr>
        <w:t> </w:t>
      </w:r>
      <w:r>
        <w:rPr/>
        <w:t>personal</w:t>
      </w:r>
      <w:r>
        <w:rPr>
          <w:spacing w:val="-8"/>
        </w:rPr>
        <w:t> </w:t>
      </w:r>
      <w:r>
        <w:rPr/>
        <w:t>ocupado</w:t>
      </w:r>
      <w:r>
        <w:rPr>
          <w:spacing w:val="-9"/>
        </w:rPr>
        <w:t> </w:t>
      </w:r>
      <w:r>
        <w:rPr/>
        <w:t>en la industria manufacturera de la entidad representó el 1.9% del total nacional durante 1980, y para 2008 representó el 2.6% (véase gráfica</w:t>
      </w:r>
      <w:r>
        <w:rPr>
          <w:spacing w:val="-7"/>
        </w:rPr>
        <w:t> </w:t>
      </w:r>
      <w:r>
        <w:rPr/>
        <w:t>4.17).</w:t>
      </w:r>
    </w:p>
    <w:p>
      <w:pPr>
        <w:pStyle w:val="BodyText"/>
        <w:spacing w:before="2"/>
        <w:rPr>
          <w:sz w:val="21"/>
        </w:rPr>
      </w:pPr>
    </w:p>
    <w:p>
      <w:pPr>
        <w:pStyle w:val="BodyText"/>
        <w:spacing w:line="360" w:lineRule="auto"/>
        <w:ind w:left="102" w:right="117"/>
        <w:jc w:val="both"/>
      </w:pPr>
      <w:r>
        <w:rPr/>
        <w:t>Por su parte, la industria automotriz de la entidad ha mostrado crecimientos más modestos, pues</w:t>
      </w:r>
      <w:r>
        <w:rPr>
          <w:spacing w:val="-6"/>
        </w:rPr>
        <w:t> </w:t>
      </w:r>
      <w:r>
        <w:rPr/>
        <w:t>pasó</w:t>
      </w:r>
      <w:r>
        <w:rPr>
          <w:spacing w:val="-6"/>
        </w:rPr>
        <w:t> </w:t>
      </w:r>
      <w:r>
        <w:rPr/>
        <w:t>de</w:t>
      </w:r>
      <w:r>
        <w:rPr>
          <w:spacing w:val="-7"/>
        </w:rPr>
        <w:t> </w:t>
      </w:r>
      <w:r>
        <w:rPr/>
        <w:t>tener</w:t>
      </w:r>
      <w:r>
        <w:rPr>
          <w:spacing w:val="-7"/>
        </w:rPr>
        <w:t> </w:t>
      </w:r>
      <w:r>
        <w:rPr/>
        <w:t>una</w:t>
      </w:r>
      <w:r>
        <w:rPr>
          <w:spacing w:val="-7"/>
        </w:rPr>
        <w:t> </w:t>
      </w:r>
      <w:r>
        <w:rPr/>
        <w:t>participación</w:t>
      </w:r>
      <w:r>
        <w:rPr>
          <w:spacing w:val="-6"/>
        </w:rPr>
        <w:t> </w:t>
      </w:r>
      <w:r>
        <w:rPr/>
        <w:t>del</w:t>
      </w:r>
      <w:r>
        <w:rPr>
          <w:spacing w:val="-6"/>
        </w:rPr>
        <w:t> </w:t>
      </w:r>
      <w:r>
        <w:rPr/>
        <w:t>0%</w:t>
      </w:r>
      <w:r>
        <w:rPr>
          <w:spacing w:val="-7"/>
        </w:rPr>
        <w:t> </w:t>
      </w:r>
      <w:r>
        <w:rPr/>
        <w:t>a</w:t>
      </w:r>
      <w:r>
        <w:rPr>
          <w:spacing w:val="-5"/>
        </w:rPr>
        <w:t> </w:t>
      </w:r>
      <w:r>
        <w:rPr/>
        <w:t>tener</w:t>
      </w:r>
      <w:r>
        <w:rPr>
          <w:spacing w:val="-5"/>
        </w:rPr>
        <w:t> </w:t>
      </w:r>
      <w:r>
        <w:rPr/>
        <w:t>una</w:t>
      </w:r>
      <w:r>
        <w:rPr>
          <w:spacing w:val="-7"/>
        </w:rPr>
        <w:t> </w:t>
      </w:r>
      <w:r>
        <w:rPr/>
        <w:t>participación</w:t>
      </w:r>
      <w:r>
        <w:rPr>
          <w:spacing w:val="-6"/>
        </w:rPr>
        <w:t> </w:t>
      </w:r>
      <w:r>
        <w:rPr/>
        <w:t>del</w:t>
      </w:r>
      <w:r>
        <w:rPr>
          <w:spacing w:val="-6"/>
        </w:rPr>
        <w:t> </w:t>
      </w:r>
      <w:r>
        <w:rPr/>
        <w:t>0.5%,</w:t>
      </w:r>
      <w:r>
        <w:rPr>
          <w:spacing w:val="-6"/>
        </w:rPr>
        <w:t> </w:t>
      </w:r>
      <w:r>
        <w:rPr/>
        <w:t>en</w:t>
      </w:r>
      <w:r>
        <w:rPr>
          <w:spacing w:val="-4"/>
        </w:rPr>
        <w:t> </w:t>
      </w:r>
      <w:r>
        <w:rPr/>
        <w:t>el</w:t>
      </w:r>
      <w:r>
        <w:rPr>
          <w:spacing w:val="-6"/>
        </w:rPr>
        <w:t> </w:t>
      </w:r>
      <w:r>
        <w:rPr/>
        <w:t>empleo manufacturero nacional, durante los años 1980 y 2008 respectivamente (véase gráfica</w:t>
      </w:r>
      <w:r>
        <w:rPr>
          <w:spacing w:val="-24"/>
        </w:rPr>
        <w:t> </w:t>
      </w:r>
      <w:r>
        <w:rPr/>
        <w:t>4.17).</w:t>
      </w:r>
    </w:p>
    <w:p>
      <w:pPr>
        <w:spacing w:after="0" w:line="360" w:lineRule="auto"/>
        <w:jc w:val="both"/>
        <w:sectPr>
          <w:pgSz w:w="12240" w:h="15840"/>
          <w:pgMar w:header="0" w:footer="1035" w:top="1360" w:bottom="1220" w:left="1600" w:right="1580"/>
        </w:sectPr>
      </w:pPr>
    </w:p>
    <w:p>
      <w:pPr>
        <w:pStyle w:val="Heading1"/>
        <w:spacing w:line="360" w:lineRule="auto" w:before="55"/>
        <w:ind w:left="111" w:right="132"/>
        <w:jc w:val="center"/>
      </w:pPr>
      <w:r>
        <w:rPr/>
        <w:t>Gráfica 4.17.Participación porcentual de la industria manufacturera y automotriz de Querétaro en la manufactura nacional, 1980-2008 (Personal Ocupado)</w:t>
      </w:r>
    </w:p>
    <w:p>
      <w:pPr>
        <w:pStyle w:val="BodyText"/>
        <w:ind w:left="538"/>
        <w:rPr>
          <w:sz w:val="20"/>
        </w:rPr>
      </w:pPr>
      <w:r>
        <w:rPr>
          <w:sz w:val="20"/>
        </w:rPr>
        <w:pict>
          <v:group style="width:397.6pt;height:170.8pt;mso-position-horizontal-relative:char;mso-position-vertical-relative:line" coordorigin="0,0" coordsize="7952,3416">
            <v:shape style="position:absolute;left:514;top:228;width:7210;height:2306" type="#_x0000_t75" stroked="false">
              <v:imagedata r:id="rId69" o:title=""/>
            </v:shape>
            <v:line style="position:absolute" from="7167,2151" to="7723,2151" stroked="true" strokeweight=".72pt" strokecolor="#d9d9d9"/>
            <v:line style="position:absolute" from="6135,2151" to="6963,2151" stroked="true" strokeweight=".72pt" strokecolor="#d9d9d9"/>
            <v:line style="position:absolute" from="5105,2151" to="5933,2151" stroked="true" strokeweight=".72pt" strokecolor="#d9d9d9"/>
            <v:line style="position:absolute" from="4075,2151" to="4903,2151" stroked="true" strokeweight=".72pt" strokecolor="#d9d9d9"/>
            <v:line style="position:absolute" from="3046,2151" to="3874,2151" stroked="true" strokeweight=".72pt" strokecolor="#d9d9d9"/>
            <v:line style="position:absolute" from="2016,2151" to="2844,2151" stroked="true" strokeweight=".72pt" strokecolor="#d9d9d9"/>
            <v:line style="position:absolute" from="987,2151" to="1815,2151" stroked="true" strokeweight=".72pt" strokecolor="#d9d9d9"/>
            <v:line style="position:absolute" from="514,2151" to="785,2151" stroked="true" strokeweight=".72pt" strokecolor="#d9d9d9"/>
            <v:line style="position:absolute" from="7167,1767" to="7723,1767" stroked="true" strokeweight=".72pt" strokecolor="#d9d9d9"/>
            <v:line style="position:absolute" from="6135,1767" to="6963,1767" stroked="true" strokeweight=".72pt" strokecolor="#d9d9d9"/>
            <v:line style="position:absolute" from="5105,1767" to="5933,1767" stroked="true" strokeweight=".72pt" strokecolor="#d9d9d9"/>
            <v:line style="position:absolute" from="4075,1767" to="4903,1767" stroked="true" strokeweight=".72pt" strokecolor="#d9d9d9"/>
            <v:line style="position:absolute" from="3046,1767" to="3874,1767" stroked="true" strokeweight=".72pt" strokecolor="#d9d9d9"/>
            <v:line style="position:absolute" from="2016,1767" to="2844,1767" stroked="true" strokeweight=".72pt" strokecolor="#d9d9d9"/>
            <v:line style="position:absolute" from="987,1767" to="1815,1767" stroked="true" strokeweight=".72pt" strokecolor="#d9d9d9"/>
            <v:line style="position:absolute" from="514,1767" to="785,1767" stroked="true" strokeweight=".72pt" strokecolor="#d9d9d9"/>
            <v:line style="position:absolute" from="7167,1383" to="7723,1383" stroked="true" strokeweight=".72pt" strokecolor="#d9d9d9"/>
            <v:line style="position:absolute" from="6135,1383" to="6963,1383" stroked="true" strokeweight=".72pt" strokecolor="#d9d9d9"/>
            <v:line style="position:absolute" from="5105,1383" to="5933,1383" stroked="true" strokeweight=".72pt" strokecolor="#d9d9d9"/>
            <v:line style="position:absolute" from="4075,1383" to="4903,1383" stroked="true" strokeweight=".72pt" strokecolor="#d9d9d9"/>
            <v:line style="position:absolute" from="3046,1383" to="3874,1383" stroked="true" strokeweight=".72pt" strokecolor="#d9d9d9"/>
            <v:line style="position:absolute" from="2016,1383" to="2844,1383" stroked="true" strokeweight=".72pt" strokecolor="#d9d9d9"/>
            <v:line style="position:absolute" from="987,1383" to="1815,1383" stroked="true" strokeweight=".72pt" strokecolor="#d9d9d9"/>
            <v:line style="position:absolute" from="514,1383" to="785,1383" stroked="true" strokeweight=".72pt" strokecolor="#d9d9d9"/>
            <v:line style="position:absolute" from="7167,999" to="7723,999" stroked="true" strokeweight=".72pt" strokecolor="#d9d9d9"/>
            <v:line style="position:absolute" from="6135,999" to="6963,999" stroked="true" strokeweight=".72pt" strokecolor="#d9d9d9"/>
            <v:line style="position:absolute" from="5105,999" to="5933,999" stroked="true" strokeweight=".72pt" strokecolor="#d9d9d9"/>
            <v:line style="position:absolute" from="514,999" to="4903,999" stroked="true" strokeweight=".72pt" strokecolor="#d9d9d9"/>
            <v:line style="position:absolute" from="7167,612" to="7723,612" stroked="true" strokeweight=".72pt" strokecolor="#d9d9d9"/>
            <v:line style="position:absolute" from="514,612" to="6963,612" stroked="true" strokeweight=".72pt" strokecolor="#d9d9d9"/>
            <v:line style="position:absolute" from="514,228" to="7723,228" stroked="true" strokeweight=".72pt" strokecolor="#d9d9d9"/>
            <v:line style="position:absolute" from="514,228" to="514,2535" stroked="true" strokeweight=".72pt" strokecolor="#d9d9d9"/>
            <v:line style="position:absolute" from="1546,228" to="1546,2535" stroked="true" strokeweight=".72pt" strokecolor="#d9d9d9"/>
            <v:line style="position:absolute" from="2575,228" to="2575,2535" stroked="true" strokeweight=".72pt" strokecolor="#d9d9d9"/>
            <v:line style="position:absolute" from="3605,228" to="3605,2535" stroked="true" strokeweight=".72pt" strokecolor="#d9d9d9"/>
            <v:line style="position:absolute" from="4635,228" to="4635,2535" stroked="true" strokeweight=".72pt" strokecolor="#d9d9d9"/>
            <v:line style="position:absolute" from="5664,228" to="5664,2535" stroked="true" strokeweight=".72pt" strokecolor="#d9d9d9"/>
            <v:line style="position:absolute" from="6694,228" to="6694,2535" stroked="true" strokeweight=".72pt" strokecolor="#d9d9d9"/>
            <v:line style="position:absolute" from="7723,228" to="7723,2535" stroked="true" strokeweight=".72pt" strokecolor="#d9d9d9"/>
            <v:rect style="position:absolute;left:785;top:1109;width:202;height:1426" filled="true" fillcolor="#539e39" stroked="false">
              <v:fill type="solid"/>
            </v:rect>
            <v:rect style="position:absolute;left:1815;top:1099;width:202;height:1435" filled="true" fillcolor="#539e39" stroked="false">
              <v:fill type="solid"/>
            </v:rect>
            <v:rect style="position:absolute;left:2844;top:1112;width:202;height:1423" filled="true" fillcolor="#539e39" stroked="false">
              <v:fill type="solid"/>
            </v:rect>
            <v:rect style="position:absolute;left:3874;top:1102;width:202;height:1433" filled="true" fillcolor="#539e39" stroked="false">
              <v:fill type="solid"/>
            </v:rect>
            <v:rect style="position:absolute;left:4904;top:874;width:202;height:1661" filled="true" fillcolor="#539e39" stroked="false">
              <v:fill type="solid"/>
            </v:rect>
            <v:rect style="position:absolute;left:5933;top:807;width:202;height:1728" filled="true" fillcolor="#539e39" stroked="false">
              <v:fill type="solid"/>
            </v:rect>
            <v:rect style="position:absolute;left:6963;top:567;width:204;height:1968" filled="true" fillcolor="#539e39" stroked="false">
              <v:fill type="solid"/>
            </v:rect>
            <v:line style="position:absolute" from="1073,2534" to="1275,2534" stroked="true" strokeweight=".12pt" strokecolor="#89b833"/>
            <v:rect style="position:absolute;left:2103;top:2326;width:202;height:209" filled="true" fillcolor="#89b833" stroked="false">
              <v:fill type="solid"/>
            </v:rect>
            <v:rect style="position:absolute;left:3132;top:2340;width:202;height:194" filled="true" fillcolor="#89b833" stroked="false">
              <v:fill type="solid"/>
            </v:rect>
            <v:rect style="position:absolute;left:4162;top:2350;width:204;height:185" filled="true" fillcolor="#89b833" stroked="false">
              <v:fill type="solid"/>
            </v:rect>
            <v:rect style="position:absolute;left:5194;top:2364;width:202;height:170" filled="true" fillcolor="#89b833" stroked="false">
              <v:fill type="solid"/>
            </v:rect>
            <v:rect style="position:absolute;left:6223;top:2244;width:202;height:290" filled="true" fillcolor="#89b833" stroked="false">
              <v:fill type="solid"/>
            </v:rect>
            <v:rect style="position:absolute;left:7253;top:2151;width:202;height:384" filled="true" fillcolor="#89b833" stroked="false">
              <v:fill type="solid"/>
            </v:rect>
            <v:line style="position:absolute" from="514,2535" to="7723,2535" stroked="true" strokeweight=".72pt" strokecolor="#d9d9d9"/>
            <v:line style="position:absolute" from="2144,3131" to="2232,3131" stroked="true" strokeweight="4.440pt" strokecolor="#539e39"/>
            <v:line style="position:absolute" from="4284,3131" to="4373,3131" stroked="true" strokeweight="4.440pt" strokecolor="#89b833"/>
            <v:rect style="position:absolute;left:8;top:8;width:7937;height:3401" filled="false" stroked="true" strokeweight=".72pt" strokecolor="#d9d9d9"/>
            <v:shape style="position:absolute;left:138;top:141;width:225;height:180" type="#_x0000_t202" filled="false" stroked="false">
              <v:textbox inset="0,0,0,0">
                <w:txbxContent>
                  <w:p>
                    <w:pPr>
                      <w:spacing w:line="180" w:lineRule="exact" w:before="0"/>
                      <w:ind w:left="0" w:right="-20" w:firstLine="0"/>
                      <w:jc w:val="left"/>
                      <w:rPr>
                        <w:sz w:val="18"/>
                      </w:rPr>
                    </w:pPr>
                    <w:r>
                      <w:rPr>
                        <w:color w:val="585858"/>
                        <w:sz w:val="18"/>
                      </w:rPr>
                      <w:t>3.0</w:t>
                    </w:r>
                  </w:p>
                </w:txbxContent>
              </v:textbox>
              <w10:wrap type="none"/>
            </v:shape>
            <v:shape style="position:absolute;left:6952;top:294;width:227;height:180" type="#_x0000_t202" filled="false" stroked="false">
              <v:textbox inset="0,0,0,0">
                <w:txbxContent>
                  <w:p>
                    <w:pPr>
                      <w:spacing w:line="180" w:lineRule="exact" w:before="0"/>
                      <w:ind w:left="0" w:right="-18" w:firstLine="0"/>
                      <w:jc w:val="left"/>
                      <w:rPr>
                        <w:sz w:val="18"/>
                      </w:rPr>
                    </w:pPr>
                    <w:r>
                      <w:rPr>
                        <w:color w:val="404040"/>
                        <w:sz w:val="18"/>
                      </w:rPr>
                      <w:t>2.6</w:t>
                    </w:r>
                  </w:p>
                </w:txbxContent>
              </v:textbox>
              <w10:wrap type="none"/>
            </v:shape>
            <v:shape style="position:absolute;left:138;top:525;width:225;height:180" type="#_x0000_t202" filled="false" stroked="false">
              <v:textbox inset="0,0,0,0">
                <w:txbxContent>
                  <w:p>
                    <w:pPr>
                      <w:spacing w:line="180" w:lineRule="exact" w:before="0"/>
                      <w:ind w:left="0" w:right="-20" w:firstLine="0"/>
                      <w:jc w:val="left"/>
                      <w:rPr>
                        <w:sz w:val="18"/>
                      </w:rPr>
                    </w:pPr>
                    <w:r>
                      <w:rPr>
                        <w:color w:val="585858"/>
                        <w:sz w:val="18"/>
                      </w:rPr>
                      <w:t>2.5</w:t>
                    </w:r>
                  </w:p>
                </w:txbxContent>
              </v:textbox>
              <w10:wrap type="none"/>
            </v:shape>
            <v:shape style="position:absolute;left:4892;top:599;width:227;height:180" type="#_x0000_t202" filled="false" stroked="false">
              <v:textbox inset="0,0,0,0">
                <w:txbxContent>
                  <w:p>
                    <w:pPr>
                      <w:spacing w:line="180" w:lineRule="exact" w:before="0"/>
                      <w:ind w:left="0" w:right="-18" w:firstLine="0"/>
                      <w:jc w:val="left"/>
                      <w:rPr>
                        <w:sz w:val="18"/>
                      </w:rPr>
                    </w:pPr>
                    <w:r>
                      <w:rPr>
                        <w:color w:val="404040"/>
                        <w:sz w:val="18"/>
                      </w:rPr>
                      <w:t>2.2</w:t>
                    </w:r>
                  </w:p>
                </w:txbxContent>
              </v:textbox>
              <w10:wrap type="none"/>
            </v:shape>
            <v:shape style="position:absolute;left:5922;top:534;width:227;height:180" type="#_x0000_t202" filled="false" stroked="false">
              <v:textbox inset="0,0,0,0">
                <w:txbxContent>
                  <w:p>
                    <w:pPr>
                      <w:spacing w:line="180" w:lineRule="exact" w:before="0"/>
                      <w:ind w:left="0" w:right="-18" w:firstLine="0"/>
                      <w:jc w:val="left"/>
                      <w:rPr>
                        <w:sz w:val="18"/>
                      </w:rPr>
                    </w:pPr>
                    <w:r>
                      <w:rPr>
                        <w:color w:val="404040"/>
                        <w:sz w:val="18"/>
                      </w:rPr>
                      <w:t>2.2</w:t>
                    </w:r>
                  </w:p>
                </w:txbxContent>
              </v:textbox>
              <w10:wrap type="none"/>
            </v:shape>
            <v:shape style="position:absolute;left:138;top:909;width:225;height:180" type="#_x0000_t202" filled="false" stroked="false">
              <v:textbox inset="0,0,0,0">
                <w:txbxContent>
                  <w:p>
                    <w:pPr>
                      <w:spacing w:line="180" w:lineRule="exact" w:before="0"/>
                      <w:ind w:left="0" w:right="-20" w:firstLine="0"/>
                      <w:jc w:val="left"/>
                      <w:rPr>
                        <w:sz w:val="18"/>
                      </w:rPr>
                    </w:pPr>
                    <w:r>
                      <w:rPr>
                        <w:color w:val="585858"/>
                        <w:sz w:val="18"/>
                      </w:rPr>
                      <w:t>2.0</w:t>
                    </w:r>
                  </w:p>
                </w:txbxContent>
              </v:textbox>
              <w10:wrap type="none"/>
            </v:shape>
            <v:shape style="position:absolute;left:772;top:837;width:227;height:180" type="#_x0000_t202" filled="false" stroked="false">
              <v:textbox inset="0,0,0,0">
                <w:txbxContent>
                  <w:p>
                    <w:pPr>
                      <w:spacing w:line="180" w:lineRule="exact" w:before="0"/>
                      <w:ind w:left="0" w:right="-18" w:firstLine="0"/>
                      <w:jc w:val="left"/>
                      <w:rPr>
                        <w:sz w:val="18"/>
                      </w:rPr>
                    </w:pPr>
                    <w:r>
                      <w:rPr>
                        <w:color w:val="404040"/>
                        <w:sz w:val="18"/>
                      </w:rPr>
                      <w:t>1.9</w:t>
                    </w:r>
                  </w:p>
                </w:txbxContent>
              </v:textbox>
              <w10:wrap type="none"/>
            </v:shape>
            <v:shape style="position:absolute;left:1802;top:825;width:227;height:180" type="#_x0000_t202" filled="false" stroked="false">
              <v:textbox inset="0,0,0,0">
                <w:txbxContent>
                  <w:p>
                    <w:pPr>
                      <w:spacing w:line="180" w:lineRule="exact" w:before="0"/>
                      <w:ind w:left="0" w:right="-18" w:firstLine="0"/>
                      <w:jc w:val="left"/>
                      <w:rPr>
                        <w:sz w:val="18"/>
                      </w:rPr>
                    </w:pPr>
                    <w:r>
                      <w:rPr>
                        <w:color w:val="404040"/>
                        <w:sz w:val="18"/>
                      </w:rPr>
                      <w:t>1.9</w:t>
                    </w:r>
                  </w:p>
                </w:txbxContent>
              </v:textbox>
              <w10:wrap type="none"/>
            </v:shape>
            <v:shape style="position:absolute;left:2832;top:839;width:227;height:180" type="#_x0000_t202" filled="false" stroked="false">
              <v:textbox inset="0,0,0,0">
                <w:txbxContent>
                  <w:p>
                    <w:pPr>
                      <w:spacing w:line="180" w:lineRule="exact" w:before="0"/>
                      <w:ind w:left="0" w:right="-18" w:firstLine="0"/>
                      <w:jc w:val="left"/>
                      <w:rPr>
                        <w:sz w:val="18"/>
                      </w:rPr>
                    </w:pPr>
                    <w:r>
                      <w:rPr>
                        <w:color w:val="404040"/>
                        <w:sz w:val="18"/>
                      </w:rPr>
                      <w:t>1.9</w:t>
                    </w:r>
                  </w:p>
                </w:txbxContent>
              </v:textbox>
              <w10:wrap type="none"/>
            </v:shape>
            <v:shape style="position:absolute;left:3862;top:829;width:227;height:180" type="#_x0000_t202" filled="false" stroked="false">
              <v:textbox inset="0,0,0,0">
                <w:txbxContent>
                  <w:p>
                    <w:pPr>
                      <w:spacing w:line="180" w:lineRule="exact" w:before="0"/>
                      <w:ind w:left="0" w:right="-18" w:firstLine="0"/>
                      <w:jc w:val="left"/>
                      <w:rPr>
                        <w:sz w:val="18"/>
                      </w:rPr>
                    </w:pPr>
                    <w:r>
                      <w:rPr>
                        <w:color w:val="404040"/>
                        <w:sz w:val="18"/>
                      </w:rPr>
                      <w:t>1.9</w:t>
                    </w:r>
                  </w:p>
                </w:txbxContent>
              </v:textbox>
              <w10:wrap type="none"/>
            </v:shape>
            <v:shape style="position:absolute;left:138;top:1294;width:225;height:950" type="#_x0000_t202" filled="false" stroked="false">
              <v:textbox inset="0,0,0,0">
                <w:txbxContent>
                  <w:p>
                    <w:pPr>
                      <w:spacing w:line="184" w:lineRule="exact" w:before="0"/>
                      <w:ind w:left="0" w:right="-20" w:firstLine="0"/>
                      <w:jc w:val="left"/>
                      <w:rPr>
                        <w:sz w:val="18"/>
                      </w:rPr>
                    </w:pPr>
                    <w:r>
                      <w:rPr>
                        <w:color w:val="585858"/>
                        <w:sz w:val="18"/>
                      </w:rPr>
                      <w:t>1.5</w:t>
                    </w:r>
                  </w:p>
                  <w:p>
                    <w:pPr>
                      <w:spacing w:line="240" w:lineRule="auto" w:before="5"/>
                      <w:rPr>
                        <w:b/>
                        <w:sz w:val="15"/>
                      </w:rPr>
                    </w:pPr>
                  </w:p>
                  <w:p>
                    <w:pPr>
                      <w:spacing w:before="0"/>
                      <w:ind w:left="0" w:right="-20" w:firstLine="0"/>
                      <w:jc w:val="left"/>
                      <w:rPr>
                        <w:sz w:val="18"/>
                      </w:rPr>
                    </w:pPr>
                    <w:r>
                      <w:rPr>
                        <w:color w:val="585858"/>
                        <w:sz w:val="18"/>
                      </w:rPr>
                      <w:t>1.0</w:t>
                    </w:r>
                  </w:p>
                  <w:p>
                    <w:pPr>
                      <w:spacing w:line="240" w:lineRule="auto" w:before="4"/>
                      <w:rPr>
                        <w:b/>
                        <w:sz w:val="15"/>
                      </w:rPr>
                    </w:pPr>
                  </w:p>
                  <w:p>
                    <w:pPr>
                      <w:spacing w:line="203" w:lineRule="exact" w:before="1"/>
                      <w:ind w:left="0" w:right="-20" w:firstLine="0"/>
                      <w:jc w:val="left"/>
                      <w:rPr>
                        <w:sz w:val="18"/>
                      </w:rPr>
                    </w:pPr>
                    <w:r>
                      <w:rPr>
                        <w:color w:val="585858"/>
                        <w:sz w:val="18"/>
                      </w:rPr>
                      <w:t>0.5</w:t>
                    </w:r>
                  </w:p>
                </w:txbxContent>
              </v:textbox>
              <w10:wrap type="none"/>
            </v:shape>
            <v:shape style="position:absolute;left:2091;top:2052;width:227;height:180" type="#_x0000_t202" filled="false" stroked="false">
              <v:textbox inset="0,0,0,0">
                <w:txbxContent>
                  <w:p>
                    <w:pPr>
                      <w:spacing w:line="180" w:lineRule="exact" w:before="0"/>
                      <w:ind w:left="0" w:right="-18" w:firstLine="0"/>
                      <w:jc w:val="left"/>
                      <w:rPr>
                        <w:sz w:val="18"/>
                      </w:rPr>
                    </w:pPr>
                    <w:r>
                      <w:rPr>
                        <w:color w:val="404040"/>
                        <w:sz w:val="18"/>
                      </w:rPr>
                      <w:t>0.3</w:t>
                    </w:r>
                  </w:p>
                </w:txbxContent>
              </v:textbox>
              <w10:wrap type="none"/>
            </v:shape>
            <v:shape style="position:absolute;left:3121;top:2068;width:227;height:180" type="#_x0000_t202" filled="false" stroked="false">
              <v:textbox inset="0,0,0,0">
                <w:txbxContent>
                  <w:p>
                    <w:pPr>
                      <w:spacing w:line="180" w:lineRule="exact" w:before="0"/>
                      <w:ind w:left="0" w:right="-18" w:firstLine="0"/>
                      <w:jc w:val="left"/>
                      <w:rPr>
                        <w:sz w:val="18"/>
                      </w:rPr>
                    </w:pPr>
                    <w:r>
                      <w:rPr>
                        <w:color w:val="404040"/>
                        <w:sz w:val="18"/>
                      </w:rPr>
                      <w:t>0.3</w:t>
                    </w:r>
                  </w:p>
                </w:txbxContent>
              </v:textbox>
              <w10:wrap type="none"/>
            </v:shape>
            <v:shape style="position:absolute;left:4151;top:2077;width:227;height:180" type="#_x0000_t202" filled="false" stroked="false">
              <v:textbox inset="0,0,0,0">
                <w:txbxContent>
                  <w:p>
                    <w:pPr>
                      <w:spacing w:line="180" w:lineRule="exact" w:before="0"/>
                      <w:ind w:left="0" w:right="-18" w:firstLine="0"/>
                      <w:jc w:val="left"/>
                      <w:rPr>
                        <w:sz w:val="18"/>
                      </w:rPr>
                    </w:pPr>
                    <w:r>
                      <w:rPr>
                        <w:color w:val="404040"/>
                        <w:sz w:val="18"/>
                      </w:rPr>
                      <w:t>0.2</w:t>
                    </w:r>
                  </w:p>
                </w:txbxContent>
              </v:textbox>
              <w10:wrap type="none"/>
            </v:shape>
            <v:shape style="position:absolute;left:5181;top:2092;width:227;height:180" type="#_x0000_t202" filled="false" stroked="false">
              <v:textbox inset="0,0,0,0">
                <w:txbxContent>
                  <w:p>
                    <w:pPr>
                      <w:spacing w:line="180" w:lineRule="exact" w:before="0"/>
                      <w:ind w:left="0" w:right="-18" w:firstLine="0"/>
                      <w:jc w:val="left"/>
                      <w:rPr>
                        <w:sz w:val="18"/>
                      </w:rPr>
                    </w:pPr>
                    <w:r>
                      <w:rPr>
                        <w:color w:val="404040"/>
                        <w:sz w:val="18"/>
                      </w:rPr>
                      <w:t>0.2</w:t>
                    </w:r>
                  </w:p>
                </w:txbxContent>
              </v:textbox>
              <w10:wrap type="none"/>
            </v:shape>
            <v:shape style="position:absolute;left:6210;top:1972;width:227;height:180" type="#_x0000_t202" filled="false" stroked="false">
              <v:textbox inset="0,0,0,0">
                <w:txbxContent>
                  <w:p>
                    <w:pPr>
                      <w:spacing w:line="180" w:lineRule="exact" w:before="0"/>
                      <w:ind w:left="0" w:right="-18" w:firstLine="0"/>
                      <w:jc w:val="left"/>
                      <w:rPr>
                        <w:sz w:val="18"/>
                      </w:rPr>
                    </w:pPr>
                    <w:r>
                      <w:rPr>
                        <w:color w:val="404040"/>
                        <w:sz w:val="18"/>
                      </w:rPr>
                      <w:t>0.4</w:t>
                    </w:r>
                  </w:p>
                </w:txbxContent>
              </v:textbox>
              <w10:wrap type="none"/>
            </v:shape>
            <v:shape style="position:absolute;left:7241;top:1877;width:227;height:180" type="#_x0000_t202" filled="false" stroked="false">
              <v:textbox inset="0,0,0,0">
                <w:txbxContent>
                  <w:p>
                    <w:pPr>
                      <w:spacing w:line="180" w:lineRule="exact" w:before="0"/>
                      <w:ind w:left="0" w:right="-18" w:firstLine="0"/>
                      <w:jc w:val="left"/>
                      <w:rPr>
                        <w:sz w:val="18"/>
                      </w:rPr>
                    </w:pPr>
                    <w:r>
                      <w:rPr>
                        <w:color w:val="404040"/>
                        <w:sz w:val="18"/>
                      </w:rPr>
                      <w:t>0.5</w:t>
                    </w:r>
                  </w:p>
                </w:txbxContent>
              </v:textbox>
              <w10:wrap type="none"/>
            </v:shape>
            <v:shape style="position:absolute;left:1061;top:2259;width:227;height:180" type="#_x0000_t202" filled="false" stroked="false">
              <v:textbox inset="0,0,0,0">
                <w:txbxContent>
                  <w:p>
                    <w:pPr>
                      <w:spacing w:line="180" w:lineRule="exact" w:before="0"/>
                      <w:ind w:left="0" w:right="-18" w:firstLine="0"/>
                      <w:jc w:val="left"/>
                      <w:rPr>
                        <w:sz w:val="18"/>
                      </w:rPr>
                    </w:pPr>
                    <w:r>
                      <w:rPr>
                        <w:color w:val="404040"/>
                        <w:sz w:val="18"/>
                      </w:rPr>
                      <w:t>0.0</w:t>
                    </w:r>
                  </w:p>
                </w:txbxContent>
              </v:textbox>
              <w10:wrap type="none"/>
            </v:shape>
            <v:shape style="position:absolute;left:138;top:2447;width:225;height:181" type="#_x0000_t202" filled="false" stroked="false">
              <v:textbox inset="0,0,0,0">
                <w:txbxContent>
                  <w:p>
                    <w:pPr>
                      <w:spacing w:line="180" w:lineRule="exact" w:before="0"/>
                      <w:ind w:left="0" w:right="-20" w:firstLine="0"/>
                      <w:jc w:val="left"/>
                      <w:rPr>
                        <w:sz w:val="18"/>
                      </w:rPr>
                    </w:pPr>
                    <w:r>
                      <w:rPr>
                        <w:color w:val="585858"/>
                        <w:sz w:val="18"/>
                      </w:rPr>
                      <w:t>0.0</w:t>
                    </w:r>
                  </w:p>
                </w:txbxContent>
              </v:textbox>
              <w10:wrap type="none"/>
            </v:shape>
            <v:shape style="position:absolute;left:850;top:2660;width:361;height:180" type="#_x0000_t202" filled="false" stroked="false">
              <v:textbox inset="0,0,0,0">
                <w:txbxContent>
                  <w:p>
                    <w:pPr>
                      <w:spacing w:line="180" w:lineRule="exact" w:before="0"/>
                      <w:ind w:left="0" w:right="-19" w:firstLine="0"/>
                      <w:jc w:val="left"/>
                      <w:rPr>
                        <w:sz w:val="18"/>
                      </w:rPr>
                    </w:pPr>
                    <w:r>
                      <w:rPr>
                        <w:color w:val="585858"/>
                        <w:sz w:val="18"/>
                      </w:rPr>
                      <w:t>1980</w:t>
                    </w:r>
                  </w:p>
                </w:txbxContent>
              </v:textbox>
              <w10:wrap type="none"/>
            </v:shape>
            <v:shape style="position:absolute;left:1881;top:2660;width:361;height:180" type="#_x0000_t202" filled="false" stroked="false">
              <v:textbox inset="0,0,0,0">
                <w:txbxContent>
                  <w:p>
                    <w:pPr>
                      <w:spacing w:line="180" w:lineRule="exact" w:before="0"/>
                      <w:ind w:left="0" w:right="-19" w:firstLine="0"/>
                      <w:jc w:val="left"/>
                      <w:rPr>
                        <w:sz w:val="18"/>
                      </w:rPr>
                    </w:pPr>
                    <w:r>
                      <w:rPr>
                        <w:color w:val="585858"/>
                        <w:sz w:val="18"/>
                      </w:rPr>
                      <w:t>1985</w:t>
                    </w:r>
                  </w:p>
                </w:txbxContent>
              </v:textbox>
              <w10:wrap type="none"/>
            </v:shape>
            <v:shape style="position:absolute;left:2910;top:2660;width:361;height:180" type="#_x0000_t202" filled="false" stroked="false">
              <v:textbox inset="0,0,0,0">
                <w:txbxContent>
                  <w:p>
                    <w:pPr>
                      <w:spacing w:line="180" w:lineRule="exact" w:before="0"/>
                      <w:ind w:left="0" w:right="-19" w:firstLine="0"/>
                      <w:jc w:val="left"/>
                      <w:rPr>
                        <w:sz w:val="18"/>
                      </w:rPr>
                    </w:pPr>
                    <w:r>
                      <w:rPr>
                        <w:color w:val="585858"/>
                        <w:sz w:val="18"/>
                      </w:rPr>
                      <w:t>1988</w:t>
                    </w:r>
                  </w:p>
                </w:txbxContent>
              </v:textbox>
              <w10:wrap type="none"/>
            </v:shape>
            <v:shape style="position:absolute;left:3941;top:2660;width:361;height:180" type="#_x0000_t202" filled="false" stroked="false">
              <v:textbox inset="0,0,0,0">
                <w:txbxContent>
                  <w:p>
                    <w:pPr>
                      <w:spacing w:line="180" w:lineRule="exact" w:before="0"/>
                      <w:ind w:left="0" w:right="-19" w:firstLine="0"/>
                      <w:jc w:val="left"/>
                      <w:rPr>
                        <w:sz w:val="18"/>
                      </w:rPr>
                    </w:pPr>
                    <w:r>
                      <w:rPr>
                        <w:color w:val="585858"/>
                        <w:sz w:val="18"/>
                      </w:rPr>
                      <w:t>1993</w:t>
                    </w:r>
                  </w:p>
                </w:txbxContent>
              </v:textbox>
              <w10:wrap type="none"/>
            </v:shape>
            <v:shape style="position:absolute;left:4971;top:2660;width:361;height:180" type="#_x0000_t202" filled="false" stroked="false">
              <v:textbox inset="0,0,0,0">
                <w:txbxContent>
                  <w:p>
                    <w:pPr>
                      <w:spacing w:line="180" w:lineRule="exact" w:before="0"/>
                      <w:ind w:left="0" w:right="-19" w:firstLine="0"/>
                      <w:jc w:val="left"/>
                      <w:rPr>
                        <w:sz w:val="18"/>
                      </w:rPr>
                    </w:pPr>
                    <w:r>
                      <w:rPr>
                        <w:color w:val="585858"/>
                        <w:sz w:val="18"/>
                      </w:rPr>
                      <w:t>1998</w:t>
                    </w:r>
                  </w:p>
                </w:txbxContent>
              </v:textbox>
              <w10:wrap type="none"/>
            </v:shape>
            <v:shape style="position:absolute;left:6001;top:2660;width:361;height:180" type="#_x0000_t202" filled="false" stroked="false">
              <v:textbox inset="0,0,0,0">
                <w:txbxContent>
                  <w:p>
                    <w:pPr>
                      <w:spacing w:line="180" w:lineRule="exact" w:before="0"/>
                      <w:ind w:left="0" w:right="-19" w:firstLine="0"/>
                      <w:jc w:val="left"/>
                      <w:rPr>
                        <w:sz w:val="18"/>
                      </w:rPr>
                    </w:pPr>
                    <w:r>
                      <w:rPr>
                        <w:color w:val="585858"/>
                        <w:sz w:val="18"/>
                      </w:rPr>
                      <w:t>2003</w:t>
                    </w:r>
                  </w:p>
                </w:txbxContent>
              </v:textbox>
              <w10:wrap type="none"/>
            </v:shape>
            <v:shape style="position:absolute;left:7031;top:2660;width:361;height:180" type="#_x0000_t202" filled="false" stroked="false">
              <v:textbox inset="0,0,0,0">
                <w:txbxContent>
                  <w:p>
                    <w:pPr>
                      <w:spacing w:line="180" w:lineRule="exact" w:before="0"/>
                      <w:ind w:left="0" w:right="-19" w:firstLine="0"/>
                      <w:jc w:val="left"/>
                      <w:rPr>
                        <w:sz w:val="18"/>
                      </w:rPr>
                    </w:pPr>
                    <w:r>
                      <w:rPr>
                        <w:color w:val="585858"/>
                        <w:sz w:val="18"/>
                      </w:rPr>
                      <w:t>2008</w:t>
                    </w:r>
                  </w:p>
                </w:txbxContent>
              </v:textbox>
              <w10:wrap type="none"/>
            </v:shape>
            <v:shape style="position:absolute;left:2272;top:3043;width:1723;height:180" type="#_x0000_t202" filled="false" stroked="false">
              <v:textbox inset="0,0,0,0">
                <w:txbxContent>
                  <w:p>
                    <w:pPr>
                      <w:spacing w:line="180" w:lineRule="exact" w:before="0"/>
                      <w:ind w:left="0" w:right="-15" w:firstLine="0"/>
                      <w:jc w:val="left"/>
                      <w:rPr>
                        <w:sz w:val="18"/>
                      </w:rPr>
                    </w:pPr>
                    <w:r>
                      <w:rPr>
                        <w:color w:val="585858"/>
                        <w:sz w:val="18"/>
                      </w:rPr>
                      <w:t>Industria</w:t>
                    </w:r>
                    <w:r>
                      <w:rPr>
                        <w:color w:val="585858"/>
                        <w:spacing w:val="-7"/>
                        <w:sz w:val="18"/>
                      </w:rPr>
                      <w:t> </w:t>
                    </w:r>
                    <w:r>
                      <w:rPr>
                        <w:color w:val="585858"/>
                        <w:sz w:val="18"/>
                      </w:rPr>
                      <w:t>manufacturera</w:t>
                    </w:r>
                  </w:p>
                </w:txbxContent>
              </v:textbox>
              <w10:wrap type="none"/>
            </v:shape>
            <v:shape style="position:absolute;left:4411;top:3043;width:1464;height:180" type="#_x0000_t202" filled="false" stroked="false">
              <v:textbox inset="0,0,0,0">
                <w:txbxContent>
                  <w:p>
                    <w:pPr>
                      <w:spacing w:line="180" w:lineRule="exact" w:before="0"/>
                      <w:ind w:left="0" w:right="-14" w:firstLine="0"/>
                      <w:jc w:val="left"/>
                      <w:rPr>
                        <w:sz w:val="18"/>
                      </w:rPr>
                    </w:pPr>
                    <w:r>
                      <w:rPr>
                        <w:color w:val="585858"/>
                        <w:sz w:val="18"/>
                      </w:rPr>
                      <w:t>Industria</w:t>
                    </w:r>
                    <w:r>
                      <w:rPr>
                        <w:color w:val="585858"/>
                        <w:spacing w:val="-7"/>
                        <w:sz w:val="18"/>
                      </w:rPr>
                      <w:t> </w:t>
                    </w:r>
                    <w:r>
                      <w:rPr>
                        <w:color w:val="585858"/>
                        <w:sz w:val="18"/>
                      </w:rPr>
                      <w:t>automotriz</w:t>
                    </w:r>
                  </w:p>
                </w:txbxContent>
              </v:textbox>
              <w10:wrap type="none"/>
            </v:shape>
          </v:group>
        </w:pict>
      </w:r>
      <w:r>
        <w:rPr>
          <w:sz w:val="20"/>
        </w:rPr>
      </w:r>
    </w:p>
    <w:p>
      <w:pPr>
        <w:spacing w:before="124"/>
        <w:ind w:left="383" w:right="396" w:firstLine="0"/>
        <w:jc w:val="center"/>
        <w:rPr>
          <w:sz w:val="18"/>
        </w:rPr>
      </w:pPr>
      <w:r>
        <w:rPr>
          <w:sz w:val="18"/>
        </w:rPr>
        <w:t>Fuente: Elaboración propia con datos de INEGI (varios años).</w:t>
      </w:r>
    </w:p>
    <w:p>
      <w:pPr>
        <w:pStyle w:val="BodyText"/>
        <w:rPr>
          <w:sz w:val="18"/>
        </w:rPr>
      </w:pPr>
    </w:p>
    <w:p>
      <w:pPr>
        <w:pStyle w:val="BodyText"/>
        <w:spacing w:line="360" w:lineRule="auto" w:before="135"/>
        <w:ind w:left="102" w:right="117"/>
        <w:jc w:val="both"/>
      </w:pPr>
      <w:r>
        <w:rPr/>
        <w:t>En</w:t>
      </w:r>
      <w:r>
        <w:rPr>
          <w:spacing w:val="-11"/>
        </w:rPr>
        <w:t> </w:t>
      </w:r>
      <w:r>
        <w:rPr/>
        <w:t>cuanto</w:t>
      </w:r>
      <w:r>
        <w:rPr>
          <w:spacing w:val="-11"/>
        </w:rPr>
        <w:t> </w:t>
      </w:r>
      <w:r>
        <w:rPr/>
        <w:t>al</w:t>
      </w:r>
      <w:r>
        <w:rPr>
          <w:spacing w:val="-11"/>
        </w:rPr>
        <w:t> </w:t>
      </w:r>
      <w:r>
        <w:rPr/>
        <w:t>análisis</w:t>
      </w:r>
      <w:r>
        <w:rPr>
          <w:spacing w:val="-10"/>
        </w:rPr>
        <w:t> </w:t>
      </w:r>
      <w:r>
        <w:rPr/>
        <w:t>de</w:t>
      </w:r>
      <w:r>
        <w:rPr>
          <w:spacing w:val="-12"/>
        </w:rPr>
        <w:t> </w:t>
      </w:r>
      <w:r>
        <w:rPr/>
        <w:t>los</w:t>
      </w:r>
      <w:r>
        <w:rPr>
          <w:spacing w:val="-10"/>
        </w:rPr>
        <w:t> </w:t>
      </w:r>
      <w:r>
        <w:rPr/>
        <w:t>cocientes</w:t>
      </w:r>
      <w:r>
        <w:rPr>
          <w:spacing w:val="-11"/>
        </w:rPr>
        <w:t> </w:t>
      </w:r>
      <w:r>
        <w:rPr/>
        <w:t>de</w:t>
      </w:r>
      <w:r>
        <w:rPr>
          <w:spacing w:val="-12"/>
        </w:rPr>
        <w:t> </w:t>
      </w:r>
      <w:r>
        <w:rPr/>
        <w:t>localización,</w:t>
      </w:r>
      <w:r>
        <w:rPr>
          <w:spacing w:val="-11"/>
        </w:rPr>
        <w:t> </w:t>
      </w:r>
      <w:r>
        <w:rPr/>
        <w:t>se</w:t>
      </w:r>
      <w:r>
        <w:rPr>
          <w:spacing w:val="-12"/>
        </w:rPr>
        <w:t> </w:t>
      </w:r>
      <w:r>
        <w:rPr/>
        <w:t>encuentra</w:t>
      </w:r>
      <w:r>
        <w:rPr>
          <w:spacing w:val="-13"/>
        </w:rPr>
        <w:t> </w:t>
      </w:r>
      <w:r>
        <w:rPr/>
        <w:t>que</w:t>
      </w:r>
      <w:r>
        <w:rPr>
          <w:spacing w:val="37"/>
        </w:rPr>
        <w:t> </w:t>
      </w:r>
      <w:r>
        <w:rPr/>
        <w:t>la</w:t>
      </w:r>
      <w:r>
        <w:rPr>
          <w:spacing w:val="-9"/>
        </w:rPr>
        <w:t> </w:t>
      </w:r>
      <w:r>
        <w:rPr/>
        <w:t>región</w:t>
      </w:r>
      <w:r>
        <w:rPr>
          <w:spacing w:val="-11"/>
        </w:rPr>
        <w:t> </w:t>
      </w:r>
      <w:r>
        <w:rPr/>
        <w:t>centro-norte ha</w:t>
      </w:r>
      <w:r>
        <w:rPr>
          <w:spacing w:val="-13"/>
        </w:rPr>
        <w:t> </w:t>
      </w:r>
      <w:r>
        <w:rPr/>
        <w:t>mostrado</w:t>
      </w:r>
      <w:r>
        <w:rPr>
          <w:spacing w:val="-12"/>
        </w:rPr>
        <w:t> </w:t>
      </w:r>
      <w:r>
        <w:rPr/>
        <w:t>también</w:t>
      </w:r>
      <w:r>
        <w:rPr>
          <w:spacing w:val="-12"/>
        </w:rPr>
        <w:t> </w:t>
      </w:r>
      <w:r>
        <w:rPr/>
        <w:t>cambios</w:t>
      </w:r>
      <w:r>
        <w:rPr>
          <w:spacing w:val="-12"/>
        </w:rPr>
        <w:t> </w:t>
      </w:r>
      <w:r>
        <w:rPr/>
        <w:t>muy</w:t>
      </w:r>
      <w:r>
        <w:rPr>
          <w:spacing w:val="-17"/>
        </w:rPr>
        <w:t> </w:t>
      </w:r>
      <w:r>
        <w:rPr/>
        <w:t>importantes,</w:t>
      </w:r>
      <w:r>
        <w:rPr>
          <w:spacing w:val="-12"/>
        </w:rPr>
        <w:t> </w:t>
      </w:r>
      <w:r>
        <w:rPr/>
        <w:t>como</w:t>
      </w:r>
      <w:r>
        <w:rPr>
          <w:spacing w:val="-12"/>
        </w:rPr>
        <w:t> </w:t>
      </w:r>
      <w:r>
        <w:rPr/>
        <w:t>se</w:t>
      </w:r>
      <w:r>
        <w:rPr>
          <w:spacing w:val="-13"/>
        </w:rPr>
        <w:t> </w:t>
      </w:r>
      <w:r>
        <w:rPr/>
        <w:t>observa</w:t>
      </w:r>
      <w:r>
        <w:rPr>
          <w:spacing w:val="-12"/>
        </w:rPr>
        <w:t> </w:t>
      </w:r>
      <w:r>
        <w:rPr/>
        <w:t>en</w:t>
      </w:r>
      <w:r>
        <w:rPr>
          <w:spacing w:val="-10"/>
        </w:rPr>
        <w:t> </w:t>
      </w:r>
      <w:r>
        <w:rPr/>
        <w:t>el</w:t>
      </w:r>
      <w:r>
        <w:rPr>
          <w:spacing w:val="-12"/>
        </w:rPr>
        <w:t> </w:t>
      </w:r>
      <w:r>
        <w:rPr/>
        <w:t>cuadro</w:t>
      </w:r>
      <w:r>
        <w:rPr>
          <w:spacing w:val="-12"/>
        </w:rPr>
        <w:t> </w:t>
      </w:r>
      <w:r>
        <w:rPr/>
        <w:t>4.24.,</w:t>
      </w:r>
      <w:r>
        <w:rPr>
          <w:spacing w:val="-12"/>
        </w:rPr>
        <w:t> </w:t>
      </w:r>
      <w:r>
        <w:rPr/>
        <w:t>en</w:t>
      </w:r>
      <w:r>
        <w:rPr>
          <w:spacing w:val="-10"/>
        </w:rPr>
        <w:t> </w:t>
      </w:r>
      <w:r>
        <w:rPr/>
        <w:t>1980, el personal ocupado en las manufacturas no mostraba especialización en la industria automotriz, situación que cambio para el año 2008 donde obtuvo un coeficiente de localización de</w:t>
      </w:r>
      <w:r>
        <w:rPr>
          <w:spacing w:val="-4"/>
        </w:rPr>
        <w:t> </w:t>
      </w:r>
      <w:r>
        <w:rPr/>
        <w:t>1.2.</w:t>
      </w:r>
    </w:p>
    <w:p>
      <w:pPr>
        <w:pStyle w:val="BodyText"/>
        <w:spacing w:before="4"/>
        <w:rPr>
          <w:sz w:val="21"/>
        </w:rPr>
      </w:pPr>
    </w:p>
    <w:p>
      <w:pPr>
        <w:pStyle w:val="BodyText"/>
        <w:spacing w:line="360" w:lineRule="auto" w:before="1"/>
        <w:ind w:left="102" w:right="120"/>
        <w:jc w:val="both"/>
      </w:pPr>
      <w:r>
        <w:rPr/>
        <w:t>A nivel de entidades, se observa que en 1985, Querétaro fue el primer estado de la región, donde el personal ocupado comenzó a especializarse en la industria automotriz, y desde entonces dicha especialización ha perdurado. En 1988 Guanajuato se une a la especialización, sin embargo para años posteriores el personal ocupado dejó de</w:t>
      </w:r>
      <w:r>
        <w:rPr>
          <w:spacing w:val="-38"/>
        </w:rPr>
        <w:t> </w:t>
      </w:r>
      <w:r>
        <w:rPr/>
        <w:t>concentrarse en la industria automotriz y finalmente es hasta el 2003, cuando San Luis Potosí mostró un índice mayor a la</w:t>
      </w:r>
      <w:r>
        <w:rPr>
          <w:spacing w:val="-5"/>
        </w:rPr>
        <w:t> </w:t>
      </w:r>
      <w:r>
        <w:rPr/>
        <w:t>unidad.</w:t>
      </w:r>
    </w:p>
    <w:p>
      <w:pPr>
        <w:pStyle w:val="BodyText"/>
        <w:spacing w:before="9"/>
        <w:rPr>
          <w:sz w:val="21"/>
        </w:rPr>
      </w:pPr>
    </w:p>
    <w:p>
      <w:pPr>
        <w:pStyle w:val="Heading1"/>
        <w:spacing w:line="360" w:lineRule="auto" w:after="7"/>
        <w:ind w:left="579" w:right="597" w:hanging="5"/>
        <w:jc w:val="center"/>
      </w:pPr>
      <w:r>
        <w:rPr/>
        <w:t>Cuadro 4.24. Cocientes de localización del personal ocupado de la industria automotriz en el sector manufacturero de la Región Centro-Norte, 1980-2008</w:t>
      </w:r>
    </w:p>
    <w:tbl>
      <w:tblPr>
        <w:tblW w:w="0" w:type="auto"/>
        <w:jc w:val="left"/>
        <w:tblInd w:w="7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27"/>
        <w:gridCol w:w="655"/>
        <w:gridCol w:w="742"/>
        <w:gridCol w:w="655"/>
        <w:gridCol w:w="806"/>
        <w:gridCol w:w="709"/>
        <w:gridCol w:w="677"/>
        <w:gridCol w:w="617"/>
      </w:tblGrid>
      <w:tr>
        <w:trPr>
          <w:trHeight w:val="286" w:hRule="exact"/>
        </w:trPr>
        <w:tc>
          <w:tcPr>
            <w:tcW w:w="2727" w:type="dxa"/>
            <w:tcBorders>
              <w:right w:val="nil"/>
            </w:tcBorders>
            <w:shd w:val="clear" w:color="auto" w:fill="A6A6A6"/>
          </w:tcPr>
          <w:p>
            <w:pPr/>
          </w:p>
        </w:tc>
        <w:tc>
          <w:tcPr>
            <w:tcW w:w="655" w:type="dxa"/>
            <w:tcBorders>
              <w:left w:val="nil"/>
              <w:right w:val="nil"/>
            </w:tcBorders>
            <w:shd w:val="clear" w:color="auto" w:fill="A6A6A6"/>
          </w:tcPr>
          <w:p>
            <w:pPr>
              <w:pStyle w:val="TableParagraph"/>
              <w:spacing w:before="19"/>
              <w:ind w:left="106" w:right="106"/>
              <w:rPr>
                <w:b/>
                <w:sz w:val="20"/>
              </w:rPr>
            </w:pPr>
            <w:r>
              <w:rPr>
                <w:b/>
                <w:sz w:val="20"/>
              </w:rPr>
              <w:t>1980</w:t>
            </w:r>
          </w:p>
        </w:tc>
        <w:tc>
          <w:tcPr>
            <w:tcW w:w="742" w:type="dxa"/>
            <w:tcBorders>
              <w:left w:val="nil"/>
              <w:right w:val="nil"/>
            </w:tcBorders>
            <w:shd w:val="clear" w:color="auto" w:fill="A6A6A6"/>
          </w:tcPr>
          <w:p>
            <w:pPr>
              <w:pStyle w:val="TableParagraph"/>
              <w:spacing w:before="19"/>
              <w:ind w:left="170"/>
              <w:jc w:val="left"/>
              <w:rPr>
                <w:b/>
                <w:sz w:val="20"/>
              </w:rPr>
            </w:pPr>
            <w:r>
              <w:rPr>
                <w:b/>
                <w:sz w:val="20"/>
              </w:rPr>
              <w:t>1985</w:t>
            </w:r>
          </w:p>
        </w:tc>
        <w:tc>
          <w:tcPr>
            <w:tcW w:w="655" w:type="dxa"/>
            <w:tcBorders>
              <w:left w:val="nil"/>
              <w:right w:val="nil"/>
            </w:tcBorders>
            <w:shd w:val="clear" w:color="auto" w:fill="A6A6A6"/>
          </w:tcPr>
          <w:p>
            <w:pPr>
              <w:pStyle w:val="TableParagraph"/>
              <w:spacing w:before="19"/>
              <w:ind w:left="107" w:right="105"/>
              <w:rPr>
                <w:b/>
                <w:sz w:val="20"/>
              </w:rPr>
            </w:pPr>
            <w:r>
              <w:rPr>
                <w:b/>
                <w:sz w:val="20"/>
              </w:rPr>
              <w:t>1988</w:t>
            </w:r>
          </w:p>
        </w:tc>
        <w:tc>
          <w:tcPr>
            <w:tcW w:w="806" w:type="dxa"/>
            <w:tcBorders>
              <w:left w:val="nil"/>
              <w:right w:val="nil"/>
            </w:tcBorders>
            <w:shd w:val="clear" w:color="auto" w:fill="A6A6A6"/>
          </w:tcPr>
          <w:p>
            <w:pPr>
              <w:pStyle w:val="TableParagraph"/>
              <w:spacing w:before="19"/>
              <w:ind w:left="183" w:right="183"/>
              <w:rPr>
                <w:b/>
                <w:sz w:val="20"/>
              </w:rPr>
            </w:pPr>
            <w:r>
              <w:rPr>
                <w:b/>
                <w:sz w:val="20"/>
              </w:rPr>
              <w:t>1993</w:t>
            </w:r>
          </w:p>
        </w:tc>
        <w:tc>
          <w:tcPr>
            <w:tcW w:w="709" w:type="dxa"/>
            <w:tcBorders>
              <w:left w:val="nil"/>
              <w:right w:val="nil"/>
            </w:tcBorders>
            <w:shd w:val="clear" w:color="auto" w:fill="A6A6A6"/>
          </w:tcPr>
          <w:p>
            <w:pPr>
              <w:pStyle w:val="TableParagraph"/>
              <w:spacing w:before="19"/>
              <w:ind w:left="133" w:right="134"/>
              <w:rPr>
                <w:b/>
                <w:sz w:val="20"/>
              </w:rPr>
            </w:pPr>
            <w:r>
              <w:rPr>
                <w:b/>
                <w:sz w:val="20"/>
              </w:rPr>
              <w:t>1998</w:t>
            </w:r>
          </w:p>
        </w:tc>
        <w:tc>
          <w:tcPr>
            <w:tcW w:w="677" w:type="dxa"/>
            <w:tcBorders>
              <w:left w:val="nil"/>
              <w:right w:val="nil"/>
            </w:tcBorders>
            <w:shd w:val="clear" w:color="auto" w:fill="A6A6A6"/>
          </w:tcPr>
          <w:p>
            <w:pPr>
              <w:pStyle w:val="TableParagraph"/>
              <w:spacing w:before="19"/>
              <w:ind w:left="118" w:right="118"/>
              <w:rPr>
                <w:b/>
                <w:sz w:val="20"/>
              </w:rPr>
            </w:pPr>
            <w:r>
              <w:rPr>
                <w:b/>
                <w:sz w:val="20"/>
              </w:rPr>
              <w:t>2003</w:t>
            </w:r>
          </w:p>
        </w:tc>
        <w:tc>
          <w:tcPr>
            <w:tcW w:w="617" w:type="dxa"/>
            <w:tcBorders>
              <w:left w:val="nil"/>
            </w:tcBorders>
            <w:shd w:val="clear" w:color="auto" w:fill="A6A6A6"/>
          </w:tcPr>
          <w:p>
            <w:pPr>
              <w:pStyle w:val="TableParagraph"/>
              <w:spacing w:before="19"/>
              <w:ind w:left="89" w:right="82"/>
              <w:rPr>
                <w:b/>
                <w:sz w:val="20"/>
              </w:rPr>
            </w:pPr>
            <w:r>
              <w:rPr>
                <w:b/>
                <w:sz w:val="20"/>
              </w:rPr>
              <w:t>2008</w:t>
            </w:r>
          </w:p>
        </w:tc>
      </w:tr>
      <w:tr>
        <w:trPr>
          <w:trHeight w:val="240" w:hRule="exact"/>
        </w:trPr>
        <w:tc>
          <w:tcPr>
            <w:tcW w:w="2727" w:type="dxa"/>
            <w:shd w:val="clear" w:color="auto" w:fill="D9D9D9"/>
          </w:tcPr>
          <w:p>
            <w:pPr>
              <w:pStyle w:val="TableParagraph"/>
              <w:spacing w:line="228" w:lineRule="exact"/>
              <w:ind w:left="103"/>
              <w:jc w:val="left"/>
              <w:rPr>
                <w:b/>
                <w:sz w:val="20"/>
              </w:rPr>
            </w:pPr>
            <w:r>
              <w:rPr>
                <w:b/>
                <w:sz w:val="20"/>
              </w:rPr>
              <w:t>Región Centro-Norte</w:t>
            </w:r>
          </w:p>
        </w:tc>
        <w:tc>
          <w:tcPr>
            <w:tcW w:w="655" w:type="dxa"/>
            <w:shd w:val="clear" w:color="auto" w:fill="D9D9D9"/>
          </w:tcPr>
          <w:p>
            <w:pPr>
              <w:pStyle w:val="TableParagraph"/>
              <w:spacing w:line="228" w:lineRule="exact"/>
              <w:ind w:left="174" w:right="178"/>
              <w:rPr>
                <w:b/>
                <w:sz w:val="20"/>
              </w:rPr>
            </w:pPr>
            <w:r>
              <w:rPr>
                <w:b/>
                <w:sz w:val="20"/>
              </w:rPr>
              <w:t>0.1</w:t>
            </w:r>
          </w:p>
        </w:tc>
        <w:tc>
          <w:tcPr>
            <w:tcW w:w="742" w:type="dxa"/>
            <w:shd w:val="clear" w:color="auto" w:fill="D9D9D9"/>
          </w:tcPr>
          <w:p>
            <w:pPr>
              <w:pStyle w:val="TableParagraph"/>
              <w:spacing w:line="228" w:lineRule="exact"/>
              <w:ind w:left="240"/>
              <w:jc w:val="left"/>
              <w:rPr>
                <w:b/>
                <w:sz w:val="20"/>
              </w:rPr>
            </w:pPr>
            <w:r>
              <w:rPr>
                <w:b/>
                <w:sz w:val="20"/>
              </w:rPr>
              <w:t>0.9</w:t>
            </w:r>
          </w:p>
        </w:tc>
        <w:tc>
          <w:tcPr>
            <w:tcW w:w="655" w:type="dxa"/>
            <w:shd w:val="clear" w:color="auto" w:fill="D9D9D9"/>
          </w:tcPr>
          <w:p>
            <w:pPr>
              <w:pStyle w:val="TableParagraph"/>
              <w:spacing w:line="228" w:lineRule="exact"/>
              <w:ind w:left="175" w:right="176"/>
              <w:rPr>
                <w:b/>
                <w:sz w:val="20"/>
              </w:rPr>
            </w:pPr>
            <w:r>
              <w:rPr>
                <w:b/>
                <w:sz w:val="20"/>
              </w:rPr>
              <w:t>0.7</w:t>
            </w:r>
          </w:p>
        </w:tc>
        <w:tc>
          <w:tcPr>
            <w:tcW w:w="806" w:type="dxa"/>
            <w:shd w:val="clear" w:color="auto" w:fill="D9D9D9"/>
          </w:tcPr>
          <w:p>
            <w:pPr>
              <w:pStyle w:val="TableParagraph"/>
              <w:spacing w:line="228" w:lineRule="exact"/>
              <w:ind w:left="252" w:right="254"/>
              <w:rPr>
                <w:b/>
                <w:sz w:val="20"/>
              </w:rPr>
            </w:pPr>
            <w:r>
              <w:rPr>
                <w:b/>
                <w:sz w:val="20"/>
              </w:rPr>
              <w:t>0.6</w:t>
            </w:r>
          </w:p>
        </w:tc>
        <w:tc>
          <w:tcPr>
            <w:tcW w:w="709" w:type="dxa"/>
            <w:shd w:val="clear" w:color="auto" w:fill="D9D9D9"/>
          </w:tcPr>
          <w:p>
            <w:pPr>
              <w:pStyle w:val="TableParagraph"/>
              <w:spacing w:line="228" w:lineRule="exact"/>
              <w:ind w:left="203" w:right="206"/>
              <w:rPr>
                <w:b/>
                <w:sz w:val="20"/>
              </w:rPr>
            </w:pPr>
            <w:r>
              <w:rPr>
                <w:b/>
                <w:sz w:val="20"/>
              </w:rPr>
              <w:t>0.6</w:t>
            </w:r>
          </w:p>
        </w:tc>
        <w:tc>
          <w:tcPr>
            <w:tcW w:w="677" w:type="dxa"/>
            <w:shd w:val="clear" w:color="auto" w:fill="D9D9D9"/>
          </w:tcPr>
          <w:p>
            <w:pPr>
              <w:pStyle w:val="TableParagraph"/>
              <w:spacing w:line="228" w:lineRule="exact"/>
              <w:ind w:left="188" w:right="188"/>
              <w:rPr>
                <w:b/>
                <w:sz w:val="20"/>
              </w:rPr>
            </w:pPr>
            <w:r>
              <w:rPr>
                <w:b/>
                <w:sz w:val="20"/>
              </w:rPr>
              <w:t>0.9</w:t>
            </w:r>
          </w:p>
        </w:tc>
        <w:tc>
          <w:tcPr>
            <w:tcW w:w="617" w:type="dxa"/>
            <w:shd w:val="clear" w:color="auto" w:fill="D9D9D9"/>
          </w:tcPr>
          <w:p>
            <w:pPr>
              <w:pStyle w:val="TableParagraph"/>
              <w:spacing w:line="228" w:lineRule="exact"/>
              <w:ind w:left="108" w:right="109"/>
              <w:rPr>
                <w:b/>
                <w:sz w:val="20"/>
              </w:rPr>
            </w:pPr>
            <w:r>
              <w:rPr>
                <w:b/>
                <w:sz w:val="20"/>
              </w:rPr>
              <w:t>1.2</w:t>
            </w:r>
          </w:p>
        </w:tc>
      </w:tr>
      <w:tr>
        <w:trPr>
          <w:trHeight w:val="247" w:hRule="exact"/>
        </w:trPr>
        <w:tc>
          <w:tcPr>
            <w:tcW w:w="2727" w:type="dxa"/>
          </w:tcPr>
          <w:p>
            <w:pPr>
              <w:pStyle w:val="TableParagraph"/>
              <w:spacing w:line="228" w:lineRule="exact"/>
              <w:ind w:left="103"/>
              <w:jc w:val="left"/>
              <w:rPr>
                <w:sz w:val="20"/>
              </w:rPr>
            </w:pPr>
            <w:r>
              <w:rPr>
                <w:sz w:val="20"/>
              </w:rPr>
              <w:t>Guanajuato</w:t>
            </w:r>
          </w:p>
        </w:tc>
        <w:tc>
          <w:tcPr>
            <w:tcW w:w="655" w:type="dxa"/>
          </w:tcPr>
          <w:p>
            <w:pPr>
              <w:pStyle w:val="TableParagraph"/>
              <w:spacing w:line="228" w:lineRule="exact"/>
              <w:ind w:left="174" w:right="178"/>
              <w:rPr>
                <w:sz w:val="20"/>
              </w:rPr>
            </w:pPr>
            <w:r>
              <w:rPr>
                <w:sz w:val="20"/>
              </w:rPr>
              <w:t>0.1</w:t>
            </w:r>
          </w:p>
        </w:tc>
        <w:tc>
          <w:tcPr>
            <w:tcW w:w="742" w:type="dxa"/>
          </w:tcPr>
          <w:p>
            <w:pPr>
              <w:pStyle w:val="TableParagraph"/>
              <w:spacing w:line="228" w:lineRule="exact"/>
              <w:ind w:left="240"/>
              <w:jc w:val="left"/>
              <w:rPr>
                <w:sz w:val="20"/>
              </w:rPr>
            </w:pPr>
            <w:r>
              <w:rPr>
                <w:sz w:val="20"/>
              </w:rPr>
              <w:t>0.5</w:t>
            </w:r>
          </w:p>
        </w:tc>
        <w:tc>
          <w:tcPr>
            <w:tcW w:w="655" w:type="dxa"/>
          </w:tcPr>
          <w:p>
            <w:pPr>
              <w:pStyle w:val="TableParagraph"/>
              <w:spacing w:line="228" w:lineRule="exact"/>
              <w:ind w:left="175" w:right="176"/>
              <w:rPr>
                <w:sz w:val="20"/>
              </w:rPr>
            </w:pPr>
            <w:r>
              <w:rPr>
                <w:sz w:val="20"/>
              </w:rPr>
              <w:t>1.0</w:t>
            </w:r>
          </w:p>
        </w:tc>
        <w:tc>
          <w:tcPr>
            <w:tcW w:w="806" w:type="dxa"/>
          </w:tcPr>
          <w:p>
            <w:pPr>
              <w:pStyle w:val="TableParagraph"/>
              <w:spacing w:line="228" w:lineRule="exact"/>
              <w:ind w:left="252" w:right="254"/>
              <w:rPr>
                <w:sz w:val="20"/>
              </w:rPr>
            </w:pPr>
            <w:r>
              <w:rPr>
                <w:sz w:val="20"/>
              </w:rPr>
              <w:t>0.3</w:t>
            </w:r>
          </w:p>
        </w:tc>
        <w:tc>
          <w:tcPr>
            <w:tcW w:w="709" w:type="dxa"/>
          </w:tcPr>
          <w:p>
            <w:pPr>
              <w:pStyle w:val="TableParagraph"/>
              <w:spacing w:line="228" w:lineRule="exact"/>
              <w:ind w:left="203" w:right="206"/>
              <w:rPr>
                <w:sz w:val="20"/>
              </w:rPr>
            </w:pPr>
            <w:r>
              <w:rPr>
                <w:sz w:val="20"/>
              </w:rPr>
              <w:t>0.4</w:t>
            </w:r>
          </w:p>
        </w:tc>
        <w:tc>
          <w:tcPr>
            <w:tcW w:w="677" w:type="dxa"/>
          </w:tcPr>
          <w:p>
            <w:pPr>
              <w:pStyle w:val="TableParagraph"/>
              <w:spacing w:line="228" w:lineRule="exact"/>
              <w:ind w:left="188" w:right="188"/>
              <w:rPr>
                <w:sz w:val="20"/>
              </w:rPr>
            </w:pPr>
            <w:r>
              <w:rPr>
                <w:sz w:val="20"/>
              </w:rPr>
              <w:t>0.5</w:t>
            </w:r>
          </w:p>
        </w:tc>
        <w:tc>
          <w:tcPr>
            <w:tcW w:w="617" w:type="dxa"/>
          </w:tcPr>
          <w:p>
            <w:pPr>
              <w:pStyle w:val="TableParagraph"/>
              <w:spacing w:line="228" w:lineRule="exact"/>
              <w:ind w:left="108" w:right="109"/>
              <w:rPr>
                <w:sz w:val="20"/>
              </w:rPr>
            </w:pPr>
            <w:r>
              <w:rPr>
                <w:sz w:val="20"/>
              </w:rPr>
              <w:t>0.7</w:t>
            </w:r>
          </w:p>
        </w:tc>
      </w:tr>
      <w:tr>
        <w:trPr>
          <w:trHeight w:val="341" w:hRule="exact"/>
        </w:trPr>
        <w:tc>
          <w:tcPr>
            <w:tcW w:w="2727" w:type="dxa"/>
          </w:tcPr>
          <w:p>
            <w:pPr>
              <w:pStyle w:val="TableParagraph"/>
              <w:spacing w:before="44"/>
              <w:ind w:left="103"/>
              <w:jc w:val="left"/>
              <w:rPr>
                <w:sz w:val="20"/>
              </w:rPr>
            </w:pPr>
            <w:r>
              <w:rPr>
                <w:sz w:val="20"/>
              </w:rPr>
              <w:t>Querétaro</w:t>
            </w:r>
          </w:p>
        </w:tc>
        <w:tc>
          <w:tcPr>
            <w:tcW w:w="655" w:type="dxa"/>
          </w:tcPr>
          <w:p>
            <w:pPr>
              <w:pStyle w:val="TableParagraph"/>
              <w:spacing w:before="44"/>
              <w:ind w:left="174" w:right="178"/>
              <w:rPr>
                <w:sz w:val="20"/>
              </w:rPr>
            </w:pPr>
            <w:r>
              <w:rPr>
                <w:sz w:val="20"/>
              </w:rPr>
              <w:t>0.0</w:t>
            </w:r>
          </w:p>
        </w:tc>
        <w:tc>
          <w:tcPr>
            <w:tcW w:w="742" w:type="dxa"/>
          </w:tcPr>
          <w:p>
            <w:pPr>
              <w:pStyle w:val="TableParagraph"/>
              <w:spacing w:before="44"/>
              <w:ind w:left="240"/>
              <w:jc w:val="left"/>
              <w:rPr>
                <w:sz w:val="20"/>
              </w:rPr>
            </w:pPr>
            <w:r>
              <w:rPr>
                <w:sz w:val="20"/>
              </w:rPr>
              <w:t>2.0</w:t>
            </w:r>
          </w:p>
        </w:tc>
        <w:tc>
          <w:tcPr>
            <w:tcW w:w="655" w:type="dxa"/>
          </w:tcPr>
          <w:p>
            <w:pPr>
              <w:pStyle w:val="TableParagraph"/>
              <w:spacing w:before="44"/>
              <w:ind w:left="175" w:right="176"/>
              <w:rPr>
                <w:sz w:val="20"/>
              </w:rPr>
            </w:pPr>
            <w:r>
              <w:rPr>
                <w:sz w:val="20"/>
              </w:rPr>
              <w:t>1.7</w:t>
            </w:r>
          </w:p>
        </w:tc>
        <w:tc>
          <w:tcPr>
            <w:tcW w:w="806" w:type="dxa"/>
          </w:tcPr>
          <w:p>
            <w:pPr>
              <w:pStyle w:val="TableParagraph"/>
              <w:spacing w:before="44"/>
              <w:ind w:left="252" w:right="254"/>
              <w:rPr>
                <w:sz w:val="20"/>
              </w:rPr>
            </w:pPr>
            <w:r>
              <w:rPr>
                <w:sz w:val="20"/>
              </w:rPr>
              <w:t>1.5</w:t>
            </w:r>
          </w:p>
        </w:tc>
        <w:tc>
          <w:tcPr>
            <w:tcW w:w="709" w:type="dxa"/>
          </w:tcPr>
          <w:p>
            <w:pPr>
              <w:pStyle w:val="TableParagraph"/>
              <w:spacing w:before="44"/>
              <w:ind w:left="203" w:right="206"/>
              <w:rPr>
                <w:sz w:val="20"/>
              </w:rPr>
            </w:pPr>
            <w:r>
              <w:rPr>
                <w:sz w:val="20"/>
              </w:rPr>
              <w:t>1.0</w:t>
            </w:r>
          </w:p>
        </w:tc>
        <w:tc>
          <w:tcPr>
            <w:tcW w:w="677" w:type="dxa"/>
          </w:tcPr>
          <w:p>
            <w:pPr>
              <w:pStyle w:val="TableParagraph"/>
              <w:spacing w:before="44"/>
              <w:ind w:left="188" w:right="188"/>
              <w:rPr>
                <w:sz w:val="20"/>
              </w:rPr>
            </w:pPr>
            <w:r>
              <w:rPr>
                <w:sz w:val="20"/>
              </w:rPr>
              <w:t>1.4</w:t>
            </w:r>
          </w:p>
        </w:tc>
        <w:tc>
          <w:tcPr>
            <w:tcW w:w="617" w:type="dxa"/>
          </w:tcPr>
          <w:p>
            <w:pPr>
              <w:pStyle w:val="TableParagraph"/>
              <w:spacing w:before="44"/>
              <w:ind w:left="108" w:right="109"/>
              <w:rPr>
                <w:sz w:val="20"/>
              </w:rPr>
            </w:pPr>
            <w:r>
              <w:rPr>
                <w:sz w:val="20"/>
              </w:rPr>
              <w:t>1.8</w:t>
            </w:r>
          </w:p>
        </w:tc>
      </w:tr>
      <w:tr>
        <w:trPr>
          <w:trHeight w:val="341" w:hRule="exact"/>
        </w:trPr>
        <w:tc>
          <w:tcPr>
            <w:tcW w:w="2727" w:type="dxa"/>
          </w:tcPr>
          <w:p>
            <w:pPr>
              <w:pStyle w:val="TableParagraph"/>
              <w:spacing w:before="43"/>
              <w:ind w:left="103"/>
              <w:jc w:val="left"/>
              <w:rPr>
                <w:sz w:val="20"/>
              </w:rPr>
            </w:pPr>
            <w:r>
              <w:rPr>
                <w:sz w:val="20"/>
              </w:rPr>
              <w:t>San Luis Potosí</w:t>
            </w:r>
          </w:p>
        </w:tc>
        <w:tc>
          <w:tcPr>
            <w:tcW w:w="655" w:type="dxa"/>
          </w:tcPr>
          <w:p>
            <w:pPr>
              <w:pStyle w:val="TableParagraph"/>
              <w:spacing w:before="43"/>
              <w:ind w:left="174" w:right="178"/>
              <w:rPr>
                <w:sz w:val="20"/>
              </w:rPr>
            </w:pPr>
            <w:r>
              <w:rPr>
                <w:sz w:val="20"/>
              </w:rPr>
              <w:t>0.2</w:t>
            </w:r>
          </w:p>
        </w:tc>
        <w:tc>
          <w:tcPr>
            <w:tcW w:w="742" w:type="dxa"/>
            <w:tcBorders>
              <w:right w:val="single" w:sz="4" w:space="0" w:color="A8D08D"/>
            </w:tcBorders>
          </w:tcPr>
          <w:p>
            <w:pPr>
              <w:pStyle w:val="TableParagraph"/>
              <w:spacing w:before="43"/>
              <w:ind w:left="240"/>
              <w:jc w:val="left"/>
              <w:rPr>
                <w:sz w:val="20"/>
              </w:rPr>
            </w:pPr>
            <w:r>
              <w:rPr>
                <w:sz w:val="20"/>
              </w:rPr>
              <w:t>0.5</w:t>
            </w:r>
          </w:p>
        </w:tc>
        <w:tc>
          <w:tcPr>
            <w:tcW w:w="655" w:type="dxa"/>
            <w:tcBorders>
              <w:left w:val="single" w:sz="4" w:space="0" w:color="A8D08D"/>
            </w:tcBorders>
          </w:tcPr>
          <w:p>
            <w:pPr>
              <w:pStyle w:val="TableParagraph"/>
              <w:spacing w:before="43"/>
              <w:ind w:left="175" w:right="176"/>
              <w:rPr>
                <w:sz w:val="20"/>
              </w:rPr>
            </w:pPr>
            <w:r>
              <w:rPr>
                <w:sz w:val="20"/>
              </w:rPr>
              <w:t>0.6</w:t>
            </w:r>
          </w:p>
        </w:tc>
        <w:tc>
          <w:tcPr>
            <w:tcW w:w="806" w:type="dxa"/>
          </w:tcPr>
          <w:p>
            <w:pPr>
              <w:pStyle w:val="TableParagraph"/>
              <w:spacing w:before="43"/>
              <w:ind w:left="252" w:right="254"/>
              <w:rPr>
                <w:sz w:val="20"/>
              </w:rPr>
            </w:pPr>
            <w:r>
              <w:rPr>
                <w:sz w:val="20"/>
              </w:rPr>
              <w:t>0.5</w:t>
            </w:r>
          </w:p>
        </w:tc>
        <w:tc>
          <w:tcPr>
            <w:tcW w:w="709" w:type="dxa"/>
          </w:tcPr>
          <w:p>
            <w:pPr>
              <w:pStyle w:val="TableParagraph"/>
              <w:spacing w:before="43"/>
              <w:ind w:left="203" w:right="206"/>
              <w:rPr>
                <w:sz w:val="20"/>
              </w:rPr>
            </w:pPr>
            <w:r>
              <w:rPr>
                <w:sz w:val="20"/>
              </w:rPr>
              <w:t>0.4</w:t>
            </w:r>
          </w:p>
        </w:tc>
        <w:tc>
          <w:tcPr>
            <w:tcW w:w="677" w:type="dxa"/>
          </w:tcPr>
          <w:p>
            <w:pPr>
              <w:pStyle w:val="TableParagraph"/>
              <w:spacing w:before="43"/>
              <w:ind w:left="188" w:right="188"/>
              <w:rPr>
                <w:sz w:val="20"/>
              </w:rPr>
            </w:pPr>
            <w:r>
              <w:rPr>
                <w:sz w:val="20"/>
              </w:rPr>
              <w:t>1.1</w:t>
            </w:r>
          </w:p>
        </w:tc>
        <w:tc>
          <w:tcPr>
            <w:tcW w:w="617" w:type="dxa"/>
          </w:tcPr>
          <w:p>
            <w:pPr>
              <w:pStyle w:val="TableParagraph"/>
              <w:spacing w:before="43"/>
              <w:ind w:left="108" w:right="109"/>
              <w:rPr>
                <w:sz w:val="20"/>
              </w:rPr>
            </w:pPr>
            <w:r>
              <w:rPr>
                <w:sz w:val="20"/>
              </w:rPr>
              <w:t>1.8</w:t>
            </w:r>
          </w:p>
        </w:tc>
      </w:tr>
    </w:tbl>
    <w:p>
      <w:pPr>
        <w:spacing w:line="202" w:lineRule="exact" w:before="0"/>
        <w:ind w:left="733" w:right="119" w:firstLine="0"/>
        <w:jc w:val="left"/>
        <w:rPr>
          <w:sz w:val="18"/>
        </w:rPr>
      </w:pPr>
      <w:r>
        <w:rPr>
          <w:sz w:val="18"/>
        </w:rPr>
        <w:t>Fuente: Elaboración propia con datos de INEGI (varios años).</w:t>
      </w:r>
    </w:p>
    <w:p>
      <w:pPr>
        <w:spacing w:after="0" w:line="202" w:lineRule="exact"/>
        <w:jc w:val="left"/>
        <w:rPr>
          <w:sz w:val="18"/>
        </w:rPr>
        <w:sectPr>
          <w:pgSz w:w="12240" w:h="15840"/>
          <w:pgMar w:header="0" w:footer="1035" w:top="1360" w:bottom="1220" w:left="1600" w:right="1580"/>
        </w:sectPr>
      </w:pPr>
    </w:p>
    <w:p>
      <w:pPr>
        <w:pStyle w:val="BodyText"/>
        <w:spacing w:line="360" w:lineRule="auto" w:before="50"/>
        <w:ind w:left="102" w:right="116"/>
        <w:jc w:val="both"/>
      </w:pPr>
      <w:r>
        <w:rPr/>
        <w:t>En cuanto al valor agregado censal bruto, la región centro-norte presentó signos de especialización en el año 1986, sin embargo dejo de hacerlo durante 1988 y 1993, y es a partir</w:t>
      </w:r>
      <w:r>
        <w:rPr>
          <w:spacing w:val="-14"/>
        </w:rPr>
        <w:t> </w:t>
      </w:r>
      <w:r>
        <w:rPr/>
        <w:t>de</w:t>
      </w:r>
      <w:r>
        <w:rPr>
          <w:spacing w:val="-14"/>
        </w:rPr>
        <w:t> </w:t>
      </w:r>
      <w:r>
        <w:rPr/>
        <w:t>1998,</w:t>
      </w:r>
      <w:r>
        <w:rPr>
          <w:spacing w:val="-13"/>
        </w:rPr>
        <w:t> </w:t>
      </w:r>
      <w:r>
        <w:rPr/>
        <w:t>que</w:t>
      </w:r>
      <w:r>
        <w:rPr>
          <w:spacing w:val="-14"/>
        </w:rPr>
        <w:t> </w:t>
      </w:r>
      <w:r>
        <w:rPr/>
        <w:t>la</w:t>
      </w:r>
      <w:r>
        <w:rPr>
          <w:spacing w:val="-12"/>
        </w:rPr>
        <w:t> </w:t>
      </w:r>
      <w:r>
        <w:rPr/>
        <w:t>región</w:t>
      </w:r>
      <w:r>
        <w:rPr>
          <w:spacing w:val="-13"/>
        </w:rPr>
        <w:t> </w:t>
      </w:r>
      <w:r>
        <w:rPr/>
        <w:t>retoma</w:t>
      </w:r>
      <w:r>
        <w:rPr>
          <w:spacing w:val="-14"/>
        </w:rPr>
        <w:t> </w:t>
      </w:r>
      <w:r>
        <w:rPr/>
        <w:t>un</w:t>
      </w:r>
      <w:r>
        <w:rPr>
          <w:spacing w:val="-13"/>
        </w:rPr>
        <w:t> </w:t>
      </w:r>
      <w:r>
        <w:rPr/>
        <w:t>grado</w:t>
      </w:r>
      <w:r>
        <w:rPr>
          <w:spacing w:val="-13"/>
        </w:rPr>
        <w:t> </w:t>
      </w:r>
      <w:r>
        <w:rPr/>
        <w:t>significativo</w:t>
      </w:r>
      <w:r>
        <w:rPr>
          <w:spacing w:val="-13"/>
        </w:rPr>
        <w:t> </w:t>
      </w:r>
      <w:r>
        <w:rPr/>
        <w:t>de</w:t>
      </w:r>
      <w:r>
        <w:rPr>
          <w:spacing w:val="-14"/>
        </w:rPr>
        <w:t> </w:t>
      </w:r>
      <w:r>
        <w:rPr/>
        <w:t>especialización,</w:t>
      </w:r>
      <w:r>
        <w:rPr>
          <w:spacing w:val="-13"/>
        </w:rPr>
        <w:t> </w:t>
      </w:r>
      <w:r>
        <w:rPr/>
        <w:t>manteniéndose así durante los siguientes años (véase cuadro</w:t>
      </w:r>
      <w:r>
        <w:rPr>
          <w:spacing w:val="-4"/>
        </w:rPr>
        <w:t> </w:t>
      </w:r>
      <w:r>
        <w:rPr/>
        <w:t>4.25).</w:t>
      </w:r>
    </w:p>
    <w:p>
      <w:pPr>
        <w:pStyle w:val="BodyText"/>
        <w:spacing w:before="2"/>
        <w:rPr>
          <w:sz w:val="21"/>
        </w:rPr>
      </w:pPr>
    </w:p>
    <w:p>
      <w:pPr>
        <w:pStyle w:val="BodyText"/>
        <w:spacing w:line="360" w:lineRule="auto"/>
        <w:ind w:left="102" w:right="119"/>
        <w:jc w:val="both"/>
      </w:pPr>
      <w:r>
        <w:rPr/>
        <w:t>Cabe resaltar que, el estado de Querétaro a partir de 1985, mostró un alto grado de especialización con un índice de 2.5, y desde entonces, al igual que la variable de personal ocupado,</w:t>
      </w:r>
      <w:r>
        <w:rPr>
          <w:spacing w:val="-11"/>
        </w:rPr>
        <w:t> </w:t>
      </w:r>
      <w:r>
        <w:rPr/>
        <w:t>el</w:t>
      </w:r>
      <w:r>
        <w:rPr>
          <w:spacing w:val="-11"/>
        </w:rPr>
        <w:t> </w:t>
      </w:r>
      <w:r>
        <w:rPr/>
        <w:t>valor</w:t>
      </w:r>
      <w:r>
        <w:rPr>
          <w:spacing w:val="-11"/>
        </w:rPr>
        <w:t> </w:t>
      </w:r>
      <w:r>
        <w:rPr/>
        <w:t>agregado</w:t>
      </w:r>
      <w:r>
        <w:rPr>
          <w:spacing w:val="-11"/>
        </w:rPr>
        <w:t> </w:t>
      </w:r>
      <w:r>
        <w:rPr/>
        <w:t>censal</w:t>
      </w:r>
      <w:r>
        <w:rPr>
          <w:spacing w:val="-11"/>
        </w:rPr>
        <w:t> </w:t>
      </w:r>
      <w:r>
        <w:rPr/>
        <w:t>bruto</w:t>
      </w:r>
      <w:r>
        <w:rPr>
          <w:spacing w:val="-11"/>
        </w:rPr>
        <w:t> </w:t>
      </w:r>
      <w:r>
        <w:rPr/>
        <w:t>de</w:t>
      </w:r>
      <w:r>
        <w:rPr>
          <w:spacing w:val="-12"/>
        </w:rPr>
        <w:t> </w:t>
      </w:r>
      <w:r>
        <w:rPr/>
        <w:t>la</w:t>
      </w:r>
      <w:r>
        <w:rPr>
          <w:spacing w:val="-9"/>
        </w:rPr>
        <w:t> </w:t>
      </w:r>
      <w:r>
        <w:rPr/>
        <w:t>industria</w:t>
      </w:r>
      <w:r>
        <w:rPr>
          <w:spacing w:val="-12"/>
        </w:rPr>
        <w:t> </w:t>
      </w:r>
      <w:r>
        <w:rPr/>
        <w:t>automotriz</w:t>
      </w:r>
      <w:r>
        <w:rPr>
          <w:spacing w:val="-10"/>
        </w:rPr>
        <w:t> </w:t>
      </w:r>
      <w:r>
        <w:rPr/>
        <w:t>en</w:t>
      </w:r>
      <w:r>
        <w:rPr>
          <w:spacing w:val="-11"/>
        </w:rPr>
        <w:t> </w:t>
      </w:r>
      <w:r>
        <w:rPr/>
        <w:t>el</w:t>
      </w:r>
      <w:r>
        <w:rPr>
          <w:spacing w:val="-11"/>
        </w:rPr>
        <w:t> </w:t>
      </w:r>
      <w:r>
        <w:rPr/>
        <w:t>sector</w:t>
      </w:r>
      <w:r>
        <w:rPr>
          <w:spacing w:val="-11"/>
        </w:rPr>
        <w:t> </w:t>
      </w:r>
      <w:r>
        <w:rPr/>
        <w:t>manufacturero del estado de Querétaro ha mostrado un grado significativo de especialización. El estado de Guanajuato también ha presentado un crecimiento importante a partir de 1998, presentando un índice de 3.2, y para los años 2003 y 2008 de 2.2 y 1.2 respectivamente (véase cuadro 4.25).</w:t>
      </w:r>
    </w:p>
    <w:p>
      <w:pPr>
        <w:pStyle w:val="BodyText"/>
        <w:spacing w:before="4"/>
        <w:rPr>
          <w:sz w:val="21"/>
        </w:rPr>
      </w:pPr>
    </w:p>
    <w:p>
      <w:pPr>
        <w:pStyle w:val="BodyText"/>
        <w:spacing w:line="360" w:lineRule="auto" w:before="1"/>
        <w:ind w:left="102" w:right="119"/>
        <w:jc w:val="both"/>
      </w:pPr>
      <w:r>
        <w:rPr/>
        <w:t>En</w:t>
      </w:r>
      <w:r>
        <w:rPr>
          <w:spacing w:val="-15"/>
        </w:rPr>
        <w:t> </w:t>
      </w:r>
      <w:r>
        <w:rPr/>
        <w:t>contraste</w:t>
      </w:r>
      <w:r>
        <w:rPr>
          <w:spacing w:val="-15"/>
        </w:rPr>
        <w:t> </w:t>
      </w:r>
      <w:r>
        <w:rPr/>
        <w:t>se</w:t>
      </w:r>
      <w:r>
        <w:rPr>
          <w:spacing w:val="-15"/>
        </w:rPr>
        <w:t> </w:t>
      </w:r>
      <w:r>
        <w:rPr/>
        <w:t>encuentra</w:t>
      </w:r>
      <w:r>
        <w:rPr>
          <w:spacing w:val="-15"/>
        </w:rPr>
        <w:t> </w:t>
      </w:r>
      <w:r>
        <w:rPr/>
        <w:t>el</w:t>
      </w:r>
      <w:r>
        <w:rPr>
          <w:spacing w:val="-14"/>
        </w:rPr>
        <w:t> </w:t>
      </w:r>
      <w:r>
        <w:rPr/>
        <w:t>estado</w:t>
      </w:r>
      <w:r>
        <w:rPr>
          <w:spacing w:val="-15"/>
        </w:rPr>
        <w:t> </w:t>
      </w:r>
      <w:r>
        <w:rPr/>
        <w:t>de</w:t>
      </w:r>
      <w:r>
        <w:rPr>
          <w:spacing w:val="-15"/>
        </w:rPr>
        <w:t> </w:t>
      </w:r>
      <w:r>
        <w:rPr/>
        <w:t>San</w:t>
      </w:r>
      <w:r>
        <w:rPr>
          <w:spacing w:val="-12"/>
        </w:rPr>
        <w:t> </w:t>
      </w:r>
      <w:r>
        <w:rPr/>
        <w:t>Luis</w:t>
      </w:r>
      <w:r>
        <w:rPr>
          <w:spacing w:val="-14"/>
        </w:rPr>
        <w:t> </w:t>
      </w:r>
      <w:r>
        <w:rPr/>
        <w:t>Potosí</w:t>
      </w:r>
      <w:r>
        <w:rPr>
          <w:spacing w:val="-13"/>
        </w:rPr>
        <w:t> </w:t>
      </w:r>
      <w:r>
        <w:rPr/>
        <w:t>pues</w:t>
      </w:r>
      <w:r>
        <w:rPr>
          <w:spacing w:val="-14"/>
        </w:rPr>
        <w:t> </w:t>
      </w:r>
      <w:r>
        <w:rPr/>
        <w:t>no</w:t>
      </w:r>
      <w:r>
        <w:rPr>
          <w:spacing w:val="-14"/>
        </w:rPr>
        <w:t> </w:t>
      </w:r>
      <w:r>
        <w:rPr/>
        <w:t>nuestra</w:t>
      </w:r>
      <w:r>
        <w:rPr>
          <w:spacing w:val="-15"/>
        </w:rPr>
        <w:t> </w:t>
      </w:r>
      <w:r>
        <w:rPr/>
        <w:t>índices</w:t>
      </w:r>
      <w:r>
        <w:rPr>
          <w:spacing w:val="-14"/>
        </w:rPr>
        <w:t> </w:t>
      </w:r>
      <w:r>
        <w:rPr/>
        <w:t>representativos en el valor agregado censal bruto, la manufactura de la entidad no presenta un grado de especialización alto en la industria automotriz, sin embargo es un estado que debido a su ubicación</w:t>
      </w:r>
      <w:r>
        <w:rPr>
          <w:spacing w:val="-6"/>
        </w:rPr>
        <w:t> </w:t>
      </w:r>
      <w:r>
        <w:rPr/>
        <w:t>geográfica</w:t>
      </w:r>
      <w:r>
        <w:rPr>
          <w:spacing w:val="-7"/>
        </w:rPr>
        <w:t> </w:t>
      </w:r>
      <w:r>
        <w:rPr/>
        <w:t>tiene</w:t>
      </w:r>
      <w:r>
        <w:rPr>
          <w:spacing w:val="-7"/>
        </w:rPr>
        <w:t> </w:t>
      </w:r>
      <w:r>
        <w:rPr/>
        <w:t>un</w:t>
      </w:r>
      <w:r>
        <w:rPr>
          <w:spacing w:val="-6"/>
        </w:rPr>
        <w:t> </w:t>
      </w:r>
      <w:r>
        <w:rPr/>
        <w:t>gran</w:t>
      </w:r>
      <w:r>
        <w:rPr>
          <w:spacing w:val="-6"/>
        </w:rPr>
        <w:t> </w:t>
      </w:r>
      <w:r>
        <w:rPr/>
        <w:t>potencial</w:t>
      </w:r>
      <w:r>
        <w:rPr>
          <w:spacing w:val="-6"/>
        </w:rPr>
        <w:t> </w:t>
      </w:r>
      <w:r>
        <w:rPr/>
        <w:t>de</w:t>
      </w:r>
      <w:r>
        <w:rPr>
          <w:spacing w:val="-5"/>
        </w:rPr>
        <w:t> </w:t>
      </w:r>
      <w:r>
        <w:rPr/>
        <w:t>crecimiento</w:t>
      </w:r>
      <w:r>
        <w:rPr>
          <w:spacing w:val="-6"/>
        </w:rPr>
        <w:t> </w:t>
      </w:r>
      <w:r>
        <w:rPr/>
        <w:t>en</w:t>
      </w:r>
      <w:r>
        <w:rPr>
          <w:spacing w:val="-6"/>
        </w:rPr>
        <w:t> </w:t>
      </w:r>
      <w:r>
        <w:rPr/>
        <w:t>dicha</w:t>
      </w:r>
      <w:r>
        <w:rPr>
          <w:spacing w:val="-5"/>
        </w:rPr>
        <w:t> </w:t>
      </w:r>
      <w:r>
        <w:rPr/>
        <w:t>industria</w:t>
      </w:r>
      <w:r>
        <w:rPr>
          <w:spacing w:val="-7"/>
        </w:rPr>
        <w:t> </w:t>
      </w:r>
      <w:r>
        <w:rPr/>
        <w:t>(véase</w:t>
      </w:r>
      <w:r>
        <w:rPr>
          <w:spacing w:val="-7"/>
        </w:rPr>
        <w:t> </w:t>
      </w:r>
      <w:r>
        <w:rPr/>
        <w:t>cuadro 4.25).</w:t>
      </w:r>
    </w:p>
    <w:p>
      <w:pPr>
        <w:pStyle w:val="BodyText"/>
        <w:spacing w:before="7"/>
        <w:rPr>
          <w:sz w:val="21"/>
        </w:rPr>
      </w:pPr>
    </w:p>
    <w:p>
      <w:pPr>
        <w:pStyle w:val="Heading1"/>
        <w:spacing w:line="360" w:lineRule="auto" w:after="5"/>
        <w:ind w:left="579" w:right="143" w:hanging="442"/>
      </w:pPr>
      <w:r>
        <w:rPr/>
        <w:t>Cuadro 4.25. Cocientes de localización del valor agregado censal bruto de la industria automotriz en el sector manufacturero de la Región Centro-Norte, 1980-2008</w:t>
      </w:r>
    </w:p>
    <w:tbl>
      <w:tblPr>
        <w:tblW w:w="0" w:type="auto"/>
        <w:jc w:val="left"/>
        <w:tblInd w:w="5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51"/>
        <w:gridCol w:w="746"/>
        <w:gridCol w:w="790"/>
        <w:gridCol w:w="662"/>
        <w:gridCol w:w="744"/>
        <w:gridCol w:w="687"/>
        <w:gridCol w:w="710"/>
        <w:gridCol w:w="768"/>
      </w:tblGrid>
      <w:tr>
        <w:trPr>
          <w:trHeight w:val="286" w:hRule="exact"/>
        </w:trPr>
        <w:tc>
          <w:tcPr>
            <w:tcW w:w="2751" w:type="dxa"/>
            <w:tcBorders>
              <w:bottom w:val="single" w:sz="24" w:space="0" w:color="D9D9D9"/>
              <w:right w:val="nil"/>
            </w:tcBorders>
            <w:shd w:val="clear" w:color="auto" w:fill="A6A6A6"/>
          </w:tcPr>
          <w:p>
            <w:pPr/>
          </w:p>
        </w:tc>
        <w:tc>
          <w:tcPr>
            <w:tcW w:w="746" w:type="dxa"/>
            <w:tcBorders>
              <w:left w:val="nil"/>
              <w:bottom w:val="single" w:sz="24" w:space="0" w:color="D9D9D9"/>
              <w:right w:val="nil"/>
            </w:tcBorders>
            <w:shd w:val="clear" w:color="auto" w:fill="A6A6A6"/>
          </w:tcPr>
          <w:p>
            <w:pPr>
              <w:pStyle w:val="TableParagraph"/>
              <w:spacing w:before="22"/>
              <w:ind w:right="168"/>
              <w:jc w:val="right"/>
              <w:rPr>
                <w:b/>
                <w:sz w:val="20"/>
              </w:rPr>
            </w:pPr>
            <w:r>
              <w:rPr>
                <w:b/>
                <w:sz w:val="20"/>
              </w:rPr>
              <w:t>1980</w:t>
            </w:r>
          </w:p>
        </w:tc>
        <w:tc>
          <w:tcPr>
            <w:tcW w:w="790" w:type="dxa"/>
            <w:tcBorders>
              <w:left w:val="nil"/>
              <w:bottom w:val="single" w:sz="24" w:space="0" w:color="D9D9D9"/>
              <w:right w:val="nil"/>
            </w:tcBorders>
            <w:shd w:val="clear" w:color="auto" w:fill="A6A6A6"/>
          </w:tcPr>
          <w:p>
            <w:pPr>
              <w:pStyle w:val="TableParagraph"/>
              <w:spacing w:before="22"/>
              <w:ind w:left="192"/>
              <w:jc w:val="left"/>
              <w:rPr>
                <w:b/>
                <w:sz w:val="20"/>
              </w:rPr>
            </w:pPr>
            <w:r>
              <w:rPr>
                <w:b/>
                <w:sz w:val="20"/>
              </w:rPr>
              <w:t>1985</w:t>
            </w:r>
          </w:p>
        </w:tc>
        <w:tc>
          <w:tcPr>
            <w:tcW w:w="662" w:type="dxa"/>
            <w:tcBorders>
              <w:left w:val="nil"/>
              <w:bottom w:val="single" w:sz="24" w:space="0" w:color="D9D9D9"/>
              <w:right w:val="nil"/>
            </w:tcBorders>
            <w:shd w:val="clear" w:color="auto" w:fill="A6A6A6"/>
          </w:tcPr>
          <w:p>
            <w:pPr>
              <w:pStyle w:val="TableParagraph"/>
              <w:spacing w:before="22"/>
              <w:ind w:left="113" w:right="109"/>
              <w:rPr>
                <w:b/>
                <w:sz w:val="20"/>
              </w:rPr>
            </w:pPr>
            <w:r>
              <w:rPr>
                <w:b/>
                <w:sz w:val="20"/>
              </w:rPr>
              <w:t>1988</w:t>
            </w:r>
          </w:p>
        </w:tc>
        <w:tc>
          <w:tcPr>
            <w:tcW w:w="744" w:type="dxa"/>
            <w:tcBorders>
              <w:left w:val="nil"/>
              <w:bottom w:val="single" w:sz="24" w:space="0" w:color="D9D9D9"/>
              <w:right w:val="nil"/>
            </w:tcBorders>
            <w:shd w:val="clear" w:color="auto" w:fill="A6A6A6"/>
          </w:tcPr>
          <w:p>
            <w:pPr>
              <w:pStyle w:val="TableParagraph"/>
              <w:spacing w:before="22"/>
              <w:ind w:left="152" w:right="152"/>
              <w:rPr>
                <w:b/>
                <w:sz w:val="20"/>
              </w:rPr>
            </w:pPr>
            <w:r>
              <w:rPr>
                <w:b/>
                <w:sz w:val="20"/>
              </w:rPr>
              <w:t>1993</w:t>
            </w:r>
          </w:p>
        </w:tc>
        <w:tc>
          <w:tcPr>
            <w:tcW w:w="687" w:type="dxa"/>
            <w:tcBorders>
              <w:left w:val="nil"/>
              <w:bottom w:val="single" w:sz="24" w:space="0" w:color="D9D9D9"/>
              <w:right w:val="nil"/>
            </w:tcBorders>
            <w:shd w:val="clear" w:color="auto" w:fill="A6A6A6"/>
          </w:tcPr>
          <w:p>
            <w:pPr>
              <w:pStyle w:val="TableParagraph"/>
              <w:spacing w:before="22"/>
              <w:ind w:left="125" w:right="121"/>
              <w:rPr>
                <w:b/>
                <w:sz w:val="20"/>
              </w:rPr>
            </w:pPr>
            <w:r>
              <w:rPr>
                <w:b/>
                <w:sz w:val="20"/>
              </w:rPr>
              <w:t>1998</w:t>
            </w:r>
          </w:p>
        </w:tc>
        <w:tc>
          <w:tcPr>
            <w:tcW w:w="710" w:type="dxa"/>
            <w:tcBorders>
              <w:left w:val="nil"/>
              <w:bottom w:val="single" w:sz="24" w:space="0" w:color="D9D9D9"/>
              <w:right w:val="nil"/>
            </w:tcBorders>
            <w:shd w:val="clear" w:color="auto" w:fill="A6A6A6"/>
          </w:tcPr>
          <w:p>
            <w:pPr>
              <w:pStyle w:val="TableParagraph"/>
              <w:spacing w:before="22"/>
              <w:ind w:left="135" w:right="135"/>
              <w:rPr>
                <w:b/>
                <w:sz w:val="20"/>
              </w:rPr>
            </w:pPr>
            <w:r>
              <w:rPr>
                <w:b/>
                <w:sz w:val="20"/>
              </w:rPr>
              <w:t>2003</w:t>
            </w:r>
          </w:p>
        </w:tc>
        <w:tc>
          <w:tcPr>
            <w:tcW w:w="768" w:type="dxa"/>
            <w:tcBorders>
              <w:left w:val="nil"/>
              <w:bottom w:val="single" w:sz="24" w:space="0" w:color="D9D9D9"/>
            </w:tcBorders>
            <w:shd w:val="clear" w:color="auto" w:fill="A6A6A6"/>
          </w:tcPr>
          <w:p>
            <w:pPr>
              <w:pStyle w:val="TableParagraph"/>
              <w:spacing w:before="22"/>
              <w:ind w:left="98" w:right="94"/>
              <w:rPr>
                <w:b/>
                <w:sz w:val="20"/>
              </w:rPr>
            </w:pPr>
            <w:r>
              <w:rPr>
                <w:b/>
                <w:sz w:val="20"/>
              </w:rPr>
              <w:t>2008</w:t>
            </w:r>
          </w:p>
        </w:tc>
      </w:tr>
      <w:tr>
        <w:trPr>
          <w:trHeight w:val="341" w:hRule="exact"/>
        </w:trPr>
        <w:tc>
          <w:tcPr>
            <w:tcW w:w="2751" w:type="dxa"/>
            <w:shd w:val="clear" w:color="auto" w:fill="D9D9D9"/>
          </w:tcPr>
          <w:p>
            <w:pPr>
              <w:pStyle w:val="TableParagraph"/>
              <w:spacing w:before="48"/>
              <w:ind w:left="103"/>
              <w:jc w:val="left"/>
              <w:rPr>
                <w:b/>
                <w:sz w:val="20"/>
              </w:rPr>
            </w:pPr>
            <w:r>
              <w:rPr>
                <w:b/>
                <w:sz w:val="20"/>
              </w:rPr>
              <w:t>Región Centro-Norte</w:t>
            </w:r>
          </w:p>
        </w:tc>
        <w:tc>
          <w:tcPr>
            <w:tcW w:w="746" w:type="dxa"/>
            <w:shd w:val="clear" w:color="auto" w:fill="D9D9D9"/>
          </w:tcPr>
          <w:p>
            <w:pPr>
              <w:pStyle w:val="TableParagraph"/>
              <w:spacing w:before="48"/>
              <w:ind w:right="239"/>
              <w:jc w:val="right"/>
              <w:rPr>
                <w:b/>
                <w:sz w:val="20"/>
              </w:rPr>
            </w:pPr>
            <w:r>
              <w:rPr>
                <w:b/>
                <w:sz w:val="20"/>
              </w:rPr>
              <w:t>0.1</w:t>
            </w:r>
          </w:p>
        </w:tc>
        <w:tc>
          <w:tcPr>
            <w:tcW w:w="790" w:type="dxa"/>
            <w:shd w:val="clear" w:color="auto" w:fill="D9D9D9"/>
          </w:tcPr>
          <w:p>
            <w:pPr>
              <w:pStyle w:val="TableParagraph"/>
              <w:spacing w:before="48"/>
              <w:ind w:left="264"/>
              <w:jc w:val="left"/>
              <w:rPr>
                <w:b/>
                <w:sz w:val="20"/>
              </w:rPr>
            </w:pPr>
            <w:r>
              <w:rPr>
                <w:b/>
                <w:sz w:val="20"/>
              </w:rPr>
              <w:t>1.4</w:t>
            </w:r>
          </w:p>
        </w:tc>
        <w:tc>
          <w:tcPr>
            <w:tcW w:w="662" w:type="dxa"/>
            <w:shd w:val="clear" w:color="auto" w:fill="D9D9D9"/>
          </w:tcPr>
          <w:p>
            <w:pPr>
              <w:pStyle w:val="TableParagraph"/>
              <w:spacing w:before="48"/>
              <w:ind w:left="106" w:right="106"/>
              <w:rPr>
                <w:b/>
                <w:sz w:val="20"/>
              </w:rPr>
            </w:pPr>
            <w:r>
              <w:rPr>
                <w:b/>
                <w:sz w:val="20"/>
              </w:rPr>
              <w:t>0.6</w:t>
            </w:r>
          </w:p>
        </w:tc>
        <w:tc>
          <w:tcPr>
            <w:tcW w:w="744" w:type="dxa"/>
            <w:shd w:val="clear" w:color="auto" w:fill="D9D9D9"/>
          </w:tcPr>
          <w:p>
            <w:pPr>
              <w:pStyle w:val="TableParagraph"/>
              <w:spacing w:before="48"/>
              <w:ind w:left="222" w:right="222"/>
              <w:rPr>
                <w:b/>
                <w:sz w:val="20"/>
              </w:rPr>
            </w:pPr>
            <w:r>
              <w:rPr>
                <w:b/>
                <w:sz w:val="20"/>
              </w:rPr>
              <w:t>0.7</w:t>
            </w:r>
          </w:p>
        </w:tc>
        <w:tc>
          <w:tcPr>
            <w:tcW w:w="687" w:type="dxa"/>
            <w:shd w:val="clear" w:color="auto" w:fill="D9D9D9"/>
          </w:tcPr>
          <w:p>
            <w:pPr>
              <w:pStyle w:val="TableParagraph"/>
              <w:spacing w:before="48"/>
              <w:ind w:left="194" w:right="193"/>
              <w:rPr>
                <w:b/>
                <w:sz w:val="20"/>
              </w:rPr>
            </w:pPr>
            <w:r>
              <w:rPr>
                <w:b/>
                <w:sz w:val="20"/>
              </w:rPr>
              <w:t>2.0</w:t>
            </w:r>
          </w:p>
        </w:tc>
        <w:tc>
          <w:tcPr>
            <w:tcW w:w="710" w:type="dxa"/>
            <w:shd w:val="clear" w:color="auto" w:fill="D9D9D9"/>
          </w:tcPr>
          <w:p>
            <w:pPr>
              <w:pStyle w:val="TableParagraph"/>
              <w:spacing w:before="48"/>
              <w:ind w:left="205" w:right="205"/>
              <w:rPr>
                <w:b/>
                <w:sz w:val="20"/>
              </w:rPr>
            </w:pPr>
            <w:r>
              <w:rPr>
                <w:b/>
                <w:sz w:val="20"/>
              </w:rPr>
              <w:t>1.8</w:t>
            </w:r>
          </w:p>
        </w:tc>
        <w:tc>
          <w:tcPr>
            <w:tcW w:w="768" w:type="dxa"/>
            <w:shd w:val="clear" w:color="auto" w:fill="D9D9D9"/>
          </w:tcPr>
          <w:p>
            <w:pPr>
              <w:pStyle w:val="TableParagraph"/>
              <w:spacing w:before="48"/>
              <w:ind w:left="234" w:right="234"/>
              <w:rPr>
                <w:b/>
                <w:sz w:val="20"/>
              </w:rPr>
            </w:pPr>
            <w:r>
              <w:rPr>
                <w:b/>
                <w:sz w:val="20"/>
              </w:rPr>
              <w:t>1.2</w:t>
            </w:r>
          </w:p>
        </w:tc>
      </w:tr>
      <w:tr>
        <w:trPr>
          <w:trHeight w:val="241" w:hRule="exact"/>
        </w:trPr>
        <w:tc>
          <w:tcPr>
            <w:tcW w:w="2751" w:type="dxa"/>
            <w:tcBorders>
              <w:top w:val="single" w:sz="20" w:space="0" w:color="D9D9D9"/>
            </w:tcBorders>
          </w:tcPr>
          <w:p>
            <w:pPr>
              <w:pStyle w:val="TableParagraph"/>
              <w:spacing w:line="203" w:lineRule="exact"/>
              <w:ind w:left="103"/>
              <w:jc w:val="left"/>
              <w:rPr>
                <w:sz w:val="20"/>
              </w:rPr>
            </w:pPr>
            <w:r>
              <w:rPr>
                <w:sz w:val="20"/>
              </w:rPr>
              <w:t>Guanajuato</w:t>
            </w:r>
          </w:p>
        </w:tc>
        <w:tc>
          <w:tcPr>
            <w:tcW w:w="746" w:type="dxa"/>
            <w:tcBorders>
              <w:top w:val="single" w:sz="20" w:space="0" w:color="D9D9D9"/>
            </w:tcBorders>
          </w:tcPr>
          <w:p>
            <w:pPr>
              <w:pStyle w:val="TableParagraph"/>
              <w:spacing w:line="203" w:lineRule="exact"/>
              <w:ind w:right="239"/>
              <w:jc w:val="right"/>
              <w:rPr>
                <w:sz w:val="20"/>
              </w:rPr>
            </w:pPr>
            <w:r>
              <w:rPr>
                <w:sz w:val="20"/>
              </w:rPr>
              <w:t>0.3</w:t>
            </w:r>
          </w:p>
        </w:tc>
        <w:tc>
          <w:tcPr>
            <w:tcW w:w="790" w:type="dxa"/>
            <w:tcBorders>
              <w:top w:val="single" w:sz="20" w:space="0" w:color="D9D9D9"/>
            </w:tcBorders>
          </w:tcPr>
          <w:p>
            <w:pPr>
              <w:pStyle w:val="TableParagraph"/>
              <w:spacing w:line="203" w:lineRule="exact"/>
              <w:ind w:left="264"/>
              <w:jc w:val="left"/>
              <w:rPr>
                <w:sz w:val="20"/>
              </w:rPr>
            </w:pPr>
            <w:r>
              <w:rPr>
                <w:sz w:val="20"/>
              </w:rPr>
              <w:t>0.7</w:t>
            </w:r>
          </w:p>
        </w:tc>
        <w:tc>
          <w:tcPr>
            <w:tcW w:w="662" w:type="dxa"/>
            <w:tcBorders>
              <w:top w:val="single" w:sz="20" w:space="0" w:color="D9D9D9"/>
            </w:tcBorders>
          </w:tcPr>
          <w:p>
            <w:pPr>
              <w:pStyle w:val="TableParagraph"/>
              <w:spacing w:line="203" w:lineRule="exact"/>
              <w:ind w:left="106" w:right="106"/>
              <w:rPr>
                <w:sz w:val="20"/>
              </w:rPr>
            </w:pPr>
            <w:r>
              <w:rPr>
                <w:sz w:val="20"/>
              </w:rPr>
              <w:t>0.8</w:t>
            </w:r>
          </w:p>
        </w:tc>
        <w:tc>
          <w:tcPr>
            <w:tcW w:w="744" w:type="dxa"/>
            <w:tcBorders>
              <w:top w:val="single" w:sz="20" w:space="0" w:color="D9D9D9"/>
            </w:tcBorders>
          </w:tcPr>
          <w:p>
            <w:pPr>
              <w:pStyle w:val="TableParagraph"/>
              <w:spacing w:line="203" w:lineRule="exact"/>
              <w:ind w:left="222" w:right="222"/>
              <w:rPr>
                <w:sz w:val="20"/>
              </w:rPr>
            </w:pPr>
            <w:r>
              <w:rPr>
                <w:sz w:val="20"/>
              </w:rPr>
              <w:t>0.3</w:t>
            </w:r>
          </w:p>
        </w:tc>
        <w:tc>
          <w:tcPr>
            <w:tcW w:w="687" w:type="dxa"/>
            <w:tcBorders>
              <w:top w:val="single" w:sz="20" w:space="0" w:color="D9D9D9"/>
            </w:tcBorders>
          </w:tcPr>
          <w:p>
            <w:pPr>
              <w:pStyle w:val="TableParagraph"/>
              <w:spacing w:line="203" w:lineRule="exact"/>
              <w:ind w:left="194" w:right="193"/>
              <w:rPr>
                <w:sz w:val="20"/>
              </w:rPr>
            </w:pPr>
            <w:r>
              <w:rPr>
                <w:sz w:val="20"/>
              </w:rPr>
              <w:t>3.2</w:t>
            </w:r>
          </w:p>
        </w:tc>
        <w:tc>
          <w:tcPr>
            <w:tcW w:w="710" w:type="dxa"/>
            <w:tcBorders>
              <w:top w:val="single" w:sz="20" w:space="0" w:color="D9D9D9"/>
            </w:tcBorders>
          </w:tcPr>
          <w:p>
            <w:pPr>
              <w:pStyle w:val="TableParagraph"/>
              <w:spacing w:line="203" w:lineRule="exact"/>
              <w:ind w:left="205" w:right="205"/>
              <w:rPr>
                <w:sz w:val="20"/>
              </w:rPr>
            </w:pPr>
            <w:r>
              <w:rPr>
                <w:sz w:val="20"/>
              </w:rPr>
              <w:t>2.2</w:t>
            </w:r>
          </w:p>
        </w:tc>
        <w:tc>
          <w:tcPr>
            <w:tcW w:w="768" w:type="dxa"/>
            <w:tcBorders>
              <w:top w:val="single" w:sz="20" w:space="0" w:color="D9D9D9"/>
            </w:tcBorders>
          </w:tcPr>
          <w:p>
            <w:pPr>
              <w:pStyle w:val="TableParagraph"/>
              <w:spacing w:line="203" w:lineRule="exact"/>
              <w:ind w:left="234" w:right="234"/>
              <w:rPr>
                <w:sz w:val="20"/>
              </w:rPr>
            </w:pPr>
            <w:r>
              <w:rPr>
                <w:sz w:val="20"/>
              </w:rPr>
              <w:t>1.2</w:t>
            </w:r>
          </w:p>
        </w:tc>
      </w:tr>
      <w:tr>
        <w:trPr>
          <w:trHeight w:val="341" w:hRule="exact"/>
        </w:trPr>
        <w:tc>
          <w:tcPr>
            <w:tcW w:w="2751" w:type="dxa"/>
          </w:tcPr>
          <w:p>
            <w:pPr>
              <w:pStyle w:val="TableParagraph"/>
              <w:spacing w:before="43"/>
              <w:ind w:left="103"/>
              <w:jc w:val="left"/>
              <w:rPr>
                <w:sz w:val="20"/>
              </w:rPr>
            </w:pPr>
            <w:r>
              <w:rPr>
                <w:sz w:val="20"/>
              </w:rPr>
              <w:t>Querétaro</w:t>
            </w:r>
          </w:p>
        </w:tc>
        <w:tc>
          <w:tcPr>
            <w:tcW w:w="746" w:type="dxa"/>
          </w:tcPr>
          <w:p>
            <w:pPr>
              <w:pStyle w:val="TableParagraph"/>
              <w:spacing w:before="43"/>
              <w:ind w:right="239"/>
              <w:jc w:val="right"/>
              <w:rPr>
                <w:sz w:val="20"/>
              </w:rPr>
            </w:pPr>
            <w:r>
              <w:rPr>
                <w:sz w:val="20"/>
              </w:rPr>
              <w:t>0.0</w:t>
            </w:r>
          </w:p>
        </w:tc>
        <w:tc>
          <w:tcPr>
            <w:tcW w:w="790" w:type="dxa"/>
          </w:tcPr>
          <w:p>
            <w:pPr>
              <w:pStyle w:val="TableParagraph"/>
              <w:spacing w:before="43"/>
              <w:ind w:left="264"/>
              <w:jc w:val="left"/>
              <w:rPr>
                <w:sz w:val="20"/>
              </w:rPr>
            </w:pPr>
            <w:r>
              <w:rPr>
                <w:sz w:val="20"/>
              </w:rPr>
              <w:t>2.5</w:t>
            </w:r>
          </w:p>
        </w:tc>
        <w:tc>
          <w:tcPr>
            <w:tcW w:w="662" w:type="dxa"/>
          </w:tcPr>
          <w:p>
            <w:pPr>
              <w:pStyle w:val="TableParagraph"/>
              <w:spacing w:before="43"/>
              <w:ind w:left="106" w:right="106"/>
              <w:rPr>
                <w:sz w:val="20"/>
              </w:rPr>
            </w:pPr>
            <w:r>
              <w:rPr>
                <w:sz w:val="20"/>
              </w:rPr>
              <w:t>1.3</w:t>
            </w:r>
          </w:p>
        </w:tc>
        <w:tc>
          <w:tcPr>
            <w:tcW w:w="744" w:type="dxa"/>
          </w:tcPr>
          <w:p>
            <w:pPr>
              <w:pStyle w:val="TableParagraph"/>
              <w:spacing w:before="43"/>
              <w:ind w:left="222" w:right="222"/>
              <w:rPr>
                <w:sz w:val="20"/>
              </w:rPr>
            </w:pPr>
            <w:r>
              <w:rPr>
                <w:sz w:val="20"/>
              </w:rPr>
              <w:t>1.6</w:t>
            </w:r>
          </w:p>
        </w:tc>
        <w:tc>
          <w:tcPr>
            <w:tcW w:w="687" w:type="dxa"/>
          </w:tcPr>
          <w:p>
            <w:pPr>
              <w:pStyle w:val="TableParagraph"/>
              <w:spacing w:before="43"/>
              <w:ind w:left="194" w:right="193"/>
              <w:rPr>
                <w:sz w:val="20"/>
              </w:rPr>
            </w:pPr>
            <w:r>
              <w:rPr>
                <w:sz w:val="20"/>
              </w:rPr>
              <w:t>1.2</w:t>
            </w:r>
          </w:p>
        </w:tc>
        <w:tc>
          <w:tcPr>
            <w:tcW w:w="710" w:type="dxa"/>
          </w:tcPr>
          <w:p>
            <w:pPr>
              <w:pStyle w:val="TableParagraph"/>
              <w:spacing w:before="43"/>
              <w:ind w:left="205" w:right="205"/>
              <w:rPr>
                <w:sz w:val="20"/>
              </w:rPr>
            </w:pPr>
            <w:r>
              <w:rPr>
                <w:sz w:val="20"/>
              </w:rPr>
              <w:t>1.7</w:t>
            </w:r>
          </w:p>
        </w:tc>
        <w:tc>
          <w:tcPr>
            <w:tcW w:w="768" w:type="dxa"/>
          </w:tcPr>
          <w:p>
            <w:pPr>
              <w:pStyle w:val="TableParagraph"/>
              <w:spacing w:before="43"/>
              <w:ind w:left="234" w:right="234"/>
              <w:rPr>
                <w:sz w:val="20"/>
              </w:rPr>
            </w:pPr>
            <w:r>
              <w:rPr>
                <w:sz w:val="20"/>
              </w:rPr>
              <w:t>1.4</w:t>
            </w:r>
          </w:p>
        </w:tc>
      </w:tr>
      <w:tr>
        <w:trPr>
          <w:trHeight w:val="240" w:hRule="exact"/>
        </w:trPr>
        <w:tc>
          <w:tcPr>
            <w:tcW w:w="2751" w:type="dxa"/>
          </w:tcPr>
          <w:p>
            <w:pPr>
              <w:pStyle w:val="TableParagraph"/>
              <w:spacing w:line="223" w:lineRule="exact"/>
              <w:ind w:left="103"/>
              <w:jc w:val="left"/>
              <w:rPr>
                <w:sz w:val="20"/>
              </w:rPr>
            </w:pPr>
            <w:r>
              <w:rPr>
                <w:sz w:val="20"/>
              </w:rPr>
              <w:t>San Luis Potosí</w:t>
            </w:r>
          </w:p>
        </w:tc>
        <w:tc>
          <w:tcPr>
            <w:tcW w:w="746" w:type="dxa"/>
          </w:tcPr>
          <w:p>
            <w:pPr>
              <w:pStyle w:val="TableParagraph"/>
              <w:spacing w:line="223" w:lineRule="exact"/>
              <w:ind w:right="239"/>
              <w:jc w:val="right"/>
              <w:rPr>
                <w:sz w:val="20"/>
              </w:rPr>
            </w:pPr>
            <w:r>
              <w:rPr>
                <w:sz w:val="20"/>
              </w:rPr>
              <w:t>0.1</w:t>
            </w:r>
          </w:p>
        </w:tc>
        <w:tc>
          <w:tcPr>
            <w:tcW w:w="790" w:type="dxa"/>
          </w:tcPr>
          <w:p>
            <w:pPr>
              <w:pStyle w:val="TableParagraph"/>
              <w:spacing w:line="223" w:lineRule="exact"/>
              <w:ind w:left="264"/>
              <w:jc w:val="left"/>
              <w:rPr>
                <w:sz w:val="20"/>
              </w:rPr>
            </w:pPr>
            <w:r>
              <w:rPr>
                <w:sz w:val="20"/>
              </w:rPr>
              <w:t>1.1</w:t>
            </w:r>
          </w:p>
        </w:tc>
        <w:tc>
          <w:tcPr>
            <w:tcW w:w="662" w:type="dxa"/>
          </w:tcPr>
          <w:p>
            <w:pPr>
              <w:pStyle w:val="TableParagraph"/>
              <w:spacing w:line="223" w:lineRule="exact"/>
              <w:ind w:left="106" w:right="106"/>
              <w:rPr>
                <w:sz w:val="20"/>
              </w:rPr>
            </w:pPr>
            <w:r>
              <w:rPr>
                <w:sz w:val="20"/>
              </w:rPr>
              <w:t>0.4</w:t>
            </w:r>
          </w:p>
        </w:tc>
        <w:tc>
          <w:tcPr>
            <w:tcW w:w="744" w:type="dxa"/>
          </w:tcPr>
          <w:p>
            <w:pPr>
              <w:pStyle w:val="TableParagraph"/>
              <w:spacing w:line="223" w:lineRule="exact"/>
              <w:ind w:left="222" w:right="222"/>
              <w:rPr>
                <w:sz w:val="20"/>
              </w:rPr>
            </w:pPr>
            <w:r>
              <w:rPr>
                <w:sz w:val="20"/>
              </w:rPr>
              <w:t>0.4</w:t>
            </w:r>
          </w:p>
        </w:tc>
        <w:tc>
          <w:tcPr>
            <w:tcW w:w="687" w:type="dxa"/>
          </w:tcPr>
          <w:p>
            <w:pPr>
              <w:pStyle w:val="TableParagraph"/>
              <w:spacing w:line="223" w:lineRule="exact"/>
              <w:ind w:left="194" w:right="193"/>
              <w:rPr>
                <w:sz w:val="20"/>
              </w:rPr>
            </w:pPr>
            <w:r>
              <w:rPr>
                <w:sz w:val="20"/>
              </w:rPr>
              <w:t>0.5</w:t>
            </w:r>
          </w:p>
        </w:tc>
        <w:tc>
          <w:tcPr>
            <w:tcW w:w="710" w:type="dxa"/>
          </w:tcPr>
          <w:p>
            <w:pPr>
              <w:pStyle w:val="TableParagraph"/>
              <w:spacing w:line="223" w:lineRule="exact"/>
              <w:ind w:left="205" w:right="205"/>
              <w:rPr>
                <w:sz w:val="20"/>
              </w:rPr>
            </w:pPr>
            <w:r>
              <w:rPr>
                <w:sz w:val="20"/>
              </w:rPr>
              <w:t>1.0</w:t>
            </w:r>
          </w:p>
        </w:tc>
        <w:tc>
          <w:tcPr>
            <w:tcW w:w="768" w:type="dxa"/>
          </w:tcPr>
          <w:p>
            <w:pPr>
              <w:pStyle w:val="TableParagraph"/>
              <w:spacing w:line="223" w:lineRule="exact"/>
              <w:ind w:left="234" w:right="234"/>
              <w:rPr>
                <w:sz w:val="20"/>
              </w:rPr>
            </w:pPr>
            <w:r>
              <w:rPr>
                <w:sz w:val="20"/>
              </w:rPr>
              <w:t>1.0</w:t>
            </w:r>
          </w:p>
        </w:tc>
      </w:tr>
    </w:tbl>
    <w:p>
      <w:pPr>
        <w:spacing w:line="202" w:lineRule="exact" w:before="0"/>
        <w:ind w:left="644" w:right="119" w:firstLine="0"/>
        <w:jc w:val="left"/>
        <w:rPr>
          <w:sz w:val="18"/>
        </w:rPr>
      </w:pPr>
      <w:r>
        <w:rPr>
          <w:sz w:val="18"/>
        </w:rPr>
        <w:t>Fuente: Elaboración propia con datos de INEGI (varios años).</w:t>
      </w:r>
    </w:p>
    <w:p>
      <w:pPr>
        <w:pStyle w:val="BodyText"/>
        <w:rPr>
          <w:sz w:val="18"/>
        </w:rPr>
      </w:pPr>
    </w:p>
    <w:p>
      <w:pPr>
        <w:pStyle w:val="BodyText"/>
        <w:spacing w:line="360" w:lineRule="auto" w:before="135"/>
        <w:ind w:left="102" w:right="116"/>
        <w:jc w:val="both"/>
      </w:pPr>
      <w:r>
        <w:rPr/>
        <w:t>La región centro-norte, se ha convertido en los últimos años en una de las dinámicas en cuanto</w:t>
      </w:r>
      <w:r>
        <w:rPr>
          <w:spacing w:val="-6"/>
        </w:rPr>
        <w:t> </w:t>
      </w:r>
      <w:r>
        <w:rPr/>
        <w:t>a</w:t>
      </w:r>
      <w:r>
        <w:rPr>
          <w:spacing w:val="-7"/>
        </w:rPr>
        <w:t> </w:t>
      </w:r>
      <w:r>
        <w:rPr/>
        <w:t>la</w:t>
      </w:r>
      <w:r>
        <w:rPr>
          <w:spacing w:val="-4"/>
        </w:rPr>
        <w:t> </w:t>
      </w:r>
      <w:r>
        <w:rPr/>
        <w:t>industria</w:t>
      </w:r>
      <w:r>
        <w:rPr>
          <w:spacing w:val="-7"/>
        </w:rPr>
        <w:t> </w:t>
      </w:r>
      <w:r>
        <w:rPr/>
        <w:t>automotriz</w:t>
      </w:r>
      <w:r>
        <w:rPr>
          <w:spacing w:val="-5"/>
        </w:rPr>
        <w:t> </w:t>
      </w:r>
      <w:r>
        <w:rPr/>
        <w:t>se</w:t>
      </w:r>
      <w:r>
        <w:rPr>
          <w:spacing w:val="-7"/>
        </w:rPr>
        <w:t> </w:t>
      </w:r>
      <w:r>
        <w:rPr/>
        <w:t>refiere,</w:t>
      </w:r>
      <w:r>
        <w:rPr>
          <w:spacing w:val="-6"/>
        </w:rPr>
        <w:t> </w:t>
      </w:r>
      <w:r>
        <w:rPr/>
        <w:t>esto</w:t>
      </w:r>
      <w:r>
        <w:rPr>
          <w:spacing w:val="-6"/>
        </w:rPr>
        <w:t> </w:t>
      </w:r>
      <w:r>
        <w:rPr/>
        <w:t>se</w:t>
      </w:r>
      <w:r>
        <w:rPr>
          <w:spacing w:val="-5"/>
        </w:rPr>
        <w:t> </w:t>
      </w:r>
      <w:r>
        <w:rPr/>
        <w:t>confirma</w:t>
      </w:r>
      <w:r>
        <w:rPr>
          <w:spacing w:val="-7"/>
        </w:rPr>
        <w:t> </w:t>
      </w:r>
      <w:r>
        <w:rPr/>
        <w:t>al</w:t>
      </w:r>
      <w:r>
        <w:rPr>
          <w:spacing w:val="-3"/>
        </w:rPr>
        <w:t> </w:t>
      </w:r>
      <w:r>
        <w:rPr/>
        <w:t>analizar</w:t>
      </w:r>
      <w:r>
        <w:rPr>
          <w:spacing w:val="-7"/>
        </w:rPr>
        <w:t> </w:t>
      </w:r>
      <w:r>
        <w:rPr/>
        <w:t>el</w:t>
      </w:r>
      <w:r>
        <w:rPr>
          <w:spacing w:val="-3"/>
        </w:rPr>
        <w:t> </w:t>
      </w:r>
      <w:r>
        <w:rPr/>
        <w:t>cuadro</w:t>
      </w:r>
      <w:r>
        <w:rPr>
          <w:spacing w:val="-7"/>
        </w:rPr>
        <w:t> </w:t>
      </w:r>
      <w:r>
        <w:rPr/>
        <w:t>4.26,</w:t>
      </w:r>
      <w:r>
        <w:rPr>
          <w:spacing w:val="-1"/>
        </w:rPr>
        <w:t> </w:t>
      </w:r>
      <w:r>
        <w:rPr>
          <w:spacing w:val="-3"/>
        </w:rPr>
        <w:t>ya</w:t>
      </w:r>
      <w:r>
        <w:rPr>
          <w:spacing w:val="-5"/>
        </w:rPr>
        <w:t> </w:t>
      </w:r>
      <w:r>
        <w:rPr/>
        <w:t>que durante el año de 1980, la rama con mayor participación a nivel nacional dentro del VACB, fue la fabricación de carrocerías y remolques, con una moderada participación del 2.1% en el total nacional. Sin embargo, se observa que al 2008, todas las ramas consideradas en el análisis aumentaron su  participación  en el  total nacional,  específicamente sobresalen   </w:t>
      </w:r>
      <w:r>
        <w:rPr>
          <w:spacing w:val="48"/>
        </w:rPr>
        <w:t> </w:t>
      </w:r>
      <w:r>
        <w:rPr/>
        <w:t>la</w:t>
      </w:r>
    </w:p>
    <w:p>
      <w:pPr>
        <w:spacing w:after="0" w:line="360" w:lineRule="auto"/>
        <w:jc w:val="both"/>
        <w:sectPr>
          <w:pgSz w:w="12240" w:h="15840"/>
          <w:pgMar w:header="0" w:footer="1035" w:top="1360" w:bottom="1220" w:left="1600" w:right="1580"/>
        </w:sectPr>
      </w:pPr>
    </w:p>
    <w:p>
      <w:pPr>
        <w:pStyle w:val="BodyText"/>
        <w:spacing w:line="360" w:lineRule="auto" w:before="50"/>
        <w:ind w:left="122" w:right="97"/>
      </w:pPr>
      <w:r>
        <w:rPr/>
        <w:t>fabricación de sistemas de transmisión y la fabricación de sistemas de frenos, con participaciones del 39.1 y 22% respectivamente.</w:t>
      </w:r>
    </w:p>
    <w:p>
      <w:pPr>
        <w:pStyle w:val="BodyText"/>
        <w:spacing w:before="7"/>
        <w:rPr>
          <w:sz w:val="21"/>
        </w:rPr>
      </w:pPr>
    </w:p>
    <w:p>
      <w:pPr>
        <w:pStyle w:val="Heading1"/>
        <w:spacing w:line="360" w:lineRule="auto" w:after="10"/>
        <w:ind w:left="335" w:right="315" w:hanging="3"/>
      </w:pPr>
      <w:r>
        <w:rPr/>
        <w:t>Cuadro 4.26. Participación porcentual de la región centro-norte en las ramas de la industria automotriz en el total nacional, 1980-2008 (Valor agregado censal bruto)</w:t>
      </w:r>
    </w:p>
    <w:tbl>
      <w:tblPr>
        <w:tblW w:w="0" w:type="auto"/>
        <w:jc w:val="left"/>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058"/>
        <w:gridCol w:w="540"/>
        <w:gridCol w:w="540"/>
        <w:gridCol w:w="541"/>
        <w:gridCol w:w="540"/>
        <w:gridCol w:w="540"/>
        <w:gridCol w:w="540"/>
        <w:gridCol w:w="540"/>
      </w:tblGrid>
      <w:tr>
        <w:trPr>
          <w:trHeight w:val="248" w:hRule="exact"/>
        </w:trPr>
        <w:tc>
          <w:tcPr>
            <w:tcW w:w="5058" w:type="dxa"/>
            <w:tcBorders>
              <w:right w:val="nil"/>
            </w:tcBorders>
            <w:shd w:val="clear" w:color="auto" w:fill="A6A6A6"/>
          </w:tcPr>
          <w:p>
            <w:pPr/>
          </w:p>
        </w:tc>
        <w:tc>
          <w:tcPr>
            <w:tcW w:w="540" w:type="dxa"/>
            <w:tcBorders>
              <w:left w:val="nil"/>
              <w:right w:val="nil"/>
            </w:tcBorders>
            <w:shd w:val="clear" w:color="auto" w:fill="A6A6A6"/>
          </w:tcPr>
          <w:p>
            <w:pPr>
              <w:pStyle w:val="TableParagraph"/>
              <w:spacing w:line="228" w:lineRule="exact"/>
              <w:ind w:left="51" w:right="49"/>
              <w:rPr>
                <w:b/>
                <w:sz w:val="20"/>
              </w:rPr>
            </w:pPr>
            <w:r>
              <w:rPr>
                <w:b/>
                <w:sz w:val="20"/>
              </w:rPr>
              <w:t>1980</w:t>
            </w:r>
          </w:p>
        </w:tc>
        <w:tc>
          <w:tcPr>
            <w:tcW w:w="540" w:type="dxa"/>
            <w:tcBorders>
              <w:left w:val="nil"/>
              <w:right w:val="nil"/>
            </w:tcBorders>
            <w:shd w:val="clear" w:color="auto" w:fill="A6A6A6"/>
          </w:tcPr>
          <w:p>
            <w:pPr>
              <w:pStyle w:val="TableParagraph"/>
              <w:spacing w:line="228" w:lineRule="exact"/>
              <w:ind w:left="51" w:right="49"/>
              <w:rPr>
                <w:b/>
                <w:sz w:val="20"/>
              </w:rPr>
            </w:pPr>
            <w:r>
              <w:rPr>
                <w:b/>
                <w:sz w:val="20"/>
              </w:rPr>
              <w:t>1985</w:t>
            </w:r>
          </w:p>
        </w:tc>
        <w:tc>
          <w:tcPr>
            <w:tcW w:w="541" w:type="dxa"/>
            <w:tcBorders>
              <w:left w:val="nil"/>
              <w:right w:val="nil"/>
            </w:tcBorders>
            <w:shd w:val="clear" w:color="auto" w:fill="A6A6A6"/>
          </w:tcPr>
          <w:p>
            <w:pPr>
              <w:pStyle w:val="TableParagraph"/>
              <w:spacing w:line="228" w:lineRule="exact"/>
              <w:ind w:right="65"/>
              <w:jc w:val="right"/>
              <w:rPr>
                <w:b/>
                <w:sz w:val="20"/>
              </w:rPr>
            </w:pPr>
            <w:r>
              <w:rPr>
                <w:b/>
                <w:sz w:val="20"/>
              </w:rPr>
              <w:t>1988</w:t>
            </w:r>
          </w:p>
        </w:tc>
        <w:tc>
          <w:tcPr>
            <w:tcW w:w="540" w:type="dxa"/>
            <w:tcBorders>
              <w:left w:val="nil"/>
              <w:right w:val="nil"/>
            </w:tcBorders>
            <w:shd w:val="clear" w:color="auto" w:fill="A6A6A6"/>
          </w:tcPr>
          <w:p>
            <w:pPr>
              <w:pStyle w:val="TableParagraph"/>
              <w:spacing w:line="228" w:lineRule="exact"/>
              <w:ind w:left="51" w:right="49"/>
              <w:rPr>
                <w:b/>
                <w:sz w:val="20"/>
              </w:rPr>
            </w:pPr>
            <w:r>
              <w:rPr>
                <w:b/>
                <w:sz w:val="20"/>
              </w:rPr>
              <w:t>1993</w:t>
            </w:r>
          </w:p>
        </w:tc>
        <w:tc>
          <w:tcPr>
            <w:tcW w:w="540" w:type="dxa"/>
            <w:tcBorders>
              <w:left w:val="nil"/>
              <w:right w:val="nil"/>
            </w:tcBorders>
            <w:shd w:val="clear" w:color="auto" w:fill="A6A6A6"/>
          </w:tcPr>
          <w:p>
            <w:pPr>
              <w:pStyle w:val="TableParagraph"/>
              <w:spacing w:line="228" w:lineRule="exact"/>
              <w:ind w:left="51" w:right="49"/>
              <w:rPr>
                <w:b/>
                <w:sz w:val="20"/>
              </w:rPr>
            </w:pPr>
            <w:r>
              <w:rPr>
                <w:b/>
                <w:sz w:val="20"/>
              </w:rPr>
              <w:t>1998</w:t>
            </w:r>
          </w:p>
        </w:tc>
        <w:tc>
          <w:tcPr>
            <w:tcW w:w="540" w:type="dxa"/>
            <w:tcBorders>
              <w:left w:val="nil"/>
              <w:right w:val="nil"/>
            </w:tcBorders>
            <w:shd w:val="clear" w:color="auto" w:fill="A6A6A6"/>
          </w:tcPr>
          <w:p>
            <w:pPr>
              <w:pStyle w:val="TableParagraph"/>
              <w:spacing w:line="228" w:lineRule="exact"/>
              <w:ind w:left="51" w:right="49"/>
              <w:rPr>
                <w:b/>
                <w:sz w:val="20"/>
              </w:rPr>
            </w:pPr>
            <w:r>
              <w:rPr>
                <w:b/>
                <w:sz w:val="20"/>
              </w:rPr>
              <w:t>2003</w:t>
            </w:r>
          </w:p>
        </w:tc>
        <w:tc>
          <w:tcPr>
            <w:tcW w:w="540" w:type="dxa"/>
            <w:tcBorders>
              <w:left w:val="nil"/>
            </w:tcBorders>
            <w:shd w:val="clear" w:color="auto" w:fill="A6A6A6"/>
          </w:tcPr>
          <w:p>
            <w:pPr>
              <w:pStyle w:val="TableParagraph"/>
              <w:spacing w:line="228" w:lineRule="exact"/>
              <w:ind w:left="50" w:right="44"/>
              <w:rPr>
                <w:b/>
                <w:sz w:val="20"/>
              </w:rPr>
            </w:pPr>
            <w:r>
              <w:rPr>
                <w:b/>
                <w:sz w:val="20"/>
              </w:rPr>
              <w:t>2009</w:t>
            </w:r>
          </w:p>
        </w:tc>
      </w:tr>
      <w:tr>
        <w:trPr>
          <w:trHeight w:val="280" w:hRule="exact"/>
        </w:trPr>
        <w:tc>
          <w:tcPr>
            <w:tcW w:w="5058" w:type="dxa"/>
          </w:tcPr>
          <w:p>
            <w:pPr>
              <w:pStyle w:val="TableParagraph"/>
              <w:spacing w:before="13"/>
              <w:ind w:left="64"/>
              <w:jc w:val="left"/>
              <w:rPr>
                <w:b/>
                <w:sz w:val="20"/>
              </w:rPr>
            </w:pPr>
            <w:r>
              <w:rPr>
                <w:b/>
                <w:sz w:val="20"/>
              </w:rPr>
              <w:t>Fabricación de automóviles y camiones</w:t>
            </w:r>
          </w:p>
        </w:tc>
        <w:tc>
          <w:tcPr>
            <w:tcW w:w="540" w:type="dxa"/>
          </w:tcPr>
          <w:p>
            <w:pPr>
              <w:pStyle w:val="TableParagraph"/>
              <w:spacing w:before="9"/>
              <w:ind w:left="69" w:right="70"/>
              <w:rPr>
                <w:sz w:val="20"/>
              </w:rPr>
            </w:pPr>
            <w:r>
              <w:rPr>
                <w:sz w:val="20"/>
              </w:rPr>
              <w:t>0.0</w:t>
            </w:r>
          </w:p>
        </w:tc>
        <w:tc>
          <w:tcPr>
            <w:tcW w:w="540" w:type="dxa"/>
          </w:tcPr>
          <w:p>
            <w:pPr>
              <w:pStyle w:val="TableParagraph"/>
              <w:spacing w:before="9"/>
              <w:ind w:left="69" w:right="70"/>
              <w:rPr>
                <w:sz w:val="20"/>
              </w:rPr>
            </w:pPr>
            <w:r>
              <w:rPr>
                <w:sz w:val="20"/>
              </w:rPr>
              <w:t>0.0</w:t>
            </w:r>
          </w:p>
        </w:tc>
        <w:tc>
          <w:tcPr>
            <w:tcW w:w="541" w:type="dxa"/>
          </w:tcPr>
          <w:p>
            <w:pPr>
              <w:pStyle w:val="TableParagraph"/>
              <w:spacing w:before="9"/>
              <w:ind w:right="139"/>
              <w:jc w:val="right"/>
              <w:rPr>
                <w:sz w:val="20"/>
              </w:rPr>
            </w:pPr>
            <w:r>
              <w:rPr>
                <w:sz w:val="20"/>
              </w:rPr>
              <w:t>0.0</w:t>
            </w:r>
          </w:p>
        </w:tc>
        <w:tc>
          <w:tcPr>
            <w:tcW w:w="540" w:type="dxa"/>
          </w:tcPr>
          <w:p>
            <w:pPr>
              <w:pStyle w:val="TableParagraph"/>
              <w:spacing w:before="9"/>
              <w:ind w:left="69" w:right="70"/>
              <w:rPr>
                <w:sz w:val="20"/>
              </w:rPr>
            </w:pPr>
            <w:r>
              <w:rPr>
                <w:sz w:val="20"/>
              </w:rPr>
              <w:t>0.0</w:t>
            </w:r>
          </w:p>
        </w:tc>
        <w:tc>
          <w:tcPr>
            <w:tcW w:w="540" w:type="dxa"/>
          </w:tcPr>
          <w:p>
            <w:pPr>
              <w:pStyle w:val="TableParagraph"/>
              <w:spacing w:before="9"/>
              <w:ind w:left="69" w:right="70"/>
              <w:rPr>
                <w:sz w:val="20"/>
              </w:rPr>
            </w:pPr>
            <w:r>
              <w:rPr>
                <w:sz w:val="20"/>
              </w:rPr>
              <w:t>35.0</w:t>
            </w:r>
          </w:p>
        </w:tc>
        <w:tc>
          <w:tcPr>
            <w:tcW w:w="540" w:type="dxa"/>
          </w:tcPr>
          <w:p>
            <w:pPr>
              <w:pStyle w:val="TableParagraph"/>
              <w:spacing w:before="9"/>
              <w:ind w:left="69" w:right="70"/>
              <w:rPr>
                <w:sz w:val="20"/>
              </w:rPr>
            </w:pPr>
            <w:r>
              <w:rPr>
                <w:sz w:val="20"/>
              </w:rPr>
              <w:t>27.4</w:t>
            </w:r>
          </w:p>
        </w:tc>
        <w:tc>
          <w:tcPr>
            <w:tcW w:w="540" w:type="dxa"/>
          </w:tcPr>
          <w:p>
            <w:pPr>
              <w:pStyle w:val="TableParagraph"/>
              <w:spacing w:before="9"/>
              <w:ind w:left="70" w:right="70"/>
              <w:rPr>
                <w:sz w:val="20"/>
              </w:rPr>
            </w:pPr>
            <w:r>
              <w:rPr>
                <w:sz w:val="20"/>
              </w:rPr>
              <w:t>11.8</w:t>
            </w:r>
          </w:p>
        </w:tc>
      </w:tr>
      <w:tr>
        <w:trPr>
          <w:trHeight w:val="254" w:hRule="exact"/>
        </w:trPr>
        <w:tc>
          <w:tcPr>
            <w:tcW w:w="5058" w:type="dxa"/>
          </w:tcPr>
          <w:p>
            <w:pPr>
              <w:pStyle w:val="TableParagraph"/>
              <w:ind w:left="64"/>
              <w:jc w:val="left"/>
              <w:rPr>
                <w:b/>
                <w:sz w:val="20"/>
              </w:rPr>
            </w:pPr>
            <w:r>
              <w:rPr>
                <w:b/>
                <w:sz w:val="20"/>
              </w:rPr>
              <w:t>Fabricación de carrocerías y remolques</w:t>
            </w:r>
          </w:p>
        </w:tc>
        <w:tc>
          <w:tcPr>
            <w:tcW w:w="540" w:type="dxa"/>
          </w:tcPr>
          <w:p>
            <w:pPr>
              <w:pStyle w:val="TableParagraph"/>
              <w:spacing w:line="226" w:lineRule="exact"/>
              <w:ind w:left="69" w:right="70"/>
              <w:rPr>
                <w:sz w:val="20"/>
              </w:rPr>
            </w:pPr>
            <w:r>
              <w:rPr>
                <w:sz w:val="20"/>
              </w:rPr>
              <w:t>2.1</w:t>
            </w:r>
          </w:p>
        </w:tc>
        <w:tc>
          <w:tcPr>
            <w:tcW w:w="540" w:type="dxa"/>
          </w:tcPr>
          <w:p>
            <w:pPr>
              <w:pStyle w:val="TableParagraph"/>
              <w:spacing w:line="226" w:lineRule="exact"/>
              <w:ind w:left="69" w:right="70"/>
              <w:rPr>
                <w:sz w:val="20"/>
              </w:rPr>
            </w:pPr>
            <w:r>
              <w:rPr>
                <w:sz w:val="20"/>
              </w:rPr>
              <w:t>12.1</w:t>
            </w:r>
          </w:p>
        </w:tc>
        <w:tc>
          <w:tcPr>
            <w:tcW w:w="541" w:type="dxa"/>
          </w:tcPr>
          <w:p>
            <w:pPr>
              <w:pStyle w:val="TableParagraph"/>
              <w:spacing w:line="226" w:lineRule="exact"/>
              <w:ind w:right="161"/>
              <w:jc w:val="right"/>
              <w:rPr>
                <w:sz w:val="20"/>
              </w:rPr>
            </w:pPr>
            <w:r>
              <w:rPr>
                <w:sz w:val="20"/>
              </w:rPr>
              <w:t>42</w:t>
            </w:r>
          </w:p>
        </w:tc>
        <w:tc>
          <w:tcPr>
            <w:tcW w:w="540" w:type="dxa"/>
          </w:tcPr>
          <w:p>
            <w:pPr>
              <w:pStyle w:val="TableParagraph"/>
              <w:spacing w:line="226" w:lineRule="exact"/>
              <w:ind w:left="69" w:right="70"/>
              <w:rPr>
                <w:sz w:val="20"/>
              </w:rPr>
            </w:pPr>
            <w:r>
              <w:rPr>
                <w:sz w:val="20"/>
              </w:rPr>
              <w:t>12.7</w:t>
            </w:r>
          </w:p>
        </w:tc>
        <w:tc>
          <w:tcPr>
            <w:tcW w:w="540" w:type="dxa"/>
          </w:tcPr>
          <w:p>
            <w:pPr>
              <w:pStyle w:val="TableParagraph"/>
              <w:spacing w:line="226" w:lineRule="exact"/>
              <w:ind w:left="69" w:right="70"/>
              <w:rPr>
                <w:sz w:val="20"/>
              </w:rPr>
            </w:pPr>
            <w:r>
              <w:rPr>
                <w:sz w:val="20"/>
              </w:rPr>
              <w:t>20.7</w:t>
            </w:r>
          </w:p>
        </w:tc>
        <w:tc>
          <w:tcPr>
            <w:tcW w:w="540" w:type="dxa"/>
          </w:tcPr>
          <w:p>
            <w:pPr>
              <w:pStyle w:val="TableParagraph"/>
              <w:spacing w:line="226" w:lineRule="exact"/>
              <w:ind w:left="69" w:right="70"/>
              <w:rPr>
                <w:sz w:val="20"/>
              </w:rPr>
            </w:pPr>
            <w:r>
              <w:rPr>
                <w:sz w:val="20"/>
              </w:rPr>
              <w:t>8.8</w:t>
            </w:r>
          </w:p>
        </w:tc>
        <w:tc>
          <w:tcPr>
            <w:tcW w:w="540" w:type="dxa"/>
          </w:tcPr>
          <w:p>
            <w:pPr>
              <w:pStyle w:val="TableParagraph"/>
              <w:spacing w:line="226" w:lineRule="exact"/>
              <w:ind w:left="70" w:right="70"/>
              <w:rPr>
                <w:sz w:val="20"/>
              </w:rPr>
            </w:pPr>
            <w:r>
              <w:rPr>
                <w:sz w:val="20"/>
              </w:rPr>
              <w:t>10.1</w:t>
            </w:r>
          </w:p>
        </w:tc>
      </w:tr>
      <w:tr>
        <w:trPr>
          <w:trHeight w:val="502" w:hRule="exact"/>
        </w:trPr>
        <w:tc>
          <w:tcPr>
            <w:tcW w:w="5058" w:type="dxa"/>
          </w:tcPr>
          <w:p>
            <w:pPr>
              <w:pStyle w:val="TableParagraph"/>
              <w:spacing w:line="256" w:lineRule="auto"/>
              <w:ind w:left="64"/>
              <w:jc w:val="left"/>
              <w:rPr>
                <w:b/>
                <w:sz w:val="20"/>
              </w:rPr>
            </w:pPr>
            <w:r>
              <w:rPr>
                <w:b/>
                <w:sz w:val="20"/>
              </w:rPr>
              <w:t>Fabricación de motores de gasolina y sus partes para vehículos automotrices</w:t>
            </w:r>
          </w:p>
        </w:tc>
        <w:tc>
          <w:tcPr>
            <w:tcW w:w="540" w:type="dxa"/>
          </w:tcPr>
          <w:p>
            <w:pPr>
              <w:pStyle w:val="TableParagraph"/>
              <w:spacing w:before="118"/>
              <w:ind w:left="69" w:right="70"/>
              <w:rPr>
                <w:sz w:val="20"/>
              </w:rPr>
            </w:pPr>
            <w:r>
              <w:rPr>
                <w:sz w:val="20"/>
              </w:rPr>
              <w:t>0.0</w:t>
            </w:r>
          </w:p>
        </w:tc>
        <w:tc>
          <w:tcPr>
            <w:tcW w:w="540" w:type="dxa"/>
          </w:tcPr>
          <w:p>
            <w:pPr>
              <w:pStyle w:val="TableParagraph"/>
              <w:spacing w:before="118"/>
              <w:ind w:left="69" w:right="70"/>
              <w:rPr>
                <w:sz w:val="20"/>
              </w:rPr>
            </w:pPr>
            <w:r>
              <w:rPr>
                <w:sz w:val="20"/>
              </w:rPr>
              <w:t>10.8</w:t>
            </w:r>
          </w:p>
        </w:tc>
        <w:tc>
          <w:tcPr>
            <w:tcW w:w="541" w:type="dxa"/>
          </w:tcPr>
          <w:p>
            <w:pPr>
              <w:pStyle w:val="TableParagraph"/>
              <w:spacing w:before="118"/>
              <w:ind w:right="139"/>
              <w:jc w:val="right"/>
              <w:rPr>
                <w:sz w:val="20"/>
              </w:rPr>
            </w:pPr>
            <w:r>
              <w:rPr>
                <w:sz w:val="20"/>
              </w:rPr>
              <w:t>2.9</w:t>
            </w:r>
          </w:p>
        </w:tc>
        <w:tc>
          <w:tcPr>
            <w:tcW w:w="540" w:type="dxa"/>
          </w:tcPr>
          <w:p>
            <w:pPr>
              <w:pStyle w:val="TableParagraph"/>
              <w:spacing w:before="118"/>
              <w:ind w:left="69" w:right="70"/>
              <w:rPr>
                <w:sz w:val="20"/>
              </w:rPr>
            </w:pPr>
            <w:r>
              <w:rPr>
                <w:sz w:val="20"/>
              </w:rPr>
              <w:t>5.0</w:t>
            </w:r>
          </w:p>
        </w:tc>
        <w:tc>
          <w:tcPr>
            <w:tcW w:w="540" w:type="dxa"/>
          </w:tcPr>
          <w:p>
            <w:pPr>
              <w:pStyle w:val="TableParagraph"/>
              <w:spacing w:before="118"/>
              <w:ind w:left="69" w:right="70"/>
              <w:rPr>
                <w:sz w:val="20"/>
              </w:rPr>
            </w:pPr>
            <w:r>
              <w:rPr>
                <w:sz w:val="20"/>
              </w:rPr>
              <w:t>2.7</w:t>
            </w:r>
          </w:p>
        </w:tc>
        <w:tc>
          <w:tcPr>
            <w:tcW w:w="540" w:type="dxa"/>
          </w:tcPr>
          <w:p>
            <w:pPr>
              <w:pStyle w:val="TableParagraph"/>
              <w:spacing w:before="118"/>
              <w:ind w:left="69" w:right="70"/>
              <w:rPr>
                <w:sz w:val="20"/>
              </w:rPr>
            </w:pPr>
            <w:r>
              <w:rPr>
                <w:sz w:val="20"/>
              </w:rPr>
              <w:t>1.9</w:t>
            </w:r>
          </w:p>
        </w:tc>
        <w:tc>
          <w:tcPr>
            <w:tcW w:w="540" w:type="dxa"/>
          </w:tcPr>
          <w:p>
            <w:pPr>
              <w:pStyle w:val="TableParagraph"/>
              <w:spacing w:before="118"/>
              <w:ind w:left="70" w:right="70"/>
              <w:rPr>
                <w:sz w:val="20"/>
              </w:rPr>
            </w:pPr>
            <w:r>
              <w:rPr>
                <w:sz w:val="20"/>
              </w:rPr>
              <w:t>3.9</w:t>
            </w:r>
          </w:p>
        </w:tc>
      </w:tr>
      <w:tr>
        <w:trPr>
          <w:trHeight w:val="254" w:hRule="exact"/>
        </w:trPr>
        <w:tc>
          <w:tcPr>
            <w:tcW w:w="5058" w:type="dxa"/>
          </w:tcPr>
          <w:p>
            <w:pPr>
              <w:pStyle w:val="TableParagraph"/>
              <w:ind w:left="64"/>
              <w:jc w:val="left"/>
              <w:rPr>
                <w:b/>
                <w:sz w:val="20"/>
              </w:rPr>
            </w:pPr>
            <w:r>
              <w:rPr>
                <w:b/>
                <w:sz w:val="20"/>
              </w:rPr>
              <w:t>Fabricación de partes de sistemas de transmisión</w:t>
            </w:r>
          </w:p>
        </w:tc>
        <w:tc>
          <w:tcPr>
            <w:tcW w:w="540" w:type="dxa"/>
          </w:tcPr>
          <w:p>
            <w:pPr>
              <w:pStyle w:val="TableParagraph"/>
              <w:spacing w:line="226" w:lineRule="exact"/>
              <w:ind w:left="69" w:right="70"/>
              <w:rPr>
                <w:sz w:val="20"/>
              </w:rPr>
            </w:pPr>
            <w:r>
              <w:rPr>
                <w:sz w:val="20"/>
              </w:rPr>
              <w:t>0.7</w:t>
            </w:r>
          </w:p>
        </w:tc>
        <w:tc>
          <w:tcPr>
            <w:tcW w:w="540" w:type="dxa"/>
          </w:tcPr>
          <w:p>
            <w:pPr>
              <w:pStyle w:val="TableParagraph"/>
              <w:spacing w:line="226" w:lineRule="exact"/>
              <w:ind w:left="69" w:right="70"/>
              <w:rPr>
                <w:sz w:val="20"/>
              </w:rPr>
            </w:pPr>
            <w:r>
              <w:rPr>
                <w:sz w:val="20"/>
              </w:rPr>
              <w:t>68.9</w:t>
            </w:r>
          </w:p>
        </w:tc>
        <w:tc>
          <w:tcPr>
            <w:tcW w:w="541" w:type="dxa"/>
          </w:tcPr>
          <w:p>
            <w:pPr>
              <w:pStyle w:val="TableParagraph"/>
              <w:spacing w:line="226" w:lineRule="exact"/>
              <w:ind w:right="89"/>
              <w:jc w:val="right"/>
              <w:rPr>
                <w:sz w:val="20"/>
              </w:rPr>
            </w:pPr>
            <w:r>
              <w:rPr>
                <w:sz w:val="20"/>
              </w:rPr>
              <w:t>66.3</w:t>
            </w:r>
          </w:p>
        </w:tc>
        <w:tc>
          <w:tcPr>
            <w:tcW w:w="540" w:type="dxa"/>
          </w:tcPr>
          <w:p>
            <w:pPr>
              <w:pStyle w:val="TableParagraph"/>
              <w:spacing w:line="226" w:lineRule="exact"/>
              <w:ind w:left="69" w:right="70"/>
              <w:rPr>
                <w:sz w:val="20"/>
              </w:rPr>
            </w:pPr>
            <w:r>
              <w:rPr>
                <w:sz w:val="20"/>
              </w:rPr>
              <w:t>48.4</w:t>
            </w:r>
          </w:p>
        </w:tc>
        <w:tc>
          <w:tcPr>
            <w:tcW w:w="540" w:type="dxa"/>
          </w:tcPr>
          <w:p>
            <w:pPr>
              <w:pStyle w:val="TableParagraph"/>
              <w:spacing w:line="226" w:lineRule="exact"/>
              <w:ind w:left="69" w:right="70"/>
              <w:rPr>
                <w:sz w:val="20"/>
              </w:rPr>
            </w:pPr>
            <w:r>
              <w:rPr>
                <w:sz w:val="20"/>
              </w:rPr>
              <w:t>84.6</w:t>
            </w:r>
          </w:p>
        </w:tc>
        <w:tc>
          <w:tcPr>
            <w:tcW w:w="540" w:type="dxa"/>
          </w:tcPr>
          <w:p>
            <w:pPr>
              <w:pStyle w:val="TableParagraph"/>
              <w:spacing w:line="226" w:lineRule="exact"/>
              <w:ind w:left="69" w:right="70"/>
              <w:rPr>
                <w:sz w:val="20"/>
              </w:rPr>
            </w:pPr>
            <w:r>
              <w:rPr>
                <w:sz w:val="20"/>
              </w:rPr>
              <w:t>73.8</w:t>
            </w:r>
          </w:p>
        </w:tc>
        <w:tc>
          <w:tcPr>
            <w:tcW w:w="540" w:type="dxa"/>
          </w:tcPr>
          <w:p>
            <w:pPr>
              <w:pStyle w:val="TableParagraph"/>
              <w:spacing w:line="226" w:lineRule="exact"/>
              <w:ind w:left="70" w:right="70"/>
              <w:rPr>
                <w:sz w:val="20"/>
              </w:rPr>
            </w:pPr>
            <w:r>
              <w:rPr>
                <w:sz w:val="20"/>
              </w:rPr>
              <w:t>39.1</w:t>
            </w:r>
          </w:p>
        </w:tc>
      </w:tr>
      <w:tr>
        <w:trPr>
          <w:trHeight w:val="502" w:hRule="exact"/>
        </w:trPr>
        <w:tc>
          <w:tcPr>
            <w:tcW w:w="5058" w:type="dxa"/>
          </w:tcPr>
          <w:p>
            <w:pPr>
              <w:pStyle w:val="TableParagraph"/>
              <w:spacing w:line="254" w:lineRule="auto"/>
              <w:ind w:left="64"/>
              <w:jc w:val="left"/>
              <w:rPr>
                <w:b/>
                <w:sz w:val="20"/>
              </w:rPr>
            </w:pPr>
            <w:r>
              <w:rPr>
                <w:b/>
                <w:sz w:val="20"/>
              </w:rPr>
              <w:t>Fabricación de partes de sistemas de dirección y de suspensión para vehículos automotrices</w:t>
            </w:r>
          </w:p>
        </w:tc>
        <w:tc>
          <w:tcPr>
            <w:tcW w:w="540" w:type="dxa"/>
          </w:tcPr>
          <w:p>
            <w:pPr>
              <w:pStyle w:val="TableParagraph"/>
              <w:spacing w:before="118"/>
              <w:ind w:left="69" w:right="70"/>
              <w:rPr>
                <w:sz w:val="20"/>
              </w:rPr>
            </w:pPr>
            <w:r>
              <w:rPr>
                <w:sz w:val="20"/>
              </w:rPr>
              <w:t>0.0</w:t>
            </w:r>
          </w:p>
        </w:tc>
        <w:tc>
          <w:tcPr>
            <w:tcW w:w="540" w:type="dxa"/>
          </w:tcPr>
          <w:p>
            <w:pPr>
              <w:pStyle w:val="TableParagraph"/>
              <w:spacing w:before="118"/>
              <w:ind w:left="69" w:right="70"/>
              <w:rPr>
                <w:sz w:val="20"/>
              </w:rPr>
            </w:pPr>
            <w:r>
              <w:rPr>
                <w:sz w:val="20"/>
              </w:rPr>
              <w:t>0.3</w:t>
            </w:r>
          </w:p>
        </w:tc>
        <w:tc>
          <w:tcPr>
            <w:tcW w:w="541" w:type="dxa"/>
          </w:tcPr>
          <w:p>
            <w:pPr>
              <w:pStyle w:val="TableParagraph"/>
              <w:spacing w:before="118"/>
              <w:ind w:right="139"/>
              <w:jc w:val="right"/>
              <w:rPr>
                <w:sz w:val="20"/>
              </w:rPr>
            </w:pPr>
            <w:r>
              <w:rPr>
                <w:sz w:val="20"/>
              </w:rPr>
              <w:t>2.6</w:t>
            </w:r>
          </w:p>
        </w:tc>
        <w:tc>
          <w:tcPr>
            <w:tcW w:w="540" w:type="dxa"/>
          </w:tcPr>
          <w:p>
            <w:pPr>
              <w:pStyle w:val="TableParagraph"/>
              <w:spacing w:before="118"/>
              <w:ind w:left="69" w:right="70"/>
              <w:rPr>
                <w:sz w:val="20"/>
              </w:rPr>
            </w:pPr>
            <w:r>
              <w:rPr>
                <w:sz w:val="20"/>
              </w:rPr>
              <w:t>0.6</w:t>
            </w:r>
          </w:p>
        </w:tc>
        <w:tc>
          <w:tcPr>
            <w:tcW w:w="540" w:type="dxa"/>
          </w:tcPr>
          <w:p>
            <w:pPr>
              <w:pStyle w:val="TableParagraph"/>
              <w:spacing w:before="118"/>
              <w:ind w:left="69" w:right="70"/>
              <w:rPr>
                <w:sz w:val="20"/>
              </w:rPr>
            </w:pPr>
            <w:r>
              <w:rPr>
                <w:sz w:val="20"/>
              </w:rPr>
              <w:t>5.9</w:t>
            </w:r>
          </w:p>
        </w:tc>
        <w:tc>
          <w:tcPr>
            <w:tcW w:w="540" w:type="dxa"/>
          </w:tcPr>
          <w:p>
            <w:pPr>
              <w:pStyle w:val="TableParagraph"/>
              <w:spacing w:before="118"/>
              <w:ind w:left="69" w:right="70"/>
              <w:rPr>
                <w:sz w:val="20"/>
              </w:rPr>
            </w:pPr>
            <w:r>
              <w:rPr>
                <w:sz w:val="20"/>
              </w:rPr>
              <w:t>28.7</w:t>
            </w:r>
          </w:p>
        </w:tc>
        <w:tc>
          <w:tcPr>
            <w:tcW w:w="540" w:type="dxa"/>
          </w:tcPr>
          <w:p>
            <w:pPr>
              <w:pStyle w:val="TableParagraph"/>
              <w:spacing w:before="118"/>
              <w:ind w:left="70" w:right="70"/>
              <w:rPr>
                <w:sz w:val="20"/>
              </w:rPr>
            </w:pPr>
            <w:r>
              <w:rPr>
                <w:sz w:val="20"/>
              </w:rPr>
              <w:t>15.9</w:t>
            </w:r>
          </w:p>
        </w:tc>
      </w:tr>
      <w:tr>
        <w:trPr>
          <w:trHeight w:val="499" w:hRule="exact"/>
        </w:trPr>
        <w:tc>
          <w:tcPr>
            <w:tcW w:w="5058" w:type="dxa"/>
          </w:tcPr>
          <w:p>
            <w:pPr>
              <w:pStyle w:val="TableParagraph"/>
              <w:spacing w:line="254" w:lineRule="auto"/>
              <w:ind w:left="64" w:right="814"/>
              <w:jc w:val="left"/>
              <w:rPr>
                <w:b/>
                <w:sz w:val="20"/>
              </w:rPr>
            </w:pPr>
            <w:r>
              <w:rPr>
                <w:b/>
                <w:sz w:val="20"/>
              </w:rPr>
              <w:t>Fabricación de partes de sistemas de frenos para vehículos automotrices</w:t>
            </w:r>
          </w:p>
        </w:tc>
        <w:tc>
          <w:tcPr>
            <w:tcW w:w="540" w:type="dxa"/>
          </w:tcPr>
          <w:p>
            <w:pPr>
              <w:pStyle w:val="TableParagraph"/>
              <w:spacing w:before="118"/>
              <w:ind w:left="69" w:right="70"/>
              <w:rPr>
                <w:sz w:val="20"/>
              </w:rPr>
            </w:pPr>
            <w:r>
              <w:rPr>
                <w:sz w:val="20"/>
              </w:rPr>
              <w:t>0.0</w:t>
            </w:r>
          </w:p>
        </w:tc>
        <w:tc>
          <w:tcPr>
            <w:tcW w:w="540" w:type="dxa"/>
          </w:tcPr>
          <w:p>
            <w:pPr>
              <w:pStyle w:val="TableParagraph"/>
              <w:spacing w:before="118"/>
              <w:ind w:left="69" w:right="70"/>
              <w:rPr>
                <w:sz w:val="20"/>
              </w:rPr>
            </w:pPr>
            <w:r>
              <w:rPr>
                <w:sz w:val="20"/>
              </w:rPr>
              <w:t>19.6</w:t>
            </w:r>
          </w:p>
        </w:tc>
        <w:tc>
          <w:tcPr>
            <w:tcW w:w="541" w:type="dxa"/>
          </w:tcPr>
          <w:p>
            <w:pPr>
              <w:pStyle w:val="TableParagraph"/>
              <w:spacing w:before="118"/>
              <w:ind w:right="89"/>
              <w:jc w:val="right"/>
              <w:rPr>
                <w:sz w:val="20"/>
              </w:rPr>
            </w:pPr>
            <w:r>
              <w:rPr>
                <w:sz w:val="20"/>
              </w:rPr>
              <w:t>12.8</w:t>
            </w:r>
          </w:p>
        </w:tc>
        <w:tc>
          <w:tcPr>
            <w:tcW w:w="540" w:type="dxa"/>
          </w:tcPr>
          <w:p>
            <w:pPr>
              <w:pStyle w:val="TableParagraph"/>
              <w:spacing w:before="118"/>
              <w:ind w:left="69" w:right="70"/>
              <w:rPr>
                <w:sz w:val="20"/>
              </w:rPr>
            </w:pPr>
            <w:r>
              <w:rPr>
                <w:sz w:val="20"/>
              </w:rPr>
              <w:t>6.6</w:t>
            </w:r>
          </w:p>
        </w:tc>
        <w:tc>
          <w:tcPr>
            <w:tcW w:w="540" w:type="dxa"/>
          </w:tcPr>
          <w:p>
            <w:pPr>
              <w:pStyle w:val="TableParagraph"/>
              <w:spacing w:before="118"/>
              <w:ind w:left="69" w:right="70"/>
              <w:rPr>
                <w:sz w:val="20"/>
              </w:rPr>
            </w:pPr>
            <w:r>
              <w:rPr>
                <w:sz w:val="20"/>
              </w:rPr>
              <w:t>14.2</w:t>
            </w:r>
          </w:p>
        </w:tc>
        <w:tc>
          <w:tcPr>
            <w:tcW w:w="540" w:type="dxa"/>
          </w:tcPr>
          <w:p>
            <w:pPr>
              <w:pStyle w:val="TableParagraph"/>
              <w:spacing w:before="118"/>
              <w:ind w:left="69" w:right="70"/>
              <w:rPr>
                <w:sz w:val="20"/>
              </w:rPr>
            </w:pPr>
            <w:r>
              <w:rPr>
                <w:sz w:val="20"/>
              </w:rPr>
              <w:t>26.0</w:t>
            </w:r>
          </w:p>
        </w:tc>
        <w:tc>
          <w:tcPr>
            <w:tcW w:w="540" w:type="dxa"/>
          </w:tcPr>
          <w:p>
            <w:pPr>
              <w:pStyle w:val="TableParagraph"/>
              <w:spacing w:before="118"/>
              <w:ind w:left="70" w:right="70"/>
              <w:rPr>
                <w:sz w:val="20"/>
              </w:rPr>
            </w:pPr>
            <w:r>
              <w:rPr>
                <w:sz w:val="20"/>
              </w:rPr>
              <w:t>22.0</w:t>
            </w:r>
          </w:p>
        </w:tc>
      </w:tr>
      <w:tr>
        <w:trPr>
          <w:trHeight w:val="502" w:hRule="exact"/>
        </w:trPr>
        <w:tc>
          <w:tcPr>
            <w:tcW w:w="5058" w:type="dxa"/>
          </w:tcPr>
          <w:p>
            <w:pPr>
              <w:pStyle w:val="TableParagraph"/>
              <w:spacing w:line="256" w:lineRule="auto"/>
              <w:ind w:left="64"/>
              <w:jc w:val="left"/>
              <w:rPr>
                <w:b/>
                <w:sz w:val="20"/>
              </w:rPr>
            </w:pPr>
            <w:r>
              <w:rPr>
                <w:b/>
                <w:sz w:val="20"/>
              </w:rPr>
              <w:t>Fabricación de equipo eléctrico y electrónico para vehículos automotores</w:t>
            </w:r>
          </w:p>
        </w:tc>
        <w:tc>
          <w:tcPr>
            <w:tcW w:w="540" w:type="dxa"/>
          </w:tcPr>
          <w:p>
            <w:pPr>
              <w:pStyle w:val="TableParagraph"/>
              <w:spacing w:before="120"/>
              <w:ind w:left="69" w:right="70"/>
              <w:rPr>
                <w:sz w:val="20"/>
              </w:rPr>
            </w:pPr>
            <w:r>
              <w:rPr>
                <w:sz w:val="20"/>
              </w:rPr>
              <w:t>1.2</w:t>
            </w:r>
          </w:p>
        </w:tc>
        <w:tc>
          <w:tcPr>
            <w:tcW w:w="540" w:type="dxa"/>
          </w:tcPr>
          <w:p>
            <w:pPr>
              <w:pStyle w:val="TableParagraph"/>
              <w:spacing w:before="120"/>
              <w:ind w:left="69" w:right="70"/>
              <w:rPr>
                <w:sz w:val="20"/>
              </w:rPr>
            </w:pPr>
            <w:r>
              <w:rPr>
                <w:sz w:val="20"/>
              </w:rPr>
              <w:t>5.1</w:t>
            </w:r>
          </w:p>
        </w:tc>
        <w:tc>
          <w:tcPr>
            <w:tcW w:w="541" w:type="dxa"/>
          </w:tcPr>
          <w:p>
            <w:pPr>
              <w:pStyle w:val="TableParagraph"/>
              <w:spacing w:before="120"/>
              <w:ind w:right="139"/>
              <w:jc w:val="right"/>
              <w:rPr>
                <w:sz w:val="20"/>
              </w:rPr>
            </w:pPr>
            <w:r>
              <w:rPr>
                <w:sz w:val="20"/>
              </w:rPr>
              <w:t>2.6</w:t>
            </w:r>
          </w:p>
        </w:tc>
        <w:tc>
          <w:tcPr>
            <w:tcW w:w="540" w:type="dxa"/>
          </w:tcPr>
          <w:p>
            <w:pPr>
              <w:pStyle w:val="TableParagraph"/>
              <w:spacing w:before="120"/>
              <w:ind w:left="69" w:right="70"/>
              <w:rPr>
                <w:sz w:val="20"/>
              </w:rPr>
            </w:pPr>
            <w:r>
              <w:rPr>
                <w:sz w:val="20"/>
              </w:rPr>
              <w:t>5.7</w:t>
            </w:r>
          </w:p>
        </w:tc>
        <w:tc>
          <w:tcPr>
            <w:tcW w:w="540" w:type="dxa"/>
          </w:tcPr>
          <w:p>
            <w:pPr>
              <w:pStyle w:val="TableParagraph"/>
              <w:spacing w:before="120"/>
              <w:ind w:left="69" w:right="70"/>
              <w:rPr>
                <w:sz w:val="20"/>
              </w:rPr>
            </w:pPr>
            <w:r>
              <w:rPr>
                <w:sz w:val="20"/>
              </w:rPr>
              <w:t>2.6</w:t>
            </w:r>
          </w:p>
        </w:tc>
        <w:tc>
          <w:tcPr>
            <w:tcW w:w="540" w:type="dxa"/>
          </w:tcPr>
          <w:p>
            <w:pPr>
              <w:pStyle w:val="TableParagraph"/>
              <w:spacing w:before="120"/>
              <w:ind w:left="69" w:right="70"/>
              <w:rPr>
                <w:sz w:val="20"/>
              </w:rPr>
            </w:pPr>
            <w:r>
              <w:rPr>
                <w:sz w:val="20"/>
              </w:rPr>
              <w:t>5.6</w:t>
            </w:r>
          </w:p>
        </w:tc>
        <w:tc>
          <w:tcPr>
            <w:tcW w:w="540" w:type="dxa"/>
          </w:tcPr>
          <w:p>
            <w:pPr>
              <w:pStyle w:val="TableParagraph"/>
              <w:spacing w:before="120"/>
              <w:ind w:left="70" w:right="70"/>
              <w:rPr>
                <w:sz w:val="20"/>
              </w:rPr>
            </w:pPr>
            <w:r>
              <w:rPr>
                <w:sz w:val="20"/>
              </w:rPr>
              <w:t>11.7</w:t>
            </w:r>
          </w:p>
        </w:tc>
      </w:tr>
      <w:tr>
        <w:trPr>
          <w:trHeight w:val="254" w:hRule="exact"/>
        </w:trPr>
        <w:tc>
          <w:tcPr>
            <w:tcW w:w="5058" w:type="dxa"/>
          </w:tcPr>
          <w:p>
            <w:pPr>
              <w:pStyle w:val="TableParagraph"/>
              <w:ind w:left="64"/>
              <w:jc w:val="left"/>
              <w:rPr>
                <w:b/>
                <w:sz w:val="20"/>
              </w:rPr>
            </w:pPr>
            <w:r>
              <w:rPr>
                <w:b/>
                <w:sz w:val="20"/>
              </w:rPr>
              <w:t>Fabricación de otras partes para vehículos automotrices</w:t>
            </w:r>
          </w:p>
        </w:tc>
        <w:tc>
          <w:tcPr>
            <w:tcW w:w="540" w:type="dxa"/>
          </w:tcPr>
          <w:p>
            <w:pPr>
              <w:pStyle w:val="TableParagraph"/>
              <w:spacing w:line="226" w:lineRule="exact"/>
              <w:ind w:left="69" w:right="70"/>
              <w:rPr>
                <w:sz w:val="20"/>
              </w:rPr>
            </w:pPr>
            <w:r>
              <w:rPr>
                <w:sz w:val="20"/>
              </w:rPr>
              <w:t>1.0</w:t>
            </w:r>
          </w:p>
        </w:tc>
        <w:tc>
          <w:tcPr>
            <w:tcW w:w="540" w:type="dxa"/>
          </w:tcPr>
          <w:p>
            <w:pPr>
              <w:pStyle w:val="TableParagraph"/>
              <w:spacing w:line="226" w:lineRule="exact"/>
              <w:ind w:left="69" w:right="70"/>
              <w:rPr>
                <w:sz w:val="20"/>
              </w:rPr>
            </w:pPr>
            <w:r>
              <w:rPr>
                <w:sz w:val="20"/>
              </w:rPr>
              <w:t>2.7</w:t>
            </w:r>
          </w:p>
        </w:tc>
        <w:tc>
          <w:tcPr>
            <w:tcW w:w="541" w:type="dxa"/>
          </w:tcPr>
          <w:p>
            <w:pPr>
              <w:pStyle w:val="TableParagraph"/>
              <w:spacing w:line="226" w:lineRule="exact"/>
              <w:ind w:right="139"/>
              <w:jc w:val="right"/>
              <w:rPr>
                <w:sz w:val="20"/>
              </w:rPr>
            </w:pPr>
            <w:r>
              <w:rPr>
                <w:sz w:val="20"/>
              </w:rPr>
              <w:t>3.4</w:t>
            </w:r>
          </w:p>
        </w:tc>
        <w:tc>
          <w:tcPr>
            <w:tcW w:w="540" w:type="dxa"/>
          </w:tcPr>
          <w:p>
            <w:pPr>
              <w:pStyle w:val="TableParagraph"/>
              <w:spacing w:line="226" w:lineRule="exact"/>
              <w:ind w:left="69" w:right="70"/>
              <w:rPr>
                <w:sz w:val="20"/>
              </w:rPr>
            </w:pPr>
            <w:r>
              <w:rPr>
                <w:sz w:val="20"/>
              </w:rPr>
              <w:t>9.3</w:t>
            </w:r>
          </w:p>
        </w:tc>
        <w:tc>
          <w:tcPr>
            <w:tcW w:w="540" w:type="dxa"/>
          </w:tcPr>
          <w:p>
            <w:pPr>
              <w:pStyle w:val="TableParagraph"/>
              <w:spacing w:line="226" w:lineRule="exact"/>
              <w:ind w:left="69" w:right="70"/>
              <w:rPr>
                <w:sz w:val="20"/>
              </w:rPr>
            </w:pPr>
            <w:r>
              <w:rPr>
                <w:sz w:val="20"/>
              </w:rPr>
              <w:t>19.3</w:t>
            </w:r>
          </w:p>
        </w:tc>
        <w:tc>
          <w:tcPr>
            <w:tcW w:w="540" w:type="dxa"/>
          </w:tcPr>
          <w:p>
            <w:pPr>
              <w:pStyle w:val="TableParagraph"/>
              <w:spacing w:line="226" w:lineRule="exact"/>
              <w:ind w:left="69" w:right="70"/>
              <w:rPr>
                <w:sz w:val="20"/>
              </w:rPr>
            </w:pPr>
            <w:r>
              <w:rPr>
                <w:sz w:val="20"/>
              </w:rPr>
              <w:t>28.2</w:t>
            </w:r>
          </w:p>
        </w:tc>
        <w:tc>
          <w:tcPr>
            <w:tcW w:w="540" w:type="dxa"/>
          </w:tcPr>
          <w:p>
            <w:pPr>
              <w:pStyle w:val="TableParagraph"/>
              <w:spacing w:line="226" w:lineRule="exact"/>
              <w:ind w:left="70" w:right="70"/>
              <w:rPr>
                <w:sz w:val="20"/>
              </w:rPr>
            </w:pPr>
            <w:r>
              <w:rPr>
                <w:sz w:val="20"/>
              </w:rPr>
              <w:t>18.2</w:t>
            </w:r>
          </w:p>
        </w:tc>
      </w:tr>
    </w:tbl>
    <w:p>
      <w:pPr>
        <w:spacing w:line="202" w:lineRule="exact" w:before="0"/>
        <w:ind w:left="333" w:right="332" w:firstLine="0"/>
        <w:jc w:val="center"/>
        <w:rPr>
          <w:sz w:val="18"/>
        </w:rPr>
      </w:pPr>
      <w:r>
        <w:rPr>
          <w:sz w:val="18"/>
        </w:rPr>
        <w:t>Fuente: Elaboración propia con datos de INEGI (varios años).</w:t>
      </w:r>
    </w:p>
    <w:p>
      <w:pPr>
        <w:pStyle w:val="BodyText"/>
        <w:rPr>
          <w:sz w:val="18"/>
        </w:rPr>
      </w:pPr>
    </w:p>
    <w:p>
      <w:pPr>
        <w:pStyle w:val="BodyText"/>
        <w:spacing w:line="360" w:lineRule="auto" w:before="137"/>
        <w:ind w:left="122" w:right="116"/>
        <w:jc w:val="both"/>
      </w:pPr>
      <w:r>
        <w:rPr/>
        <w:t>Por</w:t>
      </w:r>
      <w:r>
        <w:rPr>
          <w:spacing w:val="-12"/>
        </w:rPr>
        <w:t> </w:t>
      </w:r>
      <w:r>
        <w:rPr/>
        <w:t>su</w:t>
      </w:r>
      <w:r>
        <w:rPr>
          <w:spacing w:val="-11"/>
        </w:rPr>
        <w:t> </w:t>
      </w:r>
      <w:r>
        <w:rPr/>
        <w:t>parte</w:t>
      </w:r>
      <w:r>
        <w:rPr>
          <w:spacing w:val="-12"/>
        </w:rPr>
        <w:t> </w:t>
      </w:r>
      <w:r>
        <w:rPr/>
        <w:t>el</w:t>
      </w:r>
      <w:r>
        <w:rPr>
          <w:spacing w:val="-11"/>
        </w:rPr>
        <w:t> </w:t>
      </w:r>
      <w:r>
        <w:rPr/>
        <w:t>personal</w:t>
      </w:r>
      <w:r>
        <w:rPr>
          <w:spacing w:val="-11"/>
        </w:rPr>
        <w:t> </w:t>
      </w:r>
      <w:r>
        <w:rPr/>
        <w:t>ocupado,</w:t>
      </w:r>
      <w:r>
        <w:rPr>
          <w:spacing w:val="-11"/>
        </w:rPr>
        <w:t> </w:t>
      </w:r>
      <w:r>
        <w:rPr/>
        <w:t>muestra</w:t>
      </w:r>
      <w:r>
        <w:rPr>
          <w:spacing w:val="-12"/>
        </w:rPr>
        <w:t> </w:t>
      </w:r>
      <w:r>
        <w:rPr/>
        <w:t>el</w:t>
      </w:r>
      <w:r>
        <w:rPr>
          <w:spacing w:val="-11"/>
        </w:rPr>
        <w:t> </w:t>
      </w:r>
      <w:r>
        <w:rPr/>
        <w:t>mismo</w:t>
      </w:r>
      <w:r>
        <w:rPr>
          <w:spacing w:val="-10"/>
        </w:rPr>
        <w:t> </w:t>
      </w:r>
      <w:r>
        <w:rPr/>
        <w:t>comportamiento,</w:t>
      </w:r>
      <w:r>
        <w:rPr>
          <w:spacing w:val="-8"/>
        </w:rPr>
        <w:t> </w:t>
      </w:r>
      <w:r>
        <w:rPr>
          <w:spacing w:val="-3"/>
        </w:rPr>
        <w:t>ya</w:t>
      </w:r>
      <w:r>
        <w:rPr>
          <w:spacing w:val="-12"/>
        </w:rPr>
        <w:t> </w:t>
      </w:r>
      <w:r>
        <w:rPr/>
        <w:t>que</w:t>
      </w:r>
      <w:r>
        <w:rPr>
          <w:spacing w:val="-12"/>
        </w:rPr>
        <w:t> </w:t>
      </w:r>
      <w:r>
        <w:rPr/>
        <w:t>en</w:t>
      </w:r>
      <w:r>
        <w:rPr>
          <w:spacing w:val="-11"/>
        </w:rPr>
        <w:t> </w:t>
      </w:r>
      <w:r>
        <w:rPr/>
        <w:t>1980,</w:t>
      </w:r>
      <w:r>
        <w:rPr>
          <w:spacing w:val="-11"/>
        </w:rPr>
        <w:t> </w:t>
      </w:r>
      <w:r>
        <w:rPr/>
        <w:t>la</w:t>
      </w:r>
      <w:r>
        <w:rPr>
          <w:spacing w:val="-12"/>
        </w:rPr>
        <w:t> </w:t>
      </w:r>
      <w:r>
        <w:rPr/>
        <w:t>rama automotriz con mayor participación en el total nacional, fue la fabricación de carrocerías y remolques (3.1%), seguida por la fabricación de sistemas de transmisión y de otras partes para</w:t>
      </w:r>
      <w:r>
        <w:rPr>
          <w:spacing w:val="-10"/>
        </w:rPr>
        <w:t> </w:t>
      </w:r>
      <w:r>
        <w:rPr/>
        <w:t>vehículos</w:t>
      </w:r>
      <w:r>
        <w:rPr>
          <w:spacing w:val="-8"/>
        </w:rPr>
        <w:t> </w:t>
      </w:r>
      <w:r>
        <w:rPr/>
        <w:t>(2.1</w:t>
      </w:r>
      <w:r>
        <w:rPr>
          <w:spacing w:val="-5"/>
        </w:rPr>
        <w:t> </w:t>
      </w:r>
      <w:r>
        <w:rPr/>
        <w:t>y</w:t>
      </w:r>
      <w:r>
        <w:rPr>
          <w:spacing w:val="-16"/>
        </w:rPr>
        <w:t> </w:t>
      </w:r>
      <w:r>
        <w:rPr/>
        <w:t>1.2%</w:t>
      </w:r>
      <w:r>
        <w:rPr>
          <w:spacing w:val="-9"/>
        </w:rPr>
        <w:t> </w:t>
      </w:r>
      <w:r>
        <w:rPr/>
        <w:t>respectivamente).</w:t>
      </w:r>
      <w:r>
        <w:rPr>
          <w:spacing w:val="-9"/>
        </w:rPr>
        <w:t> </w:t>
      </w:r>
      <w:r>
        <w:rPr/>
        <w:t>En</w:t>
      </w:r>
      <w:r>
        <w:rPr>
          <w:spacing w:val="-9"/>
        </w:rPr>
        <w:t> </w:t>
      </w:r>
      <w:r>
        <w:rPr/>
        <w:t>contraste,</w:t>
      </w:r>
      <w:r>
        <w:rPr>
          <w:spacing w:val="-9"/>
        </w:rPr>
        <w:t> </w:t>
      </w:r>
      <w:r>
        <w:rPr/>
        <w:t>en</w:t>
      </w:r>
      <w:r>
        <w:rPr>
          <w:spacing w:val="-9"/>
        </w:rPr>
        <w:t> </w:t>
      </w:r>
      <w:r>
        <w:rPr/>
        <w:t>2008,</w:t>
      </w:r>
      <w:r>
        <w:rPr>
          <w:spacing w:val="-9"/>
        </w:rPr>
        <w:t> </w:t>
      </w:r>
      <w:r>
        <w:rPr/>
        <w:t>el</w:t>
      </w:r>
      <w:r>
        <w:rPr>
          <w:spacing w:val="-8"/>
        </w:rPr>
        <w:t> </w:t>
      </w:r>
      <w:r>
        <w:rPr/>
        <w:t>dato</w:t>
      </w:r>
      <w:r>
        <w:rPr>
          <w:spacing w:val="-11"/>
        </w:rPr>
        <w:t> </w:t>
      </w:r>
      <w:r>
        <w:rPr/>
        <w:t>más</w:t>
      </w:r>
      <w:r>
        <w:rPr>
          <w:spacing w:val="-9"/>
        </w:rPr>
        <w:t> </w:t>
      </w:r>
      <w:r>
        <w:rPr/>
        <w:t>significativo fue el de la rama de fabricación de sistemas de transmisión pues empleó a más de la mitad de los trabajadores de esa rama a nivel nacional (véase cuadro</w:t>
      </w:r>
      <w:r>
        <w:rPr>
          <w:spacing w:val="-10"/>
        </w:rPr>
        <w:t> </w:t>
      </w:r>
      <w:r>
        <w:rPr/>
        <w:t>4.27).</w:t>
      </w:r>
    </w:p>
    <w:p>
      <w:pPr>
        <w:pStyle w:val="BodyText"/>
        <w:spacing w:before="9"/>
        <w:rPr>
          <w:sz w:val="21"/>
        </w:rPr>
      </w:pPr>
    </w:p>
    <w:p>
      <w:pPr>
        <w:pStyle w:val="Heading1"/>
        <w:spacing w:line="360" w:lineRule="auto" w:after="7"/>
        <w:ind w:left="333" w:right="333"/>
        <w:jc w:val="center"/>
      </w:pPr>
      <w:r>
        <w:rPr/>
        <w:t>Cuadro 4.27. Participación porcentual de la región centro-norte en las ramas de la industria automotriz en el total nacional, 1980-2008 (Personal Ocupado)</w:t>
      </w:r>
    </w:p>
    <w:tbl>
      <w:tblPr>
        <w:tblW w:w="0" w:type="auto"/>
        <w:jc w:val="left"/>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18"/>
        <w:gridCol w:w="614"/>
        <w:gridCol w:w="617"/>
        <w:gridCol w:w="617"/>
        <w:gridCol w:w="614"/>
        <w:gridCol w:w="617"/>
        <w:gridCol w:w="617"/>
        <w:gridCol w:w="615"/>
      </w:tblGrid>
      <w:tr>
        <w:trPr>
          <w:trHeight w:val="240" w:hRule="exact"/>
        </w:trPr>
        <w:tc>
          <w:tcPr>
            <w:tcW w:w="4518" w:type="dxa"/>
            <w:tcBorders>
              <w:right w:val="nil"/>
            </w:tcBorders>
            <w:shd w:val="clear" w:color="auto" w:fill="A6A6A6"/>
          </w:tcPr>
          <w:p>
            <w:pPr/>
          </w:p>
        </w:tc>
        <w:tc>
          <w:tcPr>
            <w:tcW w:w="614" w:type="dxa"/>
            <w:tcBorders>
              <w:left w:val="nil"/>
              <w:right w:val="nil"/>
            </w:tcBorders>
            <w:shd w:val="clear" w:color="auto" w:fill="A6A6A6"/>
          </w:tcPr>
          <w:p>
            <w:pPr>
              <w:pStyle w:val="TableParagraph"/>
              <w:spacing w:line="228" w:lineRule="exact"/>
              <w:ind w:left="87" w:right="83"/>
              <w:rPr>
                <w:b/>
                <w:sz w:val="20"/>
              </w:rPr>
            </w:pPr>
            <w:r>
              <w:rPr>
                <w:b/>
                <w:sz w:val="20"/>
              </w:rPr>
              <w:t>1980</w:t>
            </w:r>
          </w:p>
        </w:tc>
        <w:tc>
          <w:tcPr>
            <w:tcW w:w="617" w:type="dxa"/>
            <w:tcBorders>
              <w:left w:val="nil"/>
              <w:right w:val="nil"/>
            </w:tcBorders>
            <w:shd w:val="clear" w:color="auto" w:fill="A6A6A6"/>
          </w:tcPr>
          <w:p>
            <w:pPr>
              <w:pStyle w:val="TableParagraph"/>
              <w:spacing w:line="228" w:lineRule="exact"/>
              <w:ind w:left="107"/>
              <w:jc w:val="left"/>
              <w:rPr>
                <w:b/>
                <w:sz w:val="20"/>
              </w:rPr>
            </w:pPr>
            <w:r>
              <w:rPr>
                <w:b/>
                <w:sz w:val="20"/>
              </w:rPr>
              <w:t>1985</w:t>
            </w:r>
          </w:p>
        </w:tc>
        <w:tc>
          <w:tcPr>
            <w:tcW w:w="617" w:type="dxa"/>
            <w:tcBorders>
              <w:left w:val="nil"/>
              <w:right w:val="nil"/>
            </w:tcBorders>
            <w:shd w:val="clear" w:color="auto" w:fill="A6A6A6"/>
          </w:tcPr>
          <w:p>
            <w:pPr>
              <w:pStyle w:val="TableParagraph"/>
              <w:spacing w:line="228" w:lineRule="exact"/>
              <w:ind w:left="89" w:right="88"/>
              <w:rPr>
                <w:b/>
                <w:sz w:val="20"/>
              </w:rPr>
            </w:pPr>
            <w:r>
              <w:rPr>
                <w:b/>
                <w:sz w:val="20"/>
              </w:rPr>
              <w:t>1988</w:t>
            </w:r>
          </w:p>
        </w:tc>
        <w:tc>
          <w:tcPr>
            <w:tcW w:w="614" w:type="dxa"/>
            <w:tcBorders>
              <w:left w:val="nil"/>
              <w:right w:val="nil"/>
            </w:tcBorders>
            <w:shd w:val="clear" w:color="auto" w:fill="A6A6A6"/>
          </w:tcPr>
          <w:p>
            <w:pPr>
              <w:pStyle w:val="TableParagraph"/>
              <w:spacing w:line="228" w:lineRule="exact"/>
              <w:ind w:left="85" w:right="85"/>
              <w:rPr>
                <w:b/>
                <w:sz w:val="20"/>
              </w:rPr>
            </w:pPr>
            <w:r>
              <w:rPr>
                <w:b/>
                <w:sz w:val="20"/>
              </w:rPr>
              <w:t>1993</w:t>
            </w:r>
          </w:p>
        </w:tc>
        <w:tc>
          <w:tcPr>
            <w:tcW w:w="617" w:type="dxa"/>
            <w:tcBorders>
              <w:left w:val="nil"/>
              <w:right w:val="nil"/>
            </w:tcBorders>
            <w:shd w:val="clear" w:color="auto" w:fill="A6A6A6"/>
          </w:tcPr>
          <w:p>
            <w:pPr>
              <w:pStyle w:val="TableParagraph"/>
              <w:spacing w:line="228" w:lineRule="exact"/>
              <w:ind w:left="108"/>
              <w:jc w:val="left"/>
              <w:rPr>
                <w:b/>
                <w:sz w:val="20"/>
              </w:rPr>
            </w:pPr>
            <w:r>
              <w:rPr>
                <w:b/>
                <w:sz w:val="20"/>
              </w:rPr>
              <w:t>1998</w:t>
            </w:r>
          </w:p>
        </w:tc>
        <w:tc>
          <w:tcPr>
            <w:tcW w:w="617" w:type="dxa"/>
            <w:tcBorders>
              <w:left w:val="nil"/>
              <w:right w:val="nil"/>
            </w:tcBorders>
            <w:shd w:val="clear" w:color="auto" w:fill="A6A6A6"/>
          </w:tcPr>
          <w:p>
            <w:pPr>
              <w:pStyle w:val="TableParagraph"/>
              <w:spacing w:line="228" w:lineRule="exact"/>
              <w:ind w:left="89" w:right="87"/>
              <w:rPr>
                <w:b/>
                <w:sz w:val="20"/>
              </w:rPr>
            </w:pPr>
            <w:r>
              <w:rPr>
                <w:b/>
                <w:sz w:val="20"/>
              </w:rPr>
              <w:t>2003</w:t>
            </w:r>
          </w:p>
        </w:tc>
        <w:tc>
          <w:tcPr>
            <w:tcW w:w="615" w:type="dxa"/>
            <w:tcBorders>
              <w:left w:val="nil"/>
            </w:tcBorders>
            <w:shd w:val="clear" w:color="auto" w:fill="A6A6A6"/>
          </w:tcPr>
          <w:p>
            <w:pPr>
              <w:pStyle w:val="TableParagraph"/>
              <w:spacing w:line="228" w:lineRule="exact"/>
              <w:ind w:right="96"/>
              <w:jc w:val="right"/>
              <w:rPr>
                <w:b/>
                <w:sz w:val="20"/>
              </w:rPr>
            </w:pPr>
            <w:r>
              <w:rPr>
                <w:b/>
                <w:sz w:val="20"/>
              </w:rPr>
              <w:t>2009</w:t>
            </w:r>
          </w:p>
        </w:tc>
      </w:tr>
      <w:tr>
        <w:trPr>
          <w:trHeight w:val="240" w:hRule="exact"/>
        </w:trPr>
        <w:tc>
          <w:tcPr>
            <w:tcW w:w="4518" w:type="dxa"/>
          </w:tcPr>
          <w:p>
            <w:pPr>
              <w:pStyle w:val="TableParagraph"/>
              <w:spacing w:line="228" w:lineRule="exact"/>
              <w:ind w:left="103" w:right="130"/>
              <w:jc w:val="left"/>
              <w:rPr>
                <w:b/>
                <w:sz w:val="20"/>
              </w:rPr>
            </w:pPr>
            <w:r>
              <w:rPr>
                <w:b/>
                <w:sz w:val="20"/>
              </w:rPr>
              <w:t>Fabricación de automóviles y camiones</w:t>
            </w:r>
          </w:p>
        </w:tc>
        <w:tc>
          <w:tcPr>
            <w:tcW w:w="614" w:type="dxa"/>
          </w:tcPr>
          <w:p>
            <w:pPr>
              <w:pStyle w:val="TableParagraph"/>
              <w:spacing w:line="223" w:lineRule="exact"/>
              <w:ind w:left="106" w:right="106"/>
              <w:rPr>
                <w:sz w:val="20"/>
              </w:rPr>
            </w:pPr>
            <w:r>
              <w:rPr>
                <w:sz w:val="20"/>
              </w:rPr>
              <w:t>0.1</w:t>
            </w:r>
          </w:p>
        </w:tc>
        <w:tc>
          <w:tcPr>
            <w:tcW w:w="617" w:type="dxa"/>
          </w:tcPr>
          <w:p>
            <w:pPr>
              <w:pStyle w:val="TableParagraph"/>
              <w:spacing w:line="223" w:lineRule="exact"/>
              <w:ind w:left="177"/>
              <w:jc w:val="left"/>
              <w:rPr>
                <w:sz w:val="20"/>
              </w:rPr>
            </w:pPr>
            <w:r>
              <w:rPr>
                <w:sz w:val="20"/>
              </w:rPr>
              <w:t>0.1</w:t>
            </w:r>
          </w:p>
        </w:tc>
        <w:tc>
          <w:tcPr>
            <w:tcW w:w="617" w:type="dxa"/>
          </w:tcPr>
          <w:p>
            <w:pPr>
              <w:pStyle w:val="TableParagraph"/>
              <w:spacing w:line="223" w:lineRule="exact"/>
              <w:ind w:left="108" w:right="108"/>
              <w:rPr>
                <w:sz w:val="20"/>
              </w:rPr>
            </w:pPr>
            <w:r>
              <w:rPr>
                <w:sz w:val="20"/>
              </w:rPr>
              <w:t>0.0</w:t>
            </w:r>
          </w:p>
        </w:tc>
        <w:tc>
          <w:tcPr>
            <w:tcW w:w="614" w:type="dxa"/>
          </w:tcPr>
          <w:p>
            <w:pPr>
              <w:pStyle w:val="TableParagraph"/>
              <w:spacing w:line="223" w:lineRule="exact"/>
              <w:ind w:left="105" w:right="107"/>
              <w:rPr>
                <w:sz w:val="20"/>
              </w:rPr>
            </w:pPr>
            <w:r>
              <w:rPr>
                <w:sz w:val="20"/>
              </w:rPr>
              <w:t>0.1</w:t>
            </w:r>
          </w:p>
        </w:tc>
        <w:tc>
          <w:tcPr>
            <w:tcW w:w="617" w:type="dxa"/>
          </w:tcPr>
          <w:p>
            <w:pPr>
              <w:pStyle w:val="TableParagraph"/>
              <w:spacing w:line="223" w:lineRule="exact"/>
              <w:ind w:left="177"/>
              <w:jc w:val="left"/>
              <w:rPr>
                <w:sz w:val="20"/>
              </w:rPr>
            </w:pPr>
            <w:r>
              <w:rPr>
                <w:sz w:val="20"/>
              </w:rPr>
              <w:t>6.6</w:t>
            </w:r>
          </w:p>
        </w:tc>
        <w:tc>
          <w:tcPr>
            <w:tcW w:w="617" w:type="dxa"/>
          </w:tcPr>
          <w:p>
            <w:pPr>
              <w:pStyle w:val="TableParagraph"/>
              <w:spacing w:line="223" w:lineRule="exact"/>
              <w:ind w:left="108" w:right="109"/>
              <w:rPr>
                <w:sz w:val="20"/>
              </w:rPr>
            </w:pPr>
            <w:r>
              <w:rPr>
                <w:sz w:val="20"/>
              </w:rPr>
              <w:t>8.1</w:t>
            </w:r>
          </w:p>
        </w:tc>
        <w:tc>
          <w:tcPr>
            <w:tcW w:w="615" w:type="dxa"/>
          </w:tcPr>
          <w:p>
            <w:pPr>
              <w:pStyle w:val="TableParagraph"/>
              <w:spacing w:line="223" w:lineRule="exact"/>
              <w:ind w:left="177"/>
              <w:jc w:val="left"/>
              <w:rPr>
                <w:sz w:val="20"/>
              </w:rPr>
            </w:pPr>
            <w:r>
              <w:rPr>
                <w:sz w:val="20"/>
              </w:rPr>
              <w:t>8.9</w:t>
            </w:r>
          </w:p>
        </w:tc>
      </w:tr>
      <w:tr>
        <w:trPr>
          <w:trHeight w:val="240" w:hRule="exact"/>
        </w:trPr>
        <w:tc>
          <w:tcPr>
            <w:tcW w:w="4518" w:type="dxa"/>
          </w:tcPr>
          <w:p>
            <w:pPr>
              <w:pStyle w:val="TableParagraph"/>
              <w:spacing w:line="228" w:lineRule="exact"/>
              <w:ind w:left="103" w:right="130"/>
              <w:jc w:val="left"/>
              <w:rPr>
                <w:b/>
                <w:sz w:val="20"/>
              </w:rPr>
            </w:pPr>
            <w:r>
              <w:rPr>
                <w:b/>
                <w:sz w:val="20"/>
              </w:rPr>
              <w:t>Fabricación de carrocerías y remolques</w:t>
            </w:r>
          </w:p>
        </w:tc>
        <w:tc>
          <w:tcPr>
            <w:tcW w:w="614" w:type="dxa"/>
          </w:tcPr>
          <w:p>
            <w:pPr>
              <w:pStyle w:val="TableParagraph"/>
              <w:spacing w:line="223" w:lineRule="exact"/>
              <w:ind w:left="106" w:right="106"/>
              <w:rPr>
                <w:sz w:val="20"/>
              </w:rPr>
            </w:pPr>
            <w:r>
              <w:rPr>
                <w:sz w:val="20"/>
              </w:rPr>
              <w:t>3.1</w:t>
            </w:r>
          </w:p>
        </w:tc>
        <w:tc>
          <w:tcPr>
            <w:tcW w:w="617" w:type="dxa"/>
          </w:tcPr>
          <w:p>
            <w:pPr>
              <w:pStyle w:val="TableParagraph"/>
              <w:spacing w:line="223" w:lineRule="exact"/>
              <w:ind w:left="127"/>
              <w:jc w:val="left"/>
              <w:rPr>
                <w:sz w:val="20"/>
              </w:rPr>
            </w:pPr>
            <w:r>
              <w:rPr>
                <w:sz w:val="20"/>
              </w:rPr>
              <w:t>12.7</w:t>
            </w:r>
          </w:p>
        </w:tc>
        <w:tc>
          <w:tcPr>
            <w:tcW w:w="617" w:type="dxa"/>
          </w:tcPr>
          <w:p>
            <w:pPr>
              <w:pStyle w:val="TableParagraph"/>
              <w:spacing w:line="223" w:lineRule="exact"/>
              <w:ind w:left="108" w:right="108"/>
              <w:rPr>
                <w:sz w:val="20"/>
              </w:rPr>
            </w:pPr>
            <w:r>
              <w:rPr>
                <w:sz w:val="20"/>
              </w:rPr>
              <w:t>14.7</w:t>
            </w:r>
          </w:p>
        </w:tc>
        <w:tc>
          <w:tcPr>
            <w:tcW w:w="614" w:type="dxa"/>
          </w:tcPr>
          <w:p>
            <w:pPr>
              <w:pStyle w:val="TableParagraph"/>
              <w:spacing w:line="223" w:lineRule="exact"/>
              <w:ind w:left="105" w:right="107"/>
              <w:rPr>
                <w:sz w:val="20"/>
              </w:rPr>
            </w:pPr>
            <w:r>
              <w:rPr>
                <w:sz w:val="20"/>
              </w:rPr>
              <w:t>10.0</w:t>
            </w:r>
          </w:p>
        </w:tc>
        <w:tc>
          <w:tcPr>
            <w:tcW w:w="617" w:type="dxa"/>
          </w:tcPr>
          <w:p>
            <w:pPr>
              <w:pStyle w:val="TableParagraph"/>
              <w:spacing w:line="223" w:lineRule="exact"/>
              <w:ind w:left="127"/>
              <w:jc w:val="left"/>
              <w:rPr>
                <w:sz w:val="20"/>
              </w:rPr>
            </w:pPr>
            <w:r>
              <w:rPr>
                <w:sz w:val="20"/>
              </w:rPr>
              <w:t>10.5</w:t>
            </w:r>
          </w:p>
        </w:tc>
        <w:tc>
          <w:tcPr>
            <w:tcW w:w="617" w:type="dxa"/>
          </w:tcPr>
          <w:p>
            <w:pPr>
              <w:pStyle w:val="TableParagraph"/>
              <w:spacing w:line="223" w:lineRule="exact"/>
              <w:ind w:left="108" w:right="109"/>
              <w:rPr>
                <w:sz w:val="20"/>
              </w:rPr>
            </w:pPr>
            <w:r>
              <w:rPr>
                <w:sz w:val="20"/>
              </w:rPr>
              <w:t>6.4</w:t>
            </w:r>
          </w:p>
        </w:tc>
        <w:tc>
          <w:tcPr>
            <w:tcW w:w="615" w:type="dxa"/>
          </w:tcPr>
          <w:p>
            <w:pPr>
              <w:pStyle w:val="TableParagraph"/>
              <w:spacing w:line="223" w:lineRule="exact"/>
              <w:ind w:right="125"/>
              <w:jc w:val="right"/>
              <w:rPr>
                <w:sz w:val="20"/>
              </w:rPr>
            </w:pPr>
            <w:r>
              <w:rPr>
                <w:sz w:val="20"/>
              </w:rPr>
              <w:t>12.7</w:t>
            </w:r>
          </w:p>
        </w:tc>
      </w:tr>
      <w:tr>
        <w:trPr>
          <w:trHeight w:val="468" w:hRule="exact"/>
        </w:trPr>
        <w:tc>
          <w:tcPr>
            <w:tcW w:w="4518" w:type="dxa"/>
          </w:tcPr>
          <w:p>
            <w:pPr>
              <w:pStyle w:val="TableParagraph"/>
              <w:ind w:left="103" w:right="130"/>
              <w:jc w:val="left"/>
              <w:rPr>
                <w:b/>
                <w:sz w:val="20"/>
              </w:rPr>
            </w:pPr>
            <w:r>
              <w:rPr>
                <w:b/>
                <w:sz w:val="20"/>
              </w:rPr>
              <w:t>Fabricación de motores de gasolina y sus partes para vehículos automotrices</w:t>
            </w:r>
          </w:p>
        </w:tc>
        <w:tc>
          <w:tcPr>
            <w:tcW w:w="614" w:type="dxa"/>
          </w:tcPr>
          <w:p>
            <w:pPr>
              <w:pStyle w:val="TableParagraph"/>
              <w:spacing w:before="108"/>
              <w:ind w:left="106" w:right="106"/>
              <w:rPr>
                <w:sz w:val="20"/>
              </w:rPr>
            </w:pPr>
            <w:r>
              <w:rPr>
                <w:sz w:val="20"/>
              </w:rPr>
              <w:t>0.1</w:t>
            </w:r>
          </w:p>
        </w:tc>
        <w:tc>
          <w:tcPr>
            <w:tcW w:w="617" w:type="dxa"/>
          </w:tcPr>
          <w:p>
            <w:pPr>
              <w:pStyle w:val="TableParagraph"/>
              <w:spacing w:before="108"/>
              <w:ind w:left="177"/>
              <w:jc w:val="left"/>
              <w:rPr>
                <w:sz w:val="20"/>
              </w:rPr>
            </w:pPr>
            <w:r>
              <w:rPr>
                <w:sz w:val="20"/>
              </w:rPr>
              <w:t>3.5</w:t>
            </w:r>
          </w:p>
        </w:tc>
        <w:tc>
          <w:tcPr>
            <w:tcW w:w="617" w:type="dxa"/>
          </w:tcPr>
          <w:p>
            <w:pPr>
              <w:pStyle w:val="TableParagraph"/>
              <w:spacing w:before="108"/>
              <w:ind w:left="108" w:right="108"/>
              <w:rPr>
                <w:sz w:val="20"/>
              </w:rPr>
            </w:pPr>
            <w:r>
              <w:rPr>
                <w:sz w:val="20"/>
              </w:rPr>
              <w:t>5.1</w:t>
            </w:r>
          </w:p>
        </w:tc>
        <w:tc>
          <w:tcPr>
            <w:tcW w:w="614" w:type="dxa"/>
          </w:tcPr>
          <w:p>
            <w:pPr>
              <w:pStyle w:val="TableParagraph"/>
              <w:spacing w:before="108"/>
              <w:ind w:left="105" w:right="107"/>
              <w:rPr>
                <w:sz w:val="20"/>
              </w:rPr>
            </w:pPr>
            <w:r>
              <w:rPr>
                <w:sz w:val="20"/>
              </w:rPr>
              <w:t>5.4</w:t>
            </w:r>
          </w:p>
        </w:tc>
        <w:tc>
          <w:tcPr>
            <w:tcW w:w="617" w:type="dxa"/>
          </w:tcPr>
          <w:p>
            <w:pPr>
              <w:pStyle w:val="TableParagraph"/>
              <w:spacing w:before="108"/>
              <w:ind w:left="177"/>
              <w:jc w:val="left"/>
              <w:rPr>
                <w:sz w:val="20"/>
              </w:rPr>
            </w:pPr>
            <w:r>
              <w:rPr>
                <w:sz w:val="20"/>
              </w:rPr>
              <w:t>6.0</w:t>
            </w:r>
          </w:p>
        </w:tc>
        <w:tc>
          <w:tcPr>
            <w:tcW w:w="617" w:type="dxa"/>
          </w:tcPr>
          <w:p>
            <w:pPr>
              <w:pStyle w:val="TableParagraph"/>
              <w:spacing w:before="108"/>
              <w:ind w:left="108" w:right="109"/>
              <w:rPr>
                <w:sz w:val="20"/>
              </w:rPr>
            </w:pPr>
            <w:r>
              <w:rPr>
                <w:sz w:val="20"/>
              </w:rPr>
              <w:t>3.6</w:t>
            </w:r>
          </w:p>
        </w:tc>
        <w:tc>
          <w:tcPr>
            <w:tcW w:w="615" w:type="dxa"/>
          </w:tcPr>
          <w:p>
            <w:pPr>
              <w:pStyle w:val="TableParagraph"/>
              <w:spacing w:before="108"/>
              <w:ind w:left="177"/>
              <w:jc w:val="left"/>
              <w:rPr>
                <w:sz w:val="20"/>
              </w:rPr>
            </w:pPr>
            <w:r>
              <w:rPr>
                <w:sz w:val="20"/>
              </w:rPr>
              <w:t>5.9</w:t>
            </w:r>
          </w:p>
        </w:tc>
      </w:tr>
      <w:tr>
        <w:trPr>
          <w:trHeight w:val="240" w:hRule="exact"/>
        </w:trPr>
        <w:tc>
          <w:tcPr>
            <w:tcW w:w="4518" w:type="dxa"/>
          </w:tcPr>
          <w:p>
            <w:pPr>
              <w:pStyle w:val="TableParagraph"/>
              <w:ind w:left="103" w:right="130"/>
              <w:jc w:val="left"/>
              <w:rPr>
                <w:b/>
                <w:sz w:val="20"/>
              </w:rPr>
            </w:pPr>
            <w:r>
              <w:rPr>
                <w:b/>
                <w:sz w:val="20"/>
              </w:rPr>
              <w:t>Fabricación de partes de sistemas de transmisión</w:t>
            </w:r>
          </w:p>
        </w:tc>
        <w:tc>
          <w:tcPr>
            <w:tcW w:w="614" w:type="dxa"/>
          </w:tcPr>
          <w:p>
            <w:pPr>
              <w:pStyle w:val="TableParagraph"/>
              <w:spacing w:line="226" w:lineRule="exact"/>
              <w:ind w:left="106" w:right="106"/>
              <w:rPr>
                <w:sz w:val="20"/>
              </w:rPr>
            </w:pPr>
            <w:r>
              <w:rPr>
                <w:sz w:val="20"/>
              </w:rPr>
              <w:t>2.1</w:t>
            </w:r>
          </w:p>
        </w:tc>
        <w:tc>
          <w:tcPr>
            <w:tcW w:w="617" w:type="dxa"/>
          </w:tcPr>
          <w:p>
            <w:pPr>
              <w:pStyle w:val="TableParagraph"/>
              <w:spacing w:line="226" w:lineRule="exact"/>
              <w:ind w:left="127"/>
              <w:jc w:val="left"/>
              <w:rPr>
                <w:sz w:val="20"/>
              </w:rPr>
            </w:pPr>
            <w:r>
              <w:rPr>
                <w:sz w:val="20"/>
              </w:rPr>
              <w:t>70.5</w:t>
            </w:r>
          </w:p>
        </w:tc>
        <w:tc>
          <w:tcPr>
            <w:tcW w:w="617" w:type="dxa"/>
          </w:tcPr>
          <w:p>
            <w:pPr>
              <w:pStyle w:val="TableParagraph"/>
              <w:spacing w:line="226" w:lineRule="exact"/>
              <w:ind w:left="108" w:right="108"/>
              <w:rPr>
                <w:sz w:val="20"/>
              </w:rPr>
            </w:pPr>
            <w:r>
              <w:rPr>
                <w:sz w:val="20"/>
              </w:rPr>
              <w:t>60.9</w:t>
            </w:r>
          </w:p>
        </w:tc>
        <w:tc>
          <w:tcPr>
            <w:tcW w:w="614" w:type="dxa"/>
          </w:tcPr>
          <w:p>
            <w:pPr>
              <w:pStyle w:val="TableParagraph"/>
              <w:spacing w:line="226" w:lineRule="exact"/>
              <w:ind w:left="105" w:right="107"/>
              <w:rPr>
                <w:sz w:val="20"/>
              </w:rPr>
            </w:pPr>
            <w:r>
              <w:rPr>
                <w:sz w:val="20"/>
              </w:rPr>
              <w:t>47.2</w:t>
            </w:r>
          </w:p>
        </w:tc>
        <w:tc>
          <w:tcPr>
            <w:tcW w:w="617" w:type="dxa"/>
          </w:tcPr>
          <w:p>
            <w:pPr>
              <w:pStyle w:val="TableParagraph"/>
              <w:spacing w:line="226" w:lineRule="exact"/>
              <w:ind w:left="127"/>
              <w:jc w:val="left"/>
              <w:rPr>
                <w:sz w:val="20"/>
              </w:rPr>
            </w:pPr>
            <w:r>
              <w:rPr>
                <w:sz w:val="20"/>
              </w:rPr>
              <w:t>65.5</w:t>
            </w:r>
          </w:p>
        </w:tc>
        <w:tc>
          <w:tcPr>
            <w:tcW w:w="617" w:type="dxa"/>
          </w:tcPr>
          <w:p>
            <w:pPr>
              <w:pStyle w:val="TableParagraph"/>
              <w:spacing w:line="226" w:lineRule="exact"/>
              <w:ind w:left="108" w:right="109"/>
              <w:rPr>
                <w:sz w:val="20"/>
              </w:rPr>
            </w:pPr>
            <w:r>
              <w:rPr>
                <w:sz w:val="20"/>
              </w:rPr>
              <w:t>63.5</w:t>
            </w:r>
          </w:p>
        </w:tc>
        <w:tc>
          <w:tcPr>
            <w:tcW w:w="615" w:type="dxa"/>
          </w:tcPr>
          <w:p>
            <w:pPr>
              <w:pStyle w:val="TableParagraph"/>
              <w:spacing w:line="226" w:lineRule="exact"/>
              <w:ind w:right="125"/>
              <w:jc w:val="right"/>
              <w:rPr>
                <w:sz w:val="20"/>
              </w:rPr>
            </w:pPr>
            <w:r>
              <w:rPr>
                <w:sz w:val="20"/>
              </w:rPr>
              <w:t>51.5</w:t>
            </w:r>
          </w:p>
        </w:tc>
      </w:tr>
      <w:tr>
        <w:trPr>
          <w:trHeight w:val="470" w:hRule="exact"/>
        </w:trPr>
        <w:tc>
          <w:tcPr>
            <w:tcW w:w="4518" w:type="dxa"/>
          </w:tcPr>
          <w:p>
            <w:pPr>
              <w:pStyle w:val="TableParagraph"/>
              <w:ind w:left="103" w:right="130"/>
              <w:jc w:val="left"/>
              <w:rPr>
                <w:b/>
                <w:sz w:val="20"/>
              </w:rPr>
            </w:pPr>
            <w:r>
              <w:rPr>
                <w:b/>
                <w:sz w:val="20"/>
              </w:rPr>
              <w:t>Fabricación de partes de sistemas de dirección y de suspensión para vehículos automotrices</w:t>
            </w:r>
          </w:p>
        </w:tc>
        <w:tc>
          <w:tcPr>
            <w:tcW w:w="614" w:type="dxa"/>
          </w:tcPr>
          <w:p>
            <w:pPr>
              <w:pStyle w:val="TableParagraph"/>
              <w:spacing w:before="111"/>
              <w:ind w:left="106" w:right="106"/>
              <w:rPr>
                <w:sz w:val="20"/>
              </w:rPr>
            </w:pPr>
            <w:r>
              <w:rPr>
                <w:sz w:val="20"/>
              </w:rPr>
              <w:t>0.0</w:t>
            </w:r>
          </w:p>
        </w:tc>
        <w:tc>
          <w:tcPr>
            <w:tcW w:w="617" w:type="dxa"/>
          </w:tcPr>
          <w:p>
            <w:pPr>
              <w:pStyle w:val="TableParagraph"/>
              <w:spacing w:before="111"/>
              <w:ind w:left="177"/>
              <w:jc w:val="left"/>
              <w:rPr>
                <w:sz w:val="20"/>
              </w:rPr>
            </w:pPr>
            <w:r>
              <w:rPr>
                <w:sz w:val="20"/>
              </w:rPr>
              <w:t>0.9</w:t>
            </w:r>
          </w:p>
        </w:tc>
        <w:tc>
          <w:tcPr>
            <w:tcW w:w="617" w:type="dxa"/>
          </w:tcPr>
          <w:p>
            <w:pPr>
              <w:pStyle w:val="TableParagraph"/>
              <w:spacing w:before="111"/>
              <w:ind w:left="108" w:right="108"/>
              <w:rPr>
                <w:sz w:val="20"/>
              </w:rPr>
            </w:pPr>
            <w:r>
              <w:rPr>
                <w:sz w:val="20"/>
              </w:rPr>
              <w:t>5.3</w:t>
            </w:r>
          </w:p>
        </w:tc>
        <w:tc>
          <w:tcPr>
            <w:tcW w:w="614" w:type="dxa"/>
          </w:tcPr>
          <w:p>
            <w:pPr>
              <w:pStyle w:val="TableParagraph"/>
              <w:spacing w:before="111"/>
              <w:ind w:left="105" w:right="107"/>
              <w:rPr>
                <w:sz w:val="20"/>
              </w:rPr>
            </w:pPr>
            <w:r>
              <w:rPr>
                <w:sz w:val="20"/>
              </w:rPr>
              <w:t>2.5</w:t>
            </w:r>
          </w:p>
        </w:tc>
        <w:tc>
          <w:tcPr>
            <w:tcW w:w="617" w:type="dxa"/>
          </w:tcPr>
          <w:p>
            <w:pPr>
              <w:pStyle w:val="TableParagraph"/>
              <w:spacing w:before="111"/>
              <w:ind w:left="177"/>
              <w:jc w:val="left"/>
              <w:rPr>
                <w:sz w:val="20"/>
              </w:rPr>
            </w:pPr>
            <w:r>
              <w:rPr>
                <w:sz w:val="20"/>
              </w:rPr>
              <w:t>5.0</w:t>
            </w:r>
          </w:p>
        </w:tc>
        <w:tc>
          <w:tcPr>
            <w:tcW w:w="617" w:type="dxa"/>
          </w:tcPr>
          <w:p>
            <w:pPr>
              <w:pStyle w:val="TableParagraph"/>
              <w:spacing w:before="111"/>
              <w:ind w:left="108" w:right="109"/>
              <w:rPr>
                <w:sz w:val="20"/>
              </w:rPr>
            </w:pPr>
            <w:r>
              <w:rPr>
                <w:sz w:val="20"/>
              </w:rPr>
              <w:t>27.5</w:t>
            </w:r>
          </w:p>
        </w:tc>
        <w:tc>
          <w:tcPr>
            <w:tcW w:w="615" w:type="dxa"/>
          </w:tcPr>
          <w:p>
            <w:pPr>
              <w:pStyle w:val="TableParagraph"/>
              <w:spacing w:before="111"/>
              <w:ind w:right="125"/>
              <w:jc w:val="right"/>
              <w:rPr>
                <w:sz w:val="20"/>
              </w:rPr>
            </w:pPr>
            <w:r>
              <w:rPr>
                <w:sz w:val="20"/>
              </w:rPr>
              <w:t>23.7</w:t>
            </w:r>
          </w:p>
        </w:tc>
      </w:tr>
      <w:tr>
        <w:trPr>
          <w:trHeight w:val="470" w:hRule="exact"/>
        </w:trPr>
        <w:tc>
          <w:tcPr>
            <w:tcW w:w="4518" w:type="dxa"/>
          </w:tcPr>
          <w:p>
            <w:pPr>
              <w:pStyle w:val="TableParagraph"/>
              <w:ind w:left="103" w:right="235"/>
              <w:jc w:val="left"/>
              <w:rPr>
                <w:b/>
                <w:sz w:val="20"/>
              </w:rPr>
            </w:pPr>
            <w:r>
              <w:rPr>
                <w:b/>
                <w:sz w:val="20"/>
              </w:rPr>
              <w:t>Fabricación de partes de sistemas de frenos para vehículos automotrices</w:t>
            </w:r>
          </w:p>
        </w:tc>
        <w:tc>
          <w:tcPr>
            <w:tcW w:w="614" w:type="dxa"/>
          </w:tcPr>
          <w:p>
            <w:pPr>
              <w:pStyle w:val="TableParagraph"/>
              <w:spacing w:before="108"/>
              <w:ind w:left="106" w:right="106"/>
              <w:rPr>
                <w:sz w:val="20"/>
              </w:rPr>
            </w:pPr>
            <w:r>
              <w:rPr>
                <w:sz w:val="20"/>
              </w:rPr>
              <w:t>0.0</w:t>
            </w:r>
          </w:p>
        </w:tc>
        <w:tc>
          <w:tcPr>
            <w:tcW w:w="617" w:type="dxa"/>
          </w:tcPr>
          <w:p>
            <w:pPr>
              <w:pStyle w:val="TableParagraph"/>
              <w:spacing w:before="108"/>
              <w:ind w:left="127"/>
              <w:jc w:val="left"/>
              <w:rPr>
                <w:sz w:val="20"/>
              </w:rPr>
            </w:pPr>
            <w:r>
              <w:rPr>
                <w:sz w:val="20"/>
              </w:rPr>
              <w:t>25.7</w:t>
            </w:r>
          </w:p>
        </w:tc>
        <w:tc>
          <w:tcPr>
            <w:tcW w:w="617" w:type="dxa"/>
          </w:tcPr>
          <w:p>
            <w:pPr>
              <w:pStyle w:val="TableParagraph"/>
              <w:spacing w:before="108"/>
              <w:ind w:left="108" w:right="108"/>
              <w:rPr>
                <w:sz w:val="20"/>
              </w:rPr>
            </w:pPr>
            <w:r>
              <w:rPr>
                <w:sz w:val="20"/>
              </w:rPr>
              <w:t>20.2</w:t>
            </w:r>
          </w:p>
        </w:tc>
        <w:tc>
          <w:tcPr>
            <w:tcW w:w="614" w:type="dxa"/>
          </w:tcPr>
          <w:p>
            <w:pPr>
              <w:pStyle w:val="TableParagraph"/>
              <w:spacing w:before="108"/>
              <w:ind w:left="105" w:right="107"/>
              <w:rPr>
                <w:sz w:val="20"/>
              </w:rPr>
            </w:pPr>
            <w:r>
              <w:rPr>
                <w:sz w:val="20"/>
              </w:rPr>
              <w:t>10.9</w:t>
            </w:r>
          </w:p>
        </w:tc>
        <w:tc>
          <w:tcPr>
            <w:tcW w:w="617" w:type="dxa"/>
          </w:tcPr>
          <w:p>
            <w:pPr>
              <w:pStyle w:val="TableParagraph"/>
              <w:spacing w:before="108"/>
              <w:ind w:left="127"/>
              <w:jc w:val="left"/>
              <w:rPr>
                <w:sz w:val="20"/>
              </w:rPr>
            </w:pPr>
            <w:r>
              <w:rPr>
                <w:sz w:val="20"/>
              </w:rPr>
              <w:t>10.6</w:t>
            </w:r>
          </w:p>
        </w:tc>
        <w:tc>
          <w:tcPr>
            <w:tcW w:w="617" w:type="dxa"/>
          </w:tcPr>
          <w:p>
            <w:pPr>
              <w:pStyle w:val="TableParagraph"/>
              <w:spacing w:before="108"/>
              <w:ind w:left="108" w:right="109"/>
              <w:rPr>
                <w:sz w:val="20"/>
              </w:rPr>
            </w:pPr>
            <w:r>
              <w:rPr>
                <w:sz w:val="20"/>
              </w:rPr>
              <w:t>15.2</w:t>
            </w:r>
          </w:p>
        </w:tc>
        <w:tc>
          <w:tcPr>
            <w:tcW w:w="615" w:type="dxa"/>
          </w:tcPr>
          <w:p>
            <w:pPr>
              <w:pStyle w:val="TableParagraph"/>
              <w:spacing w:before="108"/>
              <w:ind w:right="125"/>
              <w:jc w:val="right"/>
              <w:rPr>
                <w:sz w:val="20"/>
              </w:rPr>
            </w:pPr>
            <w:r>
              <w:rPr>
                <w:sz w:val="20"/>
              </w:rPr>
              <w:t>21.6</w:t>
            </w:r>
          </w:p>
        </w:tc>
      </w:tr>
      <w:tr>
        <w:trPr>
          <w:trHeight w:val="471" w:hRule="exact"/>
        </w:trPr>
        <w:tc>
          <w:tcPr>
            <w:tcW w:w="4518" w:type="dxa"/>
          </w:tcPr>
          <w:p>
            <w:pPr>
              <w:pStyle w:val="TableParagraph"/>
              <w:ind w:left="103"/>
              <w:jc w:val="left"/>
              <w:rPr>
                <w:b/>
                <w:sz w:val="20"/>
              </w:rPr>
            </w:pPr>
            <w:r>
              <w:rPr>
                <w:b/>
                <w:sz w:val="20"/>
              </w:rPr>
              <w:t>Fabricación de equipo eléctrico y electrónico para vehículos automotores</w:t>
            </w:r>
          </w:p>
        </w:tc>
        <w:tc>
          <w:tcPr>
            <w:tcW w:w="614" w:type="dxa"/>
          </w:tcPr>
          <w:p>
            <w:pPr>
              <w:pStyle w:val="TableParagraph"/>
              <w:spacing w:before="109"/>
              <w:ind w:left="106" w:right="106"/>
              <w:rPr>
                <w:sz w:val="20"/>
              </w:rPr>
            </w:pPr>
            <w:r>
              <w:rPr>
                <w:sz w:val="20"/>
              </w:rPr>
              <w:t>0.9</w:t>
            </w:r>
          </w:p>
        </w:tc>
        <w:tc>
          <w:tcPr>
            <w:tcW w:w="617" w:type="dxa"/>
          </w:tcPr>
          <w:p>
            <w:pPr>
              <w:pStyle w:val="TableParagraph"/>
              <w:spacing w:before="109"/>
              <w:ind w:left="177"/>
              <w:jc w:val="left"/>
              <w:rPr>
                <w:sz w:val="20"/>
              </w:rPr>
            </w:pPr>
            <w:r>
              <w:rPr>
                <w:sz w:val="20"/>
              </w:rPr>
              <w:t>3.2</w:t>
            </w:r>
          </w:p>
        </w:tc>
        <w:tc>
          <w:tcPr>
            <w:tcW w:w="617" w:type="dxa"/>
          </w:tcPr>
          <w:p>
            <w:pPr>
              <w:pStyle w:val="TableParagraph"/>
              <w:spacing w:before="109"/>
              <w:ind w:left="108" w:right="108"/>
              <w:rPr>
                <w:sz w:val="20"/>
              </w:rPr>
            </w:pPr>
            <w:r>
              <w:rPr>
                <w:sz w:val="20"/>
              </w:rPr>
              <w:t>1.8</w:t>
            </w:r>
          </w:p>
        </w:tc>
        <w:tc>
          <w:tcPr>
            <w:tcW w:w="614" w:type="dxa"/>
          </w:tcPr>
          <w:p>
            <w:pPr>
              <w:pStyle w:val="TableParagraph"/>
              <w:spacing w:before="109"/>
              <w:ind w:left="105" w:right="107"/>
              <w:rPr>
                <w:sz w:val="20"/>
              </w:rPr>
            </w:pPr>
            <w:r>
              <w:rPr>
                <w:sz w:val="20"/>
              </w:rPr>
              <w:t>2.7</w:t>
            </w:r>
          </w:p>
        </w:tc>
        <w:tc>
          <w:tcPr>
            <w:tcW w:w="617" w:type="dxa"/>
          </w:tcPr>
          <w:p>
            <w:pPr>
              <w:pStyle w:val="TableParagraph"/>
              <w:spacing w:before="109"/>
              <w:ind w:left="177"/>
              <w:jc w:val="left"/>
              <w:rPr>
                <w:sz w:val="20"/>
              </w:rPr>
            </w:pPr>
            <w:r>
              <w:rPr>
                <w:sz w:val="20"/>
              </w:rPr>
              <w:t>1.8</w:t>
            </w:r>
          </w:p>
        </w:tc>
        <w:tc>
          <w:tcPr>
            <w:tcW w:w="617" w:type="dxa"/>
          </w:tcPr>
          <w:p>
            <w:pPr>
              <w:pStyle w:val="TableParagraph"/>
              <w:spacing w:before="109"/>
              <w:ind w:left="108" w:right="109"/>
              <w:rPr>
                <w:sz w:val="20"/>
              </w:rPr>
            </w:pPr>
            <w:r>
              <w:rPr>
                <w:sz w:val="20"/>
              </w:rPr>
              <w:t>5.0</w:t>
            </w:r>
          </w:p>
        </w:tc>
        <w:tc>
          <w:tcPr>
            <w:tcW w:w="615" w:type="dxa"/>
          </w:tcPr>
          <w:p>
            <w:pPr>
              <w:pStyle w:val="TableParagraph"/>
              <w:spacing w:before="109"/>
              <w:ind w:right="125"/>
              <w:jc w:val="right"/>
              <w:rPr>
                <w:sz w:val="20"/>
              </w:rPr>
            </w:pPr>
            <w:r>
              <w:rPr>
                <w:sz w:val="20"/>
              </w:rPr>
              <w:t>11.1</w:t>
            </w:r>
          </w:p>
        </w:tc>
      </w:tr>
      <w:tr>
        <w:trPr>
          <w:trHeight w:val="470" w:hRule="exact"/>
        </w:trPr>
        <w:tc>
          <w:tcPr>
            <w:tcW w:w="4518" w:type="dxa"/>
          </w:tcPr>
          <w:p>
            <w:pPr>
              <w:pStyle w:val="TableParagraph"/>
              <w:ind w:left="103" w:right="130"/>
              <w:jc w:val="left"/>
              <w:rPr>
                <w:b/>
                <w:sz w:val="20"/>
              </w:rPr>
            </w:pPr>
            <w:r>
              <w:rPr>
                <w:b/>
                <w:sz w:val="20"/>
              </w:rPr>
              <w:t>Fabricación de otras partes para vehículos automotrices</w:t>
            </w:r>
          </w:p>
        </w:tc>
        <w:tc>
          <w:tcPr>
            <w:tcW w:w="614" w:type="dxa"/>
          </w:tcPr>
          <w:p>
            <w:pPr>
              <w:pStyle w:val="TableParagraph"/>
              <w:spacing w:before="108"/>
              <w:ind w:left="106" w:right="106"/>
              <w:rPr>
                <w:sz w:val="20"/>
              </w:rPr>
            </w:pPr>
            <w:r>
              <w:rPr>
                <w:sz w:val="20"/>
              </w:rPr>
              <w:t>1.2</w:t>
            </w:r>
          </w:p>
        </w:tc>
        <w:tc>
          <w:tcPr>
            <w:tcW w:w="617" w:type="dxa"/>
          </w:tcPr>
          <w:p>
            <w:pPr>
              <w:pStyle w:val="TableParagraph"/>
              <w:spacing w:before="108"/>
              <w:ind w:left="177"/>
              <w:jc w:val="left"/>
              <w:rPr>
                <w:sz w:val="20"/>
              </w:rPr>
            </w:pPr>
            <w:r>
              <w:rPr>
                <w:sz w:val="20"/>
              </w:rPr>
              <w:t>3.4</w:t>
            </w:r>
          </w:p>
        </w:tc>
        <w:tc>
          <w:tcPr>
            <w:tcW w:w="617" w:type="dxa"/>
          </w:tcPr>
          <w:p>
            <w:pPr>
              <w:pStyle w:val="TableParagraph"/>
              <w:spacing w:before="108"/>
              <w:ind w:left="108" w:right="108"/>
              <w:rPr>
                <w:sz w:val="20"/>
              </w:rPr>
            </w:pPr>
            <w:r>
              <w:rPr>
                <w:sz w:val="20"/>
              </w:rPr>
              <w:t>4.7</w:t>
            </w:r>
          </w:p>
        </w:tc>
        <w:tc>
          <w:tcPr>
            <w:tcW w:w="614" w:type="dxa"/>
          </w:tcPr>
          <w:p>
            <w:pPr>
              <w:pStyle w:val="TableParagraph"/>
              <w:spacing w:before="108"/>
              <w:ind w:left="105" w:right="107"/>
              <w:rPr>
                <w:sz w:val="20"/>
              </w:rPr>
            </w:pPr>
            <w:r>
              <w:rPr>
                <w:sz w:val="20"/>
              </w:rPr>
              <w:t>6.4</w:t>
            </w:r>
          </w:p>
        </w:tc>
        <w:tc>
          <w:tcPr>
            <w:tcW w:w="617" w:type="dxa"/>
          </w:tcPr>
          <w:p>
            <w:pPr>
              <w:pStyle w:val="TableParagraph"/>
              <w:spacing w:before="108"/>
              <w:ind w:left="177"/>
              <w:jc w:val="left"/>
              <w:rPr>
                <w:sz w:val="20"/>
              </w:rPr>
            </w:pPr>
            <w:r>
              <w:rPr>
                <w:sz w:val="20"/>
              </w:rPr>
              <w:t>9.6</w:t>
            </w:r>
          </w:p>
        </w:tc>
        <w:tc>
          <w:tcPr>
            <w:tcW w:w="617" w:type="dxa"/>
          </w:tcPr>
          <w:p>
            <w:pPr>
              <w:pStyle w:val="TableParagraph"/>
              <w:spacing w:before="108"/>
              <w:ind w:left="108" w:right="109"/>
              <w:rPr>
                <w:sz w:val="20"/>
              </w:rPr>
            </w:pPr>
            <w:r>
              <w:rPr>
                <w:sz w:val="20"/>
              </w:rPr>
              <w:t>16.1</w:t>
            </w:r>
          </w:p>
        </w:tc>
        <w:tc>
          <w:tcPr>
            <w:tcW w:w="615" w:type="dxa"/>
          </w:tcPr>
          <w:p>
            <w:pPr>
              <w:pStyle w:val="TableParagraph"/>
              <w:spacing w:before="108"/>
              <w:ind w:right="125"/>
              <w:jc w:val="right"/>
              <w:rPr>
                <w:sz w:val="20"/>
              </w:rPr>
            </w:pPr>
            <w:r>
              <w:rPr>
                <w:sz w:val="20"/>
              </w:rPr>
              <w:t>14.5</w:t>
            </w:r>
          </w:p>
        </w:tc>
      </w:tr>
    </w:tbl>
    <w:p>
      <w:pPr>
        <w:spacing w:line="202" w:lineRule="exact" w:before="0"/>
        <w:ind w:left="2308" w:right="97" w:firstLine="0"/>
        <w:jc w:val="left"/>
        <w:rPr>
          <w:sz w:val="18"/>
        </w:rPr>
      </w:pPr>
      <w:r>
        <w:rPr>
          <w:sz w:val="18"/>
        </w:rPr>
        <w:t>Fuente: Elaboración propia con datos de INEGI (varios años).</w:t>
      </w:r>
    </w:p>
    <w:p>
      <w:pPr>
        <w:spacing w:after="0" w:line="202" w:lineRule="exact"/>
        <w:jc w:val="left"/>
        <w:rPr>
          <w:sz w:val="18"/>
        </w:rPr>
        <w:sectPr>
          <w:pgSz w:w="12240" w:h="15840"/>
          <w:pgMar w:header="0" w:footer="1035" w:top="1360" w:bottom="1220" w:left="1580" w:right="1580"/>
        </w:sectPr>
      </w:pPr>
    </w:p>
    <w:p>
      <w:pPr>
        <w:pStyle w:val="BodyText"/>
        <w:spacing w:line="360" w:lineRule="auto" w:before="50"/>
        <w:ind w:left="102" w:right="116"/>
        <w:jc w:val="both"/>
      </w:pPr>
      <w:r>
        <w:rPr/>
        <w:t>Lo</w:t>
      </w:r>
      <w:r>
        <w:rPr>
          <w:spacing w:val="-14"/>
        </w:rPr>
        <w:t> </w:t>
      </w:r>
      <w:r>
        <w:rPr/>
        <w:t>antes</w:t>
      </w:r>
      <w:r>
        <w:rPr>
          <w:spacing w:val="-15"/>
        </w:rPr>
        <w:t> </w:t>
      </w:r>
      <w:r>
        <w:rPr/>
        <w:t>mencionado</w:t>
      </w:r>
      <w:r>
        <w:rPr>
          <w:spacing w:val="-14"/>
        </w:rPr>
        <w:t> </w:t>
      </w:r>
      <w:r>
        <w:rPr/>
        <w:t>es</w:t>
      </w:r>
      <w:r>
        <w:rPr>
          <w:spacing w:val="-14"/>
        </w:rPr>
        <w:t> </w:t>
      </w:r>
      <w:r>
        <w:rPr/>
        <w:t>posible</w:t>
      </w:r>
      <w:r>
        <w:rPr>
          <w:spacing w:val="-15"/>
        </w:rPr>
        <w:t> </w:t>
      </w:r>
      <w:r>
        <w:rPr/>
        <w:t>confirmarlo</w:t>
      </w:r>
      <w:r>
        <w:rPr>
          <w:spacing w:val="-14"/>
        </w:rPr>
        <w:t> </w:t>
      </w:r>
      <w:r>
        <w:rPr/>
        <w:t>a</w:t>
      </w:r>
      <w:r>
        <w:rPr>
          <w:spacing w:val="-15"/>
        </w:rPr>
        <w:t> </w:t>
      </w:r>
      <w:r>
        <w:rPr/>
        <w:t>través</w:t>
      </w:r>
      <w:r>
        <w:rPr>
          <w:spacing w:val="-14"/>
        </w:rPr>
        <w:t> </w:t>
      </w:r>
      <w:r>
        <w:rPr/>
        <w:t>del</w:t>
      </w:r>
      <w:r>
        <w:rPr>
          <w:spacing w:val="-14"/>
        </w:rPr>
        <w:t> </w:t>
      </w:r>
      <w:r>
        <w:rPr/>
        <w:t>análisis</w:t>
      </w:r>
      <w:r>
        <w:rPr>
          <w:spacing w:val="-14"/>
        </w:rPr>
        <w:t> </w:t>
      </w:r>
      <w:r>
        <w:rPr/>
        <w:t>de</w:t>
      </w:r>
      <w:r>
        <w:rPr>
          <w:spacing w:val="-15"/>
        </w:rPr>
        <w:t> </w:t>
      </w:r>
      <w:r>
        <w:rPr/>
        <w:t>la</w:t>
      </w:r>
      <w:r>
        <w:rPr>
          <w:spacing w:val="-15"/>
        </w:rPr>
        <w:t> </w:t>
      </w:r>
      <w:r>
        <w:rPr/>
        <w:t>evolución</w:t>
      </w:r>
      <w:r>
        <w:rPr>
          <w:spacing w:val="-14"/>
        </w:rPr>
        <w:t> </w:t>
      </w:r>
      <w:r>
        <w:rPr/>
        <w:t>que</w:t>
      </w:r>
      <w:r>
        <w:rPr>
          <w:spacing w:val="-15"/>
        </w:rPr>
        <w:t> </w:t>
      </w:r>
      <w:r>
        <w:rPr/>
        <w:t>la</w:t>
      </w:r>
      <w:r>
        <w:rPr>
          <w:spacing w:val="-15"/>
        </w:rPr>
        <w:t> </w:t>
      </w:r>
      <w:r>
        <w:rPr/>
        <w:t>región centro-norte ha tenido en términos de su especialización en las actividades de la industria automotriz a nivel nacional, si se observa el cuadro 4.28, para 1980 la región solo se especializaba en la fabricación de carrocerías y remolques, en equipo eléctrico y electrónico y en otras partes para vehículos</w:t>
      </w:r>
      <w:r>
        <w:rPr>
          <w:spacing w:val="-10"/>
        </w:rPr>
        <w:t> </w:t>
      </w:r>
      <w:r>
        <w:rPr/>
        <w:t>automotores.</w:t>
      </w:r>
    </w:p>
    <w:p>
      <w:pPr>
        <w:pStyle w:val="BodyText"/>
        <w:spacing w:before="4"/>
        <w:rPr>
          <w:sz w:val="21"/>
        </w:rPr>
      </w:pPr>
    </w:p>
    <w:p>
      <w:pPr>
        <w:pStyle w:val="BodyText"/>
        <w:spacing w:line="360" w:lineRule="auto" w:before="1"/>
        <w:ind w:left="102" w:right="118"/>
        <w:jc w:val="both"/>
      </w:pPr>
      <w:r>
        <w:rPr/>
        <w:t>Mientras tanto para el año 2008, la especialización de la región aumentó, abarcando actividades como la fabricación de motores de gasolina y sus partes para vehículos automotrices,</w:t>
      </w:r>
      <w:r>
        <w:rPr>
          <w:spacing w:val="-14"/>
        </w:rPr>
        <w:t> </w:t>
      </w:r>
      <w:r>
        <w:rPr/>
        <w:t>la</w:t>
      </w:r>
      <w:r>
        <w:rPr>
          <w:spacing w:val="-15"/>
        </w:rPr>
        <w:t> </w:t>
      </w:r>
      <w:r>
        <w:rPr/>
        <w:t>fabricación</w:t>
      </w:r>
      <w:r>
        <w:rPr>
          <w:spacing w:val="-14"/>
        </w:rPr>
        <w:t> </w:t>
      </w:r>
      <w:r>
        <w:rPr/>
        <w:t>de</w:t>
      </w:r>
      <w:r>
        <w:rPr>
          <w:spacing w:val="-15"/>
        </w:rPr>
        <w:t> </w:t>
      </w:r>
      <w:r>
        <w:rPr/>
        <w:t>partes</w:t>
      </w:r>
      <w:r>
        <w:rPr>
          <w:spacing w:val="-14"/>
        </w:rPr>
        <w:t> </w:t>
      </w:r>
      <w:r>
        <w:rPr/>
        <w:t>de</w:t>
      </w:r>
      <w:r>
        <w:rPr>
          <w:spacing w:val="-15"/>
        </w:rPr>
        <w:t> </w:t>
      </w:r>
      <w:r>
        <w:rPr/>
        <w:t>sistemas</w:t>
      </w:r>
      <w:r>
        <w:rPr>
          <w:spacing w:val="-14"/>
        </w:rPr>
        <w:t> </w:t>
      </w:r>
      <w:r>
        <w:rPr/>
        <w:t>de</w:t>
      </w:r>
      <w:r>
        <w:rPr>
          <w:spacing w:val="-15"/>
        </w:rPr>
        <w:t> </w:t>
      </w:r>
      <w:r>
        <w:rPr/>
        <w:t>dirección</w:t>
      </w:r>
      <w:r>
        <w:rPr>
          <w:spacing w:val="-9"/>
        </w:rPr>
        <w:t> </w:t>
      </w:r>
      <w:r>
        <w:rPr/>
        <w:t>y</w:t>
      </w:r>
      <w:r>
        <w:rPr>
          <w:spacing w:val="-18"/>
        </w:rPr>
        <w:t> </w:t>
      </w:r>
      <w:r>
        <w:rPr/>
        <w:t>de</w:t>
      </w:r>
      <w:r>
        <w:rPr>
          <w:spacing w:val="-15"/>
        </w:rPr>
        <w:t> </w:t>
      </w:r>
      <w:r>
        <w:rPr/>
        <w:t>suspensión,</w:t>
      </w:r>
      <w:r>
        <w:rPr>
          <w:spacing w:val="-14"/>
        </w:rPr>
        <w:t> </w:t>
      </w:r>
      <w:r>
        <w:rPr/>
        <w:t>la</w:t>
      </w:r>
      <w:r>
        <w:rPr>
          <w:spacing w:val="-15"/>
        </w:rPr>
        <w:t> </w:t>
      </w:r>
      <w:r>
        <w:rPr/>
        <w:t>fabricación de partes de sistemas de</w:t>
      </w:r>
      <w:r>
        <w:rPr>
          <w:spacing w:val="-6"/>
        </w:rPr>
        <w:t> </w:t>
      </w:r>
      <w:r>
        <w:rPr/>
        <w:t>frenos.</w:t>
      </w:r>
    </w:p>
    <w:p>
      <w:pPr>
        <w:pStyle w:val="BodyText"/>
        <w:spacing w:before="9"/>
        <w:rPr>
          <w:sz w:val="21"/>
        </w:rPr>
      </w:pPr>
    </w:p>
    <w:p>
      <w:pPr>
        <w:pStyle w:val="Heading1"/>
        <w:spacing w:line="360" w:lineRule="auto" w:after="7"/>
        <w:ind w:left="790" w:right="119" w:hanging="617"/>
      </w:pPr>
      <w:r>
        <w:rPr/>
        <w:t>Cuadro 4.28. Cocientes de localización de las actividades de la industria automotriz a nivel nacional de la Región Centro-Norte, 1980-2008 (Personal Ocupado)</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18"/>
        <w:gridCol w:w="614"/>
        <w:gridCol w:w="617"/>
        <w:gridCol w:w="617"/>
        <w:gridCol w:w="614"/>
        <w:gridCol w:w="617"/>
        <w:gridCol w:w="617"/>
        <w:gridCol w:w="615"/>
      </w:tblGrid>
      <w:tr>
        <w:trPr>
          <w:trHeight w:val="240" w:hRule="exact"/>
        </w:trPr>
        <w:tc>
          <w:tcPr>
            <w:tcW w:w="4518" w:type="dxa"/>
            <w:tcBorders>
              <w:right w:val="nil"/>
            </w:tcBorders>
            <w:shd w:val="clear" w:color="auto" w:fill="A6A6A6"/>
          </w:tcPr>
          <w:p>
            <w:pPr/>
          </w:p>
        </w:tc>
        <w:tc>
          <w:tcPr>
            <w:tcW w:w="614" w:type="dxa"/>
            <w:tcBorders>
              <w:left w:val="nil"/>
              <w:right w:val="nil"/>
            </w:tcBorders>
            <w:shd w:val="clear" w:color="auto" w:fill="A6A6A6"/>
          </w:tcPr>
          <w:p>
            <w:pPr>
              <w:pStyle w:val="TableParagraph"/>
              <w:spacing w:line="228" w:lineRule="exact"/>
              <w:ind w:left="87" w:right="83"/>
              <w:rPr>
                <w:b/>
                <w:sz w:val="20"/>
              </w:rPr>
            </w:pPr>
            <w:r>
              <w:rPr>
                <w:b/>
                <w:sz w:val="20"/>
              </w:rPr>
              <w:t>1980</w:t>
            </w:r>
          </w:p>
        </w:tc>
        <w:tc>
          <w:tcPr>
            <w:tcW w:w="617" w:type="dxa"/>
            <w:tcBorders>
              <w:left w:val="nil"/>
              <w:right w:val="nil"/>
            </w:tcBorders>
            <w:shd w:val="clear" w:color="auto" w:fill="A6A6A6"/>
          </w:tcPr>
          <w:p>
            <w:pPr>
              <w:pStyle w:val="TableParagraph"/>
              <w:spacing w:line="228" w:lineRule="exact"/>
              <w:ind w:left="89" w:right="87"/>
              <w:rPr>
                <w:b/>
                <w:sz w:val="20"/>
              </w:rPr>
            </w:pPr>
            <w:r>
              <w:rPr>
                <w:b/>
                <w:sz w:val="20"/>
              </w:rPr>
              <w:t>1985</w:t>
            </w:r>
          </w:p>
        </w:tc>
        <w:tc>
          <w:tcPr>
            <w:tcW w:w="617" w:type="dxa"/>
            <w:tcBorders>
              <w:left w:val="nil"/>
              <w:right w:val="nil"/>
            </w:tcBorders>
            <w:shd w:val="clear" w:color="auto" w:fill="A6A6A6"/>
          </w:tcPr>
          <w:p>
            <w:pPr>
              <w:pStyle w:val="TableParagraph"/>
              <w:spacing w:line="228" w:lineRule="exact"/>
              <w:ind w:left="107"/>
              <w:jc w:val="left"/>
              <w:rPr>
                <w:b/>
                <w:sz w:val="20"/>
              </w:rPr>
            </w:pPr>
            <w:r>
              <w:rPr>
                <w:b/>
                <w:sz w:val="20"/>
              </w:rPr>
              <w:t>1988</w:t>
            </w:r>
          </w:p>
        </w:tc>
        <w:tc>
          <w:tcPr>
            <w:tcW w:w="614" w:type="dxa"/>
            <w:tcBorders>
              <w:left w:val="nil"/>
              <w:right w:val="nil"/>
            </w:tcBorders>
            <w:shd w:val="clear" w:color="auto" w:fill="A6A6A6"/>
          </w:tcPr>
          <w:p>
            <w:pPr>
              <w:pStyle w:val="TableParagraph"/>
              <w:spacing w:line="228" w:lineRule="exact"/>
              <w:ind w:left="85" w:right="85"/>
              <w:rPr>
                <w:b/>
                <w:sz w:val="20"/>
              </w:rPr>
            </w:pPr>
            <w:r>
              <w:rPr>
                <w:b/>
                <w:sz w:val="20"/>
              </w:rPr>
              <w:t>1993</w:t>
            </w:r>
          </w:p>
        </w:tc>
        <w:tc>
          <w:tcPr>
            <w:tcW w:w="617" w:type="dxa"/>
            <w:tcBorders>
              <w:left w:val="nil"/>
              <w:right w:val="nil"/>
            </w:tcBorders>
            <w:shd w:val="clear" w:color="auto" w:fill="A6A6A6"/>
          </w:tcPr>
          <w:p>
            <w:pPr>
              <w:pStyle w:val="TableParagraph"/>
              <w:spacing w:line="228" w:lineRule="exact"/>
              <w:ind w:right="103"/>
              <w:jc w:val="right"/>
              <w:rPr>
                <w:b/>
                <w:sz w:val="20"/>
              </w:rPr>
            </w:pPr>
            <w:r>
              <w:rPr>
                <w:b/>
                <w:sz w:val="20"/>
              </w:rPr>
              <w:t>1998</w:t>
            </w:r>
          </w:p>
        </w:tc>
        <w:tc>
          <w:tcPr>
            <w:tcW w:w="617" w:type="dxa"/>
            <w:tcBorders>
              <w:left w:val="nil"/>
              <w:right w:val="nil"/>
            </w:tcBorders>
            <w:shd w:val="clear" w:color="auto" w:fill="A6A6A6"/>
          </w:tcPr>
          <w:p>
            <w:pPr>
              <w:pStyle w:val="TableParagraph"/>
              <w:spacing w:line="228" w:lineRule="exact"/>
              <w:ind w:left="89" w:right="87"/>
              <w:rPr>
                <w:b/>
                <w:sz w:val="20"/>
              </w:rPr>
            </w:pPr>
            <w:r>
              <w:rPr>
                <w:b/>
                <w:sz w:val="20"/>
              </w:rPr>
              <w:t>2003</w:t>
            </w:r>
          </w:p>
        </w:tc>
        <w:tc>
          <w:tcPr>
            <w:tcW w:w="615" w:type="dxa"/>
            <w:tcBorders>
              <w:left w:val="nil"/>
            </w:tcBorders>
            <w:shd w:val="clear" w:color="auto" w:fill="A6A6A6"/>
          </w:tcPr>
          <w:p>
            <w:pPr>
              <w:pStyle w:val="TableParagraph"/>
              <w:spacing w:line="228" w:lineRule="exact"/>
              <w:ind w:left="89" w:right="80"/>
              <w:rPr>
                <w:b/>
                <w:sz w:val="20"/>
              </w:rPr>
            </w:pPr>
            <w:r>
              <w:rPr>
                <w:b/>
                <w:sz w:val="20"/>
              </w:rPr>
              <w:t>2008</w:t>
            </w:r>
          </w:p>
        </w:tc>
      </w:tr>
      <w:tr>
        <w:trPr>
          <w:trHeight w:val="240" w:hRule="exact"/>
        </w:trPr>
        <w:tc>
          <w:tcPr>
            <w:tcW w:w="4518" w:type="dxa"/>
          </w:tcPr>
          <w:p>
            <w:pPr>
              <w:pStyle w:val="TableParagraph"/>
              <w:spacing w:line="228" w:lineRule="exact"/>
              <w:ind w:left="103" w:right="130"/>
              <w:jc w:val="left"/>
              <w:rPr>
                <w:b/>
                <w:sz w:val="20"/>
              </w:rPr>
            </w:pPr>
            <w:r>
              <w:rPr>
                <w:b/>
                <w:sz w:val="20"/>
              </w:rPr>
              <w:t>Fabricación de automóviles y camiones</w:t>
            </w:r>
          </w:p>
        </w:tc>
        <w:tc>
          <w:tcPr>
            <w:tcW w:w="614" w:type="dxa"/>
          </w:tcPr>
          <w:p>
            <w:pPr>
              <w:pStyle w:val="TableParagraph"/>
              <w:spacing w:line="223" w:lineRule="exact"/>
              <w:ind w:left="106" w:right="106"/>
              <w:rPr>
                <w:sz w:val="20"/>
              </w:rPr>
            </w:pPr>
            <w:r>
              <w:rPr>
                <w:sz w:val="20"/>
              </w:rPr>
              <w:t>0.4</w:t>
            </w:r>
          </w:p>
        </w:tc>
        <w:tc>
          <w:tcPr>
            <w:tcW w:w="617" w:type="dxa"/>
          </w:tcPr>
          <w:p>
            <w:pPr>
              <w:pStyle w:val="TableParagraph"/>
              <w:spacing w:line="223" w:lineRule="exact"/>
              <w:ind w:left="108" w:right="109"/>
              <w:rPr>
                <w:sz w:val="20"/>
              </w:rPr>
            </w:pPr>
            <w:r>
              <w:rPr>
                <w:sz w:val="20"/>
              </w:rPr>
              <w:t>0.2</w:t>
            </w:r>
          </w:p>
        </w:tc>
        <w:tc>
          <w:tcPr>
            <w:tcW w:w="617" w:type="dxa"/>
          </w:tcPr>
          <w:p>
            <w:pPr>
              <w:pStyle w:val="TableParagraph"/>
              <w:spacing w:line="223" w:lineRule="exact"/>
              <w:ind w:left="177"/>
              <w:jc w:val="left"/>
              <w:rPr>
                <w:sz w:val="20"/>
              </w:rPr>
            </w:pPr>
            <w:r>
              <w:rPr>
                <w:sz w:val="20"/>
              </w:rPr>
              <w:t>0.2</w:t>
            </w:r>
          </w:p>
        </w:tc>
        <w:tc>
          <w:tcPr>
            <w:tcW w:w="614" w:type="dxa"/>
          </w:tcPr>
          <w:p>
            <w:pPr>
              <w:pStyle w:val="TableParagraph"/>
              <w:spacing w:line="223" w:lineRule="exact"/>
              <w:ind w:left="105" w:right="107"/>
              <w:rPr>
                <w:sz w:val="20"/>
              </w:rPr>
            </w:pPr>
            <w:r>
              <w:rPr>
                <w:sz w:val="20"/>
              </w:rPr>
              <w:t>0.3</w:t>
            </w:r>
          </w:p>
        </w:tc>
        <w:tc>
          <w:tcPr>
            <w:tcW w:w="617" w:type="dxa"/>
          </w:tcPr>
          <w:p>
            <w:pPr>
              <w:pStyle w:val="TableParagraph"/>
              <w:spacing w:line="223" w:lineRule="exact"/>
              <w:ind w:right="177"/>
              <w:jc w:val="right"/>
              <w:rPr>
                <w:sz w:val="20"/>
              </w:rPr>
            </w:pPr>
            <w:r>
              <w:rPr>
                <w:sz w:val="20"/>
              </w:rPr>
              <w:t>0.3</w:t>
            </w:r>
          </w:p>
        </w:tc>
        <w:tc>
          <w:tcPr>
            <w:tcW w:w="617" w:type="dxa"/>
          </w:tcPr>
          <w:p>
            <w:pPr>
              <w:pStyle w:val="TableParagraph"/>
              <w:spacing w:line="223" w:lineRule="exact"/>
              <w:ind w:left="108" w:right="109"/>
              <w:rPr>
                <w:sz w:val="20"/>
              </w:rPr>
            </w:pPr>
            <w:r>
              <w:rPr>
                <w:sz w:val="20"/>
              </w:rPr>
              <w:t>0.4</w:t>
            </w:r>
          </w:p>
        </w:tc>
        <w:tc>
          <w:tcPr>
            <w:tcW w:w="615" w:type="dxa"/>
          </w:tcPr>
          <w:p>
            <w:pPr>
              <w:pStyle w:val="TableParagraph"/>
              <w:spacing w:line="223" w:lineRule="exact"/>
              <w:ind w:left="157" w:right="157"/>
              <w:rPr>
                <w:sz w:val="20"/>
              </w:rPr>
            </w:pPr>
            <w:r>
              <w:rPr>
                <w:sz w:val="20"/>
              </w:rPr>
              <w:t>0.7</w:t>
            </w:r>
          </w:p>
        </w:tc>
      </w:tr>
      <w:tr>
        <w:trPr>
          <w:trHeight w:val="240" w:hRule="exact"/>
        </w:trPr>
        <w:tc>
          <w:tcPr>
            <w:tcW w:w="4518" w:type="dxa"/>
          </w:tcPr>
          <w:p>
            <w:pPr>
              <w:pStyle w:val="TableParagraph"/>
              <w:spacing w:line="228" w:lineRule="exact"/>
              <w:ind w:left="103" w:right="130"/>
              <w:jc w:val="left"/>
              <w:rPr>
                <w:b/>
                <w:sz w:val="20"/>
              </w:rPr>
            </w:pPr>
            <w:r>
              <w:rPr>
                <w:b/>
                <w:sz w:val="20"/>
              </w:rPr>
              <w:t>Fabricación de carrocerías y remolques</w:t>
            </w:r>
          </w:p>
        </w:tc>
        <w:tc>
          <w:tcPr>
            <w:tcW w:w="614" w:type="dxa"/>
          </w:tcPr>
          <w:p>
            <w:pPr>
              <w:pStyle w:val="TableParagraph"/>
              <w:spacing w:line="223" w:lineRule="exact"/>
              <w:ind w:left="106" w:right="106"/>
              <w:rPr>
                <w:sz w:val="20"/>
              </w:rPr>
            </w:pPr>
            <w:r>
              <w:rPr>
                <w:sz w:val="20"/>
              </w:rPr>
              <w:t>2.2</w:t>
            </w:r>
          </w:p>
        </w:tc>
        <w:tc>
          <w:tcPr>
            <w:tcW w:w="617" w:type="dxa"/>
          </w:tcPr>
          <w:p>
            <w:pPr>
              <w:pStyle w:val="TableParagraph"/>
              <w:spacing w:line="223" w:lineRule="exact"/>
              <w:ind w:left="108" w:right="109"/>
              <w:rPr>
                <w:sz w:val="20"/>
              </w:rPr>
            </w:pPr>
            <w:r>
              <w:rPr>
                <w:sz w:val="20"/>
              </w:rPr>
              <w:t>0.8</w:t>
            </w:r>
          </w:p>
        </w:tc>
        <w:tc>
          <w:tcPr>
            <w:tcW w:w="617" w:type="dxa"/>
          </w:tcPr>
          <w:p>
            <w:pPr>
              <w:pStyle w:val="TableParagraph"/>
              <w:spacing w:line="223" w:lineRule="exact"/>
              <w:ind w:left="177"/>
              <w:jc w:val="left"/>
              <w:rPr>
                <w:sz w:val="20"/>
              </w:rPr>
            </w:pPr>
            <w:r>
              <w:rPr>
                <w:sz w:val="20"/>
              </w:rPr>
              <w:t>0.4</w:t>
            </w:r>
          </w:p>
        </w:tc>
        <w:tc>
          <w:tcPr>
            <w:tcW w:w="614" w:type="dxa"/>
          </w:tcPr>
          <w:p>
            <w:pPr>
              <w:pStyle w:val="TableParagraph"/>
              <w:spacing w:line="223" w:lineRule="exact"/>
              <w:ind w:left="105" w:right="107"/>
              <w:rPr>
                <w:sz w:val="20"/>
              </w:rPr>
            </w:pPr>
            <w:r>
              <w:rPr>
                <w:sz w:val="20"/>
              </w:rPr>
              <w:t>0.5</w:t>
            </w:r>
          </w:p>
        </w:tc>
        <w:tc>
          <w:tcPr>
            <w:tcW w:w="617" w:type="dxa"/>
          </w:tcPr>
          <w:p>
            <w:pPr>
              <w:pStyle w:val="TableParagraph"/>
              <w:spacing w:line="223" w:lineRule="exact"/>
              <w:ind w:right="177"/>
              <w:jc w:val="right"/>
              <w:rPr>
                <w:sz w:val="20"/>
              </w:rPr>
            </w:pPr>
            <w:r>
              <w:rPr>
                <w:sz w:val="20"/>
              </w:rPr>
              <w:t>0.4</w:t>
            </w:r>
          </w:p>
        </w:tc>
        <w:tc>
          <w:tcPr>
            <w:tcW w:w="617" w:type="dxa"/>
          </w:tcPr>
          <w:p>
            <w:pPr>
              <w:pStyle w:val="TableParagraph"/>
              <w:spacing w:line="223" w:lineRule="exact"/>
              <w:ind w:left="108" w:right="109"/>
              <w:rPr>
                <w:sz w:val="20"/>
              </w:rPr>
            </w:pPr>
            <w:r>
              <w:rPr>
                <w:sz w:val="20"/>
              </w:rPr>
              <w:t>0.6</w:t>
            </w:r>
          </w:p>
        </w:tc>
        <w:tc>
          <w:tcPr>
            <w:tcW w:w="615" w:type="dxa"/>
          </w:tcPr>
          <w:p>
            <w:pPr>
              <w:pStyle w:val="TableParagraph"/>
              <w:spacing w:line="223" w:lineRule="exact"/>
              <w:ind w:left="157" w:right="157"/>
              <w:rPr>
                <w:sz w:val="20"/>
              </w:rPr>
            </w:pPr>
            <w:r>
              <w:rPr>
                <w:sz w:val="20"/>
              </w:rPr>
              <w:t>1.1</w:t>
            </w:r>
          </w:p>
        </w:tc>
      </w:tr>
      <w:tr>
        <w:trPr>
          <w:trHeight w:val="471" w:hRule="exact"/>
        </w:trPr>
        <w:tc>
          <w:tcPr>
            <w:tcW w:w="4518" w:type="dxa"/>
          </w:tcPr>
          <w:p>
            <w:pPr>
              <w:pStyle w:val="TableParagraph"/>
              <w:ind w:left="103" w:right="130"/>
              <w:jc w:val="left"/>
              <w:rPr>
                <w:b/>
                <w:sz w:val="20"/>
              </w:rPr>
            </w:pPr>
            <w:r>
              <w:rPr>
                <w:b/>
                <w:sz w:val="20"/>
              </w:rPr>
              <w:t>Fabricación de motores de gasolina y sus partes para vehículos automotrices</w:t>
            </w:r>
          </w:p>
        </w:tc>
        <w:tc>
          <w:tcPr>
            <w:tcW w:w="614" w:type="dxa"/>
          </w:tcPr>
          <w:p>
            <w:pPr>
              <w:pStyle w:val="TableParagraph"/>
              <w:spacing w:before="109"/>
              <w:ind w:left="106" w:right="106"/>
              <w:rPr>
                <w:sz w:val="20"/>
              </w:rPr>
            </w:pPr>
            <w:r>
              <w:rPr>
                <w:sz w:val="20"/>
              </w:rPr>
              <w:t>0.3</w:t>
            </w:r>
          </w:p>
        </w:tc>
        <w:tc>
          <w:tcPr>
            <w:tcW w:w="617" w:type="dxa"/>
          </w:tcPr>
          <w:p>
            <w:pPr>
              <w:pStyle w:val="TableParagraph"/>
              <w:spacing w:before="109"/>
              <w:ind w:left="108" w:right="109"/>
              <w:rPr>
                <w:sz w:val="20"/>
              </w:rPr>
            </w:pPr>
            <w:r>
              <w:rPr>
                <w:sz w:val="20"/>
              </w:rPr>
              <w:t>1.3</w:t>
            </w:r>
          </w:p>
        </w:tc>
        <w:tc>
          <w:tcPr>
            <w:tcW w:w="617" w:type="dxa"/>
          </w:tcPr>
          <w:p>
            <w:pPr>
              <w:pStyle w:val="TableParagraph"/>
              <w:spacing w:before="109"/>
              <w:ind w:left="177"/>
              <w:jc w:val="left"/>
              <w:rPr>
                <w:sz w:val="20"/>
              </w:rPr>
            </w:pPr>
            <w:r>
              <w:rPr>
                <w:sz w:val="20"/>
              </w:rPr>
              <w:t>0.9</w:t>
            </w:r>
          </w:p>
        </w:tc>
        <w:tc>
          <w:tcPr>
            <w:tcW w:w="614" w:type="dxa"/>
          </w:tcPr>
          <w:p>
            <w:pPr>
              <w:pStyle w:val="TableParagraph"/>
              <w:spacing w:before="109"/>
              <w:ind w:left="105" w:right="107"/>
              <w:rPr>
                <w:sz w:val="20"/>
              </w:rPr>
            </w:pPr>
            <w:r>
              <w:rPr>
                <w:sz w:val="20"/>
              </w:rPr>
              <w:t>0.7</w:t>
            </w:r>
          </w:p>
        </w:tc>
        <w:tc>
          <w:tcPr>
            <w:tcW w:w="617" w:type="dxa"/>
          </w:tcPr>
          <w:p>
            <w:pPr>
              <w:pStyle w:val="TableParagraph"/>
              <w:spacing w:before="109"/>
              <w:ind w:right="177"/>
              <w:jc w:val="right"/>
              <w:rPr>
                <w:sz w:val="20"/>
              </w:rPr>
            </w:pPr>
            <w:r>
              <w:rPr>
                <w:sz w:val="20"/>
              </w:rPr>
              <w:t>0.7</w:t>
            </w:r>
          </w:p>
        </w:tc>
        <w:tc>
          <w:tcPr>
            <w:tcW w:w="617" w:type="dxa"/>
          </w:tcPr>
          <w:p>
            <w:pPr>
              <w:pStyle w:val="TableParagraph"/>
              <w:spacing w:before="109"/>
              <w:ind w:left="108" w:right="109"/>
              <w:rPr>
                <w:sz w:val="20"/>
              </w:rPr>
            </w:pPr>
            <w:r>
              <w:rPr>
                <w:sz w:val="20"/>
              </w:rPr>
              <w:t>0.7</w:t>
            </w:r>
          </w:p>
        </w:tc>
        <w:tc>
          <w:tcPr>
            <w:tcW w:w="615" w:type="dxa"/>
          </w:tcPr>
          <w:p>
            <w:pPr>
              <w:pStyle w:val="TableParagraph"/>
              <w:spacing w:before="109"/>
              <w:ind w:left="157" w:right="157"/>
              <w:rPr>
                <w:sz w:val="20"/>
              </w:rPr>
            </w:pPr>
            <w:r>
              <w:rPr>
                <w:sz w:val="20"/>
              </w:rPr>
              <w:t>1.5</w:t>
            </w:r>
          </w:p>
        </w:tc>
      </w:tr>
      <w:tr>
        <w:trPr>
          <w:trHeight w:val="242" w:hRule="exact"/>
        </w:trPr>
        <w:tc>
          <w:tcPr>
            <w:tcW w:w="4518" w:type="dxa"/>
          </w:tcPr>
          <w:p>
            <w:pPr>
              <w:pStyle w:val="TableParagraph"/>
              <w:ind w:left="103" w:right="130"/>
              <w:jc w:val="left"/>
              <w:rPr>
                <w:b/>
                <w:sz w:val="20"/>
              </w:rPr>
            </w:pPr>
            <w:r>
              <w:rPr>
                <w:b/>
                <w:sz w:val="20"/>
              </w:rPr>
              <w:t>Fabricación de partes de sistemas de transmisión</w:t>
            </w:r>
          </w:p>
        </w:tc>
        <w:tc>
          <w:tcPr>
            <w:tcW w:w="614" w:type="dxa"/>
          </w:tcPr>
          <w:p>
            <w:pPr>
              <w:pStyle w:val="TableParagraph"/>
              <w:spacing w:line="226" w:lineRule="exact"/>
              <w:ind w:left="106" w:right="106"/>
              <w:rPr>
                <w:sz w:val="20"/>
              </w:rPr>
            </w:pPr>
            <w:r>
              <w:rPr>
                <w:sz w:val="20"/>
              </w:rPr>
              <w:t>0.5</w:t>
            </w:r>
          </w:p>
        </w:tc>
        <w:tc>
          <w:tcPr>
            <w:tcW w:w="617" w:type="dxa"/>
          </w:tcPr>
          <w:p>
            <w:pPr>
              <w:pStyle w:val="TableParagraph"/>
              <w:spacing w:line="226" w:lineRule="exact"/>
              <w:ind w:left="108" w:right="109"/>
              <w:rPr>
                <w:sz w:val="20"/>
              </w:rPr>
            </w:pPr>
            <w:r>
              <w:rPr>
                <w:sz w:val="20"/>
              </w:rPr>
              <w:t>0.0</w:t>
            </w:r>
          </w:p>
        </w:tc>
        <w:tc>
          <w:tcPr>
            <w:tcW w:w="617" w:type="dxa"/>
          </w:tcPr>
          <w:p>
            <w:pPr>
              <w:pStyle w:val="TableParagraph"/>
              <w:spacing w:line="226" w:lineRule="exact"/>
              <w:ind w:left="177"/>
              <w:jc w:val="left"/>
              <w:rPr>
                <w:sz w:val="20"/>
              </w:rPr>
            </w:pPr>
            <w:r>
              <w:rPr>
                <w:sz w:val="20"/>
              </w:rPr>
              <w:t>0.1</w:t>
            </w:r>
          </w:p>
        </w:tc>
        <w:tc>
          <w:tcPr>
            <w:tcW w:w="614" w:type="dxa"/>
          </w:tcPr>
          <w:p>
            <w:pPr>
              <w:pStyle w:val="TableParagraph"/>
              <w:spacing w:line="226" w:lineRule="exact"/>
              <w:ind w:left="105" w:right="107"/>
              <w:rPr>
                <w:sz w:val="20"/>
              </w:rPr>
            </w:pPr>
            <w:r>
              <w:rPr>
                <w:sz w:val="20"/>
              </w:rPr>
              <w:t>0.3</w:t>
            </w:r>
          </w:p>
        </w:tc>
        <w:tc>
          <w:tcPr>
            <w:tcW w:w="617" w:type="dxa"/>
          </w:tcPr>
          <w:p>
            <w:pPr>
              <w:pStyle w:val="TableParagraph"/>
              <w:spacing w:line="226" w:lineRule="exact"/>
              <w:ind w:right="177"/>
              <w:jc w:val="right"/>
              <w:rPr>
                <w:sz w:val="20"/>
              </w:rPr>
            </w:pPr>
            <w:r>
              <w:rPr>
                <w:sz w:val="20"/>
              </w:rPr>
              <w:t>0.0</w:t>
            </w:r>
          </w:p>
        </w:tc>
        <w:tc>
          <w:tcPr>
            <w:tcW w:w="617" w:type="dxa"/>
          </w:tcPr>
          <w:p>
            <w:pPr>
              <w:pStyle w:val="TableParagraph"/>
              <w:spacing w:line="226" w:lineRule="exact"/>
              <w:ind w:left="108" w:right="109"/>
              <w:rPr>
                <w:sz w:val="20"/>
              </w:rPr>
            </w:pPr>
            <w:r>
              <w:rPr>
                <w:sz w:val="20"/>
              </w:rPr>
              <w:t>0.1</w:t>
            </w:r>
          </w:p>
        </w:tc>
        <w:tc>
          <w:tcPr>
            <w:tcW w:w="615" w:type="dxa"/>
          </w:tcPr>
          <w:p>
            <w:pPr>
              <w:pStyle w:val="TableParagraph"/>
              <w:spacing w:line="226" w:lineRule="exact"/>
              <w:ind w:left="157" w:right="157"/>
              <w:rPr>
                <w:sz w:val="20"/>
              </w:rPr>
            </w:pPr>
            <w:r>
              <w:rPr>
                <w:sz w:val="20"/>
              </w:rPr>
              <w:t>0.8</w:t>
            </w:r>
          </w:p>
        </w:tc>
      </w:tr>
      <w:tr>
        <w:trPr>
          <w:trHeight w:val="470" w:hRule="exact"/>
        </w:trPr>
        <w:tc>
          <w:tcPr>
            <w:tcW w:w="4518" w:type="dxa"/>
          </w:tcPr>
          <w:p>
            <w:pPr>
              <w:pStyle w:val="TableParagraph"/>
              <w:ind w:left="103" w:right="130"/>
              <w:jc w:val="left"/>
              <w:rPr>
                <w:b/>
                <w:sz w:val="20"/>
              </w:rPr>
            </w:pPr>
            <w:r>
              <w:rPr>
                <w:b/>
                <w:sz w:val="20"/>
              </w:rPr>
              <w:t>Fabricación de partes de sistemas de dirección y de suspensión para vehículos automotrices</w:t>
            </w:r>
          </w:p>
        </w:tc>
        <w:tc>
          <w:tcPr>
            <w:tcW w:w="614" w:type="dxa"/>
          </w:tcPr>
          <w:p>
            <w:pPr>
              <w:pStyle w:val="TableParagraph"/>
              <w:spacing w:before="108"/>
              <w:ind w:left="106" w:right="106"/>
              <w:rPr>
                <w:sz w:val="20"/>
              </w:rPr>
            </w:pPr>
            <w:r>
              <w:rPr>
                <w:sz w:val="20"/>
              </w:rPr>
              <w:t>0.8</w:t>
            </w:r>
          </w:p>
        </w:tc>
        <w:tc>
          <w:tcPr>
            <w:tcW w:w="617" w:type="dxa"/>
          </w:tcPr>
          <w:p>
            <w:pPr>
              <w:pStyle w:val="TableParagraph"/>
              <w:spacing w:before="108"/>
              <w:ind w:left="108" w:right="109"/>
              <w:rPr>
                <w:sz w:val="20"/>
              </w:rPr>
            </w:pPr>
            <w:r>
              <w:rPr>
                <w:sz w:val="20"/>
              </w:rPr>
              <w:t>0.7</w:t>
            </w:r>
          </w:p>
        </w:tc>
        <w:tc>
          <w:tcPr>
            <w:tcW w:w="617" w:type="dxa"/>
          </w:tcPr>
          <w:p>
            <w:pPr>
              <w:pStyle w:val="TableParagraph"/>
              <w:spacing w:before="108"/>
              <w:ind w:left="177"/>
              <w:jc w:val="left"/>
              <w:rPr>
                <w:sz w:val="20"/>
              </w:rPr>
            </w:pPr>
            <w:r>
              <w:rPr>
                <w:sz w:val="20"/>
              </w:rPr>
              <w:t>0.3</w:t>
            </w:r>
          </w:p>
        </w:tc>
        <w:tc>
          <w:tcPr>
            <w:tcW w:w="614" w:type="dxa"/>
          </w:tcPr>
          <w:p>
            <w:pPr>
              <w:pStyle w:val="TableParagraph"/>
              <w:spacing w:before="108"/>
              <w:ind w:left="105" w:right="107"/>
              <w:rPr>
                <w:sz w:val="20"/>
              </w:rPr>
            </w:pPr>
            <w:r>
              <w:rPr>
                <w:sz w:val="20"/>
              </w:rPr>
              <w:t>0.7</w:t>
            </w:r>
          </w:p>
        </w:tc>
        <w:tc>
          <w:tcPr>
            <w:tcW w:w="617" w:type="dxa"/>
          </w:tcPr>
          <w:p>
            <w:pPr>
              <w:pStyle w:val="TableParagraph"/>
              <w:spacing w:before="108"/>
              <w:ind w:right="177"/>
              <w:jc w:val="right"/>
              <w:rPr>
                <w:sz w:val="20"/>
              </w:rPr>
            </w:pPr>
            <w:r>
              <w:rPr>
                <w:sz w:val="20"/>
              </w:rPr>
              <w:t>0.7</w:t>
            </w:r>
          </w:p>
        </w:tc>
        <w:tc>
          <w:tcPr>
            <w:tcW w:w="617" w:type="dxa"/>
          </w:tcPr>
          <w:p>
            <w:pPr>
              <w:pStyle w:val="TableParagraph"/>
              <w:spacing w:before="108"/>
              <w:ind w:left="108" w:right="109"/>
              <w:rPr>
                <w:sz w:val="20"/>
              </w:rPr>
            </w:pPr>
            <w:r>
              <w:rPr>
                <w:sz w:val="20"/>
              </w:rPr>
              <w:t>0.4</w:t>
            </w:r>
          </w:p>
        </w:tc>
        <w:tc>
          <w:tcPr>
            <w:tcW w:w="615" w:type="dxa"/>
          </w:tcPr>
          <w:p>
            <w:pPr>
              <w:pStyle w:val="TableParagraph"/>
              <w:spacing w:before="108"/>
              <w:ind w:left="157" w:right="157"/>
              <w:rPr>
                <w:sz w:val="20"/>
              </w:rPr>
            </w:pPr>
            <w:r>
              <w:rPr>
                <w:sz w:val="20"/>
              </w:rPr>
              <w:t>1.0</w:t>
            </w:r>
          </w:p>
        </w:tc>
      </w:tr>
      <w:tr>
        <w:trPr>
          <w:trHeight w:val="470" w:hRule="exact"/>
        </w:trPr>
        <w:tc>
          <w:tcPr>
            <w:tcW w:w="4518" w:type="dxa"/>
          </w:tcPr>
          <w:p>
            <w:pPr>
              <w:pStyle w:val="TableParagraph"/>
              <w:ind w:left="103" w:right="130"/>
              <w:jc w:val="left"/>
              <w:rPr>
                <w:b/>
                <w:sz w:val="20"/>
              </w:rPr>
            </w:pPr>
            <w:r>
              <w:rPr>
                <w:b/>
                <w:sz w:val="20"/>
              </w:rPr>
              <w:t>Fabricación de partes de sistemas de frenos para vehículos automotrices</w:t>
            </w:r>
          </w:p>
        </w:tc>
        <w:tc>
          <w:tcPr>
            <w:tcW w:w="614" w:type="dxa"/>
          </w:tcPr>
          <w:p>
            <w:pPr>
              <w:pStyle w:val="TableParagraph"/>
              <w:spacing w:before="108"/>
              <w:ind w:left="106" w:right="106"/>
              <w:rPr>
                <w:sz w:val="20"/>
              </w:rPr>
            </w:pPr>
            <w:r>
              <w:rPr>
                <w:sz w:val="20"/>
              </w:rPr>
              <w:t>0.6</w:t>
            </w:r>
          </w:p>
        </w:tc>
        <w:tc>
          <w:tcPr>
            <w:tcW w:w="617" w:type="dxa"/>
          </w:tcPr>
          <w:p>
            <w:pPr>
              <w:pStyle w:val="TableParagraph"/>
              <w:spacing w:before="108"/>
              <w:ind w:left="108" w:right="109"/>
              <w:rPr>
                <w:sz w:val="20"/>
              </w:rPr>
            </w:pPr>
            <w:r>
              <w:rPr>
                <w:sz w:val="20"/>
              </w:rPr>
              <w:t>0.3</w:t>
            </w:r>
          </w:p>
        </w:tc>
        <w:tc>
          <w:tcPr>
            <w:tcW w:w="617" w:type="dxa"/>
          </w:tcPr>
          <w:p>
            <w:pPr>
              <w:pStyle w:val="TableParagraph"/>
              <w:spacing w:before="108"/>
              <w:ind w:left="177"/>
              <w:jc w:val="left"/>
              <w:rPr>
                <w:sz w:val="20"/>
              </w:rPr>
            </w:pPr>
            <w:r>
              <w:rPr>
                <w:sz w:val="20"/>
              </w:rPr>
              <w:t>0.1</w:t>
            </w:r>
          </w:p>
        </w:tc>
        <w:tc>
          <w:tcPr>
            <w:tcW w:w="614" w:type="dxa"/>
          </w:tcPr>
          <w:p>
            <w:pPr>
              <w:pStyle w:val="TableParagraph"/>
              <w:spacing w:before="108"/>
              <w:ind w:left="105" w:right="107"/>
              <w:rPr>
                <w:sz w:val="20"/>
              </w:rPr>
            </w:pPr>
            <w:r>
              <w:rPr>
                <w:sz w:val="20"/>
              </w:rPr>
              <w:t>0.4</w:t>
            </w:r>
          </w:p>
        </w:tc>
        <w:tc>
          <w:tcPr>
            <w:tcW w:w="617" w:type="dxa"/>
          </w:tcPr>
          <w:p>
            <w:pPr>
              <w:pStyle w:val="TableParagraph"/>
              <w:spacing w:before="108"/>
              <w:ind w:right="177"/>
              <w:jc w:val="right"/>
              <w:rPr>
                <w:sz w:val="20"/>
              </w:rPr>
            </w:pPr>
            <w:r>
              <w:rPr>
                <w:sz w:val="20"/>
              </w:rPr>
              <w:t>0.4</w:t>
            </w:r>
          </w:p>
        </w:tc>
        <w:tc>
          <w:tcPr>
            <w:tcW w:w="617" w:type="dxa"/>
          </w:tcPr>
          <w:p>
            <w:pPr>
              <w:pStyle w:val="TableParagraph"/>
              <w:spacing w:before="108"/>
              <w:ind w:left="108" w:right="109"/>
              <w:rPr>
                <w:sz w:val="20"/>
              </w:rPr>
            </w:pPr>
            <w:r>
              <w:rPr>
                <w:sz w:val="20"/>
              </w:rPr>
              <w:t>0.3</w:t>
            </w:r>
          </w:p>
        </w:tc>
        <w:tc>
          <w:tcPr>
            <w:tcW w:w="615" w:type="dxa"/>
          </w:tcPr>
          <w:p>
            <w:pPr>
              <w:pStyle w:val="TableParagraph"/>
              <w:spacing w:before="108"/>
              <w:ind w:left="157" w:right="157"/>
              <w:rPr>
                <w:sz w:val="20"/>
              </w:rPr>
            </w:pPr>
            <w:r>
              <w:rPr>
                <w:sz w:val="20"/>
              </w:rPr>
              <w:t>1.1</w:t>
            </w:r>
          </w:p>
        </w:tc>
      </w:tr>
      <w:tr>
        <w:trPr>
          <w:trHeight w:val="470" w:hRule="exact"/>
        </w:trPr>
        <w:tc>
          <w:tcPr>
            <w:tcW w:w="4518" w:type="dxa"/>
          </w:tcPr>
          <w:p>
            <w:pPr>
              <w:pStyle w:val="TableParagraph"/>
              <w:ind w:left="103"/>
              <w:jc w:val="left"/>
              <w:rPr>
                <w:b/>
                <w:sz w:val="20"/>
              </w:rPr>
            </w:pPr>
            <w:r>
              <w:rPr>
                <w:b/>
                <w:sz w:val="20"/>
              </w:rPr>
              <w:t>Fabricación de equipo eléctrico y electrónico para vehículos automotores</w:t>
            </w:r>
          </w:p>
        </w:tc>
        <w:tc>
          <w:tcPr>
            <w:tcW w:w="614" w:type="dxa"/>
          </w:tcPr>
          <w:p>
            <w:pPr>
              <w:pStyle w:val="TableParagraph"/>
              <w:spacing w:before="108"/>
              <w:ind w:left="106" w:right="106"/>
              <w:rPr>
                <w:sz w:val="20"/>
              </w:rPr>
            </w:pPr>
            <w:r>
              <w:rPr>
                <w:sz w:val="20"/>
              </w:rPr>
              <w:t>3.1</w:t>
            </w:r>
          </w:p>
        </w:tc>
        <w:tc>
          <w:tcPr>
            <w:tcW w:w="617" w:type="dxa"/>
          </w:tcPr>
          <w:p>
            <w:pPr>
              <w:pStyle w:val="TableParagraph"/>
              <w:spacing w:before="108"/>
              <w:ind w:left="108" w:right="109"/>
              <w:rPr>
                <w:sz w:val="20"/>
              </w:rPr>
            </w:pPr>
            <w:r>
              <w:rPr>
                <w:sz w:val="20"/>
              </w:rPr>
              <w:t>1.8</w:t>
            </w:r>
          </w:p>
        </w:tc>
        <w:tc>
          <w:tcPr>
            <w:tcW w:w="617" w:type="dxa"/>
          </w:tcPr>
          <w:p>
            <w:pPr>
              <w:pStyle w:val="TableParagraph"/>
              <w:spacing w:before="108"/>
              <w:ind w:left="177"/>
              <w:jc w:val="left"/>
              <w:rPr>
                <w:sz w:val="20"/>
              </w:rPr>
            </w:pPr>
            <w:r>
              <w:rPr>
                <w:sz w:val="20"/>
              </w:rPr>
              <w:t>1.7</w:t>
            </w:r>
          </w:p>
        </w:tc>
        <w:tc>
          <w:tcPr>
            <w:tcW w:w="614" w:type="dxa"/>
          </w:tcPr>
          <w:p>
            <w:pPr>
              <w:pStyle w:val="TableParagraph"/>
              <w:spacing w:before="108"/>
              <w:ind w:left="105" w:right="107"/>
              <w:rPr>
                <w:sz w:val="20"/>
              </w:rPr>
            </w:pPr>
            <w:r>
              <w:rPr>
                <w:sz w:val="20"/>
              </w:rPr>
              <w:t>1.7</w:t>
            </w:r>
          </w:p>
        </w:tc>
        <w:tc>
          <w:tcPr>
            <w:tcW w:w="617" w:type="dxa"/>
          </w:tcPr>
          <w:p>
            <w:pPr>
              <w:pStyle w:val="TableParagraph"/>
              <w:spacing w:before="108"/>
              <w:ind w:right="177"/>
              <w:jc w:val="right"/>
              <w:rPr>
                <w:sz w:val="20"/>
              </w:rPr>
            </w:pPr>
            <w:r>
              <w:rPr>
                <w:sz w:val="20"/>
              </w:rPr>
              <w:t>1.3</w:t>
            </w:r>
          </w:p>
        </w:tc>
        <w:tc>
          <w:tcPr>
            <w:tcW w:w="617" w:type="dxa"/>
          </w:tcPr>
          <w:p>
            <w:pPr>
              <w:pStyle w:val="TableParagraph"/>
              <w:spacing w:before="108"/>
              <w:ind w:left="108" w:right="109"/>
              <w:rPr>
                <w:sz w:val="20"/>
              </w:rPr>
            </w:pPr>
            <w:r>
              <w:rPr>
                <w:sz w:val="20"/>
              </w:rPr>
              <w:t>1.2</w:t>
            </w:r>
          </w:p>
        </w:tc>
        <w:tc>
          <w:tcPr>
            <w:tcW w:w="615" w:type="dxa"/>
          </w:tcPr>
          <w:p>
            <w:pPr>
              <w:pStyle w:val="TableParagraph"/>
              <w:spacing w:before="108"/>
              <w:ind w:left="157" w:right="157"/>
              <w:rPr>
                <w:sz w:val="20"/>
              </w:rPr>
            </w:pPr>
            <w:r>
              <w:rPr>
                <w:sz w:val="20"/>
              </w:rPr>
              <w:t>2.1</w:t>
            </w:r>
          </w:p>
        </w:tc>
      </w:tr>
      <w:tr>
        <w:trPr>
          <w:trHeight w:val="490" w:hRule="exact"/>
        </w:trPr>
        <w:tc>
          <w:tcPr>
            <w:tcW w:w="4518" w:type="dxa"/>
          </w:tcPr>
          <w:p>
            <w:pPr>
              <w:pStyle w:val="TableParagraph"/>
              <w:spacing w:before="7"/>
              <w:ind w:left="103" w:right="130"/>
              <w:jc w:val="left"/>
              <w:rPr>
                <w:b/>
                <w:sz w:val="20"/>
              </w:rPr>
            </w:pPr>
            <w:r>
              <w:rPr>
                <w:b/>
                <w:sz w:val="20"/>
              </w:rPr>
              <w:t>Fabricación de otras partes para vehículos automotrices</w:t>
            </w:r>
          </w:p>
        </w:tc>
        <w:tc>
          <w:tcPr>
            <w:tcW w:w="614" w:type="dxa"/>
          </w:tcPr>
          <w:p>
            <w:pPr>
              <w:pStyle w:val="TableParagraph"/>
              <w:spacing w:before="118"/>
              <w:ind w:left="106" w:right="106"/>
              <w:rPr>
                <w:sz w:val="20"/>
              </w:rPr>
            </w:pPr>
            <w:r>
              <w:rPr>
                <w:sz w:val="20"/>
              </w:rPr>
              <w:t>1.4</w:t>
            </w:r>
          </w:p>
        </w:tc>
        <w:tc>
          <w:tcPr>
            <w:tcW w:w="617" w:type="dxa"/>
          </w:tcPr>
          <w:p>
            <w:pPr>
              <w:pStyle w:val="TableParagraph"/>
              <w:spacing w:before="118"/>
              <w:ind w:left="108" w:right="109"/>
              <w:rPr>
                <w:sz w:val="20"/>
              </w:rPr>
            </w:pPr>
            <w:r>
              <w:rPr>
                <w:sz w:val="20"/>
              </w:rPr>
              <w:t>0.7</w:t>
            </w:r>
          </w:p>
        </w:tc>
        <w:tc>
          <w:tcPr>
            <w:tcW w:w="617" w:type="dxa"/>
          </w:tcPr>
          <w:p>
            <w:pPr>
              <w:pStyle w:val="TableParagraph"/>
              <w:spacing w:before="118"/>
              <w:ind w:left="177"/>
              <w:jc w:val="left"/>
              <w:rPr>
                <w:sz w:val="20"/>
              </w:rPr>
            </w:pPr>
            <w:r>
              <w:rPr>
                <w:sz w:val="20"/>
              </w:rPr>
              <w:t>1.1</w:t>
            </w:r>
          </w:p>
        </w:tc>
        <w:tc>
          <w:tcPr>
            <w:tcW w:w="614" w:type="dxa"/>
          </w:tcPr>
          <w:p>
            <w:pPr>
              <w:pStyle w:val="TableParagraph"/>
              <w:spacing w:before="118"/>
              <w:ind w:left="105" w:right="107"/>
              <w:rPr>
                <w:sz w:val="20"/>
              </w:rPr>
            </w:pPr>
            <w:r>
              <w:rPr>
                <w:sz w:val="20"/>
              </w:rPr>
              <w:t>0.9</w:t>
            </w:r>
          </w:p>
        </w:tc>
        <w:tc>
          <w:tcPr>
            <w:tcW w:w="617" w:type="dxa"/>
          </w:tcPr>
          <w:p>
            <w:pPr>
              <w:pStyle w:val="TableParagraph"/>
              <w:spacing w:before="118"/>
              <w:ind w:right="177"/>
              <w:jc w:val="right"/>
              <w:rPr>
                <w:sz w:val="20"/>
              </w:rPr>
            </w:pPr>
            <w:r>
              <w:rPr>
                <w:sz w:val="20"/>
              </w:rPr>
              <w:t>0.9</w:t>
            </w:r>
          </w:p>
        </w:tc>
        <w:tc>
          <w:tcPr>
            <w:tcW w:w="617" w:type="dxa"/>
          </w:tcPr>
          <w:p>
            <w:pPr>
              <w:pStyle w:val="TableParagraph"/>
              <w:spacing w:before="118"/>
              <w:ind w:left="108" w:right="109"/>
              <w:rPr>
                <w:sz w:val="20"/>
              </w:rPr>
            </w:pPr>
            <w:r>
              <w:rPr>
                <w:sz w:val="20"/>
              </w:rPr>
              <w:t>0.9</w:t>
            </w:r>
          </w:p>
        </w:tc>
        <w:tc>
          <w:tcPr>
            <w:tcW w:w="615" w:type="dxa"/>
          </w:tcPr>
          <w:p>
            <w:pPr>
              <w:pStyle w:val="TableParagraph"/>
              <w:spacing w:before="118"/>
              <w:ind w:left="157" w:right="157"/>
              <w:rPr>
                <w:sz w:val="20"/>
              </w:rPr>
            </w:pPr>
            <w:r>
              <w:rPr>
                <w:sz w:val="20"/>
              </w:rPr>
              <w:t>1.9</w:t>
            </w:r>
          </w:p>
        </w:tc>
      </w:tr>
    </w:tbl>
    <w:p>
      <w:pPr>
        <w:spacing w:line="202" w:lineRule="exact" w:before="0"/>
        <w:ind w:left="102" w:right="0" w:firstLine="0"/>
        <w:jc w:val="both"/>
        <w:rPr>
          <w:sz w:val="18"/>
        </w:rPr>
      </w:pPr>
      <w:r>
        <w:rPr>
          <w:sz w:val="18"/>
        </w:rPr>
        <w:t>Fuente: Elaboración propia con datos de INEGI (varios años).</w:t>
      </w:r>
    </w:p>
    <w:p>
      <w:pPr>
        <w:pStyle w:val="BodyText"/>
        <w:rPr>
          <w:sz w:val="18"/>
        </w:rPr>
      </w:pPr>
    </w:p>
    <w:p>
      <w:pPr>
        <w:pStyle w:val="BodyText"/>
        <w:spacing w:line="360" w:lineRule="auto" w:before="135"/>
        <w:ind w:left="102" w:right="116"/>
        <w:jc w:val="both"/>
      </w:pPr>
      <w:r>
        <w:rPr/>
        <w:t>De</w:t>
      </w:r>
      <w:r>
        <w:rPr>
          <w:spacing w:val="-12"/>
        </w:rPr>
        <w:t> </w:t>
      </w:r>
      <w:r>
        <w:rPr/>
        <w:t>acuerdo</w:t>
      </w:r>
      <w:r>
        <w:rPr>
          <w:spacing w:val="-9"/>
        </w:rPr>
        <w:t> </w:t>
      </w:r>
      <w:r>
        <w:rPr/>
        <w:t>con</w:t>
      </w:r>
      <w:r>
        <w:rPr>
          <w:spacing w:val="-11"/>
        </w:rPr>
        <w:t> </w:t>
      </w:r>
      <w:r>
        <w:rPr/>
        <w:t>el</w:t>
      </w:r>
      <w:r>
        <w:rPr>
          <w:spacing w:val="-8"/>
        </w:rPr>
        <w:t> </w:t>
      </w:r>
      <w:r>
        <w:rPr/>
        <w:t>cuadro</w:t>
      </w:r>
      <w:r>
        <w:rPr>
          <w:spacing w:val="-10"/>
        </w:rPr>
        <w:t> </w:t>
      </w:r>
      <w:r>
        <w:rPr/>
        <w:t>4.29,</w:t>
      </w:r>
      <w:r>
        <w:rPr>
          <w:spacing w:val="-11"/>
        </w:rPr>
        <w:t> </w:t>
      </w:r>
      <w:r>
        <w:rPr/>
        <w:t>por</w:t>
      </w:r>
      <w:r>
        <w:rPr>
          <w:spacing w:val="-12"/>
        </w:rPr>
        <w:t> </w:t>
      </w:r>
      <w:r>
        <w:rPr/>
        <w:t>el</w:t>
      </w:r>
      <w:r>
        <w:rPr>
          <w:spacing w:val="-11"/>
        </w:rPr>
        <w:t> </w:t>
      </w:r>
      <w:r>
        <w:rPr/>
        <w:t>lado</w:t>
      </w:r>
      <w:r>
        <w:rPr>
          <w:spacing w:val="-12"/>
        </w:rPr>
        <w:t> </w:t>
      </w:r>
      <w:r>
        <w:rPr/>
        <w:t>del</w:t>
      </w:r>
      <w:r>
        <w:rPr>
          <w:spacing w:val="-11"/>
        </w:rPr>
        <w:t> </w:t>
      </w:r>
      <w:r>
        <w:rPr/>
        <w:t>valor</w:t>
      </w:r>
      <w:r>
        <w:rPr>
          <w:spacing w:val="-12"/>
        </w:rPr>
        <w:t> </w:t>
      </w:r>
      <w:r>
        <w:rPr/>
        <w:t>agregado</w:t>
      </w:r>
      <w:r>
        <w:rPr>
          <w:spacing w:val="-11"/>
        </w:rPr>
        <w:t> </w:t>
      </w:r>
      <w:r>
        <w:rPr/>
        <w:t>censal</w:t>
      </w:r>
      <w:r>
        <w:rPr>
          <w:spacing w:val="-11"/>
        </w:rPr>
        <w:t> </w:t>
      </w:r>
      <w:r>
        <w:rPr/>
        <w:t>bruto,</w:t>
      </w:r>
      <w:r>
        <w:rPr>
          <w:spacing w:val="-9"/>
        </w:rPr>
        <w:t> </w:t>
      </w:r>
      <w:r>
        <w:rPr/>
        <w:t>en</w:t>
      </w:r>
      <w:r>
        <w:rPr>
          <w:spacing w:val="-11"/>
        </w:rPr>
        <w:t> </w:t>
      </w:r>
      <w:r>
        <w:rPr/>
        <w:t>lo</w:t>
      </w:r>
      <w:r>
        <w:rPr>
          <w:spacing w:val="-11"/>
        </w:rPr>
        <w:t> </w:t>
      </w:r>
      <w:r>
        <w:rPr/>
        <w:t>que</w:t>
      </w:r>
      <w:r>
        <w:rPr>
          <w:spacing w:val="-12"/>
        </w:rPr>
        <w:t> </w:t>
      </w:r>
      <w:r>
        <w:rPr/>
        <w:t>respecta a la industria terminal, la región centro-norte mostró cocientes de localización menores a la unidad, por lo que no podemos afirmar la especialización de la región en la fabricación de automóviles y camiones, al menos durante el periodo de análisis. En contraste, la industria de</w:t>
      </w:r>
      <w:r>
        <w:rPr>
          <w:spacing w:val="-17"/>
        </w:rPr>
        <w:t> </w:t>
      </w:r>
      <w:r>
        <w:rPr/>
        <w:t>autopartes,</w:t>
      </w:r>
      <w:r>
        <w:rPr>
          <w:spacing w:val="-16"/>
        </w:rPr>
        <w:t> </w:t>
      </w:r>
      <w:r>
        <w:rPr/>
        <w:t>vista</w:t>
      </w:r>
      <w:r>
        <w:rPr>
          <w:spacing w:val="-17"/>
        </w:rPr>
        <w:t> </w:t>
      </w:r>
      <w:r>
        <w:rPr/>
        <w:t>a</w:t>
      </w:r>
      <w:r>
        <w:rPr>
          <w:spacing w:val="-17"/>
        </w:rPr>
        <w:t> </w:t>
      </w:r>
      <w:r>
        <w:rPr/>
        <w:t>través</w:t>
      </w:r>
      <w:r>
        <w:rPr>
          <w:spacing w:val="-16"/>
        </w:rPr>
        <w:t> </w:t>
      </w:r>
      <w:r>
        <w:rPr/>
        <w:t>del</w:t>
      </w:r>
      <w:r>
        <w:rPr>
          <w:spacing w:val="-15"/>
        </w:rPr>
        <w:t> </w:t>
      </w:r>
      <w:r>
        <w:rPr/>
        <w:t>comportamiento</w:t>
      </w:r>
      <w:r>
        <w:rPr>
          <w:spacing w:val="-15"/>
        </w:rPr>
        <w:t> </w:t>
      </w:r>
      <w:r>
        <w:rPr/>
        <w:t>del</w:t>
      </w:r>
      <w:r>
        <w:rPr>
          <w:spacing w:val="-15"/>
        </w:rPr>
        <w:t> </w:t>
      </w:r>
      <w:r>
        <w:rPr/>
        <w:t>resto</w:t>
      </w:r>
      <w:r>
        <w:rPr>
          <w:spacing w:val="-15"/>
        </w:rPr>
        <w:t> </w:t>
      </w:r>
      <w:r>
        <w:rPr/>
        <w:t>de</w:t>
      </w:r>
      <w:r>
        <w:rPr>
          <w:spacing w:val="-17"/>
        </w:rPr>
        <w:t> </w:t>
      </w:r>
      <w:r>
        <w:rPr/>
        <w:t>las</w:t>
      </w:r>
      <w:r>
        <w:rPr>
          <w:spacing w:val="-16"/>
        </w:rPr>
        <w:t> </w:t>
      </w:r>
      <w:r>
        <w:rPr/>
        <w:t>ramas</w:t>
      </w:r>
      <w:r>
        <w:rPr>
          <w:spacing w:val="-16"/>
        </w:rPr>
        <w:t> </w:t>
      </w:r>
      <w:r>
        <w:rPr/>
        <w:t>de</w:t>
      </w:r>
      <w:r>
        <w:rPr>
          <w:spacing w:val="-17"/>
        </w:rPr>
        <w:t> </w:t>
      </w:r>
      <w:r>
        <w:rPr/>
        <w:t>la</w:t>
      </w:r>
      <w:r>
        <w:rPr>
          <w:spacing w:val="-17"/>
        </w:rPr>
        <w:t> </w:t>
      </w:r>
      <w:r>
        <w:rPr/>
        <w:t>industria,</w:t>
      </w:r>
      <w:r>
        <w:rPr>
          <w:spacing w:val="-16"/>
        </w:rPr>
        <w:t> </w:t>
      </w:r>
      <w:r>
        <w:rPr/>
        <w:t>muestra que</w:t>
      </w:r>
      <w:r>
        <w:rPr>
          <w:spacing w:val="-6"/>
        </w:rPr>
        <w:t> </w:t>
      </w:r>
      <w:r>
        <w:rPr/>
        <w:t>existe</w:t>
      </w:r>
      <w:r>
        <w:rPr>
          <w:spacing w:val="-6"/>
        </w:rPr>
        <w:t> </w:t>
      </w:r>
      <w:r>
        <w:rPr/>
        <w:t>especialización</w:t>
      </w:r>
      <w:r>
        <w:rPr>
          <w:spacing w:val="-5"/>
        </w:rPr>
        <w:t> </w:t>
      </w:r>
      <w:r>
        <w:rPr/>
        <w:t>de</w:t>
      </w:r>
      <w:r>
        <w:rPr>
          <w:spacing w:val="-6"/>
        </w:rPr>
        <w:t> </w:t>
      </w:r>
      <w:r>
        <w:rPr/>
        <w:t>la</w:t>
      </w:r>
      <w:r>
        <w:rPr>
          <w:spacing w:val="-6"/>
        </w:rPr>
        <w:t> </w:t>
      </w:r>
      <w:r>
        <w:rPr/>
        <w:t>región</w:t>
      </w:r>
      <w:r>
        <w:rPr>
          <w:spacing w:val="-5"/>
        </w:rPr>
        <w:t> </w:t>
      </w:r>
      <w:r>
        <w:rPr/>
        <w:t>en</w:t>
      </w:r>
      <w:r>
        <w:rPr>
          <w:spacing w:val="-5"/>
        </w:rPr>
        <w:t> </w:t>
      </w:r>
      <w:r>
        <w:rPr/>
        <w:t>prácticamente</w:t>
      </w:r>
      <w:r>
        <w:rPr>
          <w:spacing w:val="-6"/>
        </w:rPr>
        <w:t> </w:t>
      </w:r>
      <w:r>
        <w:rPr/>
        <w:t>todas</w:t>
      </w:r>
      <w:r>
        <w:rPr>
          <w:spacing w:val="-6"/>
        </w:rPr>
        <w:t> </w:t>
      </w:r>
      <w:r>
        <w:rPr/>
        <w:t>las</w:t>
      </w:r>
      <w:r>
        <w:rPr>
          <w:spacing w:val="-6"/>
        </w:rPr>
        <w:t> </w:t>
      </w:r>
      <w:r>
        <w:rPr/>
        <w:t>actividades</w:t>
      </w:r>
      <w:r>
        <w:rPr>
          <w:spacing w:val="-5"/>
        </w:rPr>
        <w:t> </w:t>
      </w:r>
      <w:r>
        <w:rPr/>
        <w:t>a</w:t>
      </w:r>
      <w:r>
        <w:rPr>
          <w:spacing w:val="-6"/>
        </w:rPr>
        <w:t> </w:t>
      </w:r>
      <w:r>
        <w:rPr/>
        <w:t>excepción</w:t>
      </w:r>
      <w:r>
        <w:rPr>
          <w:spacing w:val="-5"/>
        </w:rPr>
        <w:t> </w:t>
      </w:r>
      <w:r>
        <w:rPr/>
        <w:t>de la fabricación de sistemas de transmisión (véase cuadro</w:t>
      </w:r>
      <w:r>
        <w:rPr>
          <w:spacing w:val="-8"/>
        </w:rPr>
        <w:t> </w:t>
      </w:r>
      <w:r>
        <w:rPr/>
        <w:t>4.29).</w:t>
      </w:r>
    </w:p>
    <w:p>
      <w:pPr>
        <w:spacing w:after="0" w:line="360" w:lineRule="auto"/>
        <w:jc w:val="both"/>
        <w:sectPr>
          <w:pgSz w:w="12240" w:h="15840"/>
          <w:pgMar w:header="0" w:footer="1035" w:top="1360" w:bottom="1220" w:left="1600" w:right="1580"/>
        </w:sectPr>
      </w:pPr>
    </w:p>
    <w:p>
      <w:pPr>
        <w:pStyle w:val="Heading1"/>
        <w:spacing w:line="360" w:lineRule="auto" w:before="55" w:after="6"/>
        <w:ind w:left="174" w:right="173"/>
      </w:pPr>
      <w:r>
        <w:rPr/>
        <w:t>Cuadro 4.29. Cocientes de localización de las actividades de la industria automotriz a nivel nacional de la Región Centro-Norte, 1980-2008  (Valor Agregado Censal Bruto)</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18"/>
        <w:gridCol w:w="614"/>
        <w:gridCol w:w="617"/>
        <w:gridCol w:w="617"/>
        <w:gridCol w:w="614"/>
        <w:gridCol w:w="617"/>
        <w:gridCol w:w="617"/>
        <w:gridCol w:w="615"/>
      </w:tblGrid>
      <w:tr>
        <w:trPr>
          <w:trHeight w:val="287" w:hRule="exact"/>
        </w:trPr>
        <w:tc>
          <w:tcPr>
            <w:tcW w:w="4518" w:type="dxa"/>
            <w:tcBorders>
              <w:right w:val="nil"/>
            </w:tcBorders>
            <w:shd w:val="clear" w:color="auto" w:fill="A6A6A6"/>
          </w:tcPr>
          <w:p>
            <w:pPr/>
          </w:p>
        </w:tc>
        <w:tc>
          <w:tcPr>
            <w:tcW w:w="614" w:type="dxa"/>
            <w:tcBorders>
              <w:left w:val="nil"/>
              <w:right w:val="nil"/>
            </w:tcBorders>
            <w:shd w:val="clear" w:color="auto" w:fill="A6A6A6"/>
          </w:tcPr>
          <w:p>
            <w:pPr>
              <w:pStyle w:val="TableParagraph"/>
              <w:spacing w:line="229" w:lineRule="exact"/>
              <w:ind w:left="87" w:right="83"/>
              <w:rPr>
                <w:b/>
                <w:sz w:val="20"/>
              </w:rPr>
            </w:pPr>
            <w:r>
              <w:rPr>
                <w:b/>
                <w:sz w:val="20"/>
              </w:rPr>
              <w:t>1980</w:t>
            </w:r>
          </w:p>
        </w:tc>
        <w:tc>
          <w:tcPr>
            <w:tcW w:w="617" w:type="dxa"/>
            <w:tcBorders>
              <w:left w:val="nil"/>
              <w:right w:val="nil"/>
            </w:tcBorders>
            <w:shd w:val="clear" w:color="auto" w:fill="A6A6A6"/>
          </w:tcPr>
          <w:p>
            <w:pPr>
              <w:pStyle w:val="TableParagraph"/>
              <w:spacing w:line="229" w:lineRule="exact"/>
              <w:ind w:left="89" w:right="87"/>
              <w:rPr>
                <w:b/>
                <w:sz w:val="20"/>
              </w:rPr>
            </w:pPr>
            <w:r>
              <w:rPr>
                <w:b/>
                <w:sz w:val="20"/>
              </w:rPr>
              <w:t>1985</w:t>
            </w:r>
          </w:p>
        </w:tc>
        <w:tc>
          <w:tcPr>
            <w:tcW w:w="617" w:type="dxa"/>
            <w:tcBorders>
              <w:left w:val="nil"/>
              <w:right w:val="nil"/>
            </w:tcBorders>
            <w:shd w:val="clear" w:color="auto" w:fill="A6A6A6"/>
          </w:tcPr>
          <w:p>
            <w:pPr>
              <w:pStyle w:val="TableParagraph"/>
              <w:spacing w:line="229" w:lineRule="exact"/>
              <w:ind w:left="89" w:right="88"/>
              <w:rPr>
                <w:b/>
                <w:sz w:val="20"/>
              </w:rPr>
            </w:pPr>
            <w:r>
              <w:rPr>
                <w:b/>
                <w:sz w:val="20"/>
              </w:rPr>
              <w:t>1988</w:t>
            </w:r>
          </w:p>
        </w:tc>
        <w:tc>
          <w:tcPr>
            <w:tcW w:w="614" w:type="dxa"/>
            <w:tcBorders>
              <w:left w:val="nil"/>
              <w:right w:val="nil"/>
            </w:tcBorders>
            <w:shd w:val="clear" w:color="auto" w:fill="A6A6A6"/>
          </w:tcPr>
          <w:p>
            <w:pPr>
              <w:pStyle w:val="TableParagraph"/>
              <w:spacing w:line="229" w:lineRule="exact"/>
              <w:ind w:left="85" w:right="85"/>
              <w:rPr>
                <w:b/>
                <w:sz w:val="20"/>
              </w:rPr>
            </w:pPr>
            <w:r>
              <w:rPr>
                <w:b/>
                <w:sz w:val="20"/>
              </w:rPr>
              <w:t>1993</w:t>
            </w:r>
          </w:p>
        </w:tc>
        <w:tc>
          <w:tcPr>
            <w:tcW w:w="617" w:type="dxa"/>
            <w:tcBorders>
              <w:left w:val="nil"/>
              <w:right w:val="nil"/>
            </w:tcBorders>
            <w:shd w:val="clear" w:color="auto" w:fill="A6A6A6"/>
          </w:tcPr>
          <w:p>
            <w:pPr>
              <w:pStyle w:val="TableParagraph"/>
              <w:spacing w:line="229" w:lineRule="exact"/>
              <w:ind w:right="103"/>
              <w:jc w:val="right"/>
              <w:rPr>
                <w:b/>
                <w:sz w:val="20"/>
              </w:rPr>
            </w:pPr>
            <w:r>
              <w:rPr>
                <w:b/>
                <w:sz w:val="20"/>
              </w:rPr>
              <w:t>1998</w:t>
            </w:r>
          </w:p>
        </w:tc>
        <w:tc>
          <w:tcPr>
            <w:tcW w:w="617" w:type="dxa"/>
            <w:tcBorders>
              <w:left w:val="nil"/>
              <w:right w:val="nil"/>
            </w:tcBorders>
            <w:shd w:val="clear" w:color="auto" w:fill="A6A6A6"/>
          </w:tcPr>
          <w:p>
            <w:pPr>
              <w:pStyle w:val="TableParagraph"/>
              <w:spacing w:line="229" w:lineRule="exact"/>
              <w:ind w:left="89" w:right="87"/>
              <w:rPr>
                <w:b/>
                <w:sz w:val="20"/>
              </w:rPr>
            </w:pPr>
            <w:r>
              <w:rPr>
                <w:b/>
                <w:sz w:val="20"/>
              </w:rPr>
              <w:t>2003</w:t>
            </w:r>
          </w:p>
        </w:tc>
        <w:tc>
          <w:tcPr>
            <w:tcW w:w="615" w:type="dxa"/>
            <w:tcBorders>
              <w:left w:val="nil"/>
            </w:tcBorders>
            <w:shd w:val="clear" w:color="auto" w:fill="A6A6A6"/>
          </w:tcPr>
          <w:p>
            <w:pPr>
              <w:pStyle w:val="TableParagraph"/>
              <w:spacing w:line="229" w:lineRule="exact"/>
              <w:ind w:left="89" w:right="80"/>
              <w:rPr>
                <w:b/>
                <w:sz w:val="20"/>
              </w:rPr>
            </w:pPr>
            <w:r>
              <w:rPr>
                <w:b/>
                <w:sz w:val="20"/>
              </w:rPr>
              <w:t>2008</w:t>
            </w:r>
          </w:p>
        </w:tc>
      </w:tr>
      <w:tr>
        <w:trPr>
          <w:trHeight w:val="240" w:hRule="exact"/>
        </w:trPr>
        <w:tc>
          <w:tcPr>
            <w:tcW w:w="4518" w:type="dxa"/>
          </w:tcPr>
          <w:p>
            <w:pPr>
              <w:pStyle w:val="TableParagraph"/>
              <w:spacing w:line="228" w:lineRule="exact"/>
              <w:ind w:left="103" w:right="130"/>
              <w:jc w:val="left"/>
              <w:rPr>
                <w:b/>
                <w:sz w:val="20"/>
              </w:rPr>
            </w:pPr>
            <w:r>
              <w:rPr>
                <w:b/>
                <w:sz w:val="20"/>
              </w:rPr>
              <w:t>Fabricación de automóviles y camiones</w:t>
            </w:r>
          </w:p>
        </w:tc>
        <w:tc>
          <w:tcPr>
            <w:tcW w:w="614" w:type="dxa"/>
            <w:tcBorders>
              <w:top w:val="single" w:sz="19" w:space="0" w:color="A6A6A6"/>
            </w:tcBorders>
          </w:tcPr>
          <w:p>
            <w:pPr>
              <w:pStyle w:val="TableParagraph"/>
              <w:spacing w:line="204" w:lineRule="exact"/>
              <w:ind w:left="106" w:right="106"/>
              <w:rPr>
                <w:sz w:val="20"/>
              </w:rPr>
            </w:pPr>
            <w:r>
              <w:rPr>
                <w:sz w:val="20"/>
              </w:rPr>
              <w:t>0.0</w:t>
            </w:r>
          </w:p>
        </w:tc>
        <w:tc>
          <w:tcPr>
            <w:tcW w:w="617" w:type="dxa"/>
            <w:tcBorders>
              <w:top w:val="single" w:sz="19" w:space="0" w:color="A6A6A6"/>
            </w:tcBorders>
          </w:tcPr>
          <w:p>
            <w:pPr>
              <w:pStyle w:val="TableParagraph"/>
              <w:spacing w:line="204" w:lineRule="exact"/>
              <w:ind w:left="108" w:right="109"/>
              <w:rPr>
                <w:sz w:val="20"/>
              </w:rPr>
            </w:pPr>
            <w:r>
              <w:rPr>
                <w:sz w:val="20"/>
              </w:rPr>
              <w:t>0.0</w:t>
            </w:r>
          </w:p>
        </w:tc>
        <w:tc>
          <w:tcPr>
            <w:tcW w:w="617" w:type="dxa"/>
            <w:tcBorders>
              <w:top w:val="single" w:sz="19" w:space="0" w:color="A6A6A6"/>
            </w:tcBorders>
          </w:tcPr>
          <w:p>
            <w:pPr>
              <w:pStyle w:val="TableParagraph"/>
              <w:spacing w:line="204" w:lineRule="exact"/>
              <w:ind w:left="108" w:right="108"/>
              <w:rPr>
                <w:sz w:val="20"/>
              </w:rPr>
            </w:pPr>
            <w:r>
              <w:rPr>
                <w:sz w:val="20"/>
              </w:rPr>
              <w:t>0.0</w:t>
            </w:r>
          </w:p>
        </w:tc>
        <w:tc>
          <w:tcPr>
            <w:tcW w:w="614" w:type="dxa"/>
            <w:tcBorders>
              <w:top w:val="single" w:sz="19" w:space="0" w:color="A6A6A6"/>
            </w:tcBorders>
          </w:tcPr>
          <w:p>
            <w:pPr>
              <w:pStyle w:val="TableParagraph"/>
              <w:spacing w:line="204" w:lineRule="exact"/>
              <w:ind w:left="105" w:right="107"/>
              <w:rPr>
                <w:sz w:val="20"/>
              </w:rPr>
            </w:pPr>
            <w:r>
              <w:rPr>
                <w:sz w:val="20"/>
              </w:rPr>
              <w:t>0.0</w:t>
            </w:r>
          </w:p>
        </w:tc>
        <w:tc>
          <w:tcPr>
            <w:tcW w:w="617" w:type="dxa"/>
            <w:tcBorders>
              <w:top w:val="single" w:sz="19" w:space="0" w:color="A6A6A6"/>
            </w:tcBorders>
          </w:tcPr>
          <w:p>
            <w:pPr>
              <w:pStyle w:val="TableParagraph"/>
              <w:spacing w:line="204" w:lineRule="exact"/>
              <w:ind w:right="177"/>
              <w:jc w:val="right"/>
              <w:rPr>
                <w:sz w:val="20"/>
              </w:rPr>
            </w:pPr>
            <w:r>
              <w:rPr>
                <w:sz w:val="20"/>
              </w:rPr>
              <w:t>1.5</w:t>
            </w:r>
          </w:p>
        </w:tc>
        <w:tc>
          <w:tcPr>
            <w:tcW w:w="617" w:type="dxa"/>
            <w:tcBorders>
              <w:top w:val="single" w:sz="19" w:space="0" w:color="A6A6A6"/>
            </w:tcBorders>
          </w:tcPr>
          <w:p>
            <w:pPr>
              <w:pStyle w:val="TableParagraph"/>
              <w:spacing w:line="204" w:lineRule="exact"/>
              <w:ind w:left="108" w:right="109"/>
              <w:rPr>
                <w:sz w:val="20"/>
              </w:rPr>
            </w:pPr>
            <w:r>
              <w:rPr>
                <w:sz w:val="20"/>
              </w:rPr>
              <w:t>1.4</w:t>
            </w:r>
          </w:p>
        </w:tc>
        <w:tc>
          <w:tcPr>
            <w:tcW w:w="615" w:type="dxa"/>
            <w:tcBorders>
              <w:top w:val="single" w:sz="19" w:space="0" w:color="A6A6A6"/>
            </w:tcBorders>
          </w:tcPr>
          <w:p>
            <w:pPr>
              <w:pStyle w:val="TableParagraph"/>
              <w:spacing w:line="204" w:lineRule="exact"/>
              <w:ind w:left="157" w:right="157"/>
              <w:rPr>
                <w:sz w:val="20"/>
              </w:rPr>
            </w:pPr>
            <w:r>
              <w:rPr>
                <w:sz w:val="20"/>
              </w:rPr>
              <w:t>0.1</w:t>
            </w:r>
          </w:p>
        </w:tc>
      </w:tr>
      <w:tr>
        <w:trPr>
          <w:trHeight w:val="406" w:hRule="exact"/>
        </w:trPr>
        <w:tc>
          <w:tcPr>
            <w:tcW w:w="4518" w:type="dxa"/>
          </w:tcPr>
          <w:p>
            <w:pPr>
              <w:pStyle w:val="TableParagraph"/>
              <w:spacing w:before="79"/>
              <w:ind w:left="103" w:right="130"/>
              <w:jc w:val="left"/>
              <w:rPr>
                <w:b/>
                <w:sz w:val="20"/>
              </w:rPr>
            </w:pPr>
            <w:r>
              <w:rPr>
                <w:b/>
                <w:sz w:val="20"/>
              </w:rPr>
              <w:t>Fabricación de carrocerías y remolques</w:t>
            </w:r>
          </w:p>
        </w:tc>
        <w:tc>
          <w:tcPr>
            <w:tcW w:w="614" w:type="dxa"/>
          </w:tcPr>
          <w:p>
            <w:pPr>
              <w:pStyle w:val="TableParagraph"/>
              <w:spacing w:before="75"/>
              <w:ind w:left="106" w:right="106"/>
              <w:rPr>
                <w:sz w:val="20"/>
              </w:rPr>
            </w:pPr>
            <w:r>
              <w:rPr>
                <w:sz w:val="20"/>
              </w:rPr>
              <w:t>7.2</w:t>
            </w:r>
          </w:p>
        </w:tc>
        <w:tc>
          <w:tcPr>
            <w:tcW w:w="617" w:type="dxa"/>
          </w:tcPr>
          <w:p>
            <w:pPr>
              <w:pStyle w:val="TableParagraph"/>
              <w:spacing w:before="75"/>
              <w:ind w:left="108" w:right="109"/>
              <w:rPr>
                <w:sz w:val="20"/>
              </w:rPr>
            </w:pPr>
            <w:r>
              <w:rPr>
                <w:sz w:val="20"/>
              </w:rPr>
              <w:t>1.2</w:t>
            </w:r>
          </w:p>
        </w:tc>
        <w:tc>
          <w:tcPr>
            <w:tcW w:w="617" w:type="dxa"/>
          </w:tcPr>
          <w:p>
            <w:pPr>
              <w:pStyle w:val="TableParagraph"/>
              <w:spacing w:before="75"/>
              <w:ind w:left="108" w:right="108"/>
              <w:rPr>
                <w:sz w:val="20"/>
              </w:rPr>
            </w:pPr>
            <w:r>
              <w:rPr>
                <w:sz w:val="20"/>
              </w:rPr>
              <w:t>7.7</w:t>
            </w:r>
          </w:p>
        </w:tc>
        <w:tc>
          <w:tcPr>
            <w:tcW w:w="614" w:type="dxa"/>
          </w:tcPr>
          <w:p>
            <w:pPr>
              <w:pStyle w:val="TableParagraph"/>
              <w:spacing w:before="75"/>
              <w:ind w:left="105" w:right="107"/>
              <w:rPr>
                <w:sz w:val="20"/>
              </w:rPr>
            </w:pPr>
            <w:r>
              <w:rPr>
                <w:sz w:val="20"/>
              </w:rPr>
              <w:t>2.5</w:t>
            </w:r>
          </w:p>
        </w:tc>
        <w:tc>
          <w:tcPr>
            <w:tcW w:w="617" w:type="dxa"/>
          </w:tcPr>
          <w:p>
            <w:pPr>
              <w:pStyle w:val="TableParagraph"/>
              <w:spacing w:before="75"/>
              <w:ind w:right="177"/>
              <w:jc w:val="right"/>
              <w:rPr>
                <w:sz w:val="20"/>
              </w:rPr>
            </w:pPr>
            <w:r>
              <w:rPr>
                <w:sz w:val="20"/>
              </w:rPr>
              <w:t>0.9</w:t>
            </w:r>
          </w:p>
        </w:tc>
        <w:tc>
          <w:tcPr>
            <w:tcW w:w="617" w:type="dxa"/>
          </w:tcPr>
          <w:p>
            <w:pPr>
              <w:pStyle w:val="TableParagraph"/>
              <w:spacing w:before="75"/>
              <w:ind w:left="108" w:right="109"/>
              <w:rPr>
                <w:sz w:val="20"/>
              </w:rPr>
            </w:pPr>
            <w:r>
              <w:rPr>
                <w:sz w:val="20"/>
              </w:rPr>
              <w:t>0.5</w:t>
            </w:r>
          </w:p>
        </w:tc>
        <w:tc>
          <w:tcPr>
            <w:tcW w:w="615" w:type="dxa"/>
          </w:tcPr>
          <w:p>
            <w:pPr>
              <w:pStyle w:val="TableParagraph"/>
              <w:spacing w:before="75"/>
              <w:ind w:left="157" w:right="157"/>
              <w:rPr>
                <w:sz w:val="20"/>
              </w:rPr>
            </w:pPr>
            <w:r>
              <w:rPr>
                <w:sz w:val="20"/>
              </w:rPr>
              <w:t>0.1</w:t>
            </w:r>
          </w:p>
        </w:tc>
      </w:tr>
      <w:tr>
        <w:trPr>
          <w:trHeight w:val="470" w:hRule="exact"/>
        </w:trPr>
        <w:tc>
          <w:tcPr>
            <w:tcW w:w="4518" w:type="dxa"/>
          </w:tcPr>
          <w:p>
            <w:pPr>
              <w:pStyle w:val="TableParagraph"/>
              <w:ind w:left="103" w:right="130"/>
              <w:jc w:val="left"/>
              <w:rPr>
                <w:b/>
                <w:sz w:val="20"/>
              </w:rPr>
            </w:pPr>
            <w:r>
              <w:rPr>
                <w:b/>
                <w:sz w:val="20"/>
              </w:rPr>
              <w:t>Fabricación de motores de gasolina y sus partes para vehículos automotrices</w:t>
            </w:r>
          </w:p>
        </w:tc>
        <w:tc>
          <w:tcPr>
            <w:tcW w:w="614" w:type="dxa"/>
          </w:tcPr>
          <w:p>
            <w:pPr>
              <w:pStyle w:val="TableParagraph"/>
              <w:spacing w:before="108"/>
              <w:ind w:left="106" w:right="106"/>
              <w:rPr>
                <w:sz w:val="20"/>
              </w:rPr>
            </w:pPr>
            <w:r>
              <w:rPr>
                <w:sz w:val="20"/>
              </w:rPr>
              <w:t>0.1</w:t>
            </w:r>
          </w:p>
        </w:tc>
        <w:tc>
          <w:tcPr>
            <w:tcW w:w="617" w:type="dxa"/>
          </w:tcPr>
          <w:p>
            <w:pPr>
              <w:pStyle w:val="TableParagraph"/>
              <w:spacing w:before="108"/>
              <w:ind w:left="108" w:right="109"/>
              <w:rPr>
                <w:sz w:val="20"/>
              </w:rPr>
            </w:pPr>
            <w:r>
              <w:rPr>
                <w:sz w:val="20"/>
              </w:rPr>
              <w:t>1.1</w:t>
            </w:r>
          </w:p>
        </w:tc>
        <w:tc>
          <w:tcPr>
            <w:tcW w:w="617" w:type="dxa"/>
          </w:tcPr>
          <w:p>
            <w:pPr>
              <w:pStyle w:val="TableParagraph"/>
              <w:spacing w:before="108"/>
              <w:ind w:left="108" w:right="108"/>
              <w:rPr>
                <w:sz w:val="20"/>
              </w:rPr>
            </w:pPr>
            <w:r>
              <w:rPr>
                <w:sz w:val="20"/>
              </w:rPr>
              <w:t>0.5</w:t>
            </w:r>
          </w:p>
        </w:tc>
        <w:tc>
          <w:tcPr>
            <w:tcW w:w="614" w:type="dxa"/>
          </w:tcPr>
          <w:p>
            <w:pPr>
              <w:pStyle w:val="TableParagraph"/>
              <w:spacing w:before="108"/>
              <w:ind w:left="105" w:right="107"/>
              <w:rPr>
                <w:sz w:val="20"/>
              </w:rPr>
            </w:pPr>
            <w:r>
              <w:rPr>
                <w:sz w:val="20"/>
              </w:rPr>
              <w:t>1.0</w:t>
            </w:r>
          </w:p>
        </w:tc>
        <w:tc>
          <w:tcPr>
            <w:tcW w:w="617" w:type="dxa"/>
          </w:tcPr>
          <w:p>
            <w:pPr>
              <w:pStyle w:val="TableParagraph"/>
              <w:spacing w:before="108"/>
              <w:ind w:right="177"/>
              <w:jc w:val="right"/>
              <w:rPr>
                <w:sz w:val="20"/>
              </w:rPr>
            </w:pPr>
            <w:r>
              <w:rPr>
                <w:sz w:val="20"/>
              </w:rPr>
              <w:t>0.1</w:t>
            </w:r>
          </w:p>
        </w:tc>
        <w:tc>
          <w:tcPr>
            <w:tcW w:w="617" w:type="dxa"/>
          </w:tcPr>
          <w:p>
            <w:pPr>
              <w:pStyle w:val="TableParagraph"/>
              <w:spacing w:before="108"/>
              <w:ind w:left="108" w:right="109"/>
              <w:rPr>
                <w:sz w:val="20"/>
              </w:rPr>
            </w:pPr>
            <w:r>
              <w:rPr>
                <w:sz w:val="20"/>
              </w:rPr>
              <w:t>0.1</w:t>
            </w:r>
          </w:p>
        </w:tc>
        <w:tc>
          <w:tcPr>
            <w:tcW w:w="615" w:type="dxa"/>
          </w:tcPr>
          <w:p>
            <w:pPr>
              <w:pStyle w:val="TableParagraph"/>
              <w:spacing w:before="108"/>
              <w:ind w:left="157" w:right="157"/>
              <w:rPr>
                <w:sz w:val="20"/>
              </w:rPr>
            </w:pPr>
            <w:r>
              <w:rPr>
                <w:sz w:val="20"/>
              </w:rPr>
              <w:t>0.0</w:t>
            </w:r>
          </w:p>
        </w:tc>
      </w:tr>
      <w:tr>
        <w:trPr>
          <w:trHeight w:val="408" w:hRule="exact"/>
        </w:trPr>
        <w:tc>
          <w:tcPr>
            <w:tcW w:w="4518" w:type="dxa"/>
          </w:tcPr>
          <w:p>
            <w:pPr>
              <w:pStyle w:val="TableParagraph"/>
              <w:spacing w:before="82"/>
              <w:ind w:left="103" w:right="130"/>
              <w:jc w:val="left"/>
              <w:rPr>
                <w:b/>
                <w:sz w:val="20"/>
              </w:rPr>
            </w:pPr>
            <w:r>
              <w:rPr>
                <w:b/>
                <w:sz w:val="20"/>
              </w:rPr>
              <w:t>Fabricación de partes de sistemas de transmisión</w:t>
            </w:r>
          </w:p>
        </w:tc>
        <w:tc>
          <w:tcPr>
            <w:tcW w:w="614" w:type="dxa"/>
          </w:tcPr>
          <w:p>
            <w:pPr>
              <w:pStyle w:val="TableParagraph"/>
              <w:spacing w:before="77"/>
              <w:ind w:left="106" w:right="106"/>
              <w:rPr>
                <w:sz w:val="20"/>
              </w:rPr>
            </w:pPr>
            <w:r>
              <w:rPr>
                <w:sz w:val="20"/>
              </w:rPr>
              <w:t>2.3</w:t>
            </w:r>
          </w:p>
        </w:tc>
        <w:tc>
          <w:tcPr>
            <w:tcW w:w="617" w:type="dxa"/>
          </w:tcPr>
          <w:p>
            <w:pPr>
              <w:pStyle w:val="TableParagraph"/>
              <w:spacing w:before="77"/>
              <w:ind w:left="108" w:right="109"/>
              <w:rPr>
                <w:sz w:val="20"/>
              </w:rPr>
            </w:pPr>
            <w:r>
              <w:rPr>
                <w:sz w:val="20"/>
              </w:rPr>
              <w:t>6.8</w:t>
            </w:r>
          </w:p>
        </w:tc>
        <w:tc>
          <w:tcPr>
            <w:tcW w:w="617" w:type="dxa"/>
          </w:tcPr>
          <w:p>
            <w:pPr>
              <w:pStyle w:val="TableParagraph"/>
              <w:spacing w:before="77"/>
              <w:ind w:left="108" w:right="108"/>
              <w:rPr>
                <w:sz w:val="20"/>
              </w:rPr>
            </w:pPr>
            <w:r>
              <w:rPr>
                <w:sz w:val="20"/>
              </w:rPr>
              <w:t>12.1</w:t>
            </w:r>
          </w:p>
        </w:tc>
        <w:tc>
          <w:tcPr>
            <w:tcW w:w="614" w:type="dxa"/>
          </w:tcPr>
          <w:p>
            <w:pPr>
              <w:pStyle w:val="TableParagraph"/>
              <w:spacing w:before="77"/>
              <w:ind w:left="105" w:right="107"/>
              <w:rPr>
                <w:sz w:val="20"/>
              </w:rPr>
            </w:pPr>
            <w:r>
              <w:rPr>
                <w:sz w:val="20"/>
              </w:rPr>
              <w:t>9.6</w:t>
            </w:r>
          </w:p>
        </w:tc>
        <w:tc>
          <w:tcPr>
            <w:tcW w:w="617" w:type="dxa"/>
          </w:tcPr>
          <w:p>
            <w:pPr>
              <w:pStyle w:val="TableParagraph"/>
              <w:spacing w:before="77"/>
              <w:ind w:right="177"/>
              <w:jc w:val="right"/>
              <w:rPr>
                <w:sz w:val="20"/>
              </w:rPr>
            </w:pPr>
            <w:r>
              <w:rPr>
                <w:sz w:val="20"/>
              </w:rPr>
              <w:t>3.6</w:t>
            </w:r>
          </w:p>
        </w:tc>
        <w:tc>
          <w:tcPr>
            <w:tcW w:w="617" w:type="dxa"/>
          </w:tcPr>
          <w:p>
            <w:pPr>
              <w:pStyle w:val="TableParagraph"/>
              <w:spacing w:before="77"/>
              <w:ind w:left="108" w:right="109"/>
              <w:rPr>
                <w:sz w:val="20"/>
              </w:rPr>
            </w:pPr>
            <w:r>
              <w:rPr>
                <w:sz w:val="20"/>
              </w:rPr>
              <w:t>3.9</w:t>
            </w:r>
          </w:p>
        </w:tc>
        <w:tc>
          <w:tcPr>
            <w:tcW w:w="615" w:type="dxa"/>
          </w:tcPr>
          <w:p>
            <w:pPr>
              <w:pStyle w:val="TableParagraph"/>
              <w:spacing w:before="77"/>
              <w:ind w:left="157" w:right="157"/>
              <w:rPr>
                <w:sz w:val="20"/>
              </w:rPr>
            </w:pPr>
            <w:r>
              <w:rPr>
                <w:sz w:val="20"/>
              </w:rPr>
              <w:t>0.4</w:t>
            </w:r>
          </w:p>
        </w:tc>
      </w:tr>
      <w:tr>
        <w:trPr>
          <w:trHeight w:val="469" w:hRule="exact"/>
        </w:trPr>
        <w:tc>
          <w:tcPr>
            <w:tcW w:w="4518" w:type="dxa"/>
          </w:tcPr>
          <w:p>
            <w:pPr>
              <w:pStyle w:val="TableParagraph"/>
              <w:ind w:left="103" w:right="130"/>
              <w:jc w:val="left"/>
              <w:rPr>
                <w:b/>
                <w:sz w:val="20"/>
              </w:rPr>
            </w:pPr>
            <w:r>
              <w:rPr>
                <w:b/>
                <w:sz w:val="20"/>
              </w:rPr>
              <w:t>Fabricación de partes de sistemas de dirección y de suspensión para vehículos automotrices</w:t>
            </w:r>
          </w:p>
        </w:tc>
        <w:tc>
          <w:tcPr>
            <w:tcW w:w="614" w:type="dxa"/>
          </w:tcPr>
          <w:p>
            <w:pPr>
              <w:pStyle w:val="TableParagraph"/>
              <w:spacing w:before="109"/>
              <w:ind w:left="106" w:right="106"/>
              <w:rPr>
                <w:sz w:val="20"/>
              </w:rPr>
            </w:pPr>
            <w:r>
              <w:rPr>
                <w:sz w:val="20"/>
              </w:rPr>
              <w:t>0.0</w:t>
            </w:r>
          </w:p>
        </w:tc>
        <w:tc>
          <w:tcPr>
            <w:tcW w:w="617" w:type="dxa"/>
          </w:tcPr>
          <w:p>
            <w:pPr>
              <w:pStyle w:val="TableParagraph"/>
              <w:spacing w:before="109"/>
              <w:ind w:left="108" w:right="109"/>
              <w:rPr>
                <w:sz w:val="20"/>
              </w:rPr>
            </w:pPr>
            <w:r>
              <w:rPr>
                <w:sz w:val="20"/>
              </w:rPr>
              <w:t>0.0</w:t>
            </w:r>
          </w:p>
        </w:tc>
        <w:tc>
          <w:tcPr>
            <w:tcW w:w="617" w:type="dxa"/>
          </w:tcPr>
          <w:p>
            <w:pPr>
              <w:pStyle w:val="TableParagraph"/>
              <w:spacing w:before="109"/>
              <w:ind w:left="108" w:right="108"/>
              <w:rPr>
                <w:sz w:val="20"/>
              </w:rPr>
            </w:pPr>
            <w:r>
              <w:rPr>
                <w:sz w:val="20"/>
              </w:rPr>
              <w:t>0.5</w:t>
            </w:r>
          </w:p>
        </w:tc>
        <w:tc>
          <w:tcPr>
            <w:tcW w:w="614" w:type="dxa"/>
          </w:tcPr>
          <w:p>
            <w:pPr>
              <w:pStyle w:val="TableParagraph"/>
              <w:spacing w:before="109"/>
              <w:ind w:left="105" w:right="107"/>
              <w:rPr>
                <w:sz w:val="20"/>
              </w:rPr>
            </w:pPr>
            <w:r>
              <w:rPr>
                <w:sz w:val="20"/>
              </w:rPr>
              <w:t>0.1</w:t>
            </w:r>
          </w:p>
        </w:tc>
        <w:tc>
          <w:tcPr>
            <w:tcW w:w="617" w:type="dxa"/>
          </w:tcPr>
          <w:p>
            <w:pPr>
              <w:pStyle w:val="TableParagraph"/>
              <w:spacing w:before="109"/>
              <w:ind w:right="177"/>
              <w:jc w:val="right"/>
              <w:rPr>
                <w:sz w:val="20"/>
              </w:rPr>
            </w:pPr>
            <w:r>
              <w:rPr>
                <w:sz w:val="20"/>
              </w:rPr>
              <w:t>0.2</w:t>
            </w:r>
          </w:p>
        </w:tc>
        <w:tc>
          <w:tcPr>
            <w:tcW w:w="617" w:type="dxa"/>
          </w:tcPr>
          <w:p>
            <w:pPr>
              <w:pStyle w:val="TableParagraph"/>
              <w:spacing w:before="109"/>
              <w:ind w:left="108" w:right="109"/>
              <w:rPr>
                <w:sz w:val="20"/>
              </w:rPr>
            </w:pPr>
            <w:r>
              <w:rPr>
                <w:sz w:val="20"/>
              </w:rPr>
              <w:t>1.5</w:t>
            </w:r>
          </w:p>
        </w:tc>
        <w:tc>
          <w:tcPr>
            <w:tcW w:w="615" w:type="dxa"/>
          </w:tcPr>
          <w:p>
            <w:pPr>
              <w:pStyle w:val="TableParagraph"/>
              <w:spacing w:before="109"/>
              <w:ind w:left="157" w:right="157"/>
              <w:rPr>
                <w:sz w:val="20"/>
              </w:rPr>
            </w:pPr>
            <w:r>
              <w:rPr>
                <w:sz w:val="20"/>
              </w:rPr>
              <w:t>0.2</w:t>
            </w:r>
          </w:p>
        </w:tc>
      </w:tr>
      <w:tr>
        <w:trPr>
          <w:trHeight w:val="470" w:hRule="exact"/>
        </w:trPr>
        <w:tc>
          <w:tcPr>
            <w:tcW w:w="4518" w:type="dxa"/>
          </w:tcPr>
          <w:p>
            <w:pPr>
              <w:pStyle w:val="TableParagraph"/>
              <w:ind w:left="103" w:right="235"/>
              <w:jc w:val="left"/>
              <w:rPr>
                <w:b/>
                <w:sz w:val="20"/>
              </w:rPr>
            </w:pPr>
            <w:r>
              <w:rPr>
                <w:b/>
                <w:sz w:val="20"/>
              </w:rPr>
              <w:t>Fabricación de partes de sistemas de frenos para vehículos automotrices</w:t>
            </w:r>
          </w:p>
        </w:tc>
        <w:tc>
          <w:tcPr>
            <w:tcW w:w="614" w:type="dxa"/>
          </w:tcPr>
          <w:p>
            <w:pPr>
              <w:pStyle w:val="TableParagraph"/>
              <w:spacing w:before="108"/>
              <w:ind w:left="106" w:right="106"/>
              <w:rPr>
                <w:sz w:val="20"/>
              </w:rPr>
            </w:pPr>
            <w:r>
              <w:rPr>
                <w:sz w:val="20"/>
              </w:rPr>
              <w:t>0.0</w:t>
            </w:r>
          </w:p>
        </w:tc>
        <w:tc>
          <w:tcPr>
            <w:tcW w:w="617" w:type="dxa"/>
          </w:tcPr>
          <w:p>
            <w:pPr>
              <w:pStyle w:val="TableParagraph"/>
              <w:spacing w:before="108"/>
              <w:ind w:left="108" w:right="109"/>
              <w:rPr>
                <w:sz w:val="20"/>
              </w:rPr>
            </w:pPr>
            <w:r>
              <w:rPr>
                <w:sz w:val="20"/>
              </w:rPr>
              <w:t>1.9</w:t>
            </w:r>
          </w:p>
        </w:tc>
        <w:tc>
          <w:tcPr>
            <w:tcW w:w="617" w:type="dxa"/>
          </w:tcPr>
          <w:p>
            <w:pPr>
              <w:pStyle w:val="TableParagraph"/>
              <w:spacing w:before="108"/>
              <w:ind w:left="108" w:right="108"/>
              <w:rPr>
                <w:sz w:val="20"/>
              </w:rPr>
            </w:pPr>
            <w:r>
              <w:rPr>
                <w:sz w:val="20"/>
              </w:rPr>
              <w:t>2.3</w:t>
            </w:r>
          </w:p>
        </w:tc>
        <w:tc>
          <w:tcPr>
            <w:tcW w:w="614" w:type="dxa"/>
          </w:tcPr>
          <w:p>
            <w:pPr>
              <w:pStyle w:val="TableParagraph"/>
              <w:spacing w:before="108"/>
              <w:ind w:left="105" w:right="107"/>
              <w:rPr>
                <w:sz w:val="20"/>
              </w:rPr>
            </w:pPr>
            <w:r>
              <w:rPr>
                <w:sz w:val="20"/>
              </w:rPr>
              <w:t>1.3</w:t>
            </w:r>
          </w:p>
        </w:tc>
        <w:tc>
          <w:tcPr>
            <w:tcW w:w="617" w:type="dxa"/>
          </w:tcPr>
          <w:p>
            <w:pPr>
              <w:pStyle w:val="TableParagraph"/>
              <w:spacing w:before="108"/>
              <w:ind w:right="177"/>
              <w:jc w:val="right"/>
              <w:rPr>
                <w:sz w:val="20"/>
              </w:rPr>
            </w:pPr>
            <w:r>
              <w:rPr>
                <w:sz w:val="20"/>
              </w:rPr>
              <w:t>0.6</w:t>
            </w:r>
          </w:p>
        </w:tc>
        <w:tc>
          <w:tcPr>
            <w:tcW w:w="617" w:type="dxa"/>
          </w:tcPr>
          <w:p>
            <w:pPr>
              <w:pStyle w:val="TableParagraph"/>
              <w:spacing w:before="108"/>
              <w:ind w:left="108" w:right="109"/>
              <w:rPr>
                <w:sz w:val="20"/>
              </w:rPr>
            </w:pPr>
            <w:r>
              <w:rPr>
                <w:sz w:val="20"/>
              </w:rPr>
              <w:t>1.4</w:t>
            </w:r>
          </w:p>
        </w:tc>
        <w:tc>
          <w:tcPr>
            <w:tcW w:w="615" w:type="dxa"/>
          </w:tcPr>
          <w:p>
            <w:pPr>
              <w:pStyle w:val="TableParagraph"/>
              <w:spacing w:before="108"/>
              <w:ind w:left="157" w:right="157"/>
              <w:rPr>
                <w:sz w:val="20"/>
              </w:rPr>
            </w:pPr>
            <w:r>
              <w:rPr>
                <w:sz w:val="20"/>
              </w:rPr>
              <w:t>0.2</w:t>
            </w:r>
          </w:p>
        </w:tc>
      </w:tr>
      <w:tr>
        <w:trPr>
          <w:trHeight w:val="470" w:hRule="exact"/>
        </w:trPr>
        <w:tc>
          <w:tcPr>
            <w:tcW w:w="4518" w:type="dxa"/>
          </w:tcPr>
          <w:p>
            <w:pPr>
              <w:pStyle w:val="TableParagraph"/>
              <w:ind w:left="103"/>
              <w:jc w:val="left"/>
              <w:rPr>
                <w:b/>
                <w:sz w:val="20"/>
              </w:rPr>
            </w:pPr>
            <w:r>
              <w:rPr>
                <w:b/>
                <w:sz w:val="20"/>
              </w:rPr>
              <w:t>Fabricación de equipo eléctrico y electrónico para vehículos automotores</w:t>
            </w:r>
          </w:p>
        </w:tc>
        <w:tc>
          <w:tcPr>
            <w:tcW w:w="614" w:type="dxa"/>
          </w:tcPr>
          <w:p>
            <w:pPr>
              <w:pStyle w:val="TableParagraph"/>
              <w:spacing w:before="108"/>
              <w:ind w:left="106" w:right="106"/>
              <w:rPr>
                <w:sz w:val="20"/>
              </w:rPr>
            </w:pPr>
            <w:r>
              <w:rPr>
                <w:sz w:val="20"/>
              </w:rPr>
              <w:t>4.0</w:t>
            </w:r>
          </w:p>
        </w:tc>
        <w:tc>
          <w:tcPr>
            <w:tcW w:w="617" w:type="dxa"/>
          </w:tcPr>
          <w:p>
            <w:pPr>
              <w:pStyle w:val="TableParagraph"/>
              <w:spacing w:before="108"/>
              <w:ind w:left="108" w:right="109"/>
              <w:rPr>
                <w:sz w:val="20"/>
              </w:rPr>
            </w:pPr>
            <w:r>
              <w:rPr>
                <w:sz w:val="20"/>
              </w:rPr>
              <w:t>0.5</w:t>
            </w:r>
          </w:p>
        </w:tc>
        <w:tc>
          <w:tcPr>
            <w:tcW w:w="617" w:type="dxa"/>
          </w:tcPr>
          <w:p>
            <w:pPr>
              <w:pStyle w:val="TableParagraph"/>
              <w:spacing w:before="108"/>
              <w:ind w:left="108" w:right="108"/>
              <w:rPr>
                <w:sz w:val="20"/>
              </w:rPr>
            </w:pPr>
            <w:r>
              <w:rPr>
                <w:sz w:val="20"/>
              </w:rPr>
              <w:t>0.5</w:t>
            </w:r>
          </w:p>
        </w:tc>
        <w:tc>
          <w:tcPr>
            <w:tcW w:w="614" w:type="dxa"/>
          </w:tcPr>
          <w:p>
            <w:pPr>
              <w:pStyle w:val="TableParagraph"/>
              <w:spacing w:before="108"/>
              <w:ind w:left="105" w:right="107"/>
              <w:rPr>
                <w:sz w:val="20"/>
              </w:rPr>
            </w:pPr>
            <w:r>
              <w:rPr>
                <w:sz w:val="20"/>
              </w:rPr>
              <w:t>1.1</w:t>
            </w:r>
          </w:p>
        </w:tc>
        <w:tc>
          <w:tcPr>
            <w:tcW w:w="617" w:type="dxa"/>
          </w:tcPr>
          <w:p>
            <w:pPr>
              <w:pStyle w:val="TableParagraph"/>
              <w:spacing w:before="108"/>
              <w:ind w:right="177"/>
              <w:jc w:val="right"/>
              <w:rPr>
                <w:sz w:val="20"/>
              </w:rPr>
            </w:pPr>
            <w:r>
              <w:rPr>
                <w:sz w:val="20"/>
              </w:rPr>
              <w:t>0.1</w:t>
            </w:r>
          </w:p>
        </w:tc>
        <w:tc>
          <w:tcPr>
            <w:tcW w:w="617" w:type="dxa"/>
          </w:tcPr>
          <w:p>
            <w:pPr>
              <w:pStyle w:val="TableParagraph"/>
              <w:spacing w:before="108"/>
              <w:ind w:left="108" w:right="109"/>
              <w:rPr>
                <w:sz w:val="20"/>
              </w:rPr>
            </w:pPr>
            <w:r>
              <w:rPr>
                <w:sz w:val="20"/>
              </w:rPr>
              <w:t>0.3</w:t>
            </w:r>
          </w:p>
        </w:tc>
        <w:tc>
          <w:tcPr>
            <w:tcW w:w="615" w:type="dxa"/>
          </w:tcPr>
          <w:p>
            <w:pPr>
              <w:pStyle w:val="TableParagraph"/>
              <w:spacing w:before="108"/>
              <w:ind w:left="157" w:right="157"/>
              <w:rPr>
                <w:sz w:val="20"/>
              </w:rPr>
            </w:pPr>
            <w:r>
              <w:rPr>
                <w:sz w:val="20"/>
              </w:rPr>
              <w:t>0.1</w:t>
            </w:r>
          </w:p>
        </w:tc>
      </w:tr>
      <w:tr>
        <w:trPr>
          <w:trHeight w:val="470" w:hRule="exact"/>
        </w:trPr>
        <w:tc>
          <w:tcPr>
            <w:tcW w:w="4518" w:type="dxa"/>
          </w:tcPr>
          <w:p>
            <w:pPr>
              <w:pStyle w:val="TableParagraph"/>
              <w:ind w:left="103" w:right="130"/>
              <w:jc w:val="left"/>
              <w:rPr>
                <w:b/>
                <w:sz w:val="20"/>
              </w:rPr>
            </w:pPr>
            <w:r>
              <w:rPr>
                <w:b/>
                <w:sz w:val="20"/>
              </w:rPr>
              <w:t>Fabricación de otras partes para vehículos automotrices</w:t>
            </w:r>
          </w:p>
        </w:tc>
        <w:tc>
          <w:tcPr>
            <w:tcW w:w="614" w:type="dxa"/>
          </w:tcPr>
          <w:p>
            <w:pPr>
              <w:pStyle w:val="TableParagraph"/>
              <w:spacing w:before="108"/>
              <w:ind w:left="106" w:right="106"/>
              <w:rPr>
                <w:sz w:val="20"/>
              </w:rPr>
            </w:pPr>
            <w:r>
              <w:rPr>
                <w:sz w:val="20"/>
              </w:rPr>
              <w:t>3.3</w:t>
            </w:r>
          </w:p>
        </w:tc>
        <w:tc>
          <w:tcPr>
            <w:tcW w:w="617" w:type="dxa"/>
          </w:tcPr>
          <w:p>
            <w:pPr>
              <w:pStyle w:val="TableParagraph"/>
              <w:spacing w:before="108"/>
              <w:ind w:left="108" w:right="109"/>
              <w:rPr>
                <w:sz w:val="20"/>
              </w:rPr>
            </w:pPr>
            <w:r>
              <w:rPr>
                <w:sz w:val="20"/>
              </w:rPr>
              <w:t>0.3</w:t>
            </w:r>
          </w:p>
        </w:tc>
        <w:tc>
          <w:tcPr>
            <w:tcW w:w="617" w:type="dxa"/>
          </w:tcPr>
          <w:p>
            <w:pPr>
              <w:pStyle w:val="TableParagraph"/>
              <w:spacing w:before="108"/>
              <w:ind w:left="108" w:right="108"/>
              <w:rPr>
                <w:sz w:val="20"/>
              </w:rPr>
            </w:pPr>
            <w:r>
              <w:rPr>
                <w:sz w:val="20"/>
              </w:rPr>
              <w:t>0.6</w:t>
            </w:r>
          </w:p>
        </w:tc>
        <w:tc>
          <w:tcPr>
            <w:tcW w:w="614" w:type="dxa"/>
          </w:tcPr>
          <w:p>
            <w:pPr>
              <w:pStyle w:val="TableParagraph"/>
              <w:spacing w:before="108"/>
              <w:ind w:left="105" w:right="107"/>
              <w:rPr>
                <w:sz w:val="20"/>
              </w:rPr>
            </w:pPr>
            <w:r>
              <w:rPr>
                <w:sz w:val="20"/>
              </w:rPr>
              <w:t>1.8</w:t>
            </w:r>
          </w:p>
        </w:tc>
        <w:tc>
          <w:tcPr>
            <w:tcW w:w="617" w:type="dxa"/>
            <w:tcBorders>
              <w:right w:val="single" w:sz="4" w:space="0" w:color="A8D08D"/>
            </w:tcBorders>
          </w:tcPr>
          <w:p>
            <w:pPr>
              <w:pStyle w:val="TableParagraph"/>
              <w:spacing w:before="108"/>
              <w:ind w:right="177"/>
              <w:jc w:val="right"/>
              <w:rPr>
                <w:sz w:val="20"/>
              </w:rPr>
            </w:pPr>
            <w:r>
              <w:rPr>
                <w:sz w:val="20"/>
              </w:rPr>
              <w:t>0.8</w:t>
            </w:r>
          </w:p>
        </w:tc>
        <w:tc>
          <w:tcPr>
            <w:tcW w:w="617" w:type="dxa"/>
            <w:tcBorders>
              <w:left w:val="single" w:sz="4" w:space="0" w:color="A8D08D"/>
            </w:tcBorders>
          </w:tcPr>
          <w:p>
            <w:pPr>
              <w:pStyle w:val="TableParagraph"/>
              <w:spacing w:before="108"/>
              <w:ind w:left="108" w:right="109"/>
              <w:rPr>
                <w:sz w:val="20"/>
              </w:rPr>
            </w:pPr>
            <w:r>
              <w:rPr>
                <w:sz w:val="20"/>
              </w:rPr>
              <w:t>1.5</w:t>
            </w:r>
          </w:p>
        </w:tc>
        <w:tc>
          <w:tcPr>
            <w:tcW w:w="615" w:type="dxa"/>
          </w:tcPr>
          <w:p>
            <w:pPr>
              <w:pStyle w:val="TableParagraph"/>
              <w:spacing w:before="108"/>
              <w:ind w:left="157" w:right="157"/>
              <w:rPr>
                <w:sz w:val="20"/>
              </w:rPr>
            </w:pPr>
            <w:r>
              <w:rPr>
                <w:sz w:val="20"/>
              </w:rPr>
              <w:t>0.2</w:t>
            </w:r>
          </w:p>
        </w:tc>
      </w:tr>
    </w:tbl>
    <w:p>
      <w:pPr>
        <w:spacing w:line="202" w:lineRule="exact" w:before="0"/>
        <w:ind w:left="102" w:right="0" w:firstLine="0"/>
        <w:jc w:val="both"/>
        <w:rPr>
          <w:sz w:val="18"/>
        </w:rPr>
      </w:pPr>
      <w:r>
        <w:rPr>
          <w:sz w:val="18"/>
        </w:rPr>
        <w:t>Fuente: Elaboración propia con datos de INEGI (varios años).</w:t>
      </w:r>
    </w:p>
    <w:p>
      <w:pPr>
        <w:pStyle w:val="BodyText"/>
        <w:rPr>
          <w:sz w:val="18"/>
        </w:rPr>
      </w:pPr>
    </w:p>
    <w:p>
      <w:pPr>
        <w:pStyle w:val="BodyText"/>
        <w:spacing w:line="360" w:lineRule="auto" w:before="135"/>
        <w:ind w:left="102" w:right="121"/>
        <w:jc w:val="both"/>
      </w:pPr>
      <w:r>
        <w:rPr/>
        <w:t>Lo anterior nos permite dimensionar los efectos que la industria automotriz genera en la manufactura regional, si bien los coeficientes de localización no son contundentes al demostrar un efecto impulsor de crecimiento de la automotriz sobre las manufacturas, la participación porcentual que tiene la región centro norte sobre la manufactura nacional y el aumento de la participación de la industria automotriz sobre la manufactura regional, nos permite concluir que existe una relación positiva entre la industria automotriz y manufacturera en la región.</w:t>
      </w:r>
    </w:p>
    <w:p>
      <w:pPr>
        <w:pStyle w:val="BodyText"/>
        <w:spacing w:before="4"/>
        <w:rPr>
          <w:sz w:val="21"/>
        </w:rPr>
      </w:pPr>
    </w:p>
    <w:p>
      <w:pPr>
        <w:pStyle w:val="BodyText"/>
        <w:spacing w:line="360" w:lineRule="auto" w:before="1"/>
        <w:ind w:left="102" w:right="116"/>
        <w:jc w:val="both"/>
      </w:pPr>
      <w:r>
        <w:rPr/>
        <w:t>Así la región centro-norte, se ubica una industria automotriz joven y altamente dinámica, es una</w:t>
      </w:r>
      <w:r>
        <w:rPr>
          <w:spacing w:val="-8"/>
        </w:rPr>
        <w:t> </w:t>
      </w:r>
      <w:r>
        <w:rPr/>
        <w:t>región</w:t>
      </w:r>
      <w:r>
        <w:rPr>
          <w:spacing w:val="-7"/>
        </w:rPr>
        <w:t> </w:t>
      </w:r>
      <w:r>
        <w:rPr/>
        <w:t>que</w:t>
      </w:r>
      <w:r>
        <w:rPr>
          <w:spacing w:val="-8"/>
        </w:rPr>
        <w:t> </w:t>
      </w:r>
      <w:r>
        <w:rPr/>
        <w:t>cuenta</w:t>
      </w:r>
      <w:r>
        <w:rPr>
          <w:spacing w:val="-8"/>
        </w:rPr>
        <w:t> </w:t>
      </w:r>
      <w:r>
        <w:rPr/>
        <w:t>con</w:t>
      </w:r>
      <w:r>
        <w:rPr>
          <w:spacing w:val="-7"/>
        </w:rPr>
        <w:t> </w:t>
      </w:r>
      <w:r>
        <w:rPr/>
        <w:t>capacidades</w:t>
      </w:r>
      <w:r>
        <w:rPr>
          <w:spacing w:val="-5"/>
        </w:rPr>
        <w:t> </w:t>
      </w:r>
      <w:r>
        <w:rPr/>
        <w:t>y</w:t>
      </w:r>
      <w:r>
        <w:rPr>
          <w:spacing w:val="-12"/>
        </w:rPr>
        <w:t> </w:t>
      </w:r>
      <w:r>
        <w:rPr/>
        <w:t>fuerzas</w:t>
      </w:r>
      <w:r>
        <w:rPr>
          <w:spacing w:val="-7"/>
        </w:rPr>
        <w:t> </w:t>
      </w:r>
      <w:r>
        <w:rPr/>
        <w:t>productivas,</w:t>
      </w:r>
      <w:r>
        <w:rPr>
          <w:spacing w:val="-7"/>
        </w:rPr>
        <w:t> </w:t>
      </w:r>
      <w:r>
        <w:rPr/>
        <w:t>una</w:t>
      </w:r>
      <w:r>
        <w:rPr>
          <w:spacing w:val="-8"/>
        </w:rPr>
        <w:t> </w:t>
      </w:r>
      <w:r>
        <w:rPr/>
        <w:t>ubicación</w:t>
      </w:r>
      <w:r>
        <w:rPr>
          <w:spacing w:val="-5"/>
        </w:rPr>
        <w:t> </w:t>
      </w:r>
      <w:r>
        <w:rPr/>
        <w:t>estratégica</w:t>
      </w:r>
      <w:r>
        <w:rPr>
          <w:spacing w:val="-8"/>
        </w:rPr>
        <w:t> </w:t>
      </w:r>
      <w:r>
        <w:rPr/>
        <w:t>en</w:t>
      </w:r>
      <w:r>
        <w:rPr>
          <w:spacing w:val="-7"/>
        </w:rPr>
        <w:t> </w:t>
      </w:r>
      <w:r>
        <w:rPr/>
        <w:t>el territorio nacional; una infraestructura carretera que mantiene comunicada a la región con el resto de las entidades del país, y por ende, fácil acceso al mercado externo, con lo que en un futuro cercano se espera tome mayor participación en cuanto a producción y empleo a nivel nacional y</w:t>
      </w:r>
      <w:r>
        <w:rPr>
          <w:spacing w:val="-5"/>
        </w:rPr>
        <w:t> </w:t>
      </w:r>
      <w:r>
        <w:rPr/>
        <w:t>regional.</w:t>
      </w:r>
    </w:p>
    <w:p>
      <w:pPr>
        <w:pStyle w:val="BodyText"/>
        <w:spacing w:before="9"/>
        <w:rPr>
          <w:sz w:val="21"/>
        </w:rPr>
      </w:pPr>
    </w:p>
    <w:p>
      <w:pPr>
        <w:pStyle w:val="Heading1"/>
        <w:numPr>
          <w:ilvl w:val="2"/>
          <w:numId w:val="29"/>
        </w:numPr>
        <w:tabs>
          <w:tab w:pos="729" w:val="left" w:leader="none"/>
        </w:tabs>
        <w:spacing w:line="360" w:lineRule="auto" w:before="0" w:after="0"/>
        <w:ind w:left="102" w:right="117" w:firstLine="0"/>
        <w:jc w:val="both"/>
      </w:pPr>
      <w:r>
        <w:rPr/>
        <w:t>Desempeño de la industria automotriz y el sector manufacturero de la Región Occidente</w:t>
      </w:r>
    </w:p>
    <w:p>
      <w:pPr>
        <w:pStyle w:val="BodyText"/>
        <w:rPr>
          <w:b/>
          <w:sz w:val="21"/>
        </w:rPr>
      </w:pPr>
    </w:p>
    <w:p>
      <w:pPr>
        <w:pStyle w:val="BodyText"/>
        <w:spacing w:line="360" w:lineRule="auto"/>
        <w:ind w:left="102" w:right="117"/>
        <w:jc w:val="both"/>
      </w:pPr>
      <w:r>
        <w:rPr/>
        <w:t>De acuerdo con Rodríguez y Cota, 1999, el establecimiento de nuevas plantas automotrices en la región centro-occidente del país, se debió a la saturación de la región centro y norte de</w:t>
      </w:r>
    </w:p>
    <w:p>
      <w:pPr>
        <w:spacing w:after="0" w:line="360" w:lineRule="auto"/>
        <w:jc w:val="both"/>
        <w:sectPr>
          <w:pgSz w:w="12240" w:h="15840"/>
          <w:pgMar w:header="0" w:footer="1035" w:top="1360" w:bottom="1220" w:left="1600" w:right="1580"/>
        </w:sectPr>
      </w:pPr>
    </w:p>
    <w:p>
      <w:pPr>
        <w:pStyle w:val="BodyText"/>
        <w:spacing w:line="360" w:lineRule="auto" w:before="50"/>
        <w:ind w:left="102" w:right="123"/>
        <w:jc w:val="both"/>
      </w:pPr>
      <w:r>
        <w:rPr/>
        <w:t>México, así como a la creación de nuevos espacios en ciudades que iniciaban su desarrollo económico.</w:t>
      </w:r>
    </w:p>
    <w:p>
      <w:pPr>
        <w:pStyle w:val="BodyText"/>
        <w:spacing w:before="2"/>
        <w:rPr>
          <w:sz w:val="21"/>
        </w:rPr>
      </w:pPr>
    </w:p>
    <w:p>
      <w:pPr>
        <w:pStyle w:val="BodyText"/>
        <w:spacing w:line="360" w:lineRule="auto"/>
        <w:ind w:left="102" w:right="121"/>
        <w:jc w:val="both"/>
      </w:pPr>
      <w:r>
        <w:rPr/>
        <w:t>Pese a ello, a diferencia de las demás regiones, la región occidente ha presentado crecimientos más moderados durante el periodo de análisis. En este sentido, de acuerdo al cuadro 4.30, la región occidente redujo su participación en cuanto a unidades económicas en el sector manufacturero nacional, pues si en 1980 representaba el 8.6, en 2009</w:t>
      </w:r>
      <w:r>
        <w:rPr>
          <w:spacing w:val="-20"/>
        </w:rPr>
        <w:t> </w:t>
      </w:r>
      <w:r>
        <w:rPr/>
        <w:t>representó el 7.8. Sin embargo, esto no fue un obstáculo para que incrementara su participación en las variables de personal ocupado, producción bruta total y valor agregado censal bruto, donde su participación creció en 1.9, 1.1 y 1.8 puntos porcentuales,</w:t>
      </w:r>
      <w:r>
        <w:rPr>
          <w:spacing w:val="-9"/>
        </w:rPr>
        <w:t> </w:t>
      </w:r>
      <w:r>
        <w:rPr/>
        <w:t>respectivamente.</w:t>
      </w:r>
    </w:p>
    <w:p>
      <w:pPr>
        <w:pStyle w:val="BodyText"/>
        <w:spacing w:before="9"/>
        <w:rPr>
          <w:sz w:val="21"/>
        </w:rPr>
      </w:pPr>
    </w:p>
    <w:p>
      <w:pPr>
        <w:pStyle w:val="Heading1"/>
        <w:spacing w:line="360" w:lineRule="auto" w:after="5"/>
        <w:ind w:right="404"/>
        <w:jc w:val="center"/>
      </w:pPr>
      <w:r>
        <w:rPr/>
        <w:t>Cuadro 4.30. Participación porcentual del sector manufacturero de la Región Occidente, en el total de la manufactura nacional, 1980 y 2008 (principales características)</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9"/>
        <w:gridCol w:w="1037"/>
        <w:gridCol w:w="890"/>
        <w:gridCol w:w="890"/>
        <w:gridCol w:w="1215"/>
        <w:gridCol w:w="1018"/>
        <w:gridCol w:w="1371"/>
        <w:gridCol w:w="1368"/>
      </w:tblGrid>
      <w:tr>
        <w:trPr>
          <w:trHeight w:val="576" w:hRule="exact"/>
        </w:trPr>
        <w:tc>
          <w:tcPr>
            <w:tcW w:w="2077" w:type="dxa"/>
            <w:gridSpan w:val="2"/>
            <w:shd w:val="clear" w:color="auto" w:fill="A6A6A6"/>
          </w:tcPr>
          <w:p>
            <w:pPr>
              <w:pStyle w:val="TableParagraph"/>
              <w:spacing w:before="51"/>
              <w:ind w:left="520" w:firstLine="112"/>
              <w:jc w:val="left"/>
              <w:rPr>
                <w:b/>
                <w:sz w:val="20"/>
              </w:rPr>
            </w:pPr>
            <w:r>
              <w:rPr>
                <w:b/>
                <w:sz w:val="20"/>
              </w:rPr>
              <w:t>Unidades </w:t>
            </w:r>
            <w:r>
              <w:rPr>
                <w:b/>
                <w:w w:val="95"/>
                <w:sz w:val="20"/>
              </w:rPr>
              <w:t>Económicas</w:t>
            </w:r>
          </w:p>
        </w:tc>
        <w:tc>
          <w:tcPr>
            <w:tcW w:w="1781" w:type="dxa"/>
            <w:gridSpan w:val="2"/>
            <w:shd w:val="clear" w:color="auto" w:fill="A6A6A6"/>
          </w:tcPr>
          <w:p>
            <w:pPr>
              <w:pStyle w:val="TableParagraph"/>
              <w:spacing w:before="51"/>
              <w:ind w:left="496" w:right="477" w:firstLine="16"/>
              <w:jc w:val="left"/>
              <w:rPr>
                <w:b/>
                <w:sz w:val="20"/>
              </w:rPr>
            </w:pPr>
            <w:r>
              <w:rPr>
                <w:b/>
                <w:sz w:val="20"/>
              </w:rPr>
              <w:t>Personal Ocupado</w:t>
            </w:r>
          </w:p>
        </w:tc>
        <w:tc>
          <w:tcPr>
            <w:tcW w:w="2232" w:type="dxa"/>
            <w:gridSpan w:val="2"/>
            <w:shd w:val="clear" w:color="auto" w:fill="A6A6A6"/>
          </w:tcPr>
          <w:p>
            <w:pPr>
              <w:pStyle w:val="TableParagraph"/>
              <w:spacing w:before="51"/>
              <w:ind w:left="883" w:right="328" w:hanging="536"/>
              <w:jc w:val="left"/>
              <w:rPr>
                <w:b/>
                <w:sz w:val="20"/>
              </w:rPr>
            </w:pPr>
            <w:r>
              <w:rPr>
                <w:b/>
                <w:sz w:val="20"/>
              </w:rPr>
              <w:t>Producción Bruta Total</w:t>
            </w:r>
          </w:p>
        </w:tc>
        <w:tc>
          <w:tcPr>
            <w:tcW w:w="2739" w:type="dxa"/>
            <w:gridSpan w:val="2"/>
            <w:shd w:val="clear" w:color="auto" w:fill="A6A6A6"/>
          </w:tcPr>
          <w:p>
            <w:pPr>
              <w:pStyle w:val="TableParagraph"/>
              <w:spacing w:before="51"/>
              <w:ind w:left="1114" w:right="348" w:hanging="752"/>
              <w:jc w:val="left"/>
              <w:rPr>
                <w:b/>
                <w:sz w:val="20"/>
              </w:rPr>
            </w:pPr>
            <w:r>
              <w:rPr>
                <w:b/>
                <w:sz w:val="20"/>
              </w:rPr>
              <w:t>Valor Agregado Censal Bruto</w:t>
            </w:r>
          </w:p>
        </w:tc>
      </w:tr>
      <w:tr>
        <w:trPr>
          <w:trHeight w:val="310" w:hRule="exact"/>
        </w:trPr>
        <w:tc>
          <w:tcPr>
            <w:tcW w:w="1039" w:type="dxa"/>
            <w:tcBorders>
              <w:top w:val="single" w:sz="21" w:space="0" w:color="A6A6A6"/>
            </w:tcBorders>
            <w:shd w:val="clear" w:color="auto" w:fill="E1EED9"/>
          </w:tcPr>
          <w:p>
            <w:pPr>
              <w:pStyle w:val="TableParagraph"/>
              <w:spacing w:before="12"/>
              <w:ind w:left="295" w:right="293"/>
              <w:rPr>
                <w:b/>
                <w:sz w:val="20"/>
              </w:rPr>
            </w:pPr>
            <w:r>
              <w:rPr>
                <w:b/>
                <w:sz w:val="20"/>
              </w:rPr>
              <w:t>1980</w:t>
            </w:r>
          </w:p>
        </w:tc>
        <w:tc>
          <w:tcPr>
            <w:tcW w:w="1037" w:type="dxa"/>
            <w:tcBorders>
              <w:top w:val="single" w:sz="21" w:space="0" w:color="A6A6A6"/>
            </w:tcBorders>
            <w:shd w:val="clear" w:color="auto" w:fill="E1EED9"/>
          </w:tcPr>
          <w:p>
            <w:pPr>
              <w:pStyle w:val="TableParagraph"/>
              <w:spacing w:before="12"/>
              <w:ind w:left="293" w:right="293"/>
              <w:rPr>
                <w:b/>
                <w:sz w:val="20"/>
              </w:rPr>
            </w:pPr>
            <w:r>
              <w:rPr>
                <w:b/>
                <w:sz w:val="20"/>
              </w:rPr>
              <w:t>2008</w:t>
            </w:r>
          </w:p>
        </w:tc>
        <w:tc>
          <w:tcPr>
            <w:tcW w:w="890" w:type="dxa"/>
            <w:tcBorders>
              <w:top w:val="single" w:sz="21" w:space="0" w:color="A6A6A6"/>
            </w:tcBorders>
            <w:shd w:val="clear" w:color="auto" w:fill="E1EED9"/>
          </w:tcPr>
          <w:p>
            <w:pPr>
              <w:pStyle w:val="TableParagraph"/>
              <w:spacing w:before="12"/>
              <w:ind w:left="220" w:right="218"/>
              <w:rPr>
                <w:b/>
                <w:sz w:val="20"/>
              </w:rPr>
            </w:pPr>
            <w:r>
              <w:rPr>
                <w:b/>
                <w:sz w:val="20"/>
              </w:rPr>
              <w:t>1980</w:t>
            </w:r>
          </w:p>
        </w:tc>
        <w:tc>
          <w:tcPr>
            <w:tcW w:w="890" w:type="dxa"/>
            <w:tcBorders>
              <w:top w:val="single" w:sz="21" w:space="0" w:color="A6A6A6"/>
            </w:tcBorders>
            <w:shd w:val="clear" w:color="auto" w:fill="E1EED9"/>
          </w:tcPr>
          <w:p>
            <w:pPr>
              <w:pStyle w:val="TableParagraph"/>
              <w:spacing w:before="12"/>
              <w:ind w:left="220" w:right="218"/>
              <w:rPr>
                <w:b/>
                <w:sz w:val="20"/>
              </w:rPr>
            </w:pPr>
            <w:r>
              <w:rPr>
                <w:b/>
                <w:sz w:val="20"/>
              </w:rPr>
              <w:t>2008</w:t>
            </w:r>
          </w:p>
        </w:tc>
        <w:tc>
          <w:tcPr>
            <w:tcW w:w="1215" w:type="dxa"/>
            <w:tcBorders>
              <w:top w:val="single" w:sz="21" w:space="0" w:color="A6A6A6"/>
            </w:tcBorders>
            <w:shd w:val="clear" w:color="auto" w:fill="E1EED9"/>
          </w:tcPr>
          <w:p>
            <w:pPr>
              <w:pStyle w:val="TableParagraph"/>
              <w:spacing w:before="12"/>
              <w:ind w:left="382" w:right="382"/>
              <w:rPr>
                <w:b/>
                <w:sz w:val="20"/>
              </w:rPr>
            </w:pPr>
            <w:r>
              <w:rPr>
                <w:b/>
                <w:sz w:val="20"/>
              </w:rPr>
              <w:t>1980</w:t>
            </w:r>
          </w:p>
        </w:tc>
        <w:tc>
          <w:tcPr>
            <w:tcW w:w="1018" w:type="dxa"/>
            <w:tcBorders>
              <w:top w:val="single" w:sz="21" w:space="0" w:color="A6A6A6"/>
            </w:tcBorders>
            <w:shd w:val="clear" w:color="auto" w:fill="E1EED9"/>
          </w:tcPr>
          <w:p>
            <w:pPr>
              <w:pStyle w:val="TableParagraph"/>
              <w:spacing w:before="12"/>
              <w:ind w:left="283" w:right="283"/>
              <w:rPr>
                <w:b/>
                <w:sz w:val="20"/>
              </w:rPr>
            </w:pPr>
            <w:r>
              <w:rPr>
                <w:b/>
                <w:sz w:val="20"/>
              </w:rPr>
              <w:t>200</w:t>
            </w:r>
          </w:p>
        </w:tc>
        <w:tc>
          <w:tcPr>
            <w:tcW w:w="1371" w:type="dxa"/>
            <w:tcBorders>
              <w:top w:val="single" w:sz="21" w:space="0" w:color="A6A6A6"/>
            </w:tcBorders>
            <w:shd w:val="clear" w:color="auto" w:fill="E1EED9"/>
          </w:tcPr>
          <w:p>
            <w:pPr>
              <w:pStyle w:val="TableParagraph"/>
              <w:spacing w:before="12"/>
              <w:ind w:left="460" w:right="461"/>
              <w:rPr>
                <w:b/>
                <w:sz w:val="20"/>
              </w:rPr>
            </w:pPr>
            <w:r>
              <w:rPr>
                <w:b/>
                <w:sz w:val="20"/>
              </w:rPr>
              <w:t>1980</w:t>
            </w:r>
          </w:p>
        </w:tc>
        <w:tc>
          <w:tcPr>
            <w:tcW w:w="1368" w:type="dxa"/>
            <w:tcBorders>
              <w:top w:val="single" w:sz="21" w:space="0" w:color="A6A6A6"/>
            </w:tcBorders>
            <w:shd w:val="clear" w:color="auto" w:fill="E1EED9"/>
          </w:tcPr>
          <w:p>
            <w:pPr>
              <w:pStyle w:val="TableParagraph"/>
              <w:spacing w:before="12"/>
              <w:ind w:left="459" w:right="459"/>
              <w:rPr>
                <w:b/>
                <w:sz w:val="20"/>
              </w:rPr>
            </w:pPr>
            <w:r>
              <w:rPr>
                <w:b/>
                <w:sz w:val="20"/>
              </w:rPr>
              <w:t>2008</w:t>
            </w:r>
          </w:p>
        </w:tc>
      </w:tr>
      <w:tr>
        <w:trPr>
          <w:trHeight w:val="506" w:hRule="exact"/>
        </w:trPr>
        <w:tc>
          <w:tcPr>
            <w:tcW w:w="1039" w:type="dxa"/>
          </w:tcPr>
          <w:p>
            <w:pPr>
              <w:pStyle w:val="TableParagraph"/>
              <w:spacing w:before="127"/>
              <w:ind w:left="292" w:right="293"/>
              <w:rPr>
                <w:sz w:val="20"/>
              </w:rPr>
            </w:pPr>
            <w:r>
              <w:rPr>
                <w:sz w:val="20"/>
              </w:rPr>
              <w:t>8.6</w:t>
            </w:r>
          </w:p>
        </w:tc>
        <w:tc>
          <w:tcPr>
            <w:tcW w:w="1037" w:type="dxa"/>
          </w:tcPr>
          <w:p>
            <w:pPr>
              <w:pStyle w:val="TableParagraph"/>
              <w:spacing w:before="127"/>
              <w:ind w:left="291" w:right="293"/>
              <w:rPr>
                <w:sz w:val="20"/>
              </w:rPr>
            </w:pPr>
            <w:r>
              <w:rPr>
                <w:sz w:val="20"/>
              </w:rPr>
              <w:t>7.8</w:t>
            </w:r>
          </w:p>
        </w:tc>
        <w:tc>
          <w:tcPr>
            <w:tcW w:w="890" w:type="dxa"/>
          </w:tcPr>
          <w:p>
            <w:pPr>
              <w:pStyle w:val="TableParagraph"/>
              <w:spacing w:before="127"/>
              <w:ind w:left="218" w:right="219"/>
              <w:rPr>
                <w:sz w:val="20"/>
              </w:rPr>
            </w:pPr>
            <w:r>
              <w:rPr>
                <w:sz w:val="20"/>
              </w:rPr>
              <w:t>7.8</w:t>
            </w:r>
          </w:p>
        </w:tc>
        <w:tc>
          <w:tcPr>
            <w:tcW w:w="890" w:type="dxa"/>
          </w:tcPr>
          <w:p>
            <w:pPr>
              <w:pStyle w:val="TableParagraph"/>
              <w:spacing w:before="127"/>
              <w:ind w:left="218" w:right="219"/>
              <w:rPr>
                <w:sz w:val="20"/>
              </w:rPr>
            </w:pPr>
            <w:r>
              <w:rPr>
                <w:sz w:val="20"/>
              </w:rPr>
              <w:t>9.7</w:t>
            </w:r>
          </w:p>
        </w:tc>
        <w:tc>
          <w:tcPr>
            <w:tcW w:w="1215" w:type="dxa"/>
          </w:tcPr>
          <w:p>
            <w:pPr>
              <w:pStyle w:val="TableParagraph"/>
              <w:spacing w:before="127"/>
              <w:ind w:left="382" w:right="381"/>
              <w:rPr>
                <w:sz w:val="20"/>
              </w:rPr>
            </w:pPr>
            <w:r>
              <w:rPr>
                <w:sz w:val="20"/>
              </w:rPr>
              <w:t>6.9</w:t>
            </w:r>
          </w:p>
        </w:tc>
        <w:tc>
          <w:tcPr>
            <w:tcW w:w="1018" w:type="dxa"/>
          </w:tcPr>
          <w:p>
            <w:pPr>
              <w:pStyle w:val="TableParagraph"/>
              <w:spacing w:before="127"/>
              <w:ind w:left="283" w:right="283"/>
              <w:rPr>
                <w:sz w:val="20"/>
              </w:rPr>
            </w:pPr>
            <w:r>
              <w:rPr>
                <w:sz w:val="20"/>
              </w:rPr>
              <w:t>8.0</w:t>
            </w:r>
          </w:p>
        </w:tc>
        <w:tc>
          <w:tcPr>
            <w:tcW w:w="1371" w:type="dxa"/>
          </w:tcPr>
          <w:p>
            <w:pPr>
              <w:pStyle w:val="TableParagraph"/>
              <w:spacing w:before="127"/>
              <w:ind w:left="458" w:right="461"/>
              <w:rPr>
                <w:sz w:val="20"/>
              </w:rPr>
            </w:pPr>
            <w:r>
              <w:rPr>
                <w:sz w:val="20"/>
              </w:rPr>
              <w:t>6.9</w:t>
            </w:r>
          </w:p>
        </w:tc>
        <w:tc>
          <w:tcPr>
            <w:tcW w:w="1368" w:type="dxa"/>
          </w:tcPr>
          <w:p>
            <w:pPr>
              <w:pStyle w:val="TableParagraph"/>
              <w:spacing w:before="127"/>
              <w:ind w:left="457" w:right="459"/>
              <w:rPr>
                <w:sz w:val="20"/>
              </w:rPr>
            </w:pPr>
            <w:r>
              <w:rPr>
                <w:sz w:val="20"/>
              </w:rPr>
              <w:t>8.7</w:t>
            </w:r>
          </w:p>
        </w:tc>
      </w:tr>
    </w:tbl>
    <w:p>
      <w:pPr>
        <w:spacing w:line="202" w:lineRule="exact" w:before="0"/>
        <w:ind w:left="102" w:right="0" w:firstLine="0"/>
        <w:jc w:val="both"/>
        <w:rPr>
          <w:sz w:val="18"/>
        </w:rPr>
      </w:pPr>
      <w:r>
        <w:rPr>
          <w:sz w:val="18"/>
        </w:rPr>
        <w:t>Fuente: Elaboración propia con datos de INEGI (1980 y 2009).</w:t>
      </w:r>
    </w:p>
    <w:p>
      <w:pPr>
        <w:pStyle w:val="BodyText"/>
        <w:rPr>
          <w:sz w:val="18"/>
        </w:rPr>
      </w:pPr>
    </w:p>
    <w:p>
      <w:pPr>
        <w:pStyle w:val="BodyText"/>
        <w:spacing w:line="360" w:lineRule="auto" w:before="135"/>
        <w:ind w:left="102" w:right="117"/>
        <w:jc w:val="both"/>
      </w:pPr>
      <w:r>
        <w:rPr/>
        <w:t>De igual forma, se observa que, la industria automotriz de la región occidente disminuyó su participación</w:t>
      </w:r>
      <w:r>
        <w:rPr>
          <w:spacing w:val="-8"/>
        </w:rPr>
        <w:t> </w:t>
      </w:r>
      <w:r>
        <w:rPr/>
        <w:t>en</w:t>
      </w:r>
      <w:r>
        <w:rPr>
          <w:spacing w:val="-8"/>
        </w:rPr>
        <w:t> </w:t>
      </w:r>
      <w:r>
        <w:rPr/>
        <w:t>la</w:t>
      </w:r>
      <w:r>
        <w:rPr>
          <w:spacing w:val="-9"/>
        </w:rPr>
        <w:t> </w:t>
      </w:r>
      <w:r>
        <w:rPr/>
        <w:t>industria</w:t>
      </w:r>
      <w:r>
        <w:rPr>
          <w:spacing w:val="-9"/>
        </w:rPr>
        <w:t> </w:t>
      </w:r>
      <w:r>
        <w:rPr/>
        <w:t>automotriz</w:t>
      </w:r>
      <w:r>
        <w:rPr>
          <w:spacing w:val="-7"/>
        </w:rPr>
        <w:t> </w:t>
      </w:r>
      <w:r>
        <w:rPr/>
        <w:t>nacional</w:t>
      </w:r>
      <w:r>
        <w:rPr>
          <w:spacing w:val="-8"/>
        </w:rPr>
        <w:t> </w:t>
      </w:r>
      <w:r>
        <w:rPr/>
        <w:t>en</w:t>
      </w:r>
      <w:r>
        <w:rPr>
          <w:spacing w:val="-8"/>
        </w:rPr>
        <w:t> </w:t>
      </w:r>
      <w:r>
        <w:rPr/>
        <w:t>cuanto</w:t>
      </w:r>
      <w:r>
        <w:rPr>
          <w:spacing w:val="-8"/>
        </w:rPr>
        <w:t> </w:t>
      </w:r>
      <w:r>
        <w:rPr/>
        <w:t>a</w:t>
      </w:r>
      <w:r>
        <w:rPr>
          <w:spacing w:val="-9"/>
        </w:rPr>
        <w:t> </w:t>
      </w:r>
      <w:r>
        <w:rPr/>
        <w:t>unidades</w:t>
      </w:r>
      <w:r>
        <w:rPr>
          <w:spacing w:val="-8"/>
        </w:rPr>
        <w:t> </w:t>
      </w:r>
      <w:r>
        <w:rPr/>
        <w:t>económicas</w:t>
      </w:r>
      <w:r>
        <w:rPr>
          <w:spacing w:val="-8"/>
        </w:rPr>
        <w:t> </w:t>
      </w:r>
      <w:r>
        <w:rPr/>
        <w:t>se</w:t>
      </w:r>
      <w:r>
        <w:rPr>
          <w:spacing w:val="-9"/>
        </w:rPr>
        <w:t> </w:t>
      </w:r>
      <w:r>
        <w:rPr/>
        <w:t>refiere, pues en 1980 tenía una participación del 8.7% y en 2009 lo hizo en 7.4%, no obstante la producción bruta total, el valor agregado censal bruto y el personal ocupado mostraron crecimientos importantes de 8.8, 8.1 y 1.8%, respectivamente (véase cuadro</w:t>
      </w:r>
      <w:r>
        <w:rPr>
          <w:spacing w:val="-9"/>
        </w:rPr>
        <w:t> </w:t>
      </w:r>
      <w:r>
        <w:rPr/>
        <w:t>4.31).</w:t>
      </w:r>
    </w:p>
    <w:p>
      <w:pPr>
        <w:pStyle w:val="BodyText"/>
        <w:spacing w:before="4"/>
        <w:rPr>
          <w:sz w:val="21"/>
        </w:rPr>
      </w:pPr>
    </w:p>
    <w:p>
      <w:pPr>
        <w:pStyle w:val="BodyText"/>
        <w:spacing w:line="360" w:lineRule="auto" w:before="1"/>
        <w:ind w:left="102" w:right="120"/>
        <w:jc w:val="both"/>
      </w:pPr>
      <w:r>
        <w:rPr/>
        <w:t>En cuanto al análisis por entidad federativa se encuentra que el estado de Aguascalientes, es el que reporta en términos generales mayores y constantes incrementos en su participación dentro de la industria automotriz nacional. Actualmente en la entidad se encuentran dos plantas de Nissan, una dedicada al ensamble de autos como March, Versa, Sentra y Note, y otra</w:t>
      </w:r>
      <w:r>
        <w:rPr>
          <w:spacing w:val="-7"/>
        </w:rPr>
        <w:t> </w:t>
      </w:r>
      <w:r>
        <w:rPr/>
        <w:t>a</w:t>
      </w:r>
      <w:r>
        <w:rPr>
          <w:spacing w:val="-7"/>
        </w:rPr>
        <w:t> </w:t>
      </w:r>
      <w:r>
        <w:rPr/>
        <w:t>la</w:t>
      </w:r>
      <w:r>
        <w:rPr>
          <w:spacing w:val="-7"/>
        </w:rPr>
        <w:t> </w:t>
      </w:r>
      <w:r>
        <w:rPr/>
        <w:t>producción</w:t>
      </w:r>
      <w:r>
        <w:rPr>
          <w:spacing w:val="-6"/>
        </w:rPr>
        <w:t> </w:t>
      </w:r>
      <w:r>
        <w:rPr/>
        <w:t>de</w:t>
      </w:r>
      <w:r>
        <w:rPr>
          <w:spacing w:val="-7"/>
        </w:rPr>
        <w:t> </w:t>
      </w:r>
      <w:r>
        <w:rPr/>
        <w:t>motores</w:t>
      </w:r>
      <w:r>
        <w:rPr>
          <w:spacing w:val="-6"/>
        </w:rPr>
        <w:t> </w:t>
      </w:r>
      <w:r>
        <w:rPr/>
        <w:t>de</w:t>
      </w:r>
      <w:r>
        <w:rPr>
          <w:spacing w:val="-7"/>
        </w:rPr>
        <w:t> </w:t>
      </w:r>
      <w:r>
        <w:rPr/>
        <w:t>cuatro</w:t>
      </w:r>
      <w:r>
        <w:rPr>
          <w:spacing w:val="-4"/>
        </w:rPr>
        <w:t> </w:t>
      </w:r>
      <w:r>
        <w:rPr/>
        <w:t>cilindros,</w:t>
      </w:r>
      <w:r>
        <w:rPr>
          <w:spacing w:val="-6"/>
        </w:rPr>
        <w:t> </w:t>
      </w:r>
      <w:r>
        <w:rPr/>
        <w:t>siendo</w:t>
      </w:r>
      <w:r>
        <w:rPr>
          <w:spacing w:val="-6"/>
        </w:rPr>
        <w:t> </w:t>
      </w:r>
      <w:r>
        <w:rPr/>
        <w:t>la</w:t>
      </w:r>
      <w:r>
        <w:rPr>
          <w:spacing w:val="-7"/>
        </w:rPr>
        <w:t> </w:t>
      </w:r>
      <w:r>
        <w:rPr/>
        <w:t>primera</w:t>
      </w:r>
      <w:r>
        <w:rPr>
          <w:spacing w:val="-8"/>
        </w:rPr>
        <w:t> </w:t>
      </w:r>
      <w:r>
        <w:rPr/>
        <w:t>la</w:t>
      </w:r>
      <w:r>
        <w:rPr>
          <w:spacing w:val="-7"/>
        </w:rPr>
        <w:t> </w:t>
      </w:r>
      <w:r>
        <w:rPr/>
        <w:t>principal</w:t>
      </w:r>
      <w:r>
        <w:rPr>
          <w:spacing w:val="-6"/>
        </w:rPr>
        <w:t> </w:t>
      </w:r>
      <w:r>
        <w:rPr/>
        <w:t>productora de vehículos ligeros en la república mexicana (véase cuadro</w:t>
      </w:r>
      <w:r>
        <w:rPr>
          <w:spacing w:val="-11"/>
        </w:rPr>
        <w:t> </w:t>
      </w:r>
      <w:r>
        <w:rPr/>
        <w:t>4.31).</w:t>
      </w:r>
    </w:p>
    <w:p>
      <w:pPr>
        <w:spacing w:after="0" w:line="360" w:lineRule="auto"/>
        <w:jc w:val="both"/>
        <w:sectPr>
          <w:pgSz w:w="12240" w:h="15840"/>
          <w:pgMar w:header="0" w:footer="1035" w:top="1360" w:bottom="1220" w:left="1600" w:right="1580"/>
        </w:sectPr>
      </w:pPr>
    </w:p>
    <w:p>
      <w:pPr>
        <w:pStyle w:val="BodyText"/>
        <w:spacing w:line="360" w:lineRule="auto" w:before="50"/>
        <w:ind w:left="102" w:right="119"/>
        <w:jc w:val="both"/>
      </w:pPr>
      <w:r>
        <w:rPr/>
        <w:t>No obstante, pese a que Jalisco muestra en general crecimientos menores en las variables</w:t>
      </w:r>
      <w:r>
        <w:rPr>
          <w:spacing w:val="-18"/>
        </w:rPr>
        <w:t> </w:t>
      </w:r>
      <w:r>
        <w:rPr/>
        <w:t>de análisis, cuenta con factores que pueden generar un mayor crecimiento de la industria automotriz, actualmente en la entidad se encuentra la planta de ensamble de Honda en el Salto, que genera más de 2,500 empleos, y más de 140 empresas de autopartes. Además se anunció que la empresa Nissin Kakou, se instalará en Jalisco en el primer trimestre de</w:t>
      </w:r>
      <w:r>
        <w:rPr>
          <w:spacing w:val="-17"/>
        </w:rPr>
        <w:t> </w:t>
      </w:r>
      <w:r>
        <w:rPr/>
        <w:t>2015.</w:t>
      </w:r>
    </w:p>
    <w:p>
      <w:pPr>
        <w:pStyle w:val="BodyText"/>
        <w:spacing w:before="4"/>
        <w:rPr>
          <w:sz w:val="21"/>
        </w:rPr>
      </w:pPr>
    </w:p>
    <w:p>
      <w:pPr>
        <w:pStyle w:val="BodyText"/>
        <w:spacing w:line="360" w:lineRule="auto" w:before="1"/>
        <w:ind w:left="102" w:right="122"/>
        <w:jc w:val="both"/>
      </w:pPr>
      <w:r>
        <w:rPr/>
        <w:t>Es importante mencionar que la entidad trabaja en el proyecto de una terminal multimodal en</w:t>
      </w:r>
      <w:r>
        <w:rPr>
          <w:spacing w:val="-14"/>
        </w:rPr>
        <w:t> </w:t>
      </w:r>
      <w:r>
        <w:rPr/>
        <w:t>el</w:t>
      </w:r>
      <w:r>
        <w:rPr>
          <w:spacing w:val="-14"/>
        </w:rPr>
        <w:t> </w:t>
      </w:r>
      <w:r>
        <w:rPr/>
        <w:t>municipio</w:t>
      </w:r>
      <w:r>
        <w:rPr>
          <w:spacing w:val="-14"/>
        </w:rPr>
        <w:t> </w:t>
      </w:r>
      <w:r>
        <w:rPr/>
        <w:t>de</w:t>
      </w:r>
      <w:r>
        <w:rPr>
          <w:spacing w:val="-13"/>
        </w:rPr>
        <w:t> </w:t>
      </w:r>
      <w:r>
        <w:rPr/>
        <w:t>Lagos</w:t>
      </w:r>
      <w:r>
        <w:rPr>
          <w:spacing w:val="-12"/>
        </w:rPr>
        <w:t> </w:t>
      </w:r>
      <w:r>
        <w:rPr/>
        <w:t>de</w:t>
      </w:r>
      <w:r>
        <w:rPr>
          <w:spacing w:val="-15"/>
        </w:rPr>
        <w:t> </w:t>
      </w:r>
      <w:r>
        <w:rPr/>
        <w:t>Moreno,</w:t>
      </w:r>
      <w:r>
        <w:rPr>
          <w:spacing w:val="-14"/>
        </w:rPr>
        <w:t> </w:t>
      </w:r>
      <w:r>
        <w:rPr/>
        <w:t>en</w:t>
      </w:r>
      <w:r>
        <w:rPr>
          <w:spacing w:val="-14"/>
        </w:rPr>
        <w:t> </w:t>
      </w:r>
      <w:r>
        <w:rPr/>
        <w:t>la</w:t>
      </w:r>
      <w:r>
        <w:rPr>
          <w:spacing w:val="-15"/>
        </w:rPr>
        <w:t> </w:t>
      </w:r>
      <w:r>
        <w:rPr/>
        <w:t>zona</w:t>
      </w:r>
      <w:r>
        <w:rPr>
          <w:spacing w:val="-15"/>
        </w:rPr>
        <w:t> </w:t>
      </w:r>
      <w:r>
        <w:rPr/>
        <w:t>colindante</w:t>
      </w:r>
      <w:r>
        <w:rPr>
          <w:spacing w:val="-15"/>
        </w:rPr>
        <w:t> </w:t>
      </w:r>
      <w:r>
        <w:rPr/>
        <w:t>con</w:t>
      </w:r>
      <w:r>
        <w:rPr>
          <w:spacing w:val="-14"/>
        </w:rPr>
        <w:t> </w:t>
      </w:r>
      <w:r>
        <w:rPr/>
        <w:t>Guanajuato</w:t>
      </w:r>
      <w:r>
        <w:rPr>
          <w:spacing w:val="-12"/>
        </w:rPr>
        <w:t> </w:t>
      </w:r>
      <w:r>
        <w:rPr/>
        <w:t>y</w:t>
      </w:r>
      <w:r>
        <w:rPr>
          <w:spacing w:val="-17"/>
        </w:rPr>
        <w:t> </w:t>
      </w:r>
      <w:r>
        <w:rPr/>
        <w:t>Aguascalientes, que junto con la vía férrea de El Salto a Encarnación de Díaz propiciará el desarrollo económico de la región e insertará a Jalisco en el corredor automotriz del Bajío (El Economista,</w:t>
      </w:r>
      <w:r>
        <w:rPr>
          <w:spacing w:val="-4"/>
        </w:rPr>
        <w:t> </w:t>
      </w:r>
      <w:r>
        <w:rPr/>
        <w:t>2014).</w:t>
      </w:r>
    </w:p>
    <w:p>
      <w:pPr>
        <w:pStyle w:val="BodyText"/>
        <w:spacing w:before="7"/>
        <w:rPr>
          <w:sz w:val="21"/>
        </w:rPr>
      </w:pPr>
    </w:p>
    <w:p>
      <w:pPr>
        <w:pStyle w:val="Heading1"/>
        <w:spacing w:line="360" w:lineRule="auto" w:after="5"/>
        <w:ind w:left="1957" w:right="202" w:hanging="1758"/>
      </w:pPr>
      <w:r>
        <w:rPr/>
        <w:t>Cuadro 4.31. Características principales del sector automotriz de la región occidente de México, 1980 y 2008 (Participación porcentual)</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73"/>
        <w:gridCol w:w="823"/>
        <w:gridCol w:w="823"/>
        <w:gridCol w:w="1035"/>
        <w:gridCol w:w="1034"/>
        <w:gridCol w:w="920"/>
        <w:gridCol w:w="917"/>
        <w:gridCol w:w="703"/>
        <w:gridCol w:w="701"/>
      </w:tblGrid>
      <w:tr>
        <w:trPr>
          <w:trHeight w:val="536" w:hRule="exact"/>
        </w:trPr>
        <w:tc>
          <w:tcPr>
            <w:tcW w:w="1873" w:type="dxa"/>
            <w:shd w:val="clear" w:color="auto" w:fill="A6A6A6"/>
          </w:tcPr>
          <w:p>
            <w:pPr/>
          </w:p>
        </w:tc>
        <w:tc>
          <w:tcPr>
            <w:tcW w:w="1646" w:type="dxa"/>
            <w:gridSpan w:val="2"/>
            <w:shd w:val="clear" w:color="auto" w:fill="A6A6A6"/>
          </w:tcPr>
          <w:p>
            <w:pPr>
              <w:pStyle w:val="TableParagraph"/>
              <w:spacing w:before="31"/>
              <w:ind w:left="304" w:right="290" w:firstLine="112"/>
              <w:jc w:val="left"/>
              <w:rPr>
                <w:b/>
                <w:sz w:val="20"/>
              </w:rPr>
            </w:pPr>
            <w:r>
              <w:rPr>
                <w:b/>
                <w:sz w:val="20"/>
              </w:rPr>
              <w:t>Unidades Económicas</w:t>
            </w:r>
          </w:p>
        </w:tc>
        <w:tc>
          <w:tcPr>
            <w:tcW w:w="2069" w:type="dxa"/>
            <w:gridSpan w:val="2"/>
            <w:shd w:val="clear" w:color="auto" w:fill="A6A6A6"/>
          </w:tcPr>
          <w:p>
            <w:pPr>
              <w:pStyle w:val="TableParagraph"/>
              <w:spacing w:before="31"/>
              <w:ind w:left="799" w:hanging="536"/>
              <w:jc w:val="left"/>
              <w:rPr>
                <w:b/>
                <w:sz w:val="20"/>
              </w:rPr>
            </w:pPr>
            <w:r>
              <w:rPr>
                <w:b/>
                <w:sz w:val="20"/>
              </w:rPr>
              <w:t>Producción Bruta Total</w:t>
            </w:r>
          </w:p>
        </w:tc>
        <w:tc>
          <w:tcPr>
            <w:tcW w:w="1837" w:type="dxa"/>
            <w:gridSpan w:val="2"/>
            <w:shd w:val="clear" w:color="auto" w:fill="A6A6A6"/>
          </w:tcPr>
          <w:p>
            <w:pPr>
              <w:pStyle w:val="TableParagraph"/>
              <w:spacing w:before="31"/>
              <w:ind w:left="347" w:right="211" w:hanging="123"/>
              <w:jc w:val="left"/>
              <w:rPr>
                <w:b/>
                <w:sz w:val="20"/>
              </w:rPr>
            </w:pPr>
            <w:r>
              <w:rPr>
                <w:b/>
                <w:sz w:val="20"/>
              </w:rPr>
              <w:t>Valor Agregado Censal Bruto</w:t>
            </w:r>
          </w:p>
        </w:tc>
        <w:tc>
          <w:tcPr>
            <w:tcW w:w="1404" w:type="dxa"/>
            <w:gridSpan w:val="2"/>
            <w:shd w:val="clear" w:color="auto" w:fill="A6A6A6"/>
          </w:tcPr>
          <w:p>
            <w:pPr>
              <w:pStyle w:val="TableParagraph"/>
              <w:spacing w:before="31"/>
              <w:ind w:left="307" w:right="307" w:firstLine="16"/>
              <w:jc w:val="left"/>
              <w:rPr>
                <w:b/>
                <w:sz w:val="20"/>
              </w:rPr>
            </w:pPr>
            <w:r>
              <w:rPr>
                <w:b/>
                <w:sz w:val="20"/>
              </w:rPr>
              <w:t>Personal </w:t>
            </w:r>
            <w:r>
              <w:rPr>
                <w:b/>
                <w:w w:val="95"/>
                <w:sz w:val="20"/>
              </w:rPr>
              <w:t>Ocupado</w:t>
            </w:r>
          </w:p>
        </w:tc>
      </w:tr>
      <w:tr>
        <w:trPr>
          <w:trHeight w:val="328" w:hRule="exact"/>
        </w:trPr>
        <w:tc>
          <w:tcPr>
            <w:tcW w:w="1873" w:type="dxa"/>
            <w:tcBorders>
              <w:bottom w:val="single" w:sz="18" w:space="0" w:color="D9D9D9"/>
            </w:tcBorders>
          </w:tcPr>
          <w:p>
            <w:pPr/>
          </w:p>
        </w:tc>
        <w:tc>
          <w:tcPr>
            <w:tcW w:w="823" w:type="dxa"/>
            <w:tcBorders>
              <w:bottom w:val="single" w:sz="18" w:space="0" w:color="D9D9D9"/>
            </w:tcBorders>
          </w:tcPr>
          <w:p>
            <w:pPr>
              <w:pStyle w:val="TableParagraph"/>
              <w:spacing w:before="34"/>
              <w:ind w:left="186" w:right="186"/>
              <w:rPr>
                <w:b/>
                <w:sz w:val="20"/>
              </w:rPr>
            </w:pPr>
            <w:r>
              <w:rPr>
                <w:b/>
                <w:sz w:val="20"/>
              </w:rPr>
              <w:t>1980</w:t>
            </w:r>
          </w:p>
        </w:tc>
        <w:tc>
          <w:tcPr>
            <w:tcW w:w="823" w:type="dxa"/>
            <w:tcBorders>
              <w:bottom w:val="single" w:sz="18" w:space="0" w:color="D9D9D9"/>
            </w:tcBorders>
          </w:tcPr>
          <w:p>
            <w:pPr>
              <w:pStyle w:val="TableParagraph"/>
              <w:spacing w:before="34"/>
              <w:ind w:left="186" w:right="186"/>
              <w:rPr>
                <w:b/>
                <w:sz w:val="20"/>
              </w:rPr>
            </w:pPr>
            <w:r>
              <w:rPr>
                <w:b/>
                <w:sz w:val="20"/>
              </w:rPr>
              <w:t>2008</w:t>
            </w:r>
          </w:p>
        </w:tc>
        <w:tc>
          <w:tcPr>
            <w:tcW w:w="1035" w:type="dxa"/>
            <w:tcBorders>
              <w:bottom w:val="single" w:sz="18" w:space="0" w:color="D9D9D9"/>
            </w:tcBorders>
          </w:tcPr>
          <w:p>
            <w:pPr>
              <w:pStyle w:val="TableParagraph"/>
              <w:spacing w:before="34"/>
              <w:ind w:left="292" w:right="292"/>
              <w:rPr>
                <w:b/>
                <w:sz w:val="20"/>
              </w:rPr>
            </w:pPr>
            <w:r>
              <w:rPr>
                <w:b/>
                <w:sz w:val="20"/>
              </w:rPr>
              <w:t>1980</w:t>
            </w:r>
          </w:p>
        </w:tc>
        <w:tc>
          <w:tcPr>
            <w:tcW w:w="1034" w:type="dxa"/>
            <w:tcBorders>
              <w:bottom w:val="single" w:sz="18" w:space="0" w:color="D9D9D9"/>
            </w:tcBorders>
          </w:tcPr>
          <w:p>
            <w:pPr>
              <w:pStyle w:val="TableParagraph"/>
              <w:spacing w:before="34"/>
              <w:ind w:left="293" w:right="291"/>
              <w:rPr>
                <w:b/>
                <w:sz w:val="20"/>
              </w:rPr>
            </w:pPr>
            <w:r>
              <w:rPr>
                <w:b/>
                <w:sz w:val="20"/>
              </w:rPr>
              <w:t>2008</w:t>
            </w:r>
          </w:p>
        </w:tc>
        <w:tc>
          <w:tcPr>
            <w:tcW w:w="920" w:type="dxa"/>
            <w:tcBorders>
              <w:bottom w:val="single" w:sz="18" w:space="0" w:color="D9D9D9"/>
            </w:tcBorders>
          </w:tcPr>
          <w:p>
            <w:pPr>
              <w:pStyle w:val="TableParagraph"/>
              <w:spacing w:before="34"/>
              <w:ind w:left="235" w:right="234"/>
              <w:rPr>
                <w:b/>
                <w:sz w:val="20"/>
              </w:rPr>
            </w:pPr>
            <w:r>
              <w:rPr>
                <w:b/>
                <w:sz w:val="20"/>
              </w:rPr>
              <w:t>1980</w:t>
            </w:r>
          </w:p>
        </w:tc>
        <w:tc>
          <w:tcPr>
            <w:tcW w:w="917" w:type="dxa"/>
            <w:tcBorders>
              <w:bottom w:val="single" w:sz="18" w:space="0" w:color="D9D9D9"/>
            </w:tcBorders>
          </w:tcPr>
          <w:p>
            <w:pPr>
              <w:pStyle w:val="TableParagraph"/>
              <w:spacing w:before="34"/>
              <w:ind w:left="233" w:right="233"/>
              <w:rPr>
                <w:b/>
                <w:sz w:val="20"/>
              </w:rPr>
            </w:pPr>
            <w:r>
              <w:rPr>
                <w:b/>
                <w:sz w:val="20"/>
              </w:rPr>
              <w:t>2008</w:t>
            </w:r>
          </w:p>
        </w:tc>
        <w:tc>
          <w:tcPr>
            <w:tcW w:w="703" w:type="dxa"/>
            <w:tcBorders>
              <w:bottom w:val="single" w:sz="18" w:space="0" w:color="D9D9D9"/>
            </w:tcBorders>
          </w:tcPr>
          <w:p>
            <w:pPr>
              <w:pStyle w:val="TableParagraph"/>
              <w:spacing w:before="34"/>
              <w:ind w:left="127" w:right="125"/>
              <w:rPr>
                <w:b/>
                <w:sz w:val="20"/>
              </w:rPr>
            </w:pPr>
            <w:r>
              <w:rPr>
                <w:b/>
                <w:sz w:val="20"/>
              </w:rPr>
              <w:t>1980</w:t>
            </w:r>
          </w:p>
        </w:tc>
        <w:tc>
          <w:tcPr>
            <w:tcW w:w="701" w:type="dxa"/>
            <w:tcBorders>
              <w:bottom w:val="single" w:sz="18" w:space="0" w:color="D9D9D9"/>
            </w:tcBorders>
          </w:tcPr>
          <w:p>
            <w:pPr>
              <w:pStyle w:val="TableParagraph"/>
              <w:spacing w:before="34"/>
              <w:ind w:left="125" w:right="125"/>
              <w:rPr>
                <w:b/>
                <w:sz w:val="20"/>
              </w:rPr>
            </w:pPr>
            <w:r>
              <w:rPr>
                <w:b/>
                <w:sz w:val="20"/>
              </w:rPr>
              <w:t>2008</w:t>
            </w:r>
          </w:p>
        </w:tc>
      </w:tr>
      <w:tr>
        <w:trPr>
          <w:trHeight w:val="292" w:hRule="exact"/>
        </w:trPr>
        <w:tc>
          <w:tcPr>
            <w:tcW w:w="1873" w:type="dxa"/>
            <w:shd w:val="clear" w:color="auto" w:fill="D9D9D9"/>
          </w:tcPr>
          <w:p>
            <w:pPr>
              <w:pStyle w:val="TableParagraph"/>
              <w:spacing w:before="16"/>
              <w:ind w:left="103"/>
              <w:jc w:val="left"/>
              <w:rPr>
                <w:b/>
                <w:sz w:val="20"/>
              </w:rPr>
            </w:pPr>
            <w:r>
              <w:rPr>
                <w:b/>
                <w:sz w:val="20"/>
              </w:rPr>
              <w:t>Región Occidente</w:t>
            </w:r>
          </w:p>
        </w:tc>
        <w:tc>
          <w:tcPr>
            <w:tcW w:w="823" w:type="dxa"/>
            <w:shd w:val="clear" w:color="auto" w:fill="D9D9D9"/>
          </w:tcPr>
          <w:p>
            <w:pPr>
              <w:pStyle w:val="TableParagraph"/>
              <w:spacing w:before="11"/>
              <w:ind w:left="182" w:right="186"/>
              <w:rPr>
                <w:sz w:val="20"/>
              </w:rPr>
            </w:pPr>
            <w:r>
              <w:rPr>
                <w:sz w:val="20"/>
              </w:rPr>
              <w:t>9.7</w:t>
            </w:r>
          </w:p>
        </w:tc>
        <w:tc>
          <w:tcPr>
            <w:tcW w:w="823" w:type="dxa"/>
            <w:shd w:val="clear" w:color="auto" w:fill="D9D9D9"/>
          </w:tcPr>
          <w:p>
            <w:pPr>
              <w:pStyle w:val="TableParagraph"/>
              <w:spacing w:before="11"/>
              <w:ind w:left="182" w:right="186"/>
              <w:rPr>
                <w:sz w:val="20"/>
              </w:rPr>
            </w:pPr>
            <w:r>
              <w:rPr>
                <w:sz w:val="20"/>
              </w:rPr>
              <w:t>9.7</w:t>
            </w:r>
          </w:p>
        </w:tc>
        <w:tc>
          <w:tcPr>
            <w:tcW w:w="1035" w:type="dxa"/>
            <w:shd w:val="clear" w:color="auto" w:fill="D9D9D9"/>
          </w:tcPr>
          <w:p>
            <w:pPr>
              <w:pStyle w:val="TableParagraph"/>
              <w:spacing w:before="11"/>
              <w:ind w:left="288" w:right="292"/>
              <w:rPr>
                <w:sz w:val="20"/>
              </w:rPr>
            </w:pPr>
            <w:r>
              <w:rPr>
                <w:sz w:val="20"/>
              </w:rPr>
              <w:t>1.2</w:t>
            </w:r>
          </w:p>
        </w:tc>
        <w:tc>
          <w:tcPr>
            <w:tcW w:w="1034" w:type="dxa"/>
            <w:shd w:val="clear" w:color="auto" w:fill="D9D9D9"/>
          </w:tcPr>
          <w:p>
            <w:pPr>
              <w:pStyle w:val="TableParagraph"/>
              <w:spacing w:before="11"/>
              <w:ind w:left="293" w:right="291"/>
              <w:rPr>
                <w:sz w:val="20"/>
              </w:rPr>
            </w:pPr>
            <w:r>
              <w:rPr>
                <w:sz w:val="20"/>
              </w:rPr>
              <w:t>10</w:t>
            </w:r>
          </w:p>
        </w:tc>
        <w:tc>
          <w:tcPr>
            <w:tcW w:w="920" w:type="dxa"/>
            <w:shd w:val="clear" w:color="auto" w:fill="D9D9D9"/>
          </w:tcPr>
          <w:p>
            <w:pPr>
              <w:pStyle w:val="TableParagraph"/>
              <w:spacing w:before="11"/>
              <w:ind w:left="234" w:right="234"/>
              <w:rPr>
                <w:sz w:val="20"/>
              </w:rPr>
            </w:pPr>
            <w:r>
              <w:rPr>
                <w:sz w:val="20"/>
              </w:rPr>
              <w:t>1.5</w:t>
            </w:r>
          </w:p>
        </w:tc>
        <w:tc>
          <w:tcPr>
            <w:tcW w:w="917" w:type="dxa"/>
            <w:shd w:val="clear" w:color="auto" w:fill="D9D9D9"/>
          </w:tcPr>
          <w:p>
            <w:pPr>
              <w:pStyle w:val="TableParagraph"/>
              <w:spacing w:before="11"/>
              <w:ind w:left="231" w:right="233"/>
              <w:rPr>
                <w:sz w:val="20"/>
              </w:rPr>
            </w:pPr>
            <w:r>
              <w:rPr>
                <w:sz w:val="20"/>
              </w:rPr>
              <w:t>9.6</w:t>
            </w:r>
          </w:p>
        </w:tc>
        <w:tc>
          <w:tcPr>
            <w:tcW w:w="703" w:type="dxa"/>
            <w:shd w:val="clear" w:color="auto" w:fill="D9D9D9"/>
          </w:tcPr>
          <w:p>
            <w:pPr>
              <w:pStyle w:val="TableParagraph"/>
              <w:spacing w:before="11"/>
              <w:ind w:left="124" w:right="125"/>
              <w:rPr>
                <w:sz w:val="20"/>
              </w:rPr>
            </w:pPr>
            <w:r>
              <w:rPr>
                <w:sz w:val="20"/>
              </w:rPr>
              <w:t>3.4</w:t>
            </w:r>
          </w:p>
        </w:tc>
        <w:tc>
          <w:tcPr>
            <w:tcW w:w="701" w:type="dxa"/>
            <w:shd w:val="clear" w:color="auto" w:fill="D9D9D9"/>
          </w:tcPr>
          <w:p>
            <w:pPr>
              <w:pStyle w:val="TableParagraph"/>
              <w:spacing w:before="11"/>
              <w:ind w:left="125" w:right="125"/>
              <w:rPr>
                <w:sz w:val="20"/>
              </w:rPr>
            </w:pPr>
            <w:r>
              <w:rPr>
                <w:sz w:val="20"/>
              </w:rPr>
              <w:t>5.2</w:t>
            </w:r>
          </w:p>
        </w:tc>
      </w:tr>
      <w:tr>
        <w:trPr>
          <w:trHeight w:val="312" w:hRule="exact"/>
        </w:trPr>
        <w:tc>
          <w:tcPr>
            <w:tcW w:w="1873" w:type="dxa"/>
          </w:tcPr>
          <w:p>
            <w:pPr>
              <w:pStyle w:val="TableParagraph"/>
              <w:spacing w:before="29"/>
              <w:ind w:left="103"/>
              <w:jc w:val="left"/>
              <w:rPr>
                <w:sz w:val="20"/>
              </w:rPr>
            </w:pPr>
            <w:r>
              <w:rPr>
                <w:sz w:val="20"/>
              </w:rPr>
              <w:t>Aguascalientes</w:t>
            </w:r>
          </w:p>
        </w:tc>
        <w:tc>
          <w:tcPr>
            <w:tcW w:w="823" w:type="dxa"/>
          </w:tcPr>
          <w:p>
            <w:pPr>
              <w:pStyle w:val="TableParagraph"/>
              <w:spacing w:before="29"/>
              <w:ind w:left="182" w:right="186"/>
              <w:rPr>
                <w:sz w:val="20"/>
              </w:rPr>
            </w:pPr>
            <w:r>
              <w:rPr>
                <w:sz w:val="20"/>
              </w:rPr>
              <w:t>1.0</w:t>
            </w:r>
          </w:p>
        </w:tc>
        <w:tc>
          <w:tcPr>
            <w:tcW w:w="823" w:type="dxa"/>
          </w:tcPr>
          <w:p>
            <w:pPr>
              <w:pStyle w:val="TableParagraph"/>
              <w:spacing w:before="29"/>
              <w:ind w:left="182" w:right="186"/>
              <w:rPr>
                <w:sz w:val="20"/>
              </w:rPr>
            </w:pPr>
            <w:r>
              <w:rPr>
                <w:sz w:val="20"/>
              </w:rPr>
              <w:t>2.2</w:t>
            </w:r>
          </w:p>
        </w:tc>
        <w:tc>
          <w:tcPr>
            <w:tcW w:w="1035" w:type="dxa"/>
          </w:tcPr>
          <w:p>
            <w:pPr>
              <w:pStyle w:val="TableParagraph"/>
              <w:spacing w:before="29"/>
              <w:ind w:left="288" w:right="292"/>
              <w:rPr>
                <w:sz w:val="20"/>
              </w:rPr>
            </w:pPr>
            <w:r>
              <w:rPr>
                <w:sz w:val="20"/>
              </w:rPr>
              <w:t>0.0</w:t>
            </w:r>
          </w:p>
        </w:tc>
        <w:tc>
          <w:tcPr>
            <w:tcW w:w="1034" w:type="dxa"/>
          </w:tcPr>
          <w:p>
            <w:pPr>
              <w:pStyle w:val="TableParagraph"/>
              <w:spacing w:before="29"/>
              <w:ind w:left="290" w:right="291"/>
              <w:rPr>
                <w:sz w:val="20"/>
              </w:rPr>
            </w:pPr>
            <w:r>
              <w:rPr>
                <w:sz w:val="20"/>
              </w:rPr>
              <w:t>7.6</w:t>
            </w:r>
          </w:p>
        </w:tc>
        <w:tc>
          <w:tcPr>
            <w:tcW w:w="920" w:type="dxa"/>
          </w:tcPr>
          <w:p>
            <w:pPr>
              <w:pStyle w:val="TableParagraph"/>
              <w:spacing w:before="29"/>
              <w:ind w:left="234" w:right="234"/>
              <w:rPr>
                <w:sz w:val="20"/>
              </w:rPr>
            </w:pPr>
            <w:r>
              <w:rPr>
                <w:sz w:val="20"/>
              </w:rPr>
              <w:t>0.1</w:t>
            </w:r>
          </w:p>
        </w:tc>
        <w:tc>
          <w:tcPr>
            <w:tcW w:w="917" w:type="dxa"/>
          </w:tcPr>
          <w:p>
            <w:pPr>
              <w:pStyle w:val="TableParagraph"/>
              <w:spacing w:before="29"/>
              <w:ind w:left="231" w:right="233"/>
              <w:rPr>
                <w:sz w:val="20"/>
              </w:rPr>
            </w:pPr>
            <w:r>
              <w:rPr>
                <w:sz w:val="20"/>
              </w:rPr>
              <w:t>7.7</w:t>
            </w:r>
          </w:p>
        </w:tc>
        <w:tc>
          <w:tcPr>
            <w:tcW w:w="703" w:type="dxa"/>
          </w:tcPr>
          <w:p>
            <w:pPr>
              <w:pStyle w:val="TableParagraph"/>
              <w:spacing w:before="29"/>
              <w:ind w:left="124" w:right="125"/>
              <w:rPr>
                <w:sz w:val="20"/>
              </w:rPr>
            </w:pPr>
            <w:r>
              <w:rPr>
                <w:sz w:val="20"/>
              </w:rPr>
              <w:t>0.2</w:t>
            </w:r>
          </w:p>
        </w:tc>
        <w:tc>
          <w:tcPr>
            <w:tcW w:w="701" w:type="dxa"/>
          </w:tcPr>
          <w:p>
            <w:pPr>
              <w:pStyle w:val="TableParagraph"/>
              <w:spacing w:before="29"/>
              <w:ind w:left="125" w:right="125"/>
              <w:rPr>
                <w:sz w:val="20"/>
              </w:rPr>
            </w:pPr>
            <w:r>
              <w:rPr>
                <w:sz w:val="20"/>
              </w:rPr>
              <w:t>3.0</w:t>
            </w:r>
          </w:p>
        </w:tc>
      </w:tr>
      <w:tr>
        <w:trPr>
          <w:trHeight w:val="310" w:hRule="exact"/>
        </w:trPr>
        <w:tc>
          <w:tcPr>
            <w:tcW w:w="1873" w:type="dxa"/>
          </w:tcPr>
          <w:p>
            <w:pPr>
              <w:pStyle w:val="TableParagraph"/>
              <w:spacing w:before="27"/>
              <w:ind w:left="103"/>
              <w:jc w:val="left"/>
              <w:rPr>
                <w:sz w:val="20"/>
              </w:rPr>
            </w:pPr>
            <w:r>
              <w:rPr>
                <w:sz w:val="20"/>
              </w:rPr>
              <w:t>Jalisco</w:t>
            </w:r>
          </w:p>
        </w:tc>
        <w:tc>
          <w:tcPr>
            <w:tcW w:w="823" w:type="dxa"/>
          </w:tcPr>
          <w:p>
            <w:pPr>
              <w:pStyle w:val="TableParagraph"/>
              <w:spacing w:before="27"/>
              <w:ind w:left="182" w:right="186"/>
              <w:rPr>
                <w:sz w:val="20"/>
              </w:rPr>
            </w:pPr>
            <w:r>
              <w:rPr>
                <w:sz w:val="20"/>
              </w:rPr>
              <w:t>8.7</w:t>
            </w:r>
          </w:p>
        </w:tc>
        <w:tc>
          <w:tcPr>
            <w:tcW w:w="823" w:type="dxa"/>
          </w:tcPr>
          <w:p>
            <w:pPr>
              <w:pStyle w:val="TableParagraph"/>
              <w:spacing w:before="27"/>
              <w:ind w:left="182" w:right="186"/>
              <w:rPr>
                <w:sz w:val="20"/>
              </w:rPr>
            </w:pPr>
            <w:r>
              <w:rPr>
                <w:sz w:val="20"/>
              </w:rPr>
              <w:t>7.4</w:t>
            </w:r>
          </w:p>
        </w:tc>
        <w:tc>
          <w:tcPr>
            <w:tcW w:w="1035" w:type="dxa"/>
          </w:tcPr>
          <w:p>
            <w:pPr>
              <w:pStyle w:val="TableParagraph"/>
              <w:spacing w:before="27"/>
              <w:ind w:left="288" w:right="292"/>
              <w:rPr>
                <w:sz w:val="20"/>
              </w:rPr>
            </w:pPr>
            <w:r>
              <w:rPr>
                <w:sz w:val="20"/>
              </w:rPr>
              <w:t>1.2</w:t>
            </w:r>
          </w:p>
        </w:tc>
        <w:tc>
          <w:tcPr>
            <w:tcW w:w="1034" w:type="dxa"/>
          </w:tcPr>
          <w:p>
            <w:pPr>
              <w:pStyle w:val="TableParagraph"/>
              <w:spacing w:before="27"/>
              <w:ind w:left="290" w:right="291"/>
              <w:rPr>
                <w:sz w:val="20"/>
              </w:rPr>
            </w:pPr>
            <w:r>
              <w:rPr>
                <w:sz w:val="20"/>
              </w:rPr>
              <w:t>2.4</w:t>
            </w:r>
          </w:p>
        </w:tc>
        <w:tc>
          <w:tcPr>
            <w:tcW w:w="920" w:type="dxa"/>
          </w:tcPr>
          <w:p>
            <w:pPr>
              <w:pStyle w:val="TableParagraph"/>
              <w:spacing w:before="27"/>
              <w:ind w:left="234" w:right="234"/>
              <w:rPr>
                <w:sz w:val="20"/>
              </w:rPr>
            </w:pPr>
            <w:r>
              <w:rPr>
                <w:sz w:val="20"/>
              </w:rPr>
              <w:t>1.5</w:t>
            </w:r>
          </w:p>
        </w:tc>
        <w:tc>
          <w:tcPr>
            <w:tcW w:w="917" w:type="dxa"/>
          </w:tcPr>
          <w:p>
            <w:pPr>
              <w:pStyle w:val="TableParagraph"/>
              <w:spacing w:before="27"/>
              <w:ind w:left="231" w:right="233"/>
              <w:rPr>
                <w:sz w:val="20"/>
              </w:rPr>
            </w:pPr>
            <w:r>
              <w:rPr>
                <w:sz w:val="20"/>
              </w:rPr>
              <w:t>1.9</w:t>
            </w:r>
          </w:p>
        </w:tc>
        <w:tc>
          <w:tcPr>
            <w:tcW w:w="703" w:type="dxa"/>
          </w:tcPr>
          <w:p>
            <w:pPr>
              <w:pStyle w:val="TableParagraph"/>
              <w:spacing w:before="27"/>
              <w:ind w:left="124" w:right="125"/>
              <w:rPr>
                <w:sz w:val="20"/>
              </w:rPr>
            </w:pPr>
            <w:r>
              <w:rPr>
                <w:sz w:val="20"/>
              </w:rPr>
              <w:t>3.1</w:t>
            </w:r>
          </w:p>
        </w:tc>
        <w:tc>
          <w:tcPr>
            <w:tcW w:w="701" w:type="dxa"/>
          </w:tcPr>
          <w:p>
            <w:pPr>
              <w:pStyle w:val="TableParagraph"/>
              <w:spacing w:before="27"/>
              <w:ind w:left="125" w:right="125"/>
              <w:rPr>
                <w:sz w:val="20"/>
              </w:rPr>
            </w:pPr>
            <w:r>
              <w:rPr>
                <w:sz w:val="20"/>
              </w:rPr>
              <w:t>2.2</w:t>
            </w:r>
          </w:p>
        </w:tc>
      </w:tr>
    </w:tbl>
    <w:p>
      <w:pPr>
        <w:spacing w:line="202" w:lineRule="exact" w:before="0"/>
        <w:ind w:left="102" w:right="0" w:firstLine="0"/>
        <w:jc w:val="both"/>
        <w:rPr>
          <w:sz w:val="18"/>
        </w:rPr>
      </w:pPr>
      <w:r>
        <w:rPr>
          <w:sz w:val="18"/>
        </w:rPr>
        <w:t>Fuente: Elaboración propia con datos de INEGI (1980 y 2009).</w:t>
      </w:r>
    </w:p>
    <w:p>
      <w:pPr>
        <w:pStyle w:val="BodyText"/>
        <w:rPr>
          <w:sz w:val="18"/>
        </w:rPr>
      </w:pPr>
    </w:p>
    <w:p>
      <w:pPr>
        <w:pStyle w:val="BodyText"/>
        <w:spacing w:line="360" w:lineRule="auto" w:before="135"/>
        <w:ind w:left="102" w:right="120"/>
        <w:jc w:val="both"/>
      </w:pPr>
      <w:r>
        <w:rPr/>
        <w:t>El cuadro 4.32 muestra la evolución que ha tenido la industria automotriz de la región occidente</w:t>
      </w:r>
      <w:r>
        <w:rPr>
          <w:spacing w:val="-7"/>
        </w:rPr>
        <w:t> </w:t>
      </w:r>
      <w:r>
        <w:rPr/>
        <w:t>en</w:t>
      </w:r>
      <w:r>
        <w:rPr>
          <w:spacing w:val="-9"/>
        </w:rPr>
        <w:t> </w:t>
      </w:r>
      <w:r>
        <w:rPr/>
        <w:t>su</w:t>
      </w:r>
      <w:r>
        <w:rPr>
          <w:spacing w:val="-8"/>
        </w:rPr>
        <w:t> </w:t>
      </w:r>
      <w:r>
        <w:rPr/>
        <w:t>participación</w:t>
      </w:r>
      <w:r>
        <w:rPr>
          <w:spacing w:val="-8"/>
        </w:rPr>
        <w:t> </w:t>
      </w:r>
      <w:r>
        <w:rPr/>
        <w:t>dentro</w:t>
      </w:r>
      <w:r>
        <w:rPr>
          <w:spacing w:val="-9"/>
        </w:rPr>
        <w:t> </w:t>
      </w:r>
      <w:r>
        <w:rPr/>
        <w:t>del</w:t>
      </w:r>
      <w:r>
        <w:rPr>
          <w:spacing w:val="-8"/>
        </w:rPr>
        <w:t> </w:t>
      </w:r>
      <w:r>
        <w:rPr/>
        <w:t>sector</w:t>
      </w:r>
      <w:r>
        <w:rPr>
          <w:spacing w:val="-9"/>
        </w:rPr>
        <w:t> </w:t>
      </w:r>
      <w:r>
        <w:rPr/>
        <w:t>manufacturero,</w:t>
      </w:r>
      <w:r>
        <w:rPr>
          <w:spacing w:val="-9"/>
        </w:rPr>
        <w:t> </w:t>
      </w:r>
      <w:r>
        <w:rPr/>
        <w:t>se</w:t>
      </w:r>
      <w:r>
        <w:rPr>
          <w:spacing w:val="-9"/>
        </w:rPr>
        <w:t> </w:t>
      </w:r>
      <w:r>
        <w:rPr/>
        <w:t>observa</w:t>
      </w:r>
      <w:r>
        <w:rPr>
          <w:spacing w:val="-10"/>
        </w:rPr>
        <w:t> </w:t>
      </w:r>
      <w:r>
        <w:rPr/>
        <w:t>que</w:t>
      </w:r>
      <w:r>
        <w:rPr>
          <w:spacing w:val="-10"/>
        </w:rPr>
        <w:t> </w:t>
      </w:r>
      <w:r>
        <w:rPr/>
        <w:t>dicha</w:t>
      </w:r>
      <w:r>
        <w:rPr>
          <w:spacing w:val="-10"/>
        </w:rPr>
        <w:t> </w:t>
      </w:r>
      <w:r>
        <w:rPr/>
        <w:t>industria ha</w:t>
      </w:r>
      <w:r>
        <w:rPr>
          <w:spacing w:val="-12"/>
        </w:rPr>
        <w:t> </w:t>
      </w:r>
      <w:r>
        <w:rPr/>
        <w:t>tomado</w:t>
      </w:r>
      <w:r>
        <w:rPr>
          <w:spacing w:val="-11"/>
        </w:rPr>
        <w:t> </w:t>
      </w:r>
      <w:r>
        <w:rPr/>
        <w:t>protagonismo</w:t>
      </w:r>
      <w:r>
        <w:rPr>
          <w:spacing w:val="-11"/>
        </w:rPr>
        <w:t> </w:t>
      </w:r>
      <w:r>
        <w:rPr/>
        <w:t>dentro</w:t>
      </w:r>
      <w:r>
        <w:rPr>
          <w:spacing w:val="-11"/>
        </w:rPr>
        <w:t> </w:t>
      </w:r>
      <w:r>
        <w:rPr/>
        <w:t>de</w:t>
      </w:r>
      <w:r>
        <w:rPr>
          <w:spacing w:val="-12"/>
        </w:rPr>
        <w:t> </w:t>
      </w:r>
      <w:r>
        <w:rPr/>
        <w:t>las</w:t>
      </w:r>
      <w:r>
        <w:rPr>
          <w:spacing w:val="-11"/>
        </w:rPr>
        <w:t> </w:t>
      </w:r>
      <w:r>
        <w:rPr/>
        <w:t>manufacturas,</w:t>
      </w:r>
      <w:r>
        <w:rPr>
          <w:spacing w:val="-11"/>
        </w:rPr>
        <w:t> </w:t>
      </w:r>
      <w:r>
        <w:rPr/>
        <w:t>donde</w:t>
      </w:r>
      <w:r>
        <w:rPr>
          <w:spacing w:val="-12"/>
        </w:rPr>
        <w:t> </w:t>
      </w:r>
      <w:r>
        <w:rPr/>
        <w:t>los</w:t>
      </w:r>
      <w:r>
        <w:rPr>
          <w:spacing w:val="-10"/>
        </w:rPr>
        <w:t> </w:t>
      </w:r>
      <w:r>
        <w:rPr/>
        <w:t>incrementos</w:t>
      </w:r>
      <w:r>
        <w:rPr>
          <w:spacing w:val="-9"/>
        </w:rPr>
        <w:t> </w:t>
      </w:r>
      <w:r>
        <w:rPr/>
        <w:t>más</w:t>
      </w:r>
      <w:r>
        <w:rPr>
          <w:spacing w:val="-11"/>
        </w:rPr>
        <w:t> </w:t>
      </w:r>
      <w:r>
        <w:rPr/>
        <w:t>importantes en las se han presentado en la producción bruta total y el valor agregado censal bruto, con porcentajes al 2008 de 19.4 y</w:t>
      </w:r>
      <w:r>
        <w:rPr>
          <w:spacing w:val="-7"/>
        </w:rPr>
        <w:t> </w:t>
      </w:r>
      <w:r>
        <w:rPr/>
        <w:t>15.9%.</w:t>
      </w:r>
    </w:p>
    <w:p>
      <w:pPr>
        <w:pStyle w:val="BodyText"/>
        <w:spacing w:before="4"/>
        <w:rPr>
          <w:sz w:val="21"/>
        </w:rPr>
      </w:pPr>
    </w:p>
    <w:p>
      <w:pPr>
        <w:pStyle w:val="BodyText"/>
        <w:spacing w:line="360" w:lineRule="auto" w:before="1"/>
        <w:ind w:left="102" w:right="116"/>
        <w:jc w:val="both"/>
      </w:pPr>
      <w:r>
        <w:rPr/>
        <w:t>Los datos más interesantes se encuentran por entidad federativa, pues el estado de Aguascalientes ha venido a dinamizar no solo a la manufactura de la entidad, sino también de la región, se observa que la producción bruta total al 2008 aportaba el 63.7% de la producción bruta total, el 61.9% del valor agregado censal bruto y el 21.1% del total de la población ocupada en la manufactura del estado. Esto se debe en gran medida al </w:t>
      </w:r>
      <w:r>
        <w:rPr>
          <w:i/>
        </w:rPr>
        <w:t>cluster </w:t>
      </w:r>
      <w:r>
        <w:rPr/>
        <w:t>que ha conformado Nissan con sus proveedores regionales.</w:t>
      </w:r>
    </w:p>
    <w:p>
      <w:pPr>
        <w:spacing w:after="0" w:line="360" w:lineRule="auto"/>
        <w:jc w:val="both"/>
        <w:sectPr>
          <w:pgSz w:w="12240" w:h="15840"/>
          <w:pgMar w:header="0" w:footer="1035" w:top="1360" w:bottom="1220" w:left="1600" w:right="1580"/>
        </w:sectPr>
      </w:pPr>
    </w:p>
    <w:p>
      <w:pPr>
        <w:pStyle w:val="BodyText"/>
        <w:spacing w:line="360" w:lineRule="auto" w:before="50"/>
        <w:ind w:left="102" w:right="116"/>
        <w:jc w:val="both"/>
      </w:pPr>
      <w:r>
        <w:rPr/>
        <w:t>Por</w:t>
      </w:r>
      <w:r>
        <w:rPr>
          <w:spacing w:val="-8"/>
        </w:rPr>
        <w:t> </w:t>
      </w:r>
      <w:r>
        <w:rPr/>
        <w:t>su</w:t>
      </w:r>
      <w:r>
        <w:rPr>
          <w:spacing w:val="-7"/>
        </w:rPr>
        <w:t> </w:t>
      </w:r>
      <w:r>
        <w:rPr/>
        <w:t>parte,</w:t>
      </w:r>
      <w:r>
        <w:rPr>
          <w:spacing w:val="-7"/>
        </w:rPr>
        <w:t> </w:t>
      </w:r>
      <w:r>
        <w:rPr/>
        <w:t>la</w:t>
      </w:r>
      <w:r>
        <w:rPr>
          <w:spacing w:val="-8"/>
        </w:rPr>
        <w:t> </w:t>
      </w:r>
      <w:r>
        <w:rPr/>
        <w:t>industria</w:t>
      </w:r>
      <w:r>
        <w:rPr>
          <w:spacing w:val="-10"/>
        </w:rPr>
        <w:t> </w:t>
      </w:r>
      <w:r>
        <w:rPr/>
        <w:t>automotriz</w:t>
      </w:r>
      <w:r>
        <w:rPr>
          <w:spacing w:val="-6"/>
        </w:rPr>
        <w:t> </w:t>
      </w:r>
      <w:r>
        <w:rPr/>
        <w:t>del</w:t>
      </w:r>
      <w:r>
        <w:rPr>
          <w:spacing w:val="-7"/>
        </w:rPr>
        <w:t> </w:t>
      </w:r>
      <w:r>
        <w:rPr/>
        <w:t>estado</w:t>
      </w:r>
      <w:r>
        <w:rPr>
          <w:spacing w:val="-7"/>
        </w:rPr>
        <w:t> </w:t>
      </w:r>
      <w:r>
        <w:rPr/>
        <w:t>de</w:t>
      </w:r>
      <w:r>
        <w:rPr>
          <w:spacing w:val="-11"/>
        </w:rPr>
        <w:t> </w:t>
      </w:r>
      <w:r>
        <w:rPr/>
        <w:t>Jalisco,</w:t>
      </w:r>
      <w:r>
        <w:rPr>
          <w:spacing w:val="-7"/>
        </w:rPr>
        <w:t> </w:t>
      </w:r>
      <w:r>
        <w:rPr/>
        <w:t>si</w:t>
      </w:r>
      <w:r>
        <w:rPr>
          <w:spacing w:val="-7"/>
        </w:rPr>
        <w:t> </w:t>
      </w:r>
      <w:r>
        <w:rPr/>
        <w:t>bien</w:t>
      </w:r>
      <w:r>
        <w:rPr>
          <w:spacing w:val="-8"/>
        </w:rPr>
        <w:t> </w:t>
      </w:r>
      <w:r>
        <w:rPr/>
        <w:t>ha</w:t>
      </w:r>
      <w:r>
        <w:rPr>
          <w:spacing w:val="-8"/>
        </w:rPr>
        <w:t> </w:t>
      </w:r>
      <w:r>
        <w:rPr/>
        <w:t>disminuido</w:t>
      </w:r>
      <w:r>
        <w:rPr>
          <w:spacing w:val="-7"/>
        </w:rPr>
        <w:t> </w:t>
      </w:r>
      <w:r>
        <w:rPr/>
        <w:t>sus</w:t>
      </w:r>
      <w:r>
        <w:rPr>
          <w:spacing w:val="-7"/>
        </w:rPr>
        <w:t> </w:t>
      </w:r>
      <w:r>
        <w:rPr/>
        <w:t>unidades económicas, ha aumentado su presencia en la manufactura estatal, sobretodo en cuanto a la producción bruta total, pues en 1980 solo aportaba el 1.7%, mientras que para 2009 representó el 6.1%, creciendo 4.4%. En cuanto al valor agregado censal bruto, y población ocupada creció 1.9 y 0.5%,</w:t>
      </w:r>
      <w:r>
        <w:rPr>
          <w:spacing w:val="-8"/>
        </w:rPr>
        <w:t> </w:t>
      </w:r>
      <w:r>
        <w:rPr/>
        <w:t>respectivamente.</w:t>
      </w:r>
    </w:p>
    <w:p>
      <w:pPr>
        <w:pStyle w:val="BodyText"/>
        <w:spacing w:before="9"/>
        <w:rPr>
          <w:sz w:val="21"/>
        </w:rPr>
      </w:pPr>
    </w:p>
    <w:p>
      <w:pPr>
        <w:pStyle w:val="Heading1"/>
        <w:spacing w:line="360" w:lineRule="auto" w:after="7"/>
        <w:ind w:left="1948" w:right="119" w:hanging="1331"/>
      </w:pPr>
      <w:r>
        <w:rPr/>
        <w:t>Cuadro 4.32 Participación porcentual de la industria automotriz en el sector manufacturero de la región occidente, 1980 y 2008</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46"/>
        <w:gridCol w:w="865"/>
        <w:gridCol w:w="862"/>
        <w:gridCol w:w="908"/>
        <w:gridCol w:w="910"/>
        <w:gridCol w:w="1070"/>
        <w:gridCol w:w="1071"/>
        <w:gridCol w:w="749"/>
        <w:gridCol w:w="749"/>
      </w:tblGrid>
      <w:tr>
        <w:trPr>
          <w:trHeight w:val="497" w:hRule="exact"/>
        </w:trPr>
        <w:tc>
          <w:tcPr>
            <w:tcW w:w="1646" w:type="dxa"/>
            <w:shd w:val="clear" w:color="auto" w:fill="808080"/>
          </w:tcPr>
          <w:p>
            <w:pPr/>
          </w:p>
        </w:tc>
        <w:tc>
          <w:tcPr>
            <w:tcW w:w="1726" w:type="dxa"/>
            <w:gridSpan w:val="2"/>
            <w:shd w:val="clear" w:color="auto" w:fill="808080"/>
          </w:tcPr>
          <w:p>
            <w:pPr>
              <w:pStyle w:val="TableParagraph"/>
              <w:spacing w:line="252" w:lineRule="auto"/>
              <w:ind w:left="346" w:firstLine="112"/>
              <w:jc w:val="left"/>
              <w:rPr>
                <w:b/>
                <w:sz w:val="20"/>
              </w:rPr>
            </w:pPr>
            <w:r>
              <w:rPr>
                <w:b/>
                <w:sz w:val="20"/>
              </w:rPr>
              <w:t>Unidades </w:t>
            </w:r>
            <w:r>
              <w:rPr>
                <w:b/>
                <w:w w:val="95"/>
                <w:sz w:val="20"/>
              </w:rPr>
              <w:t>Económicas</w:t>
            </w:r>
          </w:p>
        </w:tc>
        <w:tc>
          <w:tcPr>
            <w:tcW w:w="1817" w:type="dxa"/>
            <w:gridSpan w:val="2"/>
            <w:shd w:val="clear" w:color="auto" w:fill="808080"/>
          </w:tcPr>
          <w:p>
            <w:pPr>
              <w:pStyle w:val="TableParagraph"/>
              <w:spacing w:line="252" w:lineRule="auto"/>
              <w:ind w:left="674" w:hanging="536"/>
              <w:jc w:val="left"/>
              <w:rPr>
                <w:b/>
                <w:sz w:val="20"/>
              </w:rPr>
            </w:pPr>
            <w:r>
              <w:rPr>
                <w:b/>
                <w:sz w:val="20"/>
              </w:rPr>
              <w:t>Producción Bruta Total</w:t>
            </w:r>
          </w:p>
        </w:tc>
        <w:tc>
          <w:tcPr>
            <w:tcW w:w="2141" w:type="dxa"/>
            <w:gridSpan w:val="2"/>
            <w:shd w:val="clear" w:color="auto" w:fill="808080"/>
          </w:tcPr>
          <w:p>
            <w:pPr>
              <w:pStyle w:val="TableParagraph"/>
              <w:spacing w:line="252" w:lineRule="auto"/>
              <w:ind w:left="816" w:right="48" w:hanging="752"/>
              <w:jc w:val="left"/>
              <w:rPr>
                <w:b/>
                <w:sz w:val="20"/>
              </w:rPr>
            </w:pPr>
            <w:r>
              <w:rPr>
                <w:b/>
                <w:sz w:val="20"/>
              </w:rPr>
              <w:t>Valor Agregado Censal Bruto</w:t>
            </w:r>
          </w:p>
        </w:tc>
        <w:tc>
          <w:tcPr>
            <w:tcW w:w="1498" w:type="dxa"/>
            <w:gridSpan w:val="2"/>
            <w:shd w:val="clear" w:color="auto" w:fill="808080"/>
          </w:tcPr>
          <w:p>
            <w:pPr>
              <w:pStyle w:val="TableParagraph"/>
              <w:spacing w:line="252" w:lineRule="auto"/>
              <w:ind w:left="355" w:right="353" w:firstLine="16"/>
              <w:jc w:val="left"/>
              <w:rPr>
                <w:b/>
                <w:sz w:val="20"/>
              </w:rPr>
            </w:pPr>
            <w:r>
              <w:rPr>
                <w:b/>
                <w:sz w:val="20"/>
              </w:rPr>
              <w:t>Personal </w:t>
            </w:r>
            <w:r>
              <w:rPr>
                <w:b/>
                <w:w w:val="95"/>
                <w:sz w:val="20"/>
              </w:rPr>
              <w:t>Ocupado</w:t>
            </w:r>
          </w:p>
        </w:tc>
      </w:tr>
      <w:tr>
        <w:trPr>
          <w:trHeight w:val="253" w:hRule="exact"/>
        </w:trPr>
        <w:tc>
          <w:tcPr>
            <w:tcW w:w="1646" w:type="dxa"/>
          </w:tcPr>
          <w:p>
            <w:pPr/>
          </w:p>
        </w:tc>
        <w:tc>
          <w:tcPr>
            <w:tcW w:w="865" w:type="dxa"/>
          </w:tcPr>
          <w:p>
            <w:pPr>
              <w:pStyle w:val="TableParagraph"/>
              <w:spacing w:line="228" w:lineRule="exact"/>
              <w:ind w:left="207" w:right="207"/>
              <w:rPr>
                <w:b/>
                <w:sz w:val="20"/>
              </w:rPr>
            </w:pPr>
            <w:r>
              <w:rPr>
                <w:b/>
                <w:sz w:val="20"/>
              </w:rPr>
              <w:t>1980</w:t>
            </w:r>
          </w:p>
        </w:tc>
        <w:tc>
          <w:tcPr>
            <w:tcW w:w="862" w:type="dxa"/>
          </w:tcPr>
          <w:p>
            <w:pPr>
              <w:pStyle w:val="TableParagraph"/>
              <w:spacing w:line="228" w:lineRule="exact"/>
              <w:ind w:left="206" w:right="206"/>
              <w:rPr>
                <w:b/>
                <w:sz w:val="20"/>
              </w:rPr>
            </w:pPr>
            <w:r>
              <w:rPr>
                <w:b/>
                <w:sz w:val="20"/>
              </w:rPr>
              <w:t>2008</w:t>
            </w:r>
          </w:p>
        </w:tc>
        <w:tc>
          <w:tcPr>
            <w:tcW w:w="908" w:type="dxa"/>
          </w:tcPr>
          <w:p>
            <w:pPr>
              <w:pStyle w:val="TableParagraph"/>
              <w:spacing w:line="228" w:lineRule="exact"/>
              <w:ind w:left="229" w:right="229"/>
              <w:rPr>
                <w:b/>
                <w:sz w:val="20"/>
              </w:rPr>
            </w:pPr>
            <w:r>
              <w:rPr>
                <w:b/>
                <w:sz w:val="20"/>
              </w:rPr>
              <w:t>1980</w:t>
            </w:r>
          </w:p>
        </w:tc>
        <w:tc>
          <w:tcPr>
            <w:tcW w:w="910" w:type="dxa"/>
          </w:tcPr>
          <w:p>
            <w:pPr>
              <w:pStyle w:val="TableParagraph"/>
              <w:spacing w:line="228" w:lineRule="exact"/>
              <w:ind w:left="230" w:right="230"/>
              <w:rPr>
                <w:b/>
                <w:sz w:val="20"/>
              </w:rPr>
            </w:pPr>
            <w:r>
              <w:rPr>
                <w:b/>
                <w:sz w:val="20"/>
              </w:rPr>
              <w:t>2008</w:t>
            </w:r>
          </w:p>
        </w:tc>
        <w:tc>
          <w:tcPr>
            <w:tcW w:w="1070" w:type="dxa"/>
          </w:tcPr>
          <w:p>
            <w:pPr>
              <w:pStyle w:val="TableParagraph"/>
              <w:spacing w:line="228" w:lineRule="exact"/>
              <w:ind w:left="310" w:right="310"/>
              <w:rPr>
                <w:b/>
                <w:sz w:val="20"/>
              </w:rPr>
            </w:pPr>
            <w:r>
              <w:rPr>
                <w:b/>
                <w:sz w:val="20"/>
              </w:rPr>
              <w:t>1980</w:t>
            </w:r>
          </w:p>
        </w:tc>
        <w:tc>
          <w:tcPr>
            <w:tcW w:w="1071" w:type="dxa"/>
          </w:tcPr>
          <w:p>
            <w:pPr>
              <w:pStyle w:val="TableParagraph"/>
              <w:spacing w:line="228" w:lineRule="exact"/>
              <w:ind w:left="310" w:right="310"/>
              <w:rPr>
                <w:b/>
                <w:sz w:val="20"/>
              </w:rPr>
            </w:pPr>
            <w:r>
              <w:rPr>
                <w:b/>
                <w:sz w:val="20"/>
              </w:rPr>
              <w:t>2008</w:t>
            </w:r>
          </w:p>
        </w:tc>
        <w:tc>
          <w:tcPr>
            <w:tcW w:w="749" w:type="dxa"/>
          </w:tcPr>
          <w:p>
            <w:pPr>
              <w:pStyle w:val="TableParagraph"/>
              <w:spacing w:line="228" w:lineRule="exact"/>
              <w:ind w:left="149" w:right="149"/>
              <w:rPr>
                <w:b/>
                <w:sz w:val="20"/>
              </w:rPr>
            </w:pPr>
            <w:r>
              <w:rPr>
                <w:b/>
                <w:sz w:val="20"/>
              </w:rPr>
              <w:t>1980</w:t>
            </w:r>
          </w:p>
        </w:tc>
        <w:tc>
          <w:tcPr>
            <w:tcW w:w="749" w:type="dxa"/>
          </w:tcPr>
          <w:p>
            <w:pPr>
              <w:pStyle w:val="TableParagraph"/>
              <w:spacing w:line="228" w:lineRule="exact"/>
              <w:ind w:right="166"/>
              <w:jc w:val="right"/>
              <w:rPr>
                <w:b/>
                <w:sz w:val="20"/>
              </w:rPr>
            </w:pPr>
            <w:r>
              <w:rPr>
                <w:b/>
                <w:sz w:val="20"/>
              </w:rPr>
              <w:t>2008</w:t>
            </w:r>
          </w:p>
        </w:tc>
      </w:tr>
      <w:tr>
        <w:trPr>
          <w:trHeight w:val="253" w:hRule="exact"/>
        </w:trPr>
        <w:tc>
          <w:tcPr>
            <w:tcW w:w="1646" w:type="dxa"/>
            <w:shd w:val="clear" w:color="auto" w:fill="D9D9D9"/>
          </w:tcPr>
          <w:p>
            <w:pPr>
              <w:pStyle w:val="TableParagraph"/>
              <w:spacing w:line="229" w:lineRule="exact"/>
              <w:ind w:left="64"/>
              <w:jc w:val="left"/>
              <w:rPr>
                <w:b/>
                <w:sz w:val="20"/>
              </w:rPr>
            </w:pPr>
            <w:r>
              <w:rPr>
                <w:b/>
                <w:sz w:val="20"/>
              </w:rPr>
              <w:t>Región Occidente</w:t>
            </w:r>
          </w:p>
        </w:tc>
        <w:tc>
          <w:tcPr>
            <w:tcW w:w="865" w:type="dxa"/>
            <w:shd w:val="clear" w:color="auto" w:fill="D9D9D9"/>
          </w:tcPr>
          <w:p>
            <w:pPr>
              <w:pStyle w:val="TableParagraph"/>
              <w:spacing w:line="224" w:lineRule="exact"/>
              <w:ind w:left="206" w:right="207"/>
              <w:rPr>
                <w:sz w:val="20"/>
              </w:rPr>
            </w:pPr>
            <w:r>
              <w:rPr>
                <w:sz w:val="20"/>
              </w:rPr>
              <w:t>0.9</w:t>
            </w:r>
          </w:p>
        </w:tc>
        <w:tc>
          <w:tcPr>
            <w:tcW w:w="862" w:type="dxa"/>
            <w:shd w:val="clear" w:color="auto" w:fill="D9D9D9"/>
          </w:tcPr>
          <w:p>
            <w:pPr>
              <w:pStyle w:val="TableParagraph"/>
              <w:spacing w:line="224" w:lineRule="exact"/>
              <w:ind w:left="202" w:right="206"/>
              <w:rPr>
                <w:sz w:val="20"/>
              </w:rPr>
            </w:pPr>
            <w:r>
              <w:rPr>
                <w:sz w:val="20"/>
              </w:rPr>
              <w:t>0.6</w:t>
            </w:r>
          </w:p>
        </w:tc>
        <w:tc>
          <w:tcPr>
            <w:tcW w:w="908" w:type="dxa"/>
            <w:shd w:val="clear" w:color="auto" w:fill="D9D9D9"/>
          </w:tcPr>
          <w:p>
            <w:pPr>
              <w:pStyle w:val="TableParagraph"/>
              <w:spacing w:line="224" w:lineRule="exact"/>
              <w:ind w:left="229" w:right="229"/>
              <w:rPr>
                <w:sz w:val="20"/>
              </w:rPr>
            </w:pPr>
            <w:r>
              <w:rPr>
                <w:sz w:val="20"/>
              </w:rPr>
              <w:t>1.6</w:t>
            </w:r>
          </w:p>
        </w:tc>
        <w:tc>
          <w:tcPr>
            <w:tcW w:w="910" w:type="dxa"/>
            <w:shd w:val="clear" w:color="auto" w:fill="D9D9D9"/>
          </w:tcPr>
          <w:p>
            <w:pPr>
              <w:pStyle w:val="TableParagraph"/>
              <w:spacing w:line="224" w:lineRule="exact"/>
              <w:ind w:left="229" w:right="230"/>
              <w:rPr>
                <w:sz w:val="20"/>
              </w:rPr>
            </w:pPr>
            <w:r>
              <w:rPr>
                <w:sz w:val="20"/>
              </w:rPr>
              <w:t>19.4</w:t>
            </w:r>
          </w:p>
        </w:tc>
        <w:tc>
          <w:tcPr>
            <w:tcW w:w="1070" w:type="dxa"/>
            <w:shd w:val="clear" w:color="auto" w:fill="D9D9D9"/>
          </w:tcPr>
          <w:p>
            <w:pPr>
              <w:pStyle w:val="TableParagraph"/>
              <w:spacing w:line="224" w:lineRule="exact"/>
              <w:ind w:left="310" w:right="310"/>
              <w:rPr>
                <w:sz w:val="20"/>
              </w:rPr>
            </w:pPr>
            <w:r>
              <w:rPr>
                <w:sz w:val="20"/>
              </w:rPr>
              <w:t>2.1</w:t>
            </w:r>
          </w:p>
        </w:tc>
        <w:tc>
          <w:tcPr>
            <w:tcW w:w="1071" w:type="dxa"/>
            <w:shd w:val="clear" w:color="auto" w:fill="D9D9D9"/>
          </w:tcPr>
          <w:p>
            <w:pPr>
              <w:pStyle w:val="TableParagraph"/>
              <w:spacing w:line="224" w:lineRule="exact"/>
              <w:ind w:left="310" w:right="309"/>
              <w:rPr>
                <w:sz w:val="20"/>
              </w:rPr>
            </w:pPr>
            <w:r>
              <w:rPr>
                <w:sz w:val="20"/>
              </w:rPr>
              <w:t>15.9</w:t>
            </w:r>
          </w:p>
        </w:tc>
        <w:tc>
          <w:tcPr>
            <w:tcW w:w="749" w:type="dxa"/>
            <w:shd w:val="clear" w:color="auto" w:fill="D9D9D9"/>
          </w:tcPr>
          <w:p>
            <w:pPr>
              <w:pStyle w:val="TableParagraph"/>
              <w:spacing w:line="224" w:lineRule="exact"/>
              <w:ind w:left="149" w:right="149"/>
              <w:rPr>
                <w:sz w:val="20"/>
              </w:rPr>
            </w:pPr>
            <w:r>
              <w:rPr>
                <w:sz w:val="20"/>
              </w:rPr>
              <w:t>2.4</w:t>
            </w:r>
          </w:p>
        </w:tc>
        <w:tc>
          <w:tcPr>
            <w:tcW w:w="749" w:type="dxa"/>
            <w:shd w:val="clear" w:color="auto" w:fill="D9D9D9"/>
          </w:tcPr>
          <w:p>
            <w:pPr>
              <w:pStyle w:val="TableParagraph"/>
              <w:spacing w:line="224" w:lineRule="exact"/>
              <w:ind w:right="242"/>
              <w:jc w:val="right"/>
              <w:rPr>
                <w:sz w:val="20"/>
              </w:rPr>
            </w:pPr>
            <w:r>
              <w:rPr>
                <w:sz w:val="20"/>
              </w:rPr>
              <w:t>5.9</w:t>
            </w:r>
          </w:p>
        </w:tc>
      </w:tr>
      <w:tr>
        <w:trPr>
          <w:trHeight w:val="254" w:hRule="exact"/>
        </w:trPr>
        <w:tc>
          <w:tcPr>
            <w:tcW w:w="1646" w:type="dxa"/>
          </w:tcPr>
          <w:p>
            <w:pPr>
              <w:pStyle w:val="TableParagraph"/>
              <w:spacing w:line="223" w:lineRule="exact"/>
              <w:ind w:left="64"/>
              <w:jc w:val="left"/>
              <w:rPr>
                <w:sz w:val="20"/>
              </w:rPr>
            </w:pPr>
            <w:r>
              <w:rPr>
                <w:sz w:val="20"/>
              </w:rPr>
              <w:t>Aguascalientes</w:t>
            </w:r>
          </w:p>
        </w:tc>
        <w:tc>
          <w:tcPr>
            <w:tcW w:w="865" w:type="dxa"/>
          </w:tcPr>
          <w:p>
            <w:pPr>
              <w:pStyle w:val="TableParagraph"/>
              <w:spacing w:line="223" w:lineRule="exact"/>
              <w:ind w:left="206" w:right="207"/>
              <w:rPr>
                <w:sz w:val="20"/>
              </w:rPr>
            </w:pPr>
            <w:r>
              <w:rPr>
                <w:sz w:val="20"/>
              </w:rPr>
              <w:t>0.8</w:t>
            </w:r>
          </w:p>
        </w:tc>
        <w:tc>
          <w:tcPr>
            <w:tcW w:w="862" w:type="dxa"/>
          </w:tcPr>
          <w:p>
            <w:pPr>
              <w:pStyle w:val="TableParagraph"/>
              <w:spacing w:line="223" w:lineRule="exact"/>
              <w:ind w:left="202" w:right="206"/>
              <w:rPr>
                <w:sz w:val="20"/>
              </w:rPr>
            </w:pPr>
            <w:r>
              <w:rPr>
                <w:sz w:val="20"/>
              </w:rPr>
              <w:t>1.1</w:t>
            </w:r>
          </w:p>
        </w:tc>
        <w:tc>
          <w:tcPr>
            <w:tcW w:w="908" w:type="dxa"/>
          </w:tcPr>
          <w:p>
            <w:pPr>
              <w:pStyle w:val="TableParagraph"/>
              <w:spacing w:line="223" w:lineRule="exact"/>
              <w:ind w:left="229" w:right="229"/>
              <w:rPr>
                <w:sz w:val="20"/>
              </w:rPr>
            </w:pPr>
            <w:r>
              <w:rPr>
                <w:sz w:val="20"/>
              </w:rPr>
              <w:t>0.7</w:t>
            </w:r>
          </w:p>
        </w:tc>
        <w:tc>
          <w:tcPr>
            <w:tcW w:w="910" w:type="dxa"/>
          </w:tcPr>
          <w:p>
            <w:pPr>
              <w:pStyle w:val="TableParagraph"/>
              <w:spacing w:line="223" w:lineRule="exact"/>
              <w:ind w:left="229" w:right="230"/>
              <w:rPr>
                <w:sz w:val="20"/>
              </w:rPr>
            </w:pPr>
            <w:r>
              <w:rPr>
                <w:sz w:val="20"/>
              </w:rPr>
              <w:t>63.7</w:t>
            </w:r>
          </w:p>
        </w:tc>
        <w:tc>
          <w:tcPr>
            <w:tcW w:w="1070" w:type="dxa"/>
          </w:tcPr>
          <w:p>
            <w:pPr>
              <w:pStyle w:val="TableParagraph"/>
              <w:spacing w:line="223" w:lineRule="exact"/>
              <w:ind w:left="310" w:right="310"/>
              <w:rPr>
                <w:sz w:val="20"/>
              </w:rPr>
            </w:pPr>
            <w:r>
              <w:rPr>
                <w:sz w:val="20"/>
              </w:rPr>
              <w:t>1.4</w:t>
            </w:r>
          </w:p>
        </w:tc>
        <w:tc>
          <w:tcPr>
            <w:tcW w:w="1071" w:type="dxa"/>
          </w:tcPr>
          <w:p>
            <w:pPr>
              <w:pStyle w:val="TableParagraph"/>
              <w:spacing w:line="223" w:lineRule="exact"/>
              <w:ind w:left="310" w:right="309"/>
              <w:rPr>
                <w:sz w:val="20"/>
              </w:rPr>
            </w:pPr>
            <w:r>
              <w:rPr>
                <w:sz w:val="20"/>
              </w:rPr>
              <w:t>61.9</w:t>
            </w:r>
          </w:p>
        </w:tc>
        <w:tc>
          <w:tcPr>
            <w:tcW w:w="749" w:type="dxa"/>
          </w:tcPr>
          <w:p>
            <w:pPr>
              <w:pStyle w:val="TableParagraph"/>
              <w:spacing w:line="223" w:lineRule="exact"/>
              <w:ind w:left="149" w:right="149"/>
              <w:rPr>
                <w:sz w:val="20"/>
              </w:rPr>
            </w:pPr>
            <w:r>
              <w:rPr>
                <w:sz w:val="20"/>
              </w:rPr>
              <w:t>1.5</w:t>
            </w:r>
          </w:p>
        </w:tc>
        <w:tc>
          <w:tcPr>
            <w:tcW w:w="749" w:type="dxa"/>
          </w:tcPr>
          <w:p>
            <w:pPr>
              <w:pStyle w:val="TableParagraph"/>
              <w:spacing w:line="223" w:lineRule="exact"/>
              <w:ind w:right="192"/>
              <w:jc w:val="right"/>
              <w:rPr>
                <w:sz w:val="20"/>
              </w:rPr>
            </w:pPr>
            <w:r>
              <w:rPr>
                <w:sz w:val="20"/>
              </w:rPr>
              <w:t>21.1</w:t>
            </w:r>
          </w:p>
        </w:tc>
      </w:tr>
      <w:tr>
        <w:trPr>
          <w:trHeight w:val="254" w:hRule="exact"/>
        </w:trPr>
        <w:tc>
          <w:tcPr>
            <w:tcW w:w="1646" w:type="dxa"/>
          </w:tcPr>
          <w:p>
            <w:pPr>
              <w:pStyle w:val="TableParagraph"/>
              <w:spacing w:line="223" w:lineRule="exact"/>
              <w:ind w:left="64"/>
              <w:jc w:val="left"/>
              <w:rPr>
                <w:sz w:val="20"/>
              </w:rPr>
            </w:pPr>
            <w:r>
              <w:rPr>
                <w:sz w:val="20"/>
              </w:rPr>
              <w:t>Jalisco</w:t>
            </w:r>
          </w:p>
        </w:tc>
        <w:tc>
          <w:tcPr>
            <w:tcW w:w="865" w:type="dxa"/>
          </w:tcPr>
          <w:p>
            <w:pPr>
              <w:pStyle w:val="TableParagraph"/>
              <w:spacing w:line="223" w:lineRule="exact"/>
              <w:ind w:left="206" w:right="207"/>
              <w:rPr>
                <w:sz w:val="20"/>
              </w:rPr>
            </w:pPr>
            <w:r>
              <w:rPr>
                <w:sz w:val="20"/>
              </w:rPr>
              <w:t>0.9</w:t>
            </w:r>
          </w:p>
        </w:tc>
        <w:tc>
          <w:tcPr>
            <w:tcW w:w="862" w:type="dxa"/>
          </w:tcPr>
          <w:p>
            <w:pPr>
              <w:pStyle w:val="TableParagraph"/>
              <w:spacing w:line="223" w:lineRule="exact"/>
              <w:ind w:left="202" w:right="206"/>
              <w:rPr>
                <w:sz w:val="20"/>
              </w:rPr>
            </w:pPr>
            <w:r>
              <w:rPr>
                <w:sz w:val="20"/>
              </w:rPr>
              <w:t>0.5</w:t>
            </w:r>
          </w:p>
        </w:tc>
        <w:tc>
          <w:tcPr>
            <w:tcW w:w="908" w:type="dxa"/>
          </w:tcPr>
          <w:p>
            <w:pPr>
              <w:pStyle w:val="TableParagraph"/>
              <w:spacing w:line="223" w:lineRule="exact"/>
              <w:ind w:left="229" w:right="229"/>
              <w:rPr>
                <w:sz w:val="20"/>
              </w:rPr>
            </w:pPr>
            <w:r>
              <w:rPr>
                <w:sz w:val="20"/>
              </w:rPr>
              <w:t>1.7</w:t>
            </w:r>
          </w:p>
        </w:tc>
        <w:tc>
          <w:tcPr>
            <w:tcW w:w="910" w:type="dxa"/>
          </w:tcPr>
          <w:p>
            <w:pPr>
              <w:pStyle w:val="TableParagraph"/>
              <w:spacing w:line="223" w:lineRule="exact"/>
              <w:ind w:left="229" w:right="230"/>
              <w:rPr>
                <w:sz w:val="20"/>
              </w:rPr>
            </w:pPr>
            <w:r>
              <w:rPr>
                <w:sz w:val="20"/>
              </w:rPr>
              <w:t>6.1</w:t>
            </w:r>
          </w:p>
        </w:tc>
        <w:tc>
          <w:tcPr>
            <w:tcW w:w="1070" w:type="dxa"/>
          </w:tcPr>
          <w:p>
            <w:pPr>
              <w:pStyle w:val="TableParagraph"/>
              <w:spacing w:line="223" w:lineRule="exact"/>
              <w:ind w:left="310" w:right="310"/>
              <w:rPr>
                <w:sz w:val="20"/>
              </w:rPr>
            </w:pPr>
            <w:r>
              <w:rPr>
                <w:sz w:val="20"/>
              </w:rPr>
              <w:t>2.1</w:t>
            </w:r>
          </w:p>
        </w:tc>
        <w:tc>
          <w:tcPr>
            <w:tcW w:w="1071" w:type="dxa"/>
          </w:tcPr>
          <w:p>
            <w:pPr>
              <w:pStyle w:val="TableParagraph"/>
              <w:spacing w:line="223" w:lineRule="exact"/>
              <w:rPr>
                <w:sz w:val="20"/>
              </w:rPr>
            </w:pPr>
            <w:r>
              <w:rPr>
                <w:w w:val="99"/>
                <w:sz w:val="20"/>
              </w:rPr>
              <w:t>4</w:t>
            </w:r>
          </w:p>
        </w:tc>
        <w:tc>
          <w:tcPr>
            <w:tcW w:w="749" w:type="dxa"/>
          </w:tcPr>
          <w:p>
            <w:pPr>
              <w:pStyle w:val="TableParagraph"/>
              <w:spacing w:line="223" w:lineRule="exact"/>
              <w:ind w:left="149" w:right="149"/>
              <w:rPr>
                <w:sz w:val="20"/>
              </w:rPr>
            </w:pPr>
            <w:r>
              <w:rPr>
                <w:sz w:val="20"/>
              </w:rPr>
              <w:t>2.5</w:t>
            </w:r>
          </w:p>
        </w:tc>
        <w:tc>
          <w:tcPr>
            <w:tcW w:w="749" w:type="dxa"/>
          </w:tcPr>
          <w:p>
            <w:pPr>
              <w:pStyle w:val="TableParagraph"/>
              <w:spacing w:line="223" w:lineRule="exact"/>
              <w:ind w:right="1"/>
              <w:rPr>
                <w:sz w:val="20"/>
              </w:rPr>
            </w:pPr>
            <w:r>
              <w:rPr>
                <w:w w:val="99"/>
                <w:sz w:val="20"/>
              </w:rPr>
              <w:t>3</w:t>
            </w:r>
          </w:p>
        </w:tc>
      </w:tr>
    </w:tbl>
    <w:p>
      <w:pPr>
        <w:spacing w:line="202" w:lineRule="exact" w:before="0"/>
        <w:ind w:left="102" w:right="0" w:firstLine="0"/>
        <w:jc w:val="both"/>
        <w:rPr>
          <w:sz w:val="18"/>
        </w:rPr>
      </w:pPr>
      <w:r>
        <w:rPr>
          <w:sz w:val="18"/>
        </w:rPr>
        <w:t>Fuente: Elaboración propia con datos de INEGI (1980 y 2009).</w:t>
      </w:r>
    </w:p>
    <w:p>
      <w:pPr>
        <w:pStyle w:val="BodyText"/>
        <w:rPr>
          <w:sz w:val="18"/>
        </w:rPr>
      </w:pPr>
    </w:p>
    <w:p>
      <w:pPr>
        <w:pStyle w:val="BodyText"/>
        <w:spacing w:line="360" w:lineRule="auto" w:before="135"/>
        <w:ind w:left="102" w:right="119"/>
        <w:jc w:val="both"/>
      </w:pPr>
      <w:r>
        <w:rPr/>
        <w:t>Al analizar la participación que tiene la industria manufacturera y automotriz de Aguascalientes en la manufactura nacional, se encuentra que para la variable de valor agregado censal bruto, la participación ha ido en aumento. En 1980, la industria manufacturera de estado aportaba sólo el 0.4% del VACB de la manufactura nacional y la industria</w:t>
      </w:r>
      <w:r>
        <w:rPr>
          <w:spacing w:val="-7"/>
        </w:rPr>
        <w:t> </w:t>
      </w:r>
      <w:r>
        <w:rPr/>
        <w:t>automotriz</w:t>
      </w:r>
      <w:r>
        <w:rPr>
          <w:spacing w:val="-5"/>
        </w:rPr>
        <w:t> </w:t>
      </w:r>
      <w:r>
        <w:rPr/>
        <w:t>no</w:t>
      </w:r>
      <w:r>
        <w:rPr>
          <w:spacing w:val="-6"/>
        </w:rPr>
        <w:t> </w:t>
      </w:r>
      <w:r>
        <w:rPr/>
        <w:t>figuraba</w:t>
      </w:r>
      <w:r>
        <w:rPr>
          <w:spacing w:val="-5"/>
        </w:rPr>
        <w:t> </w:t>
      </w:r>
      <w:r>
        <w:rPr/>
        <w:t>en</w:t>
      </w:r>
      <w:r>
        <w:rPr>
          <w:spacing w:val="-6"/>
        </w:rPr>
        <w:t> </w:t>
      </w:r>
      <w:r>
        <w:rPr/>
        <w:t>dicha</w:t>
      </w:r>
      <w:r>
        <w:rPr>
          <w:spacing w:val="-8"/>
        </w:rPr>
        <w:t> </w:t>
      </w:r>
      <w:r>
        <w:rPr/>
        <w:t>variable.</w:t>
      </w:r>
      <w:r>
        <w:rPr>
          <w:spacing w:val="-2"/>
        </w:rPr>
        <w:t> </w:t>
      </w:r>
      <w:r>
        <w:rPr/>
        <w:t>No</w:t>
      </w:r>
      <w:r>
        <w:rPr>
          <w:spacing w:val="-7"/>
        </w:rPr>
        <w:t> </w:t>
      </w:r>
      <w:r>
        <w:rPr/>
        <w:t>obstante,</w:t>
      </w:r>
      <w:r>
        <w:rPr>
          <w:spacing w:val="-7"/>
        </w:rPr>
        <w:t> </w:t>
      </w:r>
      <w:r>
        <w:rPr/>
        <w:t>la</w:t>
      </w:r>
      <w:r>
        <w:rPr>
          <w:spacing w:val="-7"/>
        </w:rPr>
        <w:t> </w:t>
      </w:r>
      <w:r>
        <w:rPr/>
        <w:t>situación</w:t>
      </w:r>
      <w:r>
        <w:rPr>
          <w:spacing w:val="-3"/>
        </w:rPr>
        <w:t> </w:t>
      </w:r>
      <w:r>
        <w:rPr/>
        <w:t>fue</w:t>
      </w:r>
      <w:r>
        <w:rPr>
          <w:spacing w:val="-8"/>
        </w:rPr>
        <w:t> </w:t>
      </w:r>
      <w:r>
        <w:rPr/>
        <w:t>distinta</w:t>
      </w:r>
      <w:r>
        <w:rPr>
          <w:spacing w:val="-7"/>
        </w:rPr>
        <w:t> </w:t>
      </w:r>
      <w:r>
        <w:rPr/>
        <w:t>para el 2008, </w:t>
      </w:r>
      <w:r>
        <w:rPr>
          <w:spacing w:val="-3"/>
        </w:rPr>
        <w:t>ya </w:t>
      </w:r>
      <w:r>
        <w:rPr/>
        <w:t>que la manufactura de la entidad representó el 1.8% y la automotriz el 1.1% de la manufactura nacional (véase gráfica</w:t>
      </w:r>
      <w:r>
        <w:rPr>
          <w:spacing w:val="-7"/>
        </w:rPr>
        <w:t> </w:t>
      </w:r>
      <w:r>
        <w:rPr/>
        <w:t>4.18).</w:t>
      </w:r>
    </w:p>
    <w:p>
      <w:pPr>
        <w:pStyle w:val="BodyText"/>
        <w:spacing w:before="7"/>
        <w:rPr>
          <w:sz w:val="21"/>
        </w:rPr>
      </w:pPr>
    </w:p>
    <w:p>
      <w:pPr>
        <w:pStyle w:val="Heading1"/>
        <w:spacing w:line="362" w:lineRule="auto"/>
        <w:ind w:left="106" w:right="123" w:firstLine="43"/>
        <w:jc w:val="both"/>
      </w:pPr>
      <w:r>
        <w:rPr/>
        <w:t>Gráfica 4.18. Participación porcentual de la industria manufacturera y automotriz de Aguascalientes en la manufactura nacional, 1980-2008 (Valor Agregado Censal Bruto)</w:t>
      </w:r>
    </w:p>
    <w:p>
      <w:pPr>
        <w:pStyle w:val="BodyText"/>
        <w:ind w:left="538"/>
        <w:rPr>
          <w:sz w:val="20"/>
        </w:rPr>
      </w:pPr>
      <w:r>
        <w:rPr>
          <w:sz w:val="20"/>
        </w:rPr>
        <w:pict>
          <v:group style="width:397.6pt;height:170.8pt;mso-position-horizontal-relative:char;mso-position-vertical-relative:line" coordorigin="0,0" coordsize="7952,3416">
            <v:shape style="position:absolute;left:514;top:228;width:7210;height:2306" type="#_x0000_t75" stroked="false">
              <v:imagedata r:id="rId76" o:title=""/>
            </v:shape>
            <v:line style="position:absolute" from="7455,2304" to="7723,2304" stroked="true" strokeweight=".72pt" strokecolor="#d9d9d9"/>
            <v:line style="position:absolute" from="7167,2304" to="7253,2304" stroked="true" strokeweight=".72pt" strokecolor="#d9d9d9"/>
            <v:line style="position:absolute" from="6425,2304" to="6963,2304" stroked="true" strokeweight=".72pt" strokecolor="#d9d9d9"/>
            <v:line style="position:absolute" from="6135,2304" to="6223,2304" stroked="true" strokeweight=".72pt" strokecolor="#d9d9d9"/>
            <v:line style="position:absolute" from="5395,2304" to="5933,2304" stroked="true" strokeweight=".72pt" strokecolor="#d9d9d9"/>
            <v:line style="position:absolute" from="5105,2304" to="5194,2304" stroked="true" strokeweight=".72pt" strokecolor="#d9d9d9"/>
            <v:line style="position:absolute" from="4366,2304" to="4903,2304" stroked="true" strokeweight=".72pt" strokecolor="#d9d9d9"/>
            <v:line style="position:absolute" from="4075,2304" to="4162,2304" stroked="true" strokeweight=".72pt" strokecolor="#d9d9d9"/>
            <v:line style="position:absolute" from="3046,2304" to="3874,2304" stroked="true" strokeweight=".72pt" strokecolor="#d9d9d9"/>
            <v:line style="position:absolute" from="2016,2304" to="2844,2304" stroked="true" strokeweight=".72pt" strokecolor="#d9d9d9"/>
            <v:line style="position:absolute" from="987,2304" to="1815,2304" stroked="true" strokeweight=".72pt" strokecolor="#d9d9d9"/>
            <v:line style="position:absolute" from="514,2304" to="785,2304" stroked="true" strokeweight=".72pt" strokecolor="#d9d9d9"/>
            <v:line style="position:absolute" from="7455,2074" to="7723,2074" stroked="true" strokeweight=".72pt" strokecolor="#d9d9d9"/>
            <v:line style="position:absolute" from="7167,2074" to="7253,2074" stroked="true" strokeweight=".72pt" strokecolor="#d9d9d9"/>
            <v:line style="position:absolute" from="6425,2074" to="6963,2074" stroked="true" strokeweight=".72pt" strokecolor="#d9d9d9"/>
            <v:line style="position:absolute" from="6135,2074" to="6223,2074" stroked="true" strokeweight=".72pt" strokecolor="#d9d9d9"/>
            <v:line style="position:absolute" from="5395,2074" to="5933,2074" stroked="true" strokeweight=".72pt" strokecolor="#d9d9d9"/>
            <v:line style="position:absolute" from="5105,2074" to="5194,2074" stroked="true" strokeweight=".72pt" strokecolor="#d9d9d9"/>
            <v:line style="position:absolute" from="4366,2074" to="4903,2074" stroked="true" strokeweight=".72pt" strokecolor="#d9d9d9"/>
            <v:line style="position:absolute" from="4075,2074" to="4162,2074" stroked="true" strokeweight=".72pt" strokecolor="#d9d9d9"/>
            <v:line style="position:absolute" from="3046,2074" to="3874,2074" stroked="true" strokeweight=".72pt" strokecolor="#d9d9d9"/>
            <v:line style="position:absolute" from="2016,2074" to="2844,2074" stroked="true" strokeweight=".72pt" strokecolor="#d9d9d9"/>
            <v:line style="position:absolute" from="514,2074" to="1815,2074" stroked="true" strokeweight=".72pt" strokecolor="#d9d9d9"/>
            <v:line style="position:absolute" from="7455,1844" to="7723,1844" stroked="true" strokeweight=".72pt" strokecolor="#d9d9d9"/>
            <v:line style="position:absolute" from="7167,1844" to="7253,1844" stroked="true" strokeweight=".72pt" strokecolor="#d9d9d9"/>
            <v:line style="position:absolute" from="6425,1844" to="6963,1844" stroked="true" strokeweight=".72pt" strokecolor="#d9d9d9"/>
            <v:line style="position:absolute" from="6135,1844" to="6223,1844" stroked="true" strokeweight=".72pt" strokecolor="#d9d9d9"/>
            <v:line style="position:absolute" from="5395,1844" to="5933,1844" stroked="true" strokeweight=".72pt" strokecolor="#d9d9d9"/>
            <v:line style="position:absolute" from="5105,1844" to="5194,1844" stroked="true" strokeweight=".72pt" strokecolor="#d9d9d9"/>
            <v:line style="position:absolute" from="4075,1844" to="4903,1844" stroked="true" strokeweight=".72pt" strokecolor="#d9d9d9"/>
            <v:line style="position:absolute" from="514,1844" to="3874,1844" stroked="true" strokeweight=".72pt" strokecolor="#d9d9d9"/>
            <v:line style="position:absolute" from="7455,1613" to="7723,1613" stroked="true" strokeweight=".72pt" strokecolor="#d9d9d9"/>
            <v:line style="position:absolute" from="7167,1613" to="7253,1613" stroked="true" strokeweight=".72pt" strokecolor="#d9d9d9"/>
            <v:line style="position:absolute" from="6135,1613" to="6963,1613" stroked="true" strokeweight=".72pt" strokecolor="#d9d9d9"/>
            <v:line style="position:absolute" from="5105,1613" to="5933,1613" stroked="true" strokeweight=".72pt" strokecolor="#d9d9d9"/>
            <v:line style="position:absolute" from="4075,1613" to="4903,1613" stroked="true" strokeweight=".72pt" strokecolor="#d9d9d9"/>
            <v:line style="position:absolute" from="514,1613" to="3874,1613" stroked="true" strokeweight=".72pt" strokecolor="#d9d9d9"/>
            <v:line style="position:absolute" from="7455,1383" to="7723,1383" stroked="true" strokeweight=".72pt" strokecolor="#d9d9d9"/>
            <v:line style="position:absolute" from="7167,1383" to="7253,1383" stroked="true" strokeweight=".72pt" strokecolor="#d9d9d9"/>
            <v:line style="position:absolute" from="6135,1383" to="6963,1383" stroked="true" strokeweight=".72pt" strokecolor="#d9d9d9"/>
            <v:line style="position:absolute" from="5105,1383" to="5933,1383" stroked="true" strokeweight=".72pt" strokecolor="#d9d9d9"/>
            <v:line style="position:absolute" from="4075,1383" to="4903,1383" stroked="true" strokeweight=".72pt" strokecolor="#d9d9d9"/>
            <v:line style="position:absolute" from="514,1383" to="3874,1383" stroked="true" strokeweight=".72pt" strokecolor="#d9d9d9"/>
            <v:line style="position:absolute" from="7167,1152" to="7723,1152" stroked="true" strokeweight=".72pt" strokecolor="#d9d9d9"/>
            <v:line style="position:absolute" from="6135,1152" to="6963,1152" stroked="true" strokeweight=".72pt" strokecolor="#d9d9d9"/>
            <v:line style="position:absolute" from="5105,1152" to="5933,1152" stroked="true" strokeweight=".72pt" strokecolor="#d9d9d9"/>
            <v:line style="position:absolute" from="514,1152" to="4903,1152" stroked="true" strokeweight=".72pt" strokecolor="#d9d9d9"/>
            <v:line style="position:absolute" from="7167,919" to="7723,919" stroked="true" strokeweight=".72pt" strokecolor="#d9d9d9"/>
            <v:line style="position:absolute" from="6135,919" to="6963,919" stroked="true" strokeweight=".72pt" strokecolor="#d9d9d9"/>
            <v:line style="position:absolute" from="5105,919" to="5933,919" stroked="true" strokeweight=".72pt" strokecolor="#d9d9d9"/>
            <v:line style="position:absolute" from="514,919" to="4903,919" stroked="true" strokeweight=".72pt" strokecolor="#d9d9d9"/>
            <v:line style="position:absolute" from="7167,689" to="7723,689" stroked="true" strokeweight=".72pt" strokecolor="#d9d9d9"/>
            <v:line style="position:absolute" from="6135,689" to="6963,689" stroked="true" strokeweight=".72pt" strokecolor="#d9d9d9"/>
            <v:line style="position:absolute" from="514,689" to="5933,689" stroked="true" strokeweight=".72pt" strokecolor="#d9d9d9"/>
            <v:line style="position:absolute" from="514,459" to="7723,459" stroked="true" strokeweight=".72pt" strokecolor="#d9d9d9"/>
            <v:line style="position:absolute" from="514,228" to="7723,228" stroked="true" strokeweight=".72pt" strokecolor="#d9d9d9"/>
            <v:line style="position:absolute" from="514,228" to="514,2535" stroked="true" strokeweight=".72pt" strokecolor="#d9d9d9"/>
            <v:line style="position:absolute" from="1546,228" to="1546,2535" stroked="true" strokeweight=".72pt" strokecolor="#d9d9d9"/>
            <v:line style="position:absolute" from="2575,228" to="2575,2535" stroked="true" strokeweight=".72pt" strokecolor="#d9d9d9"/>
            <v:line style="position:absolute" from="3605,228" to="3605,2535" stroked="true" strokeweight=".72pt" strokecolor="#d9d9d9"/>
            <v:line style="position:absolute" from="4635,228" to="4635,2535" stroked="true" strokeweight=".72pt" strokecolor="#d9d9d9"/>
            <v:line style="position:absolute" from="5664,228" to="5664,2535" stroked="true" strokeweight=".72pt" strokecolor="#d9d9d9"/>
            <v:line style="position:absolute" from="6694,228" to="6694,2535" stroked="true" strokeweight=".72pt" strokecolor="#d9d9d9"/>
            <v:line style="position:absolute" from="7723,228" to="7723,2535" stroked="true" strokeweight=".72pt" strokecolor="#d9d9d9"/>
            <v:rect style="position:absolute;left:785;top:2057;width:202;height:478" filled="true" fillcolor="#539e39" stroked="false">
              <v:fill type="solid"/>
            </v:rect>
            <v:rect style="position:absolute;left:1815;top:1901;width:202;height:634" filled="true" fillcolor="#539e39" stroked="false">
              <v:fill type="solid"/>
            </v:rect>
            <v:rect style="position:absolute;left:2844;top:1839;width:202;height:696" filled="true" fillcolor="#539e39" stroked="false">
              <v:fill type="solid"/>
            </v:rect>
            <v:rect style="position:absolute;left:3874;top:1311;width:202;height:1224" filled="true" fillcolor="#539e39" stroked="false">
              <v:fill type="solid"/>
            </v:rect>
            <v:rect style="position:absolute;left:4904;top:701;width:202;height:1834" filled="true" fillcolor="#539e39" stroked="false">
              <v:fill type="solid"/>
            </v:rect>
            <v:rect style="position:absolute;left:5933;top:444;width:202;height:2090" filled="true" fillcolor="#539e39" stroked="false">
              <v:fill type="solid"/>
            </v:rect>
            <v:rect style="position:absolute;left:6963;top:463;width:204;height:2071" filled="true" fillcolor="#539e39" stroked="false">
              <v:fill type="solid"/>
            </v:rect>
            <v:line style="position:absolute" from="1073,2532" to="1275,2532" stroked="true" strokeweight=".24pt" strokecolor="#89b833"/>
            <v:rect style="position:absolute;left:2103;top:2359;width:202;height:175" filled="true" fillcolor="#89b833" stroked="false">
              <v:fill type="solid"/>
            </v:rect>
            <v:rect style="position:absolute;left:3132;top:2393;width:202;height:142" filled="true" fillcolor="#89b833" stroked="false">
              <v:fill type="solid"/>
            </v:rect>
            <v:rect style="position:absolute;left:4162;top:2014;width:204;height:521" filled="true" fillcolor="#89b833" stroked="false">
              <v:fill type="solid"/>
            </v:rect>
            <v:rect style="position:absolute;left:5194;top:1671;width:202;height:864" filled="true" fillcolor="#89b833" stroked="false">
              <v:fill type="solid"/>
            </v:rect>
            <v:rect style="position:absolute;left:6223;top:1740;width:202;height:794" filled="true" fillcolor="#89b833" stroked="false">
              <v:fill type="solid"/>
            </v:rect>
            <v:rect style="position:absolute;left:7253;top:1253;width:202;height:1282" filled="true" fillcolor="#89b833" stroked="false">
              <v:fill type="solid"/>
            </v:rect>
            <v:line style="position:absolute" from="514,2535" to="7723,2535" stroked="true" strokeweight=".72pt" strokecolor="#d9d9d9"/>
            <v:line style="position:absolute" from="2144,3131" to="2232,3131" stroked="true" strokeweight="4.440pt" strokecolor="#539e39"/>
            <v:line style="position:absolute" from="4284,3131" to="4373,3131" stroked="true" strokeweight="4.440pt" strokecolor="#89b833"/>
            <v:rect style="position:absolute;left:8;top:8;width:7937;height:3401" filled="false" stroked="true" strokeweight=".72pt" strokecolor="#d9d9d9"/>
            <v:shape style="position:absolute;left:138;top:141;width:225;height:2488" type="#_x0000_t202" filled="false" stroked="false">
              <v:textbox inset="0,0,0,0">
                <w:txbxContent>
                  <w:p>
                    <w:pPr>
                      <w:spacing w:line="184" w:lineRule="exact" w:before="0"/>
                      <w:ind w:left="0" w:right="-20" w:firstLine="0"/>
                      <w:jc w:val="left"/>
                      <w:rPr>
                        <w:sz w:val="18"/>
                      </w:rPr>
                    </w:pPr>
                    <w:r>
                      <w:rPr>
                        <w:color w:val="585858"/>
                        <w:sz w:val="18"/>
                      </w:rPr>
                      <w:t>2.0</w:t>
                    </w:r>
                  </w:p>
                  <w:p>
                    <w:pPr>
                      <w:spacing w:before="24"/>
                      <w:ind w:left="0" w:right="-20" w:firstLine="0"/>
                      <w:jc w:val="left"/>
                      <w:rPr>
                        <w:sz w:val="18"/>
                      </w:rPr>
                    </w:pPr>
                    <w:r>
                      <w:rPr>
                        <w:color w:val="585858"/>
                        <w:sz w:val="18"/>
                      </w:rPr>
                      <w:t>1.8</w:t>
                    </w:r>
                  </w:p>
                  <w:p>
                    <w:pPr>
                      <w:spacing w:before="23"/>
                      <w:ind w:left="0" w:right="-20" w:firstLine="0"/>
                      <w:jc w:val="left"/>
                      <w:rPr>
                        <w:sz w:val="18"/>
                      </w:rPr>
                    </w:pPr>
                    <w:r>
                      <w:rPr>
                        <w:color w:val="585858"/>
                        <w:sz w:val="18"/>
                      </w:rPr>
                      <w:t>1.6</w:t>
                    </w:r>
                  </w:p>
                  <w:p>
                    <w:pPr>
                      <w:spacing w:before="24"/>
                      <w:ind w:left="0" w:right="-20" w:firstLine="0"/>
                      <w:jc w:val="left"/>
                      <w:rPr>
                        <w:sz w:val="18"/>
                      </w:rPr>
                    </w:pPr>
                    <w:r>
                      <w:rPr>
                        <w:color w:val="585858"/>
                        <w:sz w:val="18"/>
                      </w:rPr>
                      <w:t>1.4</w:t>
                    </w:r>
                  </w:p>
                  <w:p>
                    <w:pPr>
                      <w:spacing w:before="24"/>
                      <w:ind w:left="0" w:right="-20" w:firstLine="0"/>
                      <w:jc w:val="left"/>
                      <w:rPr>
                        <w:sz w:val="18"/>
                      </w:rPr>
                    </w:pPr>
                    <w:r>
                      <w:rPr>
                        <w:color w:val="585858"/>
                        <w:sz w:val="18"/>
                      </w:rPr>
                      <w:t>1.2</w:t>
                    </w:r>
                  </w:p>
                  <w:p>
                    <w:pPr>
                      <w:spacing w:before="24"/>
                      <w:ind w:left="0" w:right="-20" w:firstLine="0"/>
                      <w:jc w:val="left"/>
                      <w:rPr>
                        <w:sz w:val="18"/>
                      </w:rPr>
                    </w:pPr>
                    <w:r>
                      <w:rPr>
                        <w:color w:val="585858"/>
                        <w:sz w:val="18"/>
                      </w:rPr>
                      <w:t>1.0</w:t>
                    </w:r>
                  </w:p>
                  <w:p>
                    <w:pPr>
                      <w:spacing w:before="24"/>
                      <w:ind w:left="0" w:right="-20" w:firstLine="0"/>
                      <w:jc w:val="left"/>
                      <w:rPr>
                        <w:sz w:val="18"/>
                      </w:rPr>
                    </w:pPr>
                    <w:r>
                      <w:rPr>
                        <w:color w:val="585858"/>
                        <w:sz w:val="18"/>
                      </w:rPr>
                      <w:t>0.8</w:t>
                    </w:r>
                  </w:p>
                  <w:p>
                    <w:pPr>
                      <w:spacing w:before="23"/>
                      <w:ind w:left="0" w:right="-20" w:firstLine="0"/>
                      <w:jc w:val="left"/>
                      <w:rPr>
                        <w:sz w:val="18"/>
                      </w:rPr>
                    </w:pPr>
                    <w:r>
                      <w:rPr>
                        <w:color w:val="585858"/>
                        <w:sz w:val="18"/>
                      </w:rPr>
                      <w:t>0.6</w:t>
                    </w:r>
                  </w:p>
                  <w:p>
                    <w:pPr>
                      <w:spacing w:before="24"/>
                      <w:ind w:left="0" w:right="-20" w:firstLine="0"/>
                      <w:jc w:val="left"/>
                      <w:rPr>
                        <w:sz w:val="18"/>
                      </w:rPr>
                    </w:pPr>
                    <w:r>
                      <w:rPr>
                        <w:color w:val="585858"/>
                        <w:sz w:val="18"/>
                      </w:rPr>
                      <w:t>0.4</w:t>
                    </w:r>
                  </w:p>
                  <w:p>
                    <w:pPr>
                      <w:spacing w:before="24"/>
                      <w:ind w:left="0" w:right="-20" w:firstLine="0"/>
                      <w:jc w:val="left"/>
                      <w:rPr>
                        <w:sz w:val="18"/>
                      </w:rPr>
                    </w:pPr>
                    <w:r>
                      <w:rPr>
                        <w:color w:val="585858"/>
                        <w:sz w:val="18"/>
                      </w:rPr>
                      <w:t>0.2</w:t>
                    </w:r>
                  </w:p>
                  <w:p>
                    <w:pPr>
                      <w:spacing w:line="203" w:lineRule="exact" w:before="24"/>
                      <w:ind w:left="0" w:right="-20" w:firstLine="0"/>
                      <w:jc w:val="left"/>
                      <w:rPr>
                        <w:sz w:val="18"/>
                      </w:rPr>
                    </w:pPr>
                    <w:r>
                      <w:rPr>
                        <w:color w:val="585858"/>
                        <w:sz w:val="18"/>
                      </w:rPr>
                      <w:t>0.0</w:t>
                    </w:r>
                  </w:p>
                </w:txbxContent>
              </v:textbox>
              <w10:wrap type="none"/>
            </v:shape>
            <v:shape style="position:absolute;left:5922;top:172;width:227;height:180" type="#_x0000_t202" filled="false" stroked="false">
              <v:textbox inset="0,0,0,0">
                <w:txbxContent>
                  <w:p>
                    <w:pPr>
                      <w:spacing w:line="180" w:lineRule="exact" w:before="0"/>
                      <w:ind w:left="0" w:right="-18" w:firstLine="0"/>
                      <w:jc w:val="left"/>
                      <w:rPr>
                        <w:sz w:val="18"/>
                      </w:rPr>
                    </w:pPr>
                    <w:r>
                      <w:rPr>
                        <w:color w:val="404040"/>
                        <w:sz w:val="18"/>
                      </w:rPr>
                      <w:t>1.8</w:t>
                    </w:r>
                  </w:p>
                </w:txbxContent>
              </v:textbox>
              <w10:wrap type="none"/>
            </v:shape>
            <v:shape style="position:absolute;left:6952;top:191;width:227;height:180" type="#_x0000_t202" filled="false" stroked="false">
              <v:textbox inset="0,0,0,0">
                <w:txbxContent>
                  <w:p>
                    <w:pPr>
                      <w:spacing w:line="180" w:lineRule="exact" w:before="0"/>
                      <w:ind w:left="0" w:right="-18" w:firstLine="0"/>
                      <w:jc w:val="left"/>
                      <w:rPr>
                        <w:sz w:val="18"/>
                      </w:rPr>
                    </w:pPr>
                    <w:r>
                      <w:rPr>
                        <w:color w:val="404040"/>
                        <w:sz w:val="18"/>
                      </w:rPr>
                      <w:t>1.8</w:t>
                    </w:r>
                  </w:p>
                </w:txbxContent>
              </v:textbox>
              <w10:wrap type="none"/>
            </v:shape>
            <v:shape style="position:absolute;left:4892;top:429;width:227;height:180" type="#_x0000_t202" filled="false" stroked="false">
              <v:textbox inset="0,0,0,0">
                <w:txbxContent>
                  <w:p>
                    <w:pPr>
                      <w:spacing w:line="180" w:lineRule="exact" w:before="0"/>
                      <w:ind w:left="0" w:right="-18" w:firstLine="0"/>
                      <w:jc w:val="left"/>
                      <w:rPr>
                        <w:sz w:val="18"/>
                      </w:rPr>
                    </w:pPr>
                    <w:r>
                      <w:rPr>
                        <w:color w:val="404040"/>
                        <w:sz w:val="18"/>
                      </w:rPr>
                      <w:t>1.6</w:t>
                    </w:r>
                  </w:p>
                </w:txbxContent>
              </v:textbox>
              <w10:wrap type="none"/>
            </v:shape>
            <v:shape style="position:absolute;left:3862;top:1039;width:227;height:180" type="#_x0000_t202" filled="false" stroked="false">
              <v:textbox inset="0,0,0,0">
                <w:txbxContent>
                  <w:p>
                    <w:pPr>
                      <w:spacing w:line="180" w:lineRule="exact" w:before="0"/>
                      <w:ind w:left="0" w:right="-18" w:firstLine="0"/>
                      <w:jc w:val="left"/>
                      <w:rPr>
                        <w:sz w:val="18"/>
                      </w:rPr>
                    </w:pPr>
                    <w:r>
                      <w:rPr>
                        <w:color w:val="404040"/>
                        <w:sz w:val="18"/>
                      </w:rPr>
                      <w:t>1.1</w:t>
                    </w:r>
                  </w:p>
                </w:txbxContent>
              </v:textbox>
              <w10:wrap type="none"/>
            </v:shape>
            <v:shape style="position:absolute;left:7241;top:982;width:227;height:180" type="#_x0000_t202" filled="false" stroked="false">
              <v:textbox inset="0,0,0,0">
                <w:txbxContent>
                  <w:p>
                    <w:pPr>
                      <w:spacing w:line="180" w:lineRule="exact" w:before="0"/>
                      <w:ind w:left="0" w:right="-18" w:firstLine="0"/>
                      <w:jc w:val="left"/>
                      <w:rPr>
                        <w:sz w:val="18"/>
                      </w:rPr>
                    </w:pPr>
                    <w:r>
                      <w:rPr>
                        <w:color w:val="404040"/>
                        <w:sz w:val="18"/>
                      </w:rPr>
                      <w:t>1.1</w:t>
                    </w:r>
                  </w:p>
                </w:txbxContent>
              </v:textbox>
              <w10:wrap type="none"/>
            </v:shape>
            <v:shape style="position:absolute;left:5181;top:1398;width:227;height:180" type="#_x0000_t202" filled="false" stroked="false">
              <v:textbox inset="0,0,0,0">
                <w:txbxContent>
                  <w:p>
                    <w:pPr>
                      <w:spacing w:line="180" w:lineRule="exact" w:before="0"/>
                      <w:ind w:left="0" w:right="-18" w:firstLine="0"/>
                      <w:jc w:val="left"/>
                      <w:rPr>
                        <w:sz w:val="18"/>
                      </w:rPr>
                    </w:pPr>
                    <w:r>
                      <w:rPr>
                        <w:color w:val="404040"/>
                        <w:sz w:val="18"/>
                      </w:rPr>
                      <w:t>0.8</w:t>
                    </w:r>
                  </w:p>
                </w:txbxContent>
              </v:textbox>
              <w10:wrap type="none"/>
            </v:shape>
            <v:shape style="position:absolute;left:6210;top:1469;width:227;height:180" type="#_x0000_t202" filled="false" stroked="false">
              <v:textbox inset="0,0,0,0">
                <w:txbxContent>
                  <w:p>
                    <w:pPr>
                      <w:spacing w:line="180" w:lineRule="exact" w:before="0"/>
                      <w:ind w:left="0" w:right="-18" w:firstLine="0"/>
                      <w:jc w:val="left"/>
                      <w:rPr>
                        <w:sz w:val="18"/>
                      </w:rPr>
                    </w:pPr>
                    <w:r>
                      <w:rPr>
                        <w:color w:val="404040"/>
                        <w:sz w:val="18"/>
                      </w:rPr>
                      <w:t>0.7</w:t>
                    </w:r>
                  </w:p>
                </w:txbxContent>
              </v:textbox>
              <w10:wrap type="none"/>
            </v:shape>
            <v:shape style="position:absolute;left:1802;top:1630;width:227;height:180" type="#_x0000_t202" filled="false" stroked="false">
              <v:textbox inset="0,0,0,0">
                <w:txbxContent>
                  <w:p>
                    <w:pPr>
                      <w:spacing w:line="180" w:lineRule="exact" w:before="0"/>
                      <w:ind w:left="0" w:right="-18" w:firstLine="0"/>
                      <w:jc w:val="left"/>
                      <w:rPr>
                        <w:sz w:val="18"/>
                      </w:rPr>
                    </w:pPr>
                    <w:r>
                      <w:rPr>
                        <w:color w:val="404040"/>
                        <w:sz w:val="18"/>
                      </w:rPr>
                      <w:t>0.5</w:t>
                    </w:r>
                  </w:p>
                </w:txbxContent>
              </v:textbox>
              <w10:wrap type="none"/>
            </v:shape>
            <v:shape style="position:absolute;left:2832;top:1567;width:227;height:180" type="#_x0000_t202" filled="false" stroked="false">
              <v:textbox inset="0,0,0,0">
                <w:txbxContent>
                  <w:p>
                    <w:pPr>
                      <w:spacing w:line="180" w:lineRule="exact" w:before="0"/>
                      <w:ind w:left="0" w:right="-18" w:firstLine="0"/>
                      <w:jc w:val="left"/>
                      <w:rPr>
                        <w:sz w:val="18"/>
                      </w:rPr>
                    </w:pPr>
                    <w:r>
                      <w:rPr>
                        <w:color w:val="404040"/>
                        <w:sz w:val="18"/>
                      </w:rPr>
                      <w:t>0.6</w:t>
                    </w:r>
                  </w:p>
                </w:txbxContent>
              </v:textbox>
              <w10:wrap type="none"/>
            </v:shape>
            <v:shape style="position:absolute;left:772;top:1785;width:227;height:180" type="#_x0000_t202" filled="false" stroked="false">
              <v:textbox inset="0,0,0,0">
                <w:txbxContent>
                  <w:p>
                    <w:pPr>
                      <w:spacing w:line="180" w:lineRule="exact" w:before="0"/>
                      <w:ind w:left="0" w:right="-18" w:firstLine="0"/>
                      <w:jc w:val="left"/>
                      <w:rPr>
                        <w:sz w:val="18"/>
                      </w:rPr>
                    </w:pPr>
                    <w:r>
                      <w:rPr>
                        <w:color w:val="404040"/>
                        <w:sz w:val="18"/>
                      </w:rPr>
                      <w:t>0.4</w:t>
                    </w:r>
                  </w:p>
                </w:txbxContent>
              </v:textbox>
              <w10:wrap type="none"/>
            </v:shape>
            <v:shape style="position:absolute;left:4151;top:1742;width:227;height:180" type="#_x0000_t202" filled="false" stroked="false">
              <v:textbox inset="0,0,0,0">
                <w:txbxContent>
                  <w:p>
                    <w:pPr>
                      <w:spacing w:line="180" w:lineRule="exact" w:before="0"/>
                      <w:ind w:left="0" w:right="-18" w:firstLine="0"/>
                      <w:jc w:val="left"/>
                      <w:rPr>
                        <w:sz w:val="18"/>
                      </w:rPr>
                    </w:pPr>
                    <w:r>
                      <w:rPr>
                        <w:color w:val="404040"/>
                        <w:sz w:val="18"/>
                      </w:rPr>
                      <w:t>0.5</w:t>
                    </w:r>
                  </w:p>
                </w:txbxContent>
              </v:textbox>
              <w10:wrap type="none"/>
            </v:shape>
            <v:shape style="position:absolute;left:2091;top:2087;width:227;height:180" type="#_x0000_t202" filled="false" stroked="false">
              <v:textbox inset="0,0,0,0">
                <w:txbxContent>
                  <w:p>
                    <w:pPr>
                      <w:spacing w:line="180" w:lineRule="exact" w:before="0"/>
                      <w:ind w:left="0" w:right="-18" w:firstLine="0"/>
                      <w:jc w:val="left"/>
                      <w:rPr>
                        <w:sz w:val="18"/>
                      </w:rPr>
                    </w:pPr>
                    <w:r>
                      <w:rPr>
                        <w:color w:val="404040"/>
                        <w:sz w:val="18"/>
                      </w:rPr>
                      <w:t>0.2</w:t>
                    </w:r>
                  </w:p>
                </w:txbxContent>
              </v:textbox>
              <w10:wrap type="none"/>
            </v:shape>
            <v:shape style="position:absolute;left:1061;top:2257;width:227;height:180" type="#_x0000_t202" filled="false" stroked="false">
              <v:textbox inset="0,0,0,0">
                <w:txbxContent>
                  <w:p>
                    <w:pPr>
                      <w:spacing w:line="180" w:lineRule="exact" w:before="0"/>
                      <w:ind w:left="0" w:right="-18" w:firstLine="0"/>
                      <w:jc w:val="left"/>
                      <w:rPr>
                        <w:sz w:val="18"/>
                      </w:rPr>
                    </w:pPr>
                    <w:r>
                      <w:rPr>
                        <w:color w:val="404040"/>
                        <w:sz w:val="18"/>
                      </w:rPr>
                      <w:t>0.0</w:t>
                    </w:r>
                  </w:p>
                </w:txbxContent>
              </v:textbox>
              <w10:wrap type="none"/>
            </v:shape>
            <v:shape style="position:absolute;left:3121;top:2121;width:227;height:180" type="#_x0000_t202" filled="false" stroked="false">
              <v:textbox inset="0,0,0,0">
                <w:txbxContent>
                  <w:p>
                    <w:pPr>
                      <w:spacing w:line="180" w:lineRule="exact" w:before="0"/>
                      <w:ind w:left="0" w:right="-18" w:firstLine="0"/>
                      <w:jc w:val="left"/>
                      <w:rPr>
                        <w:sz w:val="18"/>
                      </w:rPr>
                    </w:pPr>
                    <w:r>
                      <w:rPr>
                        <w:color w:val="404040"/>
                        <w:sz w:val="18"/>
                      </w:rPr>
                      <w:t>0.1</w:t>
                    </w:r>
                  </w:p>
                </w:txbxContent>
              </v:textbox>
              <w10:wrap type="none"/>
            </v:shape>
            <v:shape style="position:absolute;left:850;top:2661;width:6542;height:180" type="#_x0000_t202" filled="false" stroked="false">
              <v:textbox inset="0,0,0,0">
                <w:txbxContent>
                  <w:p>
                    <w:pPr>
                      <w:tabs>
                        <w:tab w:pos="1030" w:val="left" w:leader="none"/>
                        <w:tab w:pos="2060" w:val="left" w:leader="none"/>
                        <w:tab w:pos="3090" w:val="left" w:leader="none"/>
                        <w:tab w:pos="4120" w:val="left" w:leader="none"/>
                        <w:tab w:pos="5150" w:val="left" w:leader="none"/>
                        <w:tab w:pos="6180" w:val="left" w:leader="none"/>
                      </w:tabs>
                      <w:spacing w:line="180" w:lineRule="exact" w:before="0"/>
                      <w:ind w:left="0" w:right="0" w:firstLine="0"/>
                      <w:jc w:val="left"/>
                      <w:rPr>
                        <w:sz w:val="18"/>
                      </w:rPr>
                    </w:pPr>
                    <w:r>
                      <w:rPr>
                        <w:color w:val="585858"/>
                        <w:sz w:val="18"/>
                      </w:rPr>
                      <w:t>1980</w:t>
                      <w:tab/>
                      <w:t>1985</w:t>
                      <w:tab/>
                      <w:t>1988</w:t>
                      <w:tab/>
                      <w:t>1993</w:t>
                      <w:tab/>
                      <w:t>1998</w:t>
                      <w:tab/>
                      <w:t>2003</w:t>
                      <w:tab/>
                      <w:t>2008</w:t>
                    </w:r>
                  </w:p>
                </w:txbxContent>
              </v:textbox>
              <w10:wrap type="none"/>
            </v:shape>
            <v:shape style="position:absolute;left:2272;top:3044;width:1723;height:180" type="#_x0000_t202" filled="false" stroked="false">
              <v:textbox inset="0,0,0,0">
                <w:txbxContent>
                  <w:p>
                    <w:pPr>
                      <w:spacing w:line="180" w:lineRule="exact" w:before="0"/>
                      <w:ind w:left="0" w:right="-15" w:firstLine="0"/>
                      <w:jc w:val="left"/>
                      <w:rPr>
                        <w:sz w:val="18"/>
                      </w:rPr>
                    </w:pPr>
                    <w:r>
                      <w:rPr>
                        <w:color w:val="585858"/>
                        <w:sz w:val="18"/>
                      </w:rPr>
                      <w:t>Industria</w:t>
                    </w:r>
                    <w:r>
                      <w:rPr>
                        <w:color w:val="585858"/>
                        <w:spacing w:val="-7"/>
                        <w:sz w:val="18"/>
                      </w:rPr>
                      <w:t> </w:t>
                    </w:r>
                    <w:r>
                      <w:rPr>
                        <w:color w:val="585858"/>
                        <w:sz w:val="18"/>
                      </w:rPr>
                      <w:t>manufacturera</w:t>
                    </w:r>
                  </w:p>
                </w:txbxContent>
              </v:textbox>
              <w10:wrap type="none"/>
            </v:shape>
            <v:shape style="position:absolute;left:4411;top:3044;width:1464;height:180" type="#_x0000_t202" filled="false" stroked="false">
              <v:textbox inset="0,0,0,0">
                <w:txbxContent>
                  <w:p>
                    <w:pPr>
                      <w:spacing w:line="180" w:lineRule="exact" w:before="0"/>
                      <w:ind w:left="0" w:right="-14" w:firstLine="0"/>
                      <w:jc w:val="left"/>
                      <w:rPr>
                        <w:sz w:val="18"/>
                      </w:rPr>
                    </w:pPr>
                    <w:r>
                      <w:rPr>
                        <w:color w:val="585858"/>
                        <w:sz w:val="18"/>
                      </w:rPr>
                      <w:t>Industria</w:t>
                    </w:r>
                    <w:r>
                      <w:rPr>
                        <w:color w:val="585858"/>
                        <w:spacing w:val="-7"/>
                        <w:sz w:val="18"/>
                      </w:rPr>
                      <w:t> </w:t>
                    </w:r>
                    <w:r>
                      <w:rPr>
                        <w:color w:val="585858"/>
                        <w:sz w:val="18"/>
                      </w:rPr>
                      <w:t>automotriz</w:t>
                    </w:r>
                  </w:p>
                </w:txbxContent>
              </v:textbox>
              <w10:wrap type="none"/>
            </v:shape>
          </v:group>
        </w:pict>
      </w:r>
      <w:r>
        <w:rPr>
          <w:sz w:val="20"/>
        </w:rPr>
      </w:r>
    </w:p>
    <w:p>
      <w:pPr>
        <w:spacing w:before="122"/>
        <w:ind w:left="383" w:right="399" w:firstLine="0"/>
        <w:jc w:val="center"/>
        <w:rPr>
          <w:sz w:val="18"/>
        </w:rPr>
      </w:pPr>
      <w:r>
        <w:rPr>
          <w:sz w:val="18"/>
        </w:rPr>
        <w:t>Fuente: Elaboración propia con datos de INEGI (varios años).</w:t>
      </w:r>
    </w:p>
    <w:p>
      <w:pPr>
        <w:spacing w:after="0"/>
        <w:jc w:val="center"/>
        <w:rPr>
          <w:sz w:val="18"/>
        </w:rPr>
        <w:sectPr>
          <w:pgSz w:w="12240" w:h="15840"/>
          <w:pgMar w:header="0" w:footer="1035" w:top="1360" w:bottom="1220" w:left="1600" w:right="1580"/>
        </w:sectPr>
      </w:pPr>
    </w:p>
    <w:p>
      <w:pPr>
        <w:pStyle w:val="BodyText"/>
        <w:spacing w:line="360" w:lineRule="auto" w:before="50"/>
        <w:ind w:left="102" w:right="117"/>
        <w:jc w:val="both"/>
      </w:pPr>
      <w:r>
        <w:rPr/>
        <w:t>En cuanto al personal ocupado, en la gráfica 4.19 se observa que la manufactura del estado ha ido aumentando su participación en la manufactura nacional, así, de acuerdo con el</w:t>
      </w:r>
      <w:r>
        <w:rPr>
          <w:spacing w:val="-41"/>
        </w:rPr>
        <w:t> </w:t>
      </w:r>
      <w:r>
        <w:rPr/>
        <w:t>censo económico</w:t>
      </w:r>
      <w:r>
        <w:rPr>
          <w:spacing w:val="-4"/>
        </w:rPr>
        <w:t> </w:t>
      </w:r>
      <w:r>
        <w:rPr/>
        <w:t>de</w:t>
      </w:r>
      <w:r>
        <w:rPr>
          <w:spacing w:val="-5"/>
        </w:rPr>
        <w:t> </w:t>
      </w:r>
      <w:r>
        <w:rPr/>
        <w:t>1980,</w:t>
      </w:r>
      <w:r>
        <w:rPr>
          <w:spacing w:val="-4"/>
        </w:rPr>
        <w:t> </w:t>
      </w:r>
      <w:r>
        <w:rPr/>
        <w:t>la</w:t>
      </w:r>
      <w:r>
        <w:rPr>
          <w:spacing w:val="-4"/>
        </w:rPr>
        <w:t> </w:t>
      </w:r>
      <w:r>
        <w:rPr/>
        <w:t>manufactura</w:t>
      </w:r>
      <w:r>
        <w:rPr>
          <w:spacing w:val="-6"/>
        </w:rPr>
        <w:t> </w:t>
      </w:r>
      <w:r>
        <w:rPr/>
        <w:t>de</w:t>
      </w:r>
      <w:r>
        <w:rPr>
          <w:spacing w:val="-2"/>
        </w:rPr>
        <w:t> </w:t>
      </w:r>
      <w:r>
        <w:rPr/>
        <w:t>Aguascalientes</w:t>
      </w:r>
      <w:r>
        <w:rPr>
          <w:spacing w:val="-4"/>
        </w:rPr>
        <w:t> </w:t>
      </w:r>
      <w:r>
        <w:rPr/>
        <w:t>contribuía</w:t>
      </w:r>
      <w:r>
        <w:rPr>
          <w:spacing w:val="-5"/>
        </w:rPr>
        <w:t> </w:t>
      </w:r>
      <w:r>
        <w:rPr/>
        <w:t>con</w:t>
      </w:r>
      <w:r>
        <w:rPr>
          <w:spacing w:val="-4"/>
        </w:rPr>
        <w:t> </w:t>
      </w:r>
      <w:r>
        <w:rPr/>
        <w:t>el</w:t>
      </w:r>
      <w:r>
        <w:rPr>
          <w:spacing w:val="-3"/>
        </w:rPr>
        <w:t> </w:t>
      </w:r>
      <w:r>
        <w:rPr/>
        <w:t>0.8%</w:t>
      </w:r>
      <w:r>
        <w:rPr>
          <w:spacing w:val="-5"/>
        </w:rPr>
        <w:t> </w:t>
      </w:r>
      <w:r>
        <w:rPr/>
        <w:t>del</w:t>
      </w:r>
      <w:r>
        <w:rPr>
          <w:spacing w:val="-3"/>
        </w:rPr>
        <w:t> </w:t>
      </w:r>
      <w:r>
        <w:rPr/>
        <w:t>empleo</w:t>
      </w:r>
      <w:r>
        <w:rPr>
          <w:spacing w:val="-4"/>
        </w:rPr>
        <w:t> </w:t>
      </w:r>
      <w:r>
        <w:rPr/>
        <w:t>en la</w:t>
      </w:r>
      <w:r>
        <w:rPr>
          <w:spacing w:val="-9"/>
        </w:rPr>
        <w:t> </w:t>
      </w:r>
      <w:r>
        <w:rPr/>
        <w:t>manufactura</w:t>
      </w:r>
      <w:r>
        <w:rPr>
          <w:spacing w:val="-10"/>
        </w:rPr>
        <w:t> </w:t>
      </w:r>
      <w:r>
        <w:rPr/>
        <w:t>nacional</w:t>
      </w:r>
      <w:r>
        <w:rPr>
          <w:spacing w:val="-6"/>
        </w:rPr>
        <w:t> </w:t>
      </w:r>
      <w:r>
        <w:rPr/>
        <w:t>y</w:t>
      </w:r>
      <w:r>
        <w:rPr>
          <w:spacing w:val="-11"/>
        </w:rPr>
        <w:t> </w:t>
      </w:r>
      <w:r>
        <w:rPr/>
        <w:t>en</w:t>
      </w:r>
      <w:r>
        <w:rPr>
          <w:spacing w:val="-9"/>
        </w:rPr>
        <w:t> </w:t>
      </w:r>
      <w:r>
        <w:rPr/>
        <w:t>2009,</w:t>
      </w:r>
      <w:r>
        <w:rPr>
          <w:spacing w:val="-9"/>
        </w:rPr>
        <w:t> </w:t>
      </w:r>
      <w:r>
        <w:rPr/>
        <w:t>duplicó</w:t>
      </w:r>
      <w:r>
        <w:rPr>
          <w:spacing w:val="-9"/>
        </w:rPr>
        <w:t> </w:t>
      </w:r>
      <w:r>
        <w:rPr/>
        <w:t>dicho</w:t>
      </w:r>
      <w:r>
        <w:rPr>
          <w:spacing w:val="-6"/>
        </w:rPr>
        <w:t> </w:t>
      </w:r>
      <w:r>
        <w:rPr/>
        <w:t>porcentaje,</w:t>
      </w:r>
      <w:r>
        <w:rPr>
          <w:spacing w:val="-7"/>
        </w:rPr>
        <w:t> </w:t>
      </w:r>
      <w:r>
        <w:rPr/>
        <w:t>pues</w:t>
      </w:r>
      <w:r>
        <w:rPr>
          <w:spacing w:val="-8"/>
        </w:rPr>
        <w:t> </w:t>
      </w:r>
      <w:r>
        <w:rPr/>
        <w:t>tuvo</w:t>
      </w:r>
      <w:r>
        <w:rPr>
          <w:spacing w:val="-8"/>
        </w:rPr>
        <w:t> </w:t>
      </w:r>
      <w:r>
        <w:rPr/>
        <w:t>una</w:t>
      </w:r>
      <w:r>
        <w:rPr>
          <w:spacing w:val="-7"/>
        </w:rPr>
        <w:t> </w:t>
      </w:r>
      <w:r>
        <w:rPr/>
        <w:t>participación</w:t>
      </w:r>
      <w:r>
        <w:rPr>
          <w:spacing w:val="-6"/>
        </w:rPr>
        <w:t> </w:t>
      </w:r>
      <w:r>
        <w:rPr/>
        <w:t>del 1.6%. El caso de la industria automotriz no es tan significativo, sin embargo se observa que el empleo en el sector ha ido en aumento, pues en 1980 no mostraba aportación alguna al empleo manufacturero nacional, pero en 2008 tuvo una modesta participación del</w:t>
      </w:r>
      <w:r>
        <w:rPr>
          <w:spacing w:val="-11"/>
        </w:rPr>
        <w:t> </w:t>
      </w:r>
      <w:r>
        <w:rPr/>
        <w:t>0.3%.</w:t>
      </w:r>
    </w:p>
    <w:p>
      <w:pPr>
        <w:pStyle w:val="BodyText"/>
        <w:spacing w:before="5"/>
        <w:rPr>
          <w:sz w:val="21"/>
        </w:rPr>
      </w:pPr>
    </w:p>
    <w:p>
      <w:pPr>
        <w:pStyle w:val="BodyText"/>
        <w:spacing w:line="360" w:lineRule="auto"/>
        <w:ind w:left="102" w:right="119"/>
        <w:jc w:val="both"/>
      </w:pPr>
      <w:r>
        <w:rPr/>
        <w:t>Es importante destacar, que el estado de Aguascalientes se encuentra en una posición geográfica</w:t>
      </w:r>
      <w:r>
        <w:rPr>
          <w:spacing w:val="-12"/>
        </w:rPr>
        <w:t> </w:t>
      </w:r>
      <w:r>
        <w:rPr/>
        <w:t>importante,</w:t>
      </w:r>
      <w:r>
        <w:rPr>
          <w:spacing w:val="-11"/>
        </w:rPr>
        <w:t> </w:t>
      </w:r>
      <w:r>
        <w:rPr/>
        <w:t>pues</w:t>
      </w:r>
      <w:r>
        <w:rPr>
          <w:spacing w:val="-11"/>
        </w:rPr>
        <w:t> </w:t>
      </w:r>
      <w:r>
        <w:rPr/>
        <w:t>colinda</w:t>
      </w:r>
      <w:r>
        <w:rPr>
          <w:spacing w:val="-12"/>
        </w:rPr>
        <w:t> </w:t>
      </w:r>
      <w:r>
        <w:rPr/>
        <w:t>con</w:t>
      </w:r>
      <w:r>
        <w:rPr>
          <w:spacing w:val="-11"/>
        </w:rPr>
        <w:t> </w:t>
      </w:r>
      <w:r>
        <w:rPr/>
        <w:t>el</w:t>
      </w:r>
      <w:r>
        <w:rPr>
          <w:spacing w:val="-8"/>
        </w:rPr>
        <w:t> </w:t>
      </w:r>
      <w:r>
        <w:rPr/>
        <w:t>estado</w:t>
      </w:r>
      <w:r>
        <w:rPr>
          <w:spacing w:val="-11"/>
        </w:rPr>
        <w:t> </w:t>
      </w:r>
      <w:r>
        <w:rPr/>
        <w:t>de</w:t>
      </w:r>
      <w:r>
        <w:rPr>
          <w:spacing w:val="-12"/>
        </w:rPr>
        <w:t> </w:t>
      </w:r>
      <w:r>
        <w:rPr/>
        <w:t>Guanajuato</w:t>
      </w:r>
      <w:r>
        <w:rPr>
          <w:spacing w:val="-8"/>
        </w:rPr>
        <w:t> </w:t>
      </w:r>
      <w:r>
        <w:rPr/>
        <w:t>y</w:t>
      </w:r>
      <w:r>
        <w:rPr>
          <w:spacing w:val="-16"/>
        </w:rPr>
        <w:t> </w:t>
      </w:r>
      <w:r>
        <w:rPr/>
        <w:t>se</w:t>
      </w:r>
      <w:r>
        <w:rPr>
          <w:spacing w:val="-12"/>
        </w:rPr>
        <w:t> </w:t>
      </w:r>
      <w:r>
        <w:rPr/>
        <w:t>ubica</w:t>
      </w:r>
      <w:r>
        <w:rPr>
          <w:spacing w:val="-12"/>
        </w:rPr>
        <w:t> </w:t>
      </w:r>
      <w:r>
        <w:rPr/>
        <w:t>cerca</w:t>
      </w:r>
      <w:r>
        <w:rPr>
          <w:spacing w:val="-12"/>
        </w:rPr>
        <w:t> </w:t>
      </w:r>
      <w:r>
        <w:rPr/>
        <w:t>de</w:t>
      </w:r>
      <w:r>
        <w:rPr>
          <w:spacing w:val="-12"/>
        </w:rPr>
        <w:t> </w:t>
      </w:r>
      <w:r>
        <w:rPr/>
        <w:t>San</w:t>
      </w:r>
      <w:r>
        <w:rPr>
          <w:spacing w:val="-9"/>
        </w:rPr>
        <w:t> </w:t>
      </w:r>
      <w:r>
        <w:rPr/>
        <w:t>Luis Potosí, estados donde la industria automotriz ha generado un efecto positivo en la manufactura de su región y de las propias</w:t>
      </w:r>
      <w:r>
        <w:rPr>
          <w:spacing w:val="-7"/>
        </w:rPr>
        <w:t> </w:t>
      </w:r>
      <w:r>
        <w:rPr/>
        <w:t>entidades.</w:t>
      </w:r>
    </w:p>
    <w:p>
      <w:pPr>
        <w:pStyle w:val="BodyText"/>
        <w:spacing w:before="9"/>
        <w:rPr>
          <w:sz w:val="21"/>
        </w:rPr>
      </w:pPr>
    </w:p>
    <w:p>
      <w:pPr>
        <w:pStyle w:val="Heading1"/>
        <w:spacing w:line="360" w:lineRule="auto"/>
        <w:ind w:left="112" w:right="132"/>
        <w:jc w:val="center"/>
      </w:pPr>
      <w:r>
        <w:rPr/>
        <w:t>Gráfica 4.19. Participación porcentual de la industria manufacturera y automotriz de Aguascalientes en la manufactura nacional, 1980-2008 (Personal Ocupado)</w:t>
      </w:r>
    </w:p>
    <w:p>
      <w:pPr>
        <w:pStyle w:val="BodyText"/>
        <w:ind w:left="538"/>
        <w:rPr>
          <w:sz w:val="20"/>
        </w:rPr>
      </w:pPr>
      <w:r>
        <w:rPr>
          <w:sz w:val="20"/>
        </w:rPr>
        <w:pict>
          <v:group style="width:397.6pt;height:170.8pt;mso-position-horizontal-relative:char;mso-position-vertical-relative:line" coordorigin="0,0" coordsize="7952,3416">
            <v:shape style="position:absolute;left:514;top:226;width:7210;height:2309" type="#_x0000_t75" stroked="false">
              <v:imagedata r:id="rId65" o:title=""/>
            </v:shape>
            <v:line style="position:absolute" from="7455,2278" to="7723,2278" stroked="true" strokeweight=".72pt" strokecolor="#d9d9d9"/>
            <v:line style="position:absolute" from="7167,2278" to="7253,2278" stroked="true" strokeweight=".72pt" strokecolor="#d9d9d9"/>
            <v:line style="position:absolute" from="6425,2278" to="6963,2278" stroked="true" strokeweight=".72pt" strokecolor="#d9d9d9"/>
            <v:line style="position:absolute" from="6135,2278" to="6223,2278" stroked="true" strokeweight=".72pt" strokecolor="#d9d9d9"/>
            <v:line style="position:absolute" from="5395,2278" to="5933,2278" stroked="true" strokeweight=".72pt" strokecolor="#d9d9d9"/>
            <v:line style="position:absolute" from="5105,2278" to="5194,2278" stroked="true" strokeweight=".72pt" strokecolor="#d9d9d9"/>
            <v:line style="position:absolute" from="4366,2278" to="4903,2278" stroked="true" strokeweight=".72pt" strokecolor="#d9d9d9"/>
            <v:line style="position:absolute" from="4075,2278" to="4162,2278" stroked="true" strokeweight=".72pt" strokecolor="#d9d9d9"/>
            <v:line style="position:absolute" from="3046,2278" to="3874,2278" stroked="true" strokeweight=".72pt" strokecolor="#d9d9d9"/>
            <v:line style="position:absolute" from="2016,2278" to="2844,2278" stroked="true" strokeweight=".72pt" strokecolor="#d9d9d9"/>
            <v:line style="position:absolute" from="987,2278" to="1815,2278" stroked="true" strokeweight=".72pt" strokecolor="#d9d9d9"/>
            <v:line style="position:absolute" from="514,2278" to="785,2278" stroked="true" strokeweight=".72pt" strokecolor="#d9d9d9"/>
            <v:line style="position:absolute" from="7167,2021" to="7723,2021" stroked="true" strokeweight=".72pt" strokecolor="#d9d9d9"/>
            <v:line style="position:absolute" from="6135,2021" to="6963,2021" stroked="true" strokeweight=".72pt" strokecolor="#d9d9d9"/>
            <v:line style="position:absolute" from="5105,2021" to="5933,2021" stroked="true" strokeweight=".72pt" strokecolor="#d9d9d9"/>
            <v:line style="position:absolute" from="4075,2021" to="4903,2021" stroked="true" strokeweight=".72pt" strokecolor="#d9d9d9"/>
            <v:line style="position:absolute" from="3046,2021" to="3874,2021" stroked="true" strokeweight=".72pt" strokecolor="#d9d9d9"/>
            <v:line style="position:absolute" from="2016,2021" to="2844,2021" stroked="true" strokeweight=".72pt" strokecolor="#d9d9d9"/>
            <v:line style="position:absolute" from="987,2021" to="1815,2021" stroked="true" strokeweight=".72pt" strokecolor="#d9d9d9"/>
            <v:line style="position:absolute" from="514,2021" to="785,2021" stroked="true" strokeweight=".72pt" strokecolor="#d9d9d9"/>
            <v:line style="position:absolute" from="7167,1764" to="7723,1764" stroked="true" strokeweight=".72pt" strokecolor="#d9d9d9"/>
            <v:line style="position:absolute" from="6135,1764" to="6963,1764" stroked="true" strokeweight=".72pt" strokecolor="#d9d9d9"/>
            <v:line style="position:absolute" from="5105,1764" to="5933,1764" stroked="true" strokeweight=".72pt" strokecolor="#d9d9d9"/>
            <v:line style="position:absolute" from="4075,1764" to="4903,1764" stroked="true" strokeweight=".72pt" strokecolor="#d9d9d9"/>
            <v:line style="position:absolute" from="3046,1764" to="3874,1764" stroked="true" strokeweight=".72pt" strokecolor="#d9d9d9"/>
            <v:line style="position:absolute" from="2016,1764" to="2844,1764" stroked="true" strokeweight=".72pt" strokecolor="#d9d9d9"/>
            <v:line style="position:absolute" from="987,1764" to="1815,1764" stroked="true" strokeweight=".72pt" strokecolor="#d9d9d9"/>
            <v:line style="position:absolute" from="514,1764" to="785,1764" stroked="true" strokeweight=".72pt" strokecolor="#d9d9d9"/>
            <v:line style="position:absolute" from="7167,1510" to="7723,1510" stroked="true" strokeweight=".72pt" strokecolor="#d9d9d9"/>
            <v:line style="position:absolute" from="6135,1510" to="6963,1510" stroked="true" strokeweight=".72pt" strokecolor="#d9d9d9"/>
            <v:line style="position:absolute" from="5105,1510" to="5933,1510" stroked="true" strokeweight=".72pt" strokecolor="#d9d9d9"/>
            <v:line style="position:absolute" from="4075,1510" to="4903,1510" stroked="true" strokeweight=".72pt" strokecolor="#d9d9d9"/>
            <v:line style="position:absolute" from="3046,1510" to="3874,1510" stroked="true" strokeweight=".72pt" strokecolor="#d9d9d9"/>
            <v:line style="position:absolute" from="2016,1510" to="2844,1510" stroked="true" strokeweight=".72pt" strokecolor="#d9d9d9"/>
            <v:line style="position:absolute" from="514,1510" to="1815,1510" stroked="true" strokeweight=".72pt" strokecolor="#d9d9d9"/>
            <v:line style="position:absolute" from="7167,1253" to="7723,1253" stroked="true" strokeweight=".72pt" strokecolor="#d9d9d9"/>
            <v:line style="position:absolute" from="6135,1253" to="6963,1253" stroked="true" strokeweight=".72pt" strokecolor="#d9d9d9"/>
            <v:line style="position:absolute" from="5105,1253" to="5933,1253" stroked="true" strokeweight=".72pt" strokecolor="#d9d9d9"/>
            <v:line style="position:absolute" from="4075,1253" to="4903,1253" stroked="true" strokeweight=".72pt" strokecolor="#d9d9d9"/>
            <v:line style="position:absolute" from="3046,1253" to="3874,1253" stroked="true" strokeweight=".72pt" strokecolor="#d9d9d9"/>
            <v:line style="position:absolute" from="2016,1253" to="2844,1253" stroked="true" strokeweight=".72pt" strokecolor="#d9d9d9"/>
            <v:line style="position:absolute" from="514,1253" to="1815,1253" stroked="true" strokeweight=".72pt" strokecolor="#d9d9d9"/>
            <v:line style="position:absolute" from="7167,996" to="7723,996" stroked="true" strokeweight=".72pt" strokecolor="#d9d9d9"/>
            <v:line style="position:absolute" from="6135,996" to="6963,996" stroked="true" strokeweight=".72pt" strokecolor="#d9d9d9"/>
            <v:line style="position:absolute" from="5105,996" to="5933,996" stroked="true" strokeweight=".72pt" strokecolor="#d9d9d9"/>
            <v:line style="position:absolute" from="4075,996" to="4903,996" stroked="true" strokeweight=".72pt" strokecolor="#d9d9d9"/>
            <v:line style="position:absolute" from="3046,996" to="3874,996" stroked="true" strokeweight=".72pt" strokecolor="#d9d9d9"/>
            <v:line style="position:absolute" from="514,996" to="2844,996" stroked="true" strokeweight=".72pt" strokecolor="#d9d9d9"/>
            <v:line style="position:absolute" from="7167,739" to="7723,739" stroked="true" strokeweight=".72pt" strokecolor="#d9d9d9"/>
            <v:line style="position:absolute" from="6135,739" to="6963,739" stroked="true" strokeweight=".72pt" strokecolor="#d9d9d9"/>
            <v:line style="position:absolute" from="5105,739" to="5933,739" stroked="true" strokeweight=".72pt" strokecolor="#d9d9d9"/>
            <v:line style="position:absolute" from="4075,739" to="4903,739" stroked="true" strokeweight=".72pt" strokecolor="#d9d9d9"/>
            <v:line style="position:absolute" from="514,739" to="3874,739" stroked="true" strokeweight=".72pt" strokecolor="#d9d9d9"/>
            <v:line style="position:absolute" from="6135,483" to="7723,483" stroked="true" strokeweight=".72pt" strokecolor="#d9d9d9"/>
            <v:line style="position:absolute" from="5105,483" to="5933,483" stroked="true" strokeweight=".72pt" strokecolor="#d9d9d9"/>
            <v:line style="position:absolute" from="514,483" to="4903,483" stroked="true" strokeweight=".72pt" strokecolor="#d9d9d9"/>
            <v:line style="position:absolute" from="514,226" to="7723,226" stroked="true" strokeweight=".72pt" strokecolor="#d9d9d9"/>
            <v:line style="position:absolute" from="514,226" to="514,2535" stroked="true" strokeweight=".72pt" strokecolor="#d9d9d9"/>
            <v:line style="position:absolute" from="1546,226" to="1546,2535" stroked="true" strokeweight=".72pt" strokecolor="#d9d9d9"/>
            <v:line style="position:absolute" from="2575,226" to="2575,2535" stroked="true" strokeweight=".72pt" strokecolor="#d9d9d9"/>
            <v:line style="position:absolute" from="3605,226" to="3605,2535" stroked="true" strokeweight=".72pt" strokecolor="#d9d9d9"/>
            <v:line style="position:absolute" from="4635,226" to="4635,2535" stroked="true" strokeweight=".72pt" strokecolor="#d9d9d9"/>
            <v:line style="position:absolute" from="5664,226" to="5664,2535" stroked="true" strokeweight=".72pt" strokecolor="#d9d9d9"/>
            <v:line style="position:absolute" from="6694,226" to="6694,2535" stroked="true" strokeweight=".72pt" strokecolor="#d9d9d9"/>
            <v:line style="position:absolute" from="7723,226" to="7723,2535" stroked="true" strokeweight=".72pt" strokecolor="#d9d9d9"/>
            <v:rect style="position:absolute;left:785;top:1512;width:202;height:1022" filled="true" fillcolor="#539e39" stroked="false">
              <v:fill type="solid"/>
            </v:rect>
            <v:rect style="position:absolute;left:1815;top:1068;width:202;height:1466" filled="true" fillcolor="#539e39" stroked="false">
              <v:fill type="solid"/>
            </v:rect>
            <v:rect style="position:absolute;left:2844;top:864;width:202;height:1670" filled="true" fillcolor="#539e39" stroked="false">
              <v:fill type="solid"/>
            </v:rect>
            <v:rect style="position:absolute;left:3874;top:668;width:202;height:1867" filled="true" fillcolor="#539e39" stroked="false">
              <v:fill type="solid"/>
            </v:rect>
            <v:rect style="position:absolute;left:4904;top:420;width:202;height:2114" filled="true" fillcolor="#539e39" stroked="false">
              <v:fill type="solid"/>
            </v:rect>
            <v:rect style="position:absolute;left:5933;top:452;width:202;height:2083" filled="true" fillcolor="#539e39" stroked="false">
              <v:fill type="solid"/>
            </v:rect>
            <v:rect style="position:absolute;left:6963;top:502;width:204;height:2033" filled="true" fillcolor="#539e39" stroked="false">
              <v:fill type="solid"/>
            </v:rect>
            <v:line style="position:absolute" from="1073,2528" to="1275,2528" stroked="true" strokeweight=".72pt" strokecolor="#89b833"/>
            <v:rect style="position:absolute;left:2103;top:2403;width:202;height:132" filled="true" fillcolor="#89b833" stroked="false">
              <v:fill type="solid"/>
            </v:rect>
            <v:rect style="position:absolute;left:3132;top:2374;width:202;height:161" filled="true" fillcolor="#89b833" stroked="false">
              <v:fill type="solid"/>
            </v:rect>
            <v:rect style="position:absolute;left:4162;top:2230;width:204;height:305" filled="true" fillcolor="#89b833" stroked="false">
              <v:fill type="solid"/>
            </v:rect>
            <v:rect style="position:absolute;left:5194;top:2184;width:202;height:350" filled="true" fillcolor="#89b833" stroked="false">
              <v:fill type="solid"/>
            </v:rect>
            <v:rect style="position:absolute;left:6223;top:2223;width:202;height:312" filled="true" fillcolor="#89b833" stroked="false">
              <v:fill type="solid"/>
            </v:rect>
            <v:rect style="position:absolute;left:7253;top:2105;width:202;height:430" filled="true" fillcolor="#89b833" stroked="false">
              <v:fill type="solid"/>
            </v:rect>
            <v:line style="position:absolute" from="514,2535" to="7723,2535" stroked="true" strokeweight=".72pt" strokecolor="#d9d9d9"/>
            <v:line style="position:absolute" from="2144,3129" to="2232,3129" stroked="true" strokeweight="4.440pt" strokecolor="#539e39"/>
            <v:line style="position:absolute" from="4284,3129" to="4373,3129" stroked="true" strokeweight="4.440pt" strokecolor="#89b833"/>
            <v:rect style="position:absolute;left:8;top:8;width:7937;height:3401" filled="false" stroked="true" strokeweight=".72pt" strokecolor="#d9d9d9"/>
            <v:shape style="position:absolute;left:138;top:140;width:225;height:437" type="#_x0000_t202" filled="false" stroked="false">
              <v:textbox inset="0,0,0,0">
                <w:txbxContent>
                  <w:p>
                    <w:pPr>
                      <w:spacing w:line="184" w:lineRule="exact" w:before="0"/>
                      <w:ind w:left="0" w:right="-20" w:firstLine="0"/>
                      <w:jc w:val="left"/>
                      <w:rPr>
                        <w:sz w:val="18"/>
                      </w:rPr>
                    </w:pPr>
                    <w:r>
                      <w:rPr>
                        <w:color w:val="585858"/>
                        <w:sz w:val="18"/>
                      </w:rPr>
                      <w:t>1.8</w:t>
                    </w:r>
                  </w:p>
                  <w:p>
                    <w:pPr>
                      <w:spacing w:line="203" w:lineRule="exact" w:before="49"/>
                      <w:ind w:left="0" w:right="-20" w:firstLine="0"/>
                      <w:jc w:val="left"/>
                      <w:rPr>
                        <w:sz w:val="18"/>
                      </w:rPr>
                    </w:pPr>
                    <w:r>
                      <w:rPr>
                        <w:color w:val="585858"/>
                        <w:sz w:val="18"/>
                      </w:rPr>
                      <w:t>1.6</w:t>
                    </w:r>
                  </w:p>
                </w:txbxContent>
              </v:textbox>
              <w10:wrap type="none"/>
            </v:shape>
            <v:shape style="position:absolute;left:4892;top:149;width:227;height:180" type="#_x0000_t202" filled="false" stroked="false">
              <v:textbox inset="0,0,0,0">
                <w:txbxContent>
                  <w:p>
                    <w:pPr>
                      <w:spacing w:line="180" w:lineRule="exact" w:before="0"/>
                      <w:ind w:left="0" w:right="-18" w:firstLine="0"/>
                      <w:jc w:val="left"/>
                      <w:rPr>
                        <w:sz w:val="18"/>
                      </w:rPr>
                    </w:pPr>
                    <w:r>
                      <w:rPr>
                        <w:color w:val="404040"/>
                        <w:sz w:val="18"/>
                      </w:rPr>
                      <w:t>1.6</w:t>
                    </w:r>
                  </w:p>
                </w:txbxContent>
              </v:textbox>
              <w10:wrap type="none"/>
            </v:shape>
            <v:shape style="position:absolute;left:5922;top:179;width:227;height:180" type="#_x0000_t202" filled="false" stroked="false">
              <v:textbox inset="0,0,0,0">
                <w:txbxContent>
                  <w:p>
                    <w:pPr>
                      <w:spacing w:line="180" w:lineRule="exact" w:before="0"/>
                      <w:ind w:left="0" w:right="-18" w:firstLine="0"/>
                      <w:jc w:val="left"/>
                      <w:rPr>
                        <w:sz w:val="18"/>
                      </w:rPr>
                    </w:pPr>
                    <w:r>
                      <w:rPr>
                        <w:color w:val="404040"/>
                        <w:sz w:val="18"/>
                      </w:rPr>
                      <w:t>1.6</w:t>
                    </w:r>
                  </w:p>
                </w:txbxContent>
              </v:textbox>
              <w10:wrap type="none"/>
            </v:shape>
            <v:shape style="position:absolute;left:6952;top:230;width:227;height:180" type="#_x0000_t202" filled="false" stroked="false">
              <v:textbox inset="0,0,0,0">
                <w:txbxContent>
                  <w:p>
                    <w:pPr>
                      <w:spacing w:line="180" w:lineRule="exact" w:before="0"/>
                      <w:ind w:left="0" w:right="-18" w:firstLine="0"/>
                      <w:jc w:val="left"/>
                      <w:rPr>
                        <w:sz w:val="18"/>
                      </w:rPr>
                    </w:pPr>
                    <w:r>
                      <w:rPr>
                        <w:color w:val="404040"/>
                        <w:sz w:val="18"/>
                      </w:rPr>
                      <w:t>1.6</w:t>
                    </w:r>
                  </w:p>
                </w:txbxContent>
              </v:textbox>
              <w10:wrap type="none"/>
            </v:shape>
            <v:shape style="position:absolute;left:3862;top:395;width:227;height:180" type="#_x0000_t202" filled="false" stroked="false">
              <v:textbox inset="0,0,0,0">
                <w:txbxContent>
                  <w:p>
                    <w:pPr>
                      <w:spacing w:line="180" w:lineRule="exact" w:before="0"/>
                      <w:ind w:left="0" w:right="-18" w:firstLine="0"/>
                      <w:jc w:val="left"/>
                      <w:rPr>
                        <w:sz w:val="18"/>
                      </w:rPr>
                    </w:pPr>
                    <w:r>
                      <w:rPr>
                        <w:color w:val="404040"/>
                        <w:sz w:val="18"/>
                      </w:rPr>
                      <w:t>1.5</w:t>
                    </w:r>
                  </w:p>
                </w:txbxContent>
              </v:textbox>
              <w10:wrap type="none"/>
            </v:shape>
            <v:shape style="position:absolute;left:138;top:652;width:225;height:1976" type="#_x0000_t202" filled="false" stroked="false">
              <v:textbox inset="0,0,0,0">
                <w:txbxContent>
                  <w:p>
                    <w:pPr>
                      <w:spacing w:line="184" w:lineRule="exact" w:before="0"/>
                      <w:ind w:left="0" w:right="-20" w:firstLine="0"/>
                      <w:jc w:val="left"/>
                      <w:rPr>
                        <w:sz w:val="18"/>
                      </w:rPr>
                    </w:pPr>
                    <w:r>
                      <w:rPr>
                        <w:color w:val="585858"/>
                        <w:sz w:val="18"/>
                      </w:rPr>
                      <w:t>1.4</w:t>
                    </w:r>
                  </w:p>
                  <w:p>
                    <w:pPr>
                      <w:spacing w:before="50"/>
                      <w:ind w:left="0" w:right="-20" w:firstLine="0"/>
                      <w:jc w:val="left"/>
                      <w:rPr>
                        <w:sz w:val="18"/>
                      </w:rPr>
                    </w:pPr>
                    <w:r>
                      <w:rPr>
                        <w:color w:val="585858"/>
                        <w:sz w:val="18"/>
                      </w:rPr>
                      <w:t>1.2</w:t>
                    </w:r>
                  </w:p>
                  <w:p>
                    <w:pPr>
                      <w:spacing w:before="49"/>
                      <w:ind w:left="0" w:right="-20" w:firstLine="0"/>
                      <w:jc w:val="left"/>
                      <w:rPr>
                        <w:sz w:val="18"/>
                      </w:rPr>
                    </w:pPr>
                    <w:r>
                      <w:rPr>
                        <w:color w:val="585858"/>
                        <w:sz w:val="18"/>
                      </w:rPr>
                      <w:t>1.0</w:t>
                    </w:r>
                  </w:p>
                  <w:p>
                    <w:pPr>
                      <w:spacing w:before="49"/>
                      <w:ind w:left="0" w:right="-20" w:firstLine="0"/>
                      <w:jc w:val="left"/>
                      <w:rPr>
                        <w:sz w:val="18"/>
                      </w:rPr>
                    </w:pPr>
                    <w:r>
                      <w:rPr>
                        <w:color w:val="585858"/>
                        <w:sz w:val="18"/>
                      </w:rPr>
                      <w:t>0.8</w:t>
                    </w:r>
                  </w:p>
                  <w:p>
                    <w:pPr>
                      <w:spacing w:before="49"/>
                      <w:ind w:left="0" w:right="-20" w:firstLine="0"/>
                      <w:jc w:val="left"/>
                      <w:rPr>
                        <w:sz w:val="18"/>
                      </w:rPr>
                    </w:pPr>
                    <w:r>
                      <w:rPr>
                        <w:color w:val="585858"/>
                        <w:sz w:val="18"/>
                      </w:rPr>
                      <w:t>0.6</w:t>
                    </w:r>
                  </w:p>
                  <w:p>
                    <w:pPr>
                      <w:spacing w:before="49"/>
                      <w:ind w:left="0" w:right="-20" w:firstLine="0"/>
                      <w:jc w:val="left"/>
                      <w:rPr>
                        <w:sz w:val="18"/>
                      </w:rPr>
                    </w:pPr>
                    <w:r>
                      <w:rPr>
                        <w:color w:val="585858"/>
                        <w:sz w:val="18"/>
                      </w:rPr>
                      <w:t>0.4</w:t>
                    </w:r>
                  </w:p>
                  <w:p>
                    <w:pPr>
                      <w:spacing w:before="50"/>
                      <w:ind w:left="0" w:right="-20" w:firstLine="0"/>
                      <w:jc w:val="left"/>
                      <w:rPr>
                        <w:sz w:val="18"/>
                      </w:rPr>
                    </w:pPr>
                    <w:r>
                      <w:rPr>
                        <w:color w:val="585858"/>
                        <w:sz w:val="18"/>
                      </w:rPr>
                      <w:t>0.2</w:t>
                    </w:r>
                  </w:p>
                  <w:p>
                    <w:pPr>
                      <w:spacing w:line="203" w:lineRule="exact" w:before="49"/>
                      <w:ind w:left="0" w:right="-20" w:firstLine="0"/>
                      <w:jc w:val="left"/>
                      <w:rPr>
                        <w:sz w:val="18"/>
                      </w:rPr>
                    </w:pPr>
                    <w:r>
                      <w:rPr>
                        <w:color w:val="585858"/>
                        <w:sz w:val="18"/>
                      </w:rPr>
                      <w:t>0.0</w:t>
                    </w:r>
                  </w:p>
                </w:txbxContent>
              </v:textbox>
              <w10:wrap type="none"/>
            </v:shape>
            <v:shape style="position:absolute;left:2832;top:593;width:227;height:180" type="#_x0000_t202" filled="false" stroked="false">
              <v:textbox inset="0,0,0,0">
                <w:txbxContent>
                  <w:p>
                    <w:pPr>
                      <w:spacing w:line="180" w:lineRule="exact" w:before="0"/>
                      <w:ind w:left="0" w:right="-18" w:firstLine="0"/>
                      <w:jc w:val="left"/>
                      <w:rPr>
                        <w:sz w:val="18"/>
                      </w:rPr>
                    </w:pPr>
                    <w:r>
                      <w:rPr>
                        <w:color w:val="404040"/>
                        <w:sz w:val="18"/>
                      </w:rPr>
                      <w:t>1.3</w:t>
                    </w:r>
                  </w:p>
                </w:txbxContent>
              </v:textbox>
              <w10:wrap type="none"/>
            </v:shape>
            <v:shape style="position:absolute;left:1802;top:795;width:227;height:181" type="#_x0000_t202" filled="false" stroked="false">
              <v:textbox inset="0,0,0,0">
                <w:txbxContent>
                  <w:p>
                    <w:pPr>
                      <w:spacing w:line="180" w:lineRule="exact" w:before="0"/>
                      <w:ind w:left="0" w:right="-18" w:firstLine="0"/>
                      <w:jc w:val="left"/>
                      <w:rPr>
                        <w:sz w:val="18"/>
                      </w:rPr>
                    </w:pPr>
                    <w:r>
                      <w:rPr>
                        <w:color w:val="404040"/>
                        <w:sz w:val="18"/>
                      </w:rPr>
                      <w:t>1.1</w:t>
                    </w:r>
                  </w:p>
                </w:txbxContent>
              </v:textbox>
              <w10:wrap type="none"/>
            </v:shape>
            <v:shape style="position:absolute;left:772;top:1239;width:227;height:180" type="#_x0000_t202" filled="false" stroked="false">
              <v:textbox inset="0,0,0,0">
                <w:txbxContent>
                  <w:p>
                    <w:pPr>
                      <w:spacing w:line="180" w:lineRule="exact" w:before="0"/>
                      <w:ind w:left="0" w:right="-18" w:firstLine="0"/>
                      <w:jc w:val="left"/>
                      <w:rPr>
                        <w:sz w:val="18"/>
                      </w:rPr>
                    </w:pPr>
                    <w:r>
                      <w:rPr>
                        <w:color w:val="404040"/>
                        <w:sz w:val="18"/>
                      </w:rPr>
                      <w:t>0.8</w:t>
                    </w:r>
                  </w:p>
                </w:txbxContent>
              </v:textbox>
              <w10:wrap type="none"/>
            </v:shape>
            <v:shape style="position:absolute;left:4151;top:1957;width:227;height:180" type="#_x0000_t202" filled="false" stroked="false">
              <v:textbox inset="0,0,0,0">
                <w:txbxContent>
                  <w:p>
                    <w:pPr>
                      <w:spacing w:line="180" w:lineRule="exact" w:before="0"/>
                      <w:ind w:left="0" w:right="-18" w:firstLine="0"/>
                      <w:jc w:val="left"/>
                      <w:rPr>
                        <w:sz w:val="18"/>
                      </w:rPr>
                    </w:pPr>
                    <w:r>
                      <w:rPr>
                        <w:color w:val="404040"/>
                        <w:sz w:val="18"/>
                      </w:rPr>
                      <w:t>0.2</w:t>
                    </w:r>
                  </w:p>
                </w:txbxContent>
              </v:textbox>
              <w10:wrap type="none"/>
            </v:shape>
            <v:shape style="position:absolute;left:5181;top:1911;width:227;height:180" type="#_x0000_t202" filled="false" stroked="false">
              <v:textbox inset="0,0,0,0">
                <w:txbxContent>
                  <w:p>
                    <w:pPr>
                      <w:spacing w:line="180" w:lineRule="exact" w:before="0"/>
                      <w:ind w:left="0" w:right="-18" w:firstLine="0"/>
                      <w:jc w:val="left"/>
                      <w:rPr>
                        <w:sz w:val="18"/>
                      </w:rPr>
                    </w:pPr>
                    <w:r>
                      <w:rPr>
                        <w:color w:val="404040"/>
                        <w:sz w:val="18"/>
                      </w:rPr>
                      <w:t>0.3</w:t>
                    </w:r>
                  </w:p>
                </w:txbxContent>
              </v:textbox>
              <w10:wrap type="none"/>
            </v:shape>
            <v:shape style="position:absolute;left:6210;top:1951;width:227;height:180" type="#_x0000_t202" filled="false" stroked="false">
              <v:textbox inset="0,0,0,0">
                <w:txbxContent>
                  <w:p>
                    <w:pPr>
                      <w:spacing w:line="180" w:lineRule="exact" w:before="0"/>
                      <w:ind w:left="0" w:right="-18" w:firstLine="0"/>
                      <w:jc w:val="left"/>
                      <w:rPr>
                        <w:sz w:val="18"/>
                      </w:rPr>
                    </w:pPr>
                    <w:r>
                      <w:rPr>
                        <w:color w:val="404040"/>
                        <w:sz w:val="18"/>
                      </w:rPr>
                      <w:t>0.2</w:t>
                    </w:r>
                  </w:p>
                </w:txbxContent>
              </v:textbox>
              <w10:wrap type="none"/>
            </v:shape>
            <v:shape style="position:absolute;left:7241;top:1833;width:227;height:180" type="#_x0000_t202" filled="false" stroked="false">
              <v:textbox inset="0,0,0,0">
                <w:txbxContent>
                  <w:p>
                    <w:pPr>
                      <w:spacing w:line="180" w:lineRule="exact" w:before="0"/>
                      <w:ind w:left="0" w:right="-18" w:firstLine="0"/>
                      <w:jc w:val="left"/>
                      <w:rPr>
                        <w:sz w:val="18"/>
                      </w:rPr>
                    </w:pPr>
                    <w:r>
                      <w:rPr>
                        <w:color w:val="404040"/>
                        <w:sz w:val="18"/>
                      </w:rPr>
                      <w:t>0.3</w:t>
                    </w:r>
                  </w:p>
                </w:txbxContent>
              </v:textbox>
              <w10:wrap type="none"/>
            </v:shape>
            <v:shape style="position:absolute;left:3121;top:2101;width:227;height:180" type="#_x0000_t202" filled="false" stroked="false">
              <v:textbox inset="0,0,0,0">
                <w:txbxContent>
                  <w:p>
                    <w:pPr>
                      <w:spacing w:line="180" w:lineRule="exact" w:before="0"/>
                      <w:ind w:left="0" w:right="-18" w:firstLine="0"/>
                      <w:jc w:val="left"/>
                      <w:rPr>
                        <w:sz w:val="18"/>
                      </w:rPr>
                    </w:pPr>
                    <w:r>
                      <w:rPr>
                        <w:color w:val="404040"/>
                        <w:sz w:val="18"/>
                      </w:rPr>
                      <w:t>0.1</w:t>
                    </w:r>
                  </w:p>
                </w:txbxContent>
              </v:textbox>
              <w10:wrap type="none"/>
            </v:shape>
            <v:shape style="position:absolute;left:1061;top:2247;width:227;height:180" type="#_x0000_t202" filled="false" stroked="false">
              <v:textbox inset="0,0,0,0">
                <w:txbxContent>
                  <w:p>
                    <w:pPr>
                      <w:spacing w:line="180" w:lineRule="exact" w:before="0"/>
                      <w:ind w:left="0" w:right="-18" w:firstLine="0"/>
                      <w:jc w:val="left"/>
                      <w:rPr>
                        <w:sz w:val="18"/>
                      </w:rPr>
                    </w:pPr>
                    <w:r>
                      <w:rPr>
                        <w:color w:val="404040"/>
                        <w:sz w:val="18"/>
                      </w:rPr>
                      <w:t>0.0</w:t>
                    </w:r>
                  </w:p>
                </w:txbxContent>
              </v:textbox>
              <w10:wrap type="none"/>
            </v:shape>
            <v:shape style="position:absolute;left:2091;top:2130;width:227;height:181" type="#_x0000_t202" filled="false" stroked="false">
              <v:textbox inset="0,0,0,0">
                <w:txbxContent>
                  <w:p>
                    <w:pPr>
                      <w:spacing w:line="180" w:lineRule="exact" w:before="0"/>
                      <w:ind w:left="0" w:right="-18" w:firstLine="0"/>
                      <w:jc w:val="left"/>
                      <w:rPr>
                        <w:sz w:val="18"/>
                      </w:rPr>
                    </w:pPr>
                    <w:r>
                      <w:rPr>
                        <w:color w:val="404040"/>
                        <w:sz w:val="18"/>
                      </w:rPr>
                      <w:t>0.1</w:t>
                    </w:r>
                  </w:p>
                </w:txbxContent>
              </v:textbox>
              <w10:wrap type="none"/>
            </v:shape>
            <v:shape style="position:absolute;left:850;top:2659;width:6542;height:180" type="#_x0000_t202" filled="false" stroked="false">
              <v:textbox inset="0,0,0,0">
                <w:txbxContent>
                  <w:p>
                    <w:pPr>
                      <w:tabs>
                        <w:tab w:pos="1030" w:val="left" w:leader="none"/>
                        <w:tab w:pos="2060" w:val="left" w:leader="none"/>
                        <w:tab w:pos="3090" w:val="left" w:leader="none"/>
                        <w:tab w:pos="4120" w:val="left" w:leader="none"/>
                        <w:tab w:pos="5150" w:val="left" w:leader="none"/>
                        <w:tab w:pos="6180" w:val="left" w:leader="none"/>
                      </w:tabs>
                      <w:spacing w:line="180" w:lineRule="exact" w:before="0"/>
                      <w:ind w:left="0" w:right="0" w:firstLine="0"/>
                      <w:jc w:val="left"/>
                      <w:rPr>
                        <w:sz w:val="18"/>
                      </w:rPr>
                    </w:pPr>
                    <w:r>
                      <w:rPr>
                        <w:color w:val="585858"/>
                        <w:sz w:val="18"/>
                      </w:rPr>
                      <w:t>1980</w:t>
                      <w:tab/>
                      <w:t>1985</w:t>
                      <w:tab/>
                      <w:t>1988</w:t>
                      <w:tab/>
                      <w:t>1993</w:t>
                      <w:tab/>
                      <w:t>1998</w:t>
                      <w:tab/>
                      <w:t>2003</w:t>
                      <w:tab/>
                      <w:t>2008</w:t>
                    </w:r>
                  </w:p>
                </w:txbxContent>
              </v:textbox>
              <w10:wrap type="none"/>
            </v:shape>
            <v:shape style="position:absolute;left:2272;top:3042;width:1723;height:181" type="#_x0000_t202" filled="false" stroked="false">
              <v:textbox inset="0,0,0,0">
                <w:txbxContent>
                  <w:p>
                    <w:pPr>
                      <w:spacing w:line="180" w:lineRule="exact" w:before="0"/>
                      <w:ind w:left="0" w:right="-13" w:firstLine="0"/>
                      <w:jc w:val="left"/>
                      <w:rPr>
                        <w:sz w:val="18"/>
                      </w:rPr>
                    </w:pPr>
                    <w:r>
                      <w:rPr>
                        <w:color w:val="585858"/>
                        <w:sz w:val="18"/>
                      </w:rPr>
                      <w:t>Industria</w:t>
                    </w:r>
                    <w:r>
                      <w:rPr>
                        <w:color w:val="585858"/>
                        <w:spacing w:val="-9"/>
                        <w:sz w:val="18"/>
                      </w:rPr>
                      <w:t> </w:t>
                    </w:r>
                    <w:r>
                      <w:rPr>
                        <w:color w:val="585858"/>
                        <w:sz w:val="18"/>
                      </w:rPr>
                      <w:t>manufacturera</w:t>
                    </w:r>
                  </w:p>
                </w:txbxContent>
              </v:textbox>
              <w10:wrap type="none"/>
            </v:shape>
            <v:shape style="position:absolute;left:4411;top:3042;width:1464;height:181" type="#_x0000_t202" filled="false" stroked="false">
              <v:textbox inset="0,0,0,0">
                <w:txbxContent>
                  <w:p>
                    <w:pPr>
                      <w:spacing w:line="180" w:lineRule="exact" w:before="0"/>
                      <w:ind w:left="0" w:right="-13" w:firstLine="0"/>
                      <w:jc w:val="left"/>
                      <w:rPr>
                        <w:sz w:val="18"/>
                      </w:rPr>
                    </w:pPr>
                    <w:r>
                      <w:rPr>
                        <w:color w:val="585858"/>
                        <w:sz w:val="18"/>
                      </w:rPr>
                      <w:t>Industria</w:t>
                    </w:r>
                    <w:r>
                      <w:rPr>
                        <w:color w:val="585858"/>
                        <w:spacing w:val="-8"/>
                        <w:sz w:val="18"/>
                      </w:rPr>
                      <w:t> </w:t>
                    </w:r>
                    <w:r>
                      <w:rPr>
                        <w:color w:val="585858"/>
                        <w:sz w:val="18"/>
                      </w:rPr>
                      <w:t>automotriz</w:t>
                    </w:r>
                  </w:p>
                </w:txbxContent>
              </v:textbox>
              <w10:wrap type="none"/>
            </v:shape>
          </v:group>
        </w:pict>
      </w:r>
      <w:r>
        <w:rPr>
          <w:sz w:val="20"/>
        </w:rPr>
      </w:r>
    </w:p>
    <w:p>
      <w:pPr>
        <w:spacing w:before="125"/>
        <w:ind w:left="383" w:right="399" w:firstLine="0"/>
        <w:jc w:val="center"/>
        <w:rPr>
          <w:sz w:val="18"/>
        </w:rPr>
      </w:pPr>
      <w:r>
        <w:rPr>
          <w:sz w:val="18"/>
        </w:rPr>
        <w:t>Fuente: Elaboración propia con datos de INEGI (varios años).</w:t>
      </w:r>
    </w:p>
    <w:p>
      <w:pPr>
        <w:pStyle w:val="BodyText"/>
        <w:rPr>
          <w:sz w:val="18"/>
        </w:rPr>
      </w:pPr>
    </w:p>
    <w:p>
      <w:pPr>
        <w:pStyle w:val="BodyText"/>
        <w:spacing w:line="360" w:lineRule="auto" w:before="137"/>
        <w:ind w:left="102" w:right="121"/>
        <w:jc w:val="both"/>
      </w:pPr>
      <w:r>
        <w:rPr/>
        <w:t>La industria manufacturera de Jalisco, en cuanto a VACB se refiere, ha tenido su mayor participación en la manufactura nacional, durante 1998, pues su participación representó el 8.2%, a partir de entonces se observa una disminución en su participación, pues en 2009, se ubicó</w:t>
      </w:r>
      <w:r>
        <w:rPr>
          <w:spacing w:val="-9"/>
        </w:rPr>
        <w:t> </w:t>
      </w:r>
      <w:r>
        <w:rPr/>
        <w:t>en</w:t>
      </w:r>
      <w:r>
        <w:rPr>
          <w:spacing w:val="-9"/>
        </w:rPr>
        <w:t> </w:t>
      </w:r>
      <w:r>
        <w:rPr/>
        <w:t>6.9%.</w:t>
      </w:r>
      <w:r>
        <w:rPr>
          <w:spacing w:val="-9"/>
        </w:rPr>
        <w:t> </w:t>
      </w:r>
      <w:r>
        <w:rPr/>
        <w:t>Una</w:t>
      </w:r>
      <w:r>
        <w:rPr>
          <w:spacing w:val="-10"/>
        </w:rPr>
        <w:t> </w:t>
      </w:r>
      <w:r>
        <w:rPr/>
        <w:t>situación</w:t>
      </w:r>
      <w:r>
        <w:rPr>
          <w:spacing w:val="-8"/>
        </w:rPr>
        <w:t> </w:t>
      </w:r>
      <w:r>
        <w:rPr/>
        <w:t>contraria</w:t>
      </w:r>
      <w:r>
        <w:rPr>
          <w:spacing w:val="-10"/>
        </w:rPr>
        <w:t> </w:t>
      </w:r>
      <w:r>
        <w:rPr/>
        <w:t>sucede</w:t>
      </w:r>
      <w:r>
        <w:rPr>
          <w:spacing w:val="-10"/>
        </w:rPr>
        <w:t> </w:t>
      </w:r>
      <w:r>
        <w:rPr/>
        <w:t>con</w:t>
      </w:r>
      <w:r>
        <w:rPr>
          <w:spacing w:val="-7"/>
        </w:rPr>
        <w:t> </w:t>
      </w:r>
      <w:r>
        <w:rPr/>
        <w:t>la</w:t>
      </w:r>
      <w:r>
        <w:rPr>
          <w:spacing w:val="-9"/>
        </w:rPr>
        <w:t> </w:t>
      </w:r>
      <w:r>
        <w:rPr/>
        <w:t>industria</w:t>
      </w:r>
      <w:r>
        <w:rPr>
          <w:spacing w:val="-9"/>
        </w:rPr>
        <w:t> </w:t>
      </w:r>
      <w:r>
        <w:rPr/>
        <w:t>automotriz</w:t>
      </w:r>
      <w:r>
        <w:rPr>
          <w:spacing w:val="-7"/>
        </w:rPr>
        <w:t> </w:t>
      </w:r>
      <w:r>
        <w:rPr/>
        <w:t>de</w:t>
      </w:r>
      <w:r>
        <w:rPr>
          <w:spacing w:val="-10"/>
        </w:rPr>
        <w:t> </w:t>
      </w:r>
      <w:r>
        <w:rPr/>
        <w:t>la</w:t>
      </w:r>
      <w:r>
        <w:rPr>
          <w:spacing w:val="-9"/>
        </w:rPr>
        <w:t> </w:t>
      </w:r>
      <w:r>
        <w:rPr/>
        <w:t>entidad,</w:t>
      </w:r>
      <w:r>
        <w:rPr>
          <w:spacing w:val="-9"/>
        </w:rPr>
        <w:t> </w:t>
      </w:r>
      <w:r>
        <w:rPr/>
        <w:t>pues si bien esta no ha tenido una participación significativa durante los años presentados, ha mostrado ligeros y constantes avances, puntualmente en 1980 aportó el 0.1% al VACB total y en 2009 el 0.3% (véase gráfica</w:t>
      </w:r>
      <w:r>
        <w:rPr>
          <w:spacing w:val="-6"/>
        </w:rPr>
        <w:t> </w:t>
      </w:r>
      <w:r>
        <w:rPr/>
        <w:t>4.20).</w:t>
      </w:r>
    </w:p>
    <w:p>
      <w:pPr>
        <w:spacing w:after="0" w:line="360" w:lineRule="auto"/>
        <w:jc w:val="both"/>
        <w:sectPr>
          <w:pgSz w:w="12240" w:h="15840"/>
          <w:pgMar w:header="0" w:footer="1035" w:top="1360" w:bottom="1220" w:left="1600" w:right="1580"/>
        </w:sectPr>
      </w:pPr>
    </w:p>
    <w:p>
      <w:pPr>
        <w:pStyle w:val="Heading1"/>
        <w:spacing w:line="360" w:lineRule="auto" w:before="55"/>
        <w:ind w:left="115" w:right="132"/>
        <w:jc w:val="center"/>
      </w:pPr>
      <w:r>
        <w:rPr/>
        <w:pict>
          <v:group style="position:absolute;margin-left:106.904999pt;margin-top:43.798145pt;width:397.6pt;height:170.8pt;mso-position-horizontal-relative:page;mso-position-vertical-relative:paragraph;z-index:-488728" coordorigin="2138,876" coordsize="7952,3416">
            <v:shape style="position:absolute;left:2652;top:1104;width:7210;height:2306" type="#_x0000_t75" stroked="false">
              <v:imagedata r:id="rId69" o:title=""/>
            </v:shape>
            <v:rect style="position:absolute;left:2923;top:1757;width:202;height:1654" filled="true" fillcolor="#539e39" stroked="false">
              <v:fill type="solid"/>
            </v:rect>
            <v:line style="position:absolute" from="4282,4007" to="4370,4007" stroked="true" strokeweight="4.440pt" strokecolor="#539e39"/>
            <v:line style="position:absolute" from="6422,4007" to="6511,4007" stroked="true" strokeweight="4.440pt" strokecolor="#89b833"/>
            <v:rect style="position:absolute;left:2146;top:883;width:7937;height:3401" filled="false" stroked="true" strokeweight=".72pt" strokecolor="#d9d9d9"/>
            <v:shape style="position:absolute;left:2276;top:1017;width:225;height:2488" type="#_x0000_t202" filled="false" stroked="false">
              <v:textbox inset="0,0,0,0">
                <w:txbxContent>
                  <w:p>
                    <w:pPr>
                      <w:spacing w:line="184" w:lineRule="exact" w:before="0"/>
                      <w:ind w:left="0" w:right="-20" w:firstLine="0"/>
                      <w:jc w:val="left"/>
                      <w:rPr>
                        <w:sz w:val="18"/>
                      </w:rPr>
                    </w:pPr>
                    <w:r>
                      <w:rPr>
                        <w:color w:val="585858"/>
                        <w:sz w:val="18"/>
                      </w:rPr>
                      <w:t>9.0</w:t>
                    </w:r>
                  </w:p>
                  <w:p>
                    <w:pPr>
                      <w:spacing w:before="49"/>
                      <w:ind w:left="0" w:right="-20" w:firstLine="0"/>
                      <w:jc w:val="left"/>
                      <w:rPr>
                        <w:sz w:val="18"/>
                      </w:rPr>
                    </w:pPr>
                    <w:r>
                      <w:rPr>
                        <w:color w:val="585858"/>
                        <w:sz w:val="18"/>
                      </w:rPr>
                      <w:t>8.0</w:t>
                    </w:r>
                  </w:p>
                  <w:p>
                    <w:pPr>
                      <w:spacing w:before="49"/>
                      <w:ind w:left="0" w:right="-20" w:firstLine="0"/>
                      <w:jc w:val="left"/>
                      <w:rPr>
                        <w:sz w:val="18"/>
                      </w:rPr>
                    </w:pPr>
                    <w:r>
                      <w:rPr>
                        <w:color w:val="585858"/>
                        <w:sz w:val="18"/>
                      </w:rPr>
                      <w:t>7.0</w:t>
                    </w:r>
                  </w:p>
                  <w:p>
                    <w:pPr>
                      <w:spacing w:before="49"/>
                      <w:ind w:left="0" w:right="-20" w:firstLine="0"/>
                      <w:jc w:val="left"/>
                      <w:rPr>
                        <w:sz w:val="18"/>
                      </w:rPr>
                    </w:pPr>
                    <w:r>
                      <w:rPr>
                        <w:color w:val="585858"/>
                        <w:sz w:val="18"/>
                      </w:rPr>
                      <w:t>6.0</w:t>
                    </w:r>
                  </w:p>
                  <w:p>
                    <w:pPr>
                      <w:spacing w:before="49"/>
                      <w:ind w:left="0" w:right="-20" w:firstLine="0"/>
                      <w:jc w:val="left"/>
                      <w:rPr>
                        <w:sz w:val="18"/>
                      </w:rPr>
                    </w:pPr>
                    <w:r>
                      <w:rPr>
                        <w:color w:val="585858"/>
                        <w:sz w:val="18"/>
                      </w:rPr>
                      <w:t>5.0</w:t>
                    </w:r>
                  </w:p>
                  <w:p>
                    <w:pPr>
                      <w:spacing w:before="50"/>
                      <w:ind w:left="0" w:right="-20" w:firstLine="0"/>
                      <w:jc w:val="left"/>
                      <w:rPr>
                        <w:sz w:val="18"/>
                      </w:rPr>
                    </w:pPr>
                    <w:r>
                      <w:rPr>
                        <w:color w:val="585858"/>
                        <w:sz w:val="18"/>
                      </w:rPr>
                      <w:t>4.0</w:t>
                    </w:r>
                  </w:p>
                  <w:p>
                    <w:pPr>
                      <w:spacing w:before="49"/>
                      <w:ind w:left="0" w:right="-20" w:firstLine="0"/>
                      <w:jc w:val="left"/>
                      <w:rPr>
                        <w:sz w:val="18"/>
                      </w:rPr>
                    </w:pPr>
                    <w:r>
                      <w:rPr>
                        <w:color w:val="585858"/>
                        <w:sz w:val="18"/>
                      </w:rPr>
                      <w:t>3.0</w:t>
                    </w:r>
                  </w:p>
                  <w:p>
                    <w:pPr>
                      <w:spacing w:before="49"/>
                      <w:ind w:left="0" w:right="-20" w:firstLine="0"/>
                      <w:jc w:val="left"/>
                      <w:rPr>
                        <w:sz w:val="18"/>
                      </w:rPr>
                    </w:pPr>
                    <w:r>
                      <w:rPr>
                        <w:color w:val="585858"/>
                        <w:sz w:val="18"/>
                      </w:rPr>
                      <w:t>2.0</w:t>
                    </w:r>
                  </w:p>
                  <w:p>
                    <w:pPr>
                      <w:spacing w:before="49"/>
                      <w:ind w:left="0" w:right="-20" w:firstLine="0"/>
                      <w:jc w:val="left"/>
                      <w:rPr>
                        <w:sz w:val="18"/>
                      </w:rPr>
                    </w:pPr>
                    <w:r>
                      <w:rPr>
                        <w:color w:val="585858"/>
                        <w:sz w:val="18"/>
                      </w:rPr>
                      <w:t>1.0</w:t>
                    </w:r>
                  </w:p>
                  <w:p>
                    <w:pPr>
                      <w:spacing w:line="203" w:lineRule="exact" w:before="49"/>
                      <w:ind w:left="0" w:right="-20" w:firstLine="0"/>
                      <w:jc w:val="left"/>
                      <w:rPr>
                        <w:sz w:val="18"/>
                      </w:rPr>
                    </w:pPr>
                    <w:r>
                      <w:rPr>
                        <w:color w:val="585858"/>
                        <w:sz w:val="18"/>
                      </w:rPr>
                      <w:t>0.0</w:t>
                    </w:r>
                  </w:p>
                </w:txbxContent>
              </v:textbox>
              <w10:wrap type="none"/>
            </v:shape>
            <v:shape style="position:absolute;left:2988;top:3068;width:6617;height:648" type="#_x0000_t202" filled="false" stroked="false">
              <v:textbox inset="0,0,0,0">
                <w:txbxContent>
                  <w:p>
                    <w:pPr>
                      <w:spacing w:line="184" w:lineRule="exact" w:before="0"/>
                      <w:ind w:left="0" w:right="0" w:firstLine="0"/>
                      <w:jc w:val="right"/>
                      <w:rPr>
                        <w:sz w:val="18"/>
                      </w:rPr>
                    </w:pPr>
                    <w:r>
                      <w:rPr>
                        <w:color w:val="404040"/>
                        <w:sz w:val="18"/>
                      </w:rPr>
                      <w:t>0.3</w:t>
                    </w:r>
                  </w:p>
                  <w:p>
                    <w:pPr>
                      <w:spacing w:line="240" w:lineRule="auto" w:before="7"/>
                      <w:rPr>
                        <w:sz w:val="22"/>
                      </w:rPr>
                    </w:pPr>
                  </w:p>
                  <w:p>
                    <w:pPr>
                      <w:tabs>
                        <w:tab w:pos="1030" w:val="left" w:leader="none"/>
                        <w:tab w:pos="2060" w:val="left" w:leader="none"/>
                        <w:tab w:pos="3090" w:val="left" w:leader="none"/>
                        <w:tab w:pos="4120" w:val="left" w:leader="none"/>
                        <w:tab w:pos="5150" w:val="left" w:leader="none"/>
                        <w:tab w:pos="6180" w:val="left" w:leader="none"/>
                      </w:tabs>
                      <w:spacing w:line="203" w:lineRule="exact" w:before="0"/>
                      <w:ind w:left="0" w:right="73" w:firstLine="0"/>
                      <w:jc w:val="right"/>
                      <w:rPr>
                        <w:sz w:val="18"/>
                      </w:rPr>
                    </w:pPr>
                    <w:r>
                      <w:rPr>
                        <w:color w:val="585858"/>
                        <w:sz w:val="18"/>
                      </w:rPr>
                      <w:t>1980</w:t>
                      <w:tab/>
                      <w:t>1985</w:t>
                      <w:tab/>
                      <w:t>1988</w:t>
                      <w:tab/>
                      <w:t>1993</w:t>
                      <w:tab/>
                      <w:t>1998</w:t>
                      <w:tab/>
                      <w:t>2003</w:t>
                      <w:tab/>
                      <w:t>2008</w:t>
                    </w:r>
                  </w:p>
                </w:txbxContent>
              </v:textbox>
              <w10:wrap type="none"/>
            </v:shape>
            <v:shape style="position:absolute;left:4410;top:3919;width:1723;height:180" type="#_x0000_t202" filled="false" stroked="false">
              <v:textbox inset="0,0,0,0">
                <w:txbxContent>
                  <w:p>
                    <w:pPr>
                      <w:spacing w:line="180" w:lineRule="exact" w:before="0"/>
                      <w:ind w:left="0" w:right="-15" w:firstLine="0"/>
                      <w:jc w:val="left"/>
                      <w:rPr>
                        <w:sz w:val="18"/>
                      </w:rPr>
                    </w:pPr>
                    <w:r>
                      <w:rPr>
                        <w:color w:val="585858"/>
                        <w:sz w:val="18"/>
                      </w:rPr>
                      <w:t>Industria</w:t>
                    </w:r>
                    <w:r>
                      <w:rPr>
                        <w:color w:val="585858"/>
                        <w:spacing w:val="-7"/>
                        <w:sz w:val="18"/>
                      </w:rPr>
                      <w:t> </w:t>
                    </w:r>
                    <w:r>
                      <w:rPr>
                        <w:color w:val="585858"/>
                        <w:sz w:val="18"/>
                      </w:rPr>
                      <w:t>manufacturera</w:t>
                    </w:r>
                  </w:p>
                </w:txbxContent>
              </v:textbox>
              <w10:wrap type="none"/>
            </v:shape>
            <v:shape style="position:absolute;left:6550;top:3919;width:1464;height:180" type="#_x0000_t202" filled="false" stroked="false">
              <v:textbox inset="0,0,0,0">
                <w:txbxContent>
                  <w:p>
                    <w:pPr>
                      <w:spacing w:line="180" w:lineRule="exact" w:before="0"/>
                      <w:ind w:left="0" w:right="-14" w:firstLine="0"/>
                      <w:jc w:val="left"/>
                      <w:rPr>
                        <w:sz w:val="18"/>
                      </w:rPr>
                    </w:pPr>
                    <w:r>
                      <w:rPr>
                        <w:color w:val="585858"/>
                        <w:sz w:val="18"/>
                      </w:rPr>
                      <w:t>Industria</w:t>
                    </w:r>
                    <w:r>
                      <w:rPr>
                        <w:color w:val="585858"/>
                        <w:spacing w:val="-7"/>
                        <w:sz w:val="18"/>
                      </w:rPr>
                      <w:t> </w:t>
                    </w:r>
                    <w:r>
                      <w:rPr>
                        <w:color w:val="585858"/>
                        <w:sz w:val="18"/>
                      </w:rPr>
                      <w:t>automotriz</w:t>
                    </w:r>
                  </w:p>
                </w:txbxContent>
              </v:textbox>
              <w10:wrap type="none"/>
            </v:shape>
            <w10:wrap type="none"/>
          </v:group>
        </w:pict>
      </w:r>
      <w:r>
        <w:rPr/>
        <w:t>Gráfica 4.20. Participación porcentual de la industria manufacturera y automotriz de Jalisco en la manufactura nacional, 1980-2008 (Valor Agregado Censal Bruto)</w:t>
      </w:r>
    </w:p>
    <w:p>
      <w:pPr>
        <w:pStyle w:val="BodyText"/>
        <w:spacing w:before="11"/>
        <w:rPr>
          <w:b/>
          <w:sz w:val="18"/>
        </w:rPr>
      </w:pPr>
    </w:p>
    <w:tbl>
      <w:tblPr>
        <w:tblW w:w="0" w:type="auto"/>
        <w:jc w:val="left"/>
        <w:tblInd w:w="1044" w:type="dxa"/>
        <w:tblBorders>
          <w:top w:val="single" w:sz="6" w:space="0" w:color="D9D9D9"/>
          <w:left w:val="single" w:sz="6" w:space="0" w:color="D9D9D9"/>
          <w:bottom w:val="single" w:sz="6" w:space="0" w:color="D9D9D9"/>
          <w:right w:val="single" w:sz="6" w:space="0" w:color="D9D9D9"/>
          <w:insideH w:val="single" w:sz="6" w:space="0" w:color="D9D9D9"/>
          <w:insideV w:val="single" w:sz="6" w:space="0" w:color="D9D9D9"/>
        </w:tblBorders>
        <w:tblLayout w:type="fixed"/>
        <w:tblCellMar>
          <w:top w:w="0" w:type="dxa"/>
          <w:left w:w="0" w:type="dxa"/>
          <w:bottom w:w="0" w:type="dxa"/>
          <w:right w:w="0" w:type="dxa"/>
        </w:tblCellMar>
        <w:tblLook w:val="01E0"/>
      </w:tblPr>
      <w:tblGrid>
        <w:gridCol w:w="271"/>
        <w:gridCol w:w="202"/>
        <w:gridCol w:w="559"/>
        <w:gridCol w:w="269"/>
        <w:gridCol w:w="202"/>
        <w:gridCol w:w="559"/>
        <w:gridCol w:w="269"/>
        <w:gridCol w:w="202"/>
        <w:gridCol w:w="559"/>
        <w:gridCol w:w="269"/>
        <w:gridCol w:w="202"/>
        <w:gridCol w:w="559"/>
        <w:gridCol w:w="269"/>
        <w:gridCol w:w="202"/>
        <w:gridCol w:w="559"/>
        <w:gridCol w:w="269"/>
        <w:gridCol w:w="202"/>
        <w:gridCol w:w="559"/>
        <w:gridCol w:w="269"/>
        <w:gridCol w:w="204"/>
        <w:gridCol w:w="557"/>
      </w:tblGrid>
      <w:tr>
        <w:trPr>
          <w:trHeight w:val="257" w:hRule="exact"/>
        </w:trPr>
        <w:tc>
          <w:tcPr>
            <w:tcW w:w="1032" w:type="dxa"/>
            <w:gridSpan w:val="3"/>
          </w:tcPr>
          <w:p>
            <w:pPr/>
          </w:p>
        </w:tc>
        <w:tc>
          <w:tcPr>
            <w:tcW w:w="1030" w:type="dxa"/>
            <w:gridSpan w:val="3"/>
          </w:tcPr>
          <w:p>
            <w:pPr/>
          </w:p>
        </w:tc>
        <w:tc>
          <w:tcPr>
            <w:tcW w:w="1030" w:type="dxa"/>
            <w:gridSpan w:val="3"/>
          </w:tcPr>
          <w:p>
            <w:pPr/>
          </w:p>
        </w:tc>
        <w:tc>
          <w:tcPr>
            <w:tcW w:w="1030" w:type="dxa"/>
            <w:gridSpan w:val="3"/>
          </w:tcPr>
          <w:p>
            <w:pPr>
              <w:pStyle w:val="TableParagraph"/>
              <w:spacing w:line="133" w:lineRule="exact"/>
              <w:ind w:left="249"/>
              <w:jc w:val="left"/>
              <w:rPr>
                <w:sz w:val="18"/>
              </w:rPr>
            </w:pPr>
            <w:r>
              <w:rPr>
                <w:color w:val="404040"/>
                <w:sz w:val="18"/>
              </w:rPr>
              <w:t>8.1</w:t>
            </w:r>
          </w:p>
        </w:tc>
        <w:tc>
          <w:tcPr>
            <w:tcW w:w="1030" w:type="dxa"/>
            <w:gridSpan w:val="3"/>
          </w:tcPr>
          <w:p>
            <w:pPr>
              <w:pStyle w:val="TableParagraph"/>
              <w:spacing w:line="112" w:lineRule="exact"/>
              <w:ind w:left="250"/>
              <w:jc w:val="left"/>
              <w:rPr>
                <w:sz w:val="18"/>
              </w:rPr>
            </w:pPr>
            <w:r>
              <w:rPr>
                <w:color w:val="404040"/>
                <w:sz w:val="18"/>
              </w:rPr>
              <w:t>8.2</w:t>
            </w:r>
          </w:p>
        </w:tc>
        <w:tc>
          <w:tcPr>
            <w:tcW w:w="1030" w:type="dxa"/>
            <w:gridSpan w:val="3"/>
          </w:tcPr>
          <w:p>
            <w:pPr/>
          </w:p>
        </w:tc>
        <w:tc>
          <w:tcPr>
            <w:tcW w:w="1030" w:type="dxa"/>
            <w:gridSpan w:val="3"/>
          </w:tcPr>
          <w:p>
            <w:pPr/>
          </w:p>
        </w:tc>
      </w:tr>
      <w:tr>
        <w:trPr>
          <w:trHeight w:val="257" w:hRule="exact"/>
        </w:trPr>
        <w:tc>
          <w:tcPr>
            <w:tcW w:w="1032" w:type="dxa"/>
            <w:gridSpan w:val="3"/>
          </w:tcPr>
          <w:p>
            <w:pPr>
              <w:pStyle w:val="TableParagraph"/>
              <w:spacing w:line="190" w:lineRule="exact" w:before="92"/>
              <w:ind w:left="250"/>
              <w:jc w:val="left"/>
              <w:rPr>
                <w:sz w:val="18"/>
              </w:rPr>
            </w:pPr>
            <w:r>
              <w:rPr>
                <w:color w:val="404040"/>
                <w:sz w:val="18"/>
              </w:rPr>
              <w:t>6.5</w:t>
            </w:r>
          </w:p>
        </w:tc>
        <w:tc>
          <w:tcPr>
            <w:tcW w:w="1030" w:type="dxa"/>
            <w:gridSpan w:val="3"/>
          </w:tcPr>
          <w:p>
            <w:pPr>
              <w:pStyle w:val="TableParagraph"/>
              <w:spacing w:line="110" w:lineRule="exact"/>
              <w:ind w:left="248"/>
              <w:jc w:val="left"/>
              <w:rPr>
                <w:sz w:val="18"/>
              </w:rPr>
            </w:pPr>
            <w:r>
              <w:rPr>
                <w:color w:val="404040"/>
                <w:sz w:val="18"/>
              </w:rPr>
              <w:t>7.2</w:t>
            </w:r>
          </w:p>
        </w:tc>
        <w:tc>
          <w:tcPr>
            <w:tcW w:w="1030" w:type="dxa"/>
            <w:gridSpan w:val="3"/>
          </w:tcPr>
          <w:p>
            <w:pPr/>
          </w:p>
        </w:tc>
        <w:tc>
          <w:tcPr>
            <w:tcW w:w="269" w:type="dxa"/>
            <w:tcBorders>
              <w:right w:val="nil"/>
            </w:tcBorders>
          </w:tcPr>
          <w:p>
            <w:pPr/>
          </w:p>
        </w:tc>
        <w:tc>
          <w:tcPr>
            <w:tcW w:w="202" w:type="dxa"/>
            <w:vMerge w:val="restart"/>
            <w:tcBorders>
              <w:top w:val="nil"/>
              <w:left w:val="nil"/>
              <w:right w:val="nil"/>
            </w:tcBorders>
            <w:shd w:val="clear" w:color="auto" w:fill="539E39"/>
          </w:tcPr>
          <w:p>
            <w:pPr/>
          </w:p>
        </w:tc>
        <w:tc>
          <w:tcPr>
            <w:tcW w:w="559" w:type="dxa"/>
            <w:tcBorders>
              <w:left w:val="nil"/>
            </w:tcBorders>
          </w:tcPr>
          <w:p>
            <w:pPr/>
          </w:p>
        </w:tc>
        <w:tc>
          <w:tcPr>
            <w:tcW w:w="269" w:type="dxa"/>
            <w:tcBorders>
              <w:right w:val="nil"/>
            </w:tcBorders>
          </w:tcPr>
          <w:p>
            <w:pPr/>
          </w:p>
        </w:tc>
        <w:tc>
          <w:tcPr>
            <w:tcW w:w="202" w:type="dxa"/>
            <w:vMerge w:val="restart"/>
            <w:tcBorders>
              <w:top w:val="nil"/>
              <w:left w:val="nil"/>
              <w:right w:val="nil"/>
            </w:tcBorders>
            <w:shd w:val="clear" w:color="auto" w:fill="539E39"/>
          </w:tcPr>
          <w:p>
            <w:pPr/>
          </w:p>
        </w:tc>
        <w:tc>
          <w:tcPr>
            <w:tcW w:w="559" w:type="dxa"/>
            <w:tcBorders>
              <w:left w:val="nil"/>
            </w:tcBorders>
          </w:tcPr>
          <w:p>
            <w:pPr/>
          </w:p>
        </w:tc>
        <w:tc>
          <w:tcPr>
            <w:tcW w:w="1030" w:type="dxa"/>
            <w:gridSpan w:val="3"/>
          </w:tcPr>
          <w:p>
            <w:pPr>
              <w:pStyle w:val="TableParagraph"/>
              <w:spacing w:line="183" w:lineRule="exact"/>
              <w:ind w:left="250"/>
              <w:jc w:val="left"/>
              <w:rPr>
                <w:sz w:val="18"/>
              </w:rPr>
            </w:pPr>
            <w:r>
              <w:rPr>
                <w:color w:val="404040"/>
                <w:sz w:val="18"/>
              </w:rPr>
              <w:t>6.9</w:t>
            </w:r>
          </w:p>
        </w:tc>
        <w:tc>
          <w:tcPr>
            <w:tcW w:w="1030" w:type="dxa"/>
            <w:gridSpan w:val="3"/>
          </w:tcPr>
          <w:p>
            <w:pPr>
              <w:pStyle w:val="TableParagraph"/>
              <w:spacing w:line="180" w:lineRule="exact"/>
              <w:ind w:left="250"/>
              <w:jc w:val="left"/>
              <w:rPr>
                <w:sz w:val="18"/>
              </w:rPr>
            </w:pPr>
            <w:r>
              <w:rPr>
                <w:color w:val="404040"/>
                <w:sz w:val="18"/>
              </w:rPr>
              <w:t>6.9</w:t>
            </w:r>
          </w:p>
        </w:tc>
      </w:tr>
      <w:tr>
        <w:trPr>
          <w:trHeight w:val="257" w:hRule="exact"/>
        </w:trPr>
        <w:tc>
          <w:tcPr>
            <w:tcW w:w="271" w:type="dxa"/>
            <w:tcBorders>
              <w:right w:val="nil"/>
            </w:tcBorders>
          </w:tcPr>
          <w:p>
            <w:pPr/>
          </w:p>
        </w:tc>
        <w:tc>
          <w:tcPr>
            <w:tcW w:w="202" w:type="dxa"/>
            <w:vMerge w:val="restart"/>
            <w:tcBorders>
              <w:left w:val="nil"/>
              <w:right w:val="nil"/>
            </w:tcBorders>
            <w:shd w:val="clear" w:color="auto" w:fill="539E39"/>
          </w:tcPr>
          <w:p>
            <w:pPr/>
          </w:p>
        </w:tc>
        <w:tc>
          <w:tcPr>
            <w:tcW w:w="559" w:type="dxa"/>
            <w:tcBorders>
              <w:left w:val="nil"/>
            </w:tcBorders>
          </w:tcPr>
          <w:p>
            <w:pPr/>
          </w:p>
        </w:tc>
        <w:tc>
          <w:tcPr>
            <w:tcW w:w="269" w:type="dxa"/>
            <w:tcBorders>
              <w:right w:val="nil"/>
            </w:tcBorders>
          </w:tcPr>
          <w:p>
            <w:pPr/>
          </w:p>
        </w:tc>
        <w:tc>
          <w:tcPr>
            <w:tcW w:w="202" w:type="dxa"/>
            <w:vMerge w:val="restart"/>
            <w:tcBorders>
              <w:top w:val="nil"/>
              <w:left w:val="nil"/>
              <w:right w:val="nil"/>
            </w:tcBorders>
            <w:shd w:val="clear" w:color="auto" w:fill="539E39"/>
          </w:tcPr>
          <w:p>
            <w:pPr/>
          </w:p>
        </w:tc>
        <w:tc>
          <w:tcPr>
            <w:tcW w:w="559" w:type="dxa"/>
            <w:tcBorders>
              <w:left w:val="nil"/>
            </w:tcBorders>
          </w:tcPr>
          <w:p>
            <w:pPr/>
          </w:p>
        </w:tc>
        <w:tc>
          <w:tcPr>
            <w:tcW w:w="1030" w:type="dxa"/>
            <w:gridSpan w:val="3"/>
          </w:tcPr>
          <w:p>
            <w:pPr>
              <w:pStyle w:val="TableParagraph"/>
              <w:spacing w:line="193" w:lineRule="exact"/>
              <w:ind w:left="249"/>
              <w:jc w:val="left"/>
              <w:rPr>
                <w:sz w:val="18"/>
              </w:rPr>
            </w:pPr>
            <w:r>
              <w:rPr>
                <w:color w:val="404040"/>
                <w:sz w:val="18"/>
              </w:rPr>
              <w:t>5.9</w:t>
            </w:r>
          </w:p>
        </w:tc>
        <w:tc>
          <w:tcPr>
            <w:tcW w:w="269" w:type="dxa"/>
            <w:tcBorders>
              <w:right w:val="nil"/>
            </w:tcBorders>
          </w:tcPr>
          <w:p>
            <w:pPr/>
          </w:p>
        </w:tc>
        <w:tc>
          <w:tcPr>
            <w:tcW w:w="202" w:type="dxa"/>
            <w:vMerge/>
            <w:tcBorders>
              <w:left w:val="nil"/>
              <w:right w:val="nil"/>
            </w:tcBorders>
            <w:shd w:val="clear" w:color="auto" w:fill="539E39"/>
          </w:tcPr>
          <w:p>
            <w:pPr/>
          </w:p>
        </w:tc>
        <w:tc>
          <w:tcPr>
            <w:tcW w:w="559" w:type="dxa"/>
            <w:tcBorders>
              <w:left w:val="nil"/>
            </w:tcBorders>
          </w:tcPr>
          <w:p>
            <w:pPr/>
          </w:p>
        </w:tc>
        <w:tc>
          <w:tcPr>
            <w:tcW w:w="269" w:type="dxa"/>
            <w:tcBorders>
              <w:right w:val="nil"/>
            </w:tcBorders>
          </w:tcPr>
          <w:p>
            <w:pPr/>
          </w:p>
        </w:tc>
        <w:tc>
          <w:tcPr>
            <w:tcW w:w="202" w:type="dxa"/>
            <w:vMerge/>
            <w:tcBorders>
              <w:left w:val="nil"/>
              <w:right w:val="nil"/>
            </w:tcBorders>
            <w:shd w:val="clear" w:color="auto" w:fill="539E39"/>
          </w:tcPr>
          <w:p>
            <w:pPr/>
          </w:p>
        </w:tc>
        <w:tc>
          <w:tcPr>
            <w:tcW w:w="559" w:type="dxa"/>
            <w:tcBorders>
              <w:left w:val="nil"/>
            </w:tcBorders>
          </w:tcPr>
          <w:p>
            <w:pPr/>
          </w:p>
        </w:tc>
        <w:tc>
          <w:tcPr>
            <w:tcW w:w="269" w:type="dxa"/>
            <w:tcBorders>
              <w:right w:val="nil"/>
            </w:tcBorders>
          </w:tcPr>
          <w:p>
            <w:pPr/>
          </w:p>
        </w:tc>
        <w:tc>
          <w:tcPr>
            <w:tcW w:w="202" w:type="dxa"/>
            <w:vMerge w:val="restart"/>
            <w:tcBorders>
              <w:left w:val="nil"/>
              <w:right w:val="nil"/>
            </w:tcBorders>
            <w:shd w:val="clear" w:color="auto" w:fill="539E39"/>
          </w:tcPr>
          <w:p>
            <w:pPr/>
          </w:p>
        </w:tc>
        <w:tc>
          <w:tcPr>
            <w:tcW w:w="559" w:type="dxa"/>
            <w:tcBorders>
              <w:left w:val="nil"/>
            </w:tcBorders>
          </w:tcPr>
          <w:p>
            <w:pPr/>
          </w:p>
        </w:tc>
        <w:tc>
          <w:tcPr>
            <w:tcW w:w="269" w:type="dxa"/>
            <w:tcBorders>
              <w:right w:val="nil"/>
            </w:tcBorders>
          </w:tcPr>
          <w:p>
            <w:pPr/>
          </w:p>
        </w:tc>
        <w:tc>
          <w:tcPr>
            <w:tcW w:w="204" w:type="dxa"/>
            <w:vMerge w:val="restart"/>
            <w:tcBorders>
              <w:left w:val="nil"/>
              <w:right w:val="nil"/>
            </w:tcBorders>
            <w:shd w:val="clear" w:color="auto" w:fill="539E39"/>
          </w:tcPr>
          <w:p>
            <w:pPr/>
          </w:p>
        </w:tc>
        <w:tc>
          <w:tcPr>
            <w:tcW w:w="557" w:type="dxa"/>
            <w:tcBorders>
              <w:left w:val="nil"/>
            </w:tcBorders>
          </w:tcPr>
          <w:p>
            <w:pPr/>
          </w:p>
        </w:tc>
      </w:tr>
      <w:tr>
        <w:trPr>
          <w:trHeight w:val="254" w:hRule="exact"/>
        </w:trPr>
        <w:tc>
          <w:tcPr>
            <w:tcW w:w="271" w:type="dxa"/>
            <w:tcBorders>
              <w:right w:val="nil"/>
            </w:tcBorders>
          </w:tcPr>
          <w:p>
            <w:pPr/>
          </w:p>
        </w:tc>
        <w:tc>
          <w:tcPr>
            <w:tcW w:w="202" w:type="dxa"/>
            <w:vMerge/>
            <w:tcBorders>
              <w:left w:val="nil"/>
              <w:right w:val="nil"/>
            </w:tcBorders>
            <w:shd w:val="clear" w:color="auto" w:fill="539E39"/>
          </w:tcPr>
          <w:p>
            <w:pPr/>
          </w:p>
        </w:tc>
        <w:tc>
          <w:tcPr>
            <w:tcW w:w="559" w:type="dxa"/>
            <w:tcBorders>
              <w:left w:val="nil"/>
            </w:tcBorders>
          </w:tcPr>
          <w:p>
            <w:pPr/>
          </w:p>
        </w:tc>
        <w:tc>
          <w:tcPr>
            <w:tcW w:w="269" w:type="dxa"/>
            <w:tcBorders>
              <w:right w:val="nil"/>
            </w:tcBorders>
          </w:tcPr>
          <w:p>
            <w:pPr/>
          </w:p>
        </w:tc>
        <w:tc>
          <w:tcPr>
            <w:tcW w:w="202" w:type="dxa"/>
            <w:vMerge/>
            <w:tcBorders>
              <w:left w:val="nil"/>
              <w:right w:val="nil"/>
            </w:tcBorders>
            <w:shd w:val="clear" w:color="auto" w:fill="539E39"/>
          </w:tcPr>
          <w:p>
            <w:pPr/>
          </w:p>
        </w:tc>
        <w:tc>
          <w:tcPr>
            <w:tcW w:w="559" w:type="dxa"/>
            <w:tcBorders>
              <w:left w:val="nil"/>
            </w:tcBorders>
          </w:tcPr>
          <w:p>
            <w:pPr/>
          </w:p>
        </w:tc>
        <w:tc>
          <w:tcPr>
            <w:tcW w:w="269" w:type="dxa"/>
            <w:tcBorders>
              <w:right w:val="nil"/>
            </w:tcBorders>
          </w:tcPr>
          <w:p>
            <w:pPr/>
          </w:p>
        </w:tc>
        <w:tc>
          <w:tcPr>
            <w:tcW w:w="202" w:type="dxa"/>
            <w:vMerge w:val="restart"/>
            <w:tcBorders>
              <w:left w:val="nil"/>
              <w:right w:val="nil"/>
            </w:tcBorders>
            <w:shd w:val="clear" w:color="auto" w:fill="539E39"/>
          </w:tcPr>
          <w:p>
            <w:pPr/>
          </w:p>
        </w:tc>
        <w:tc>
          <w:tcPr>
            <w:tcW w:w="559" w:type="dxa"/>
            <w:tcBorders>
              <w:left w:val="nil"/>
            </w:tcBorders>
          </w:tcPr>
          <w:p>
            <w:pPr/>
          </w:p>
        </w:tc>
        <w:tc>
          <w:tcPr>
            <w:tcW w:w="269" w:type="dxa"/>
            <w:tcBorders>
              <w:right w:val="nil"/>
            </w:tcBorders>
          </w:tcPr>
          <w:p>
            <w:pPr/>
          </w:p>
        </w:tc>
        <w:tc>
          <w:tcPr>
            <w:tcW w:w="202" w:type="dxa"/>
            <w:vMerge/>
            <w:tcBorders>
              <w:left w:val="nil"/>
              <w:right w:val="nil"/>
            </w:tcBorders>
            <w:shd w:val="clear" w:color="auto" w:fill="539E39"/>
          </w:tcPr>
          <w:p>
            <w:pPr/>
          </w:p>
        </w:tc>
        <w:tc>
          <w:tcPr>
            <w:tcW w:w="559" w:type="dxa"/>
            <w:tcBorders>
              <w:left w:val="nil"/>
            </w:tcBorders>
          </w:tcPr>
          <w:p>
            <w:pPr/>
          </w:p>
        </w:tc>
        <w:tc>
          <w:tcPr>
            <w:tcW w:w="269" w:type="dxa"/>
            <w:tcBorders>
              <w:right w:val="nil"/>
            </w:tcBorders>
          </w:tcPr>
          <w:p>
            <w:pPr/>
          </w:p>
        </w:tc>
        <w:tc>
          <w:tcPr>
            <w:tcW w:w="202" w:type="dxa"/>
            <w:vMerge/>
            <w:tcBorders>
              <w:left w:val="nil"/>
              <w:right w:val="nil"/>
            </w:tcBorders>
            <w:shd w:val="clear" w:color="auto" w:fill="539E39"/>
          </w:tcPr>
          <w:p>
            <w:pPr/>
          </w:p>
        </w:tc>
        <w:tc>
          <w:tcPr>
            <w:tcW w:w="559" w:type="dxa"/>
            <w:tcBorders>
              <w:left w:val="nil"/>
            </w:tcBorders>
          </w:tcPr>
          <w:p>
            <w:pPr/>
          </w:p>
        </w:tc>
        <w:tc>
          <w:tcPr>
            <w:tcW w:w="269" w:type="dxa"/>
            <w:tcBorders>
              <w:right w:val="nil"/>
            </w:tcBorders>
          </w:tcPr>
          <w:p>
            <w:pPr/>
          </w:p>
        </w:tc>
        <w:tc>
          <w:tcPr>
            <w:tcW w:w="202" w:type="dxa"/>
            <w:vMerge/>
            <w:tcBorders>
              <w:left w:val="nil"/>
              <w:right w:val="nil"/>
            </w:tcBorders>
            <w:shd w:val="clear" w:color="auto" w:fill="539E39"/>
          </w:tcPr>
          <w:p>
            <w:pPr/>
          </w:p>
        </w:tc>
        <w:tc>
          <w:tcPr>
            <w:tcW w:w="559" w:type="dxa"/>
            <w:tcBorders>
              <w:left w:val="nil"/>
            </w:tcBorders>
          </w:tcPr>
          <w:p>
            <w:pPr/>
          </w:p>
        </w:tc>
        <w:tc>
          <w:tcPr>
            <w:tcW w:w="269" w:type="dxa"/>
            <w:tcBorders>
              <w:right w:val="nil"/>
            </w:tcBorders>
          </w:tcPr>
          <w:p>
            <w:pPr/>
          </w:p>
        </w:tc>
        <w:tc>
          <w:tcPr>
            <w:tcW w:w="204" w:type="dxa"/>
            <w:vMerge/>
            <w:tcBorders>
              <w:left w:val="nil"/>
              <w:right w:val="nil"/>
            </w:tcBorders>
            <w:shd w:val="clear" w:color="auto" w:fill="539E39"/>
          </w:tcPr>
          <w:p>
            <w:pPr/>
          </w:p>
        </w:tc>
        <w:tc>
          <w:tcPr>
            <w:tcW w:w="557" w:type="dxa"/>
            <w:tcBorders>
              <w:left w:val="nil"/>
            </w:tcBorders>
          </w:tcPr>
          <w:p>
            <w:pPr/>
          </w:p>
        </w:tc>
      </w:tr>
      <w:tr>
        <w:trPr>
          <w:trHeight w:val="257" w:hRule="exact"/>
        </w:trPr>
        <w:tc>
          <w:tcPr>
            <w:tcW w:w="271" w:type="dxa"/>
            <w:tcBorders>
              <w:right w:val="nil"/>
            </w:tcBorders>
          </w:tcPr>
          <w:p>
            <w:pPr/>
          </w:p>
        </w:tc>
        <w:tc>
          <w:tcPr>
            <w:tcW w:w="202" w:type="dxa"/>
            <w:vMerge/>
            <w:tcBorders>
              <w:left w:val="nil"/>
              <w:right w:val="nil"/>
            </w:tcBorders>
            <w:shd w:val="clear" w:color="auto" w:fill="539E39"/>
          </w:tcPr>
          <w:p>
            <w:pPr/>
          </w:p>
        </w:tc>
        <w:tc>
          <w:tcPr>
            <w:tcW w:w="559" w:type="dxa"/>
            <w:tcBorders>
              <w:left w:val="nil"/>
            </w:tcBorders>
          </w:tcPr>
          <w:p>
            <w:pPr/>
          </w:p>
        </w:tc>
        <w:tc>
          <w:tcPr>
            <w:tcW w:w="269" w:type="dxa"/>
            <w:tcBorders>
              <w:right w:val="nil"/>
            </w:tcBorders>
          </w:tcPr>
          <w:p>
            <w:pPr/>
          </w:p>
        </w:tc>
        <w:tc>
          <w:tcPr>
            <w:tcW w:w="202" w:type="dxa"/>
            <w:vMerge/>
            <w:tcBorders>
              <w:left w:val="nil"/>
              <w:right w:val="nil"/>
            </w:tcBorders>
            <w:shd w:val="clear" w:color="auto" w:fill="539E39"/>
          </w:tcPr>
          <w:p>
            <w:pPr/>
          </w:p>
        </w:tc>
        <w:tc>
          <w:tcPr>
            <w:tcW w:w="559" w:type="dxa"/>
            <w:tcBorders>
              <w:left w:val="nil"/>
            </w:tcBorders>
          </w:tcPr>
          <w:p>
            <w:pPr/>
          </w:p>
        </w:tc>
        <w:tc>
          <w:tcPr>
            <w:tcW w:w="269" w:type="dxa"/>
            <w:tcBorders>
              <w:right w:val="nil"/>
            </w:tcBorders>
          </w:tcPr>
          <w:p>
            <w:pPr/>
          </w:p>
        </w:tc>
        <w:tc>
          <w:tcPr>
            <w:tcW w:w="202" w:type="dxa"/>
            <w:vMerge/>
            <w:tcBorders>
              <w:left w:val="nil"/>
              <w:right w:val="nil"/>
            </w:tcBorders>
            <w:shd w:val="clear" w:color="auto" w:fill="539E39"/>
          </w:tcPr>
          <w:p>
            <w:pPr/>
          </w:p>
        </w:tc>
        <w:tc>
          <w:tcPr>
            <w:tcW w:w="559" w:type="dxa"/>
            <w:tcBorders>
              <w:left w:val="nil"/>
            </w:tcBorders>
          </w:tcPr>
          <w:p>
            <w:pPr/>
          </w:p>
        </w:tc>
        <w:tc>
          <w:tcPr>
            <w:tcW w:w="269" w:type="dxa"/>
            <w:tcBorders>
              <w:right w:val="nil"/>
            </w:tcBorders>
          </w:tcPr>
          <w:p>
            <w:pPr/>
          </w:p>
        </w:tc>
        <w:tc>
          <w:tcPr>
            <w:tcW w:w="202" w:type="dxa"/>
            <w:vMerge/>
            <w:tcBorders>
              <w:left w:val="nil"/>
              <w:right w:val="nil"/>
            </w:tcBorders>
            <w:shd w:val="clear" w:color="auto" w:fill="539E39"/>
          </w:tcPr>
          <w:p>
            <w:pPr/>
          </w:p>
        </w:tc>
        <w:tc>
          <w:tcPr>
            <w:tcW w:w="559" w:type="dxa"/>
            <w:tcBorders>
              <w:left w:val="nil"/>
            </w:tcBorders>
          </w:tcPr>
          <w:p>
            <w:pPr/>
          </w:p>
        </w:tc>
        <w:tc>
          <w:tcPr>
            <w:tcW w:w="269" w:type="dxa"/>
            <w:tcBorders>
              <w:right w:val="nil"/>
            </w:tcBorders>
          </w:tcPr>
          <w:p>
            <w:pPr/>
          </w:p>
        </w:tc>
        <w:tc>
          <w:tcPr>
            <w:tcW w:w="202" w:type="dxa"/>
            <w:vMerge/>
            <w:tcBorders>
              <w:left w:val="nil"/>
              <w:right w:val="nil"/>
            </w:tcBorders>
            <w:shd w:val="clear" w:color="auto" w:fill="539E39"/>
          </w:tcPr>
          <w:p>
            <w:pPr/>
          </w:p>
        </w:tc>
        <w:tc>
          <w:tcPr>
            <w:tcW w:w="559" w:type="dxa"/>
            <w:tcBorders>
              <w:left w:val="nil"/>
            </w:tcBorders>
          </w:tcPr>
          <w:p>
            <w:pPr/>
          </w:p>
        </w:tc>
        <w:tc>
          <w:tcPr>
            <w:tcW w:w="269" w:type="dxa"/>
            <w:tcBorders>
              <w:right w:val="nil"/>
            </w:tcBorders>
          </w:tcPr>
          <w:p>
            <w:pPr/>
          </w:p>
        </w:tc>
        <w:tc>
          <w:tcPr>
            <w:tcW w:w="202" w:type="dxa"/>
            <w:vMerge/>
            <w:tcBorders>
              <w:left w:val="nil"/>
              <w:right w:val="nil"/>
            </w:tcBorders>
            <w:shd w:val="clear" w:color="auto" w:fill="539E39"/>
          </w:tcPr>
          <w:p>
            <w:pPr/>
          </w:p>
        </w:tc>
        <w:tc>
          <w:tcPr>
            <w:tcW w:w="559" w:type="dxa"/>
            <w:tcBorders>
              <w:left w:val="nil"/>
            </w:tcBorders>
          </w:tcPr>
          <w:p>
            <w:pPr/>
          </w:p>
        </w:tc>
        <w:tc>
          <w:tcPr>
            <w:tcW w:w="269" w:type="dxa"/>
            <w:tcBorders>
              <w:right w:val="nil"/>
            </w:tcBorders>
          </w:tcPr>
          <w:p>
            <w:pPr/>
          </w:p>
        </w:tc>
        <w:tc>
          <w:tcPr>
            <w:tcW w:w="204" w:type="dxa"/>
            <w:vMerge/>
            <w:tcBorders>
              <w:left w:val="nil"/>
              <w:right w:val="nil"/>
            </w:tcBorders>
            <w:shd w:val="clear" w:color="auto" w:fill="539E39"/>
          </w:tcPr>
          <w:p>
            <w:pPr/>
          </w:p>
        </w:tc>
        <w:tc>
          <w:tcPr>
            <w:tcW w:w="557" w:type="dxa"/>
            <w:tcBorders>
              <w:left w:val="nil"/>
            </w:tcBorders>
          </w:tcPr>
          <w:p>
            <w:pPr/>
          </w:p>
        </w:tc>
      </w:tr>
      <w:tr>
        <w:trPr>
          <w:trHeight w:val="257" w:hRule="exact"/>
        </w:trPr>
        <w:tc>
          <w:tcPr>
            <w:tcW w:w="271" w:type="dxa"/>
            <w:tcBorders>
              <w:right w:val="nil"/>
            </w:tcBorders>
          </w:tcPr>
          <w:p>
            <w:pPr/>
          </w:p>
        </w:tc>
        <w:tc>
          <w:tcPr>
            <w:tcW w:w="202" w:type="dxa"/>
            <w:vMerge/>
            <w:tcBorders>
              <w:left w:val="nil"/>
              <w:right w:val="nil"/>
            </w:tcBorders>
            <w:shd w:val="clear" w:color="auto" w:fill="539E39"/>
          </w:tcPr>
          <w:p>
            <w:pPr/>
          </w:p>
        </w:tc>
        <w:tc>
          <w:tcPr>
            <w:tcW w:w="559" w:type="dxa"/>
            <w:tcBorders>
              <w:left w:val="nil"/>
            </w:tcBorders>
          </w:tcPr>
          <w:p>
            <w:pPr/>
          </w:p>
        </w:tc>
        <w:tc>
          <w:tcPr>
            <w:tcW w:w="269" w:type="dxa"/>
            <w:tcBorders>
              <w:right w:val="nil"/>
            </w:tcBorders>
          </w:tcPr>
          <w:p>
            <w:pPr/>
          </w:p>
        </w:tc>
        <w:tc>
          <w:tcPr>
            <w:tcW w:w="202" w:type="dxa"/>
            <w:vMerge/>
            <w:tcBorders>
              <w:left w:val="nil"/>
              <w:right w:val="nil"/>
            </w:tcBorders>
            <w:shd w:val="clear" w:color="auto" w:fill="539E39"/>
          </w:tcPr>
          <w:p>
            <w:pPr/>
          </w:p>
        </w:tc>
        <w:tc>
          <w:tcPr>
            <w:tcW w:w="559" w:type="dxa"/>
            <w:tcBorders>
              <w:left w:val="nil"/>
            </w:tcBorders>
          </w:tcPr>
          <w:p>
            <w:pPr/>
          </w:p>
        </w:tc>
        <w:tc>
          <w:tcPr>
            <w:tcW w:w="269" w:type="dxa"/>
            <w:tcBorders>
              <w:right w:val="nil"/>
            </w:tcBorders>
          </w:tcPr>
          <w:p>
            <w:pPr/>
          </w:p>
        </w:tc>
        <w:tc>
          <w:tcPr>
            <w:tcW w:w="202" w:type="dxa"/>
            <w:vMerge/>
            <w:tcBorders>
              <w:left w:val="nil"/>
              <w:right w:val="nil"/>
            </w:tcBorders>
            <w:shd w:val="clear" w:color="auto" w:fill="539E39"/>
          </w:tcPr>
          <w:p>
            <w:pPr/>
          </w:p>
        </w:tc>
        <w:tc>
          <w:tcPr>
            <w:tcW w:w="559" w:type="dxa"/>
            <w:tcBorders>
              <w:left w:val="nil"/>
            </w:tcBorders>
          </w:tcPr>
          <w:p>
            <w:pPr/>
          </w:p>
        </w:tc>
        <w:tc>
          <w:tcPr>
            <w:tcW w:w="269" w:type="dxa"/>
            <w:tcBorders>
              <w:right w:val="nil"/>
            </w:tcBorders>
          </w:tcPr>
          <w:p>
            <w:pPr/>
          </w:p>
        </w:tc>
        <w:tc>
          <w:tcPr>
            <w:tcW w:w="202" w:type="dxa"/>
            <w:vMerge/>
            <w:tcBorders>
              <w:left w:val="nil"/>
              <w:right w:val="nil"/>
            </w:tcBorders>
            <w:shd w:val="clear" w:color="auto" w:fill="539E39"/>
          </w:tcPr>
          <w:p>
            <w:pPr/>
          </w:p>
        </w:tc>
        <w:tc>
          <w:tcPr>
            <w:tcW w:w="559" w:type="dxa"/>
            <w:tcBorders>
              <w:left w:val="nil"/>
            </w:tcBorders>
          </w:tcPr>
          <w:p>
            <w:pPr/>
          </w:p>
        </w:tc>
        <w:tc>
          <w:tcPr>
            <w:tcW w:w="269" w:type="dxa"/>
            <w:tcBorders>
              <w:right w:val="nil"/>
            </w:tcBorders>
          </w:tcPr>
          <w:p>
            <w:pPr/>
          </w:p>
        </w:tc>
        <w:tc>
          <w:tcPr>
            <w:tcW w:w="202" w:type="dxa"/>
            <w:vMerge/>
            <w:tcBorders>
              <w:left w:val="nil"/>
              <w:right w:val="nil"/>
            </w:tcBorders>
            <w:shd w:val="clear" w:color="auto" w:fill="539E39"/>
          </w:tcPr>
          <w:p>
            <w:pPr/>
          </w:p>
        </w:tc>
        <w:tc>
          <w:tcPr>
            <w:tcW w:w="559" w:type="dxa"/>
            <w:tcBorders>
              <w:left w:val="nil"/>
            </w:tcBorders>
          </w:tcPr>
          <w:p>
            <w:pPr/>
          </w:p>
        </w:tc>
        <w:tc>
          <w:tcPr>
            <w:tcW w:w="269" w:type="dxa"/>
            <w:tcBorders>
              <w:right w:val="nil"/>
            </w:tcBorders>
          </w:tcPr>
          <w:p>
            <w:pPr/>
          </w:p>
        </w:tc>
        <w:tc>
          <w:tcPr>
            <w:tcW w:w="202" w:type="dxa"/>
            <w:vMerge/>
            <w:tcBorders>
              <w:left w:val="nil"/>
              <w:right w:val="nil"/>
            </w:tcBorders>
            <w:shd w:val="clear" w:color="auto" w:fill="539E39"/>
          </w:tcPr>
          <w:p>
            <w:pPr/>
          </w:p>
        </w:tc>
        <w:tc>
          <w:tcPr>
            <w:tcW w:w="559" w:type="dxa"/>
            <w:tcBorders>
              <w:left w:val="nil"/>
            </w:tcBorders>
          </w:tcPr>
          <w:p>
            <w:pPr/>
          </w:p>
        </w:tc>
        <w:tc>
          <w:tcPr>
            <w:tcW w:w="269" w:type="dxa"/>
            <w:tcBorders>
              <w:right w:val="nil"/>
            </w:tcBorders>
          </w:tcPr>
          <w:p>
            <w:pPr/>
          </w:p>
        </w:tc>
        <w:tc>
          <w:tcPr>
            <w:tcW w:w="204" w:type="dxa"/>
            <w:vMerge/>
            <w:tcBorders>
              <w:left w:val="nil"/>
              <w:right w:val="nil"/>
            </w:tcBorders>
            <w:shd w:val="clear" w:color="auto" w:fill="539E39"/>
          </w:tcPr>
          <w:p>
            <w:pPr/>
          </w:p>
        </w:tc>
        <w:tc>
          <w:tcPr>
            <w:tcW w:w="557" w:type="dxa"/>
            <w:tcBorders>
              <w:left w:val="nil"/>
            </w:tcBorders>
          </w:tcPr>
          <w:p>
            <w:pPr/>
          </w:p>
        </w:tc>
      </w:tr>
      <w:tr>
        <w:trPr>
          <w:trHeight w:val="257" w:hRule="exact"/>
        </w:trPr>
        <w:tc>
          <w:tcPr>
            <w:tcW w:w="271" w:type="dxa"/>
            <w:tcBorders>
              <w:right w:val="nil"/>
            </w:tcBorders>
          </w:tcPr>
          <w:p>
            <w:pPr/>
          </w:p>
        </w:tc>
        <w:tc>
          <w:tcPr>
            <w:tcW w:w="202" w:type="dxa"/>
            <w:vMerge/>
            <w:tcBorders>
              <w:left w:val="nil"/>
              <w:right w:val="nil"/>
            </w:tcBorders>
            <w:shd w:val="clear" w:color="auto" w:fill="539E39"/>
          </w:tcPr>
          <w:p>
            <w:pPr/>
          </w:p>
        </w:tc>
        <w:tc>
          <w:tcPr>
            <w:tcW w:w="559" w:type="dxa"/>
            <w:tcBorders>
              <w:left w:val="nil"/>
            </w:tcBorders>
          </w:tcPr>
          <w:p>
            <w:pPr/>
          </w:p>
        </w:tc>
        <w:tc>
          <w:tcPr>
            <w:tcW w:w="269" w:type="dxa"/>
            <w:tcBorders>
              <w:right w:val="nil"/>
            </w:tcBorders>
          </w:tcPr>
          <w:p>
            <w:pPr/>
          </w:p>
        </w:tc>
        <w:tc>
          <w:tcPr>
            <w:tcW w:w="202" w:type="dxa"/>
            <w:vMerge/>
            <w:tcBorders>
              <w:left w:val="nil"/>
              <w:right w:val="nil"/>
            </w:tcBorders>
            <w:shd w:val="clear" w:color="auto" w:fill="539E39"/>
          </w:tcPr>
          <w:p>
            <w:pPr/>
          </w:p>
        </w:tc>
        <w:tc>
          <w:tcPr>
            <w:tcW w:w="559" w:type="dxa"/>
            <w:tcBorders>
              <w:left w:val="nil"/>
            </w:tcBorders>
          </w:tcPr>
          <w:p>
            <w:pPr/>
          </w:p>
        </w:tc>
        <w:tc>
          <w:tcPr>
            <w:tcW w:w="269" w:type="dxa"/>
            <w:tcBorders>
              <w:right w:val="nil"/>
            </w:tcBorders>
          </w:tcPr>
          <w:p>
            <w:pPr/>
          </w:p>
        </w:tc>
        <w:tc>
          <w:tcPr>
            <w:tcW w:w="202" w:type="dxa"/>
            <w:vMerge/>
            <w:tcBorders>
              <w:left w:val="nil"/>
              <w:right w:val="nil"/>
            </w:tcBorders>
            <w:shd w:val="clear" w:color="auto" w:fill="539E39"/>
          </w:tcPr>
          <w:p>
            <w:pPr/>
          </w:p>
        </w:tc>
        <w:tc>
          <w:tcPr>
            <w:tcW w:w="559" w:type="dxa"/>
            <w:tcBorders>
              <w:left w:val="nil"/>
            </w:tcBorders>
          </w:tcPr>
          <w:p>
            <w:pPr/>
          </w:p>
        </w:tc>
        <w:tc>
          <w:tcPr>
            <w:tcW w:w="269" w:type="dxa"/>
            <w:tcBorders>
              <w:right w:val="nil"/>
            </w:tcBorders>
          </w:tcPr>
          <w:p>
            <w:pPr/>
          </w:p>
        </w:tc>
        <w:tc>
          <w:tcPr>
            <w:tcW w:w="202" w:type="dxa"/>
            <w:vMerge/>
            <w:tcBorders>
              <w:left w:val="nil"/>
              <w:right w:val="nil"/>
            </w:tcBorders>
            <w:shd w:val="clear" w:color="auto" w:fill="539E39"/>
          </w:tcPr>
          <w:p>
            <w:pPr/>
          </w:p>
        </w:tc>
        <w:tc>
          <w:tcPr>
            <w:tcW w:w="559" w:type="dxa"/>
            <w:tcBorders>
              <w:left w:val="nil"/>
            </w:tcBorders>
          </w:tcPr>
          <w:p>
            <w:pPr/>
          </w:p>
        </w:tc>
        <w:tc>
          <w:tcPr>
            <w:tcW w:w="269" w:type="dxa"/>
            <w:tcBorders>
              <w:right w:val="nil"/>
            </w:tcBorders>
          </w:tcPr>
          <w:p>
            <w:pPr/>
          </w:p>
        </w:tc>
        <w:tc>
          <w:tcPr>
            <w:tcW w:w="202" w:type="dxa"/>
            <w:vMerge/>
            <w:tcBorders>
              <w:left w:val="nil"/>
              <w:right w:val="nil"/>
            </w:tcBorders>
            <w:shd w:val="clear" w:color="auto" w:fill="539E39"/>
          </w:tcPr>
          <w:p>
            <w:pPr/>
          </w:p>
        </w:tc>
        <w:tc>
          <w:tcPr>
            <w:tcW w:w="559" w:type="dxa"/>
            <w:tcBorders>
              <w:left w:val="nil"/>
            </w:tcBorders>
          </w:tcPr>
          <w:p>
            <w:pPr/>
          </w:p>
        </w:tc>
        <w:tc>
          <w:tcPr>
            <w:tcW w:w="269" w:type="dxa"/>
            <w:tcBorders>
              <w:right w:val="nil"/>
            </w:tcBorders>
          </w:tcPr>
          <w:p>
            <w:pPr/>
          </w:p>
        </w:tc>
        <w:tc>
          <w:tcPr>
            <w:tcW w:w="202" w:type="dxa"/>
            <w:vMerge/>
            <w:tcBorders>
              <w:left w:val="nil"/>
              <w:right w:val="nil"/>
            </w:tcBorders>
            <w:shd w:val="clear" w:color="auto" w:fill="539E39"/>
          </w:tcPr>
          <w:p>
            <w:pPr/>
          </w:p>
        </w:tc>
        <w:tc>
          <w:tcPr>
            <w:tcW w:w="559" w:type="dxa"/>
            <w:tcBorders>
              <w:left w:val="nil"/>
            </w:tcBorders>
          </w:tcPr>
          <w:p>
            <w:pPr/>
          </w:p>
        </w:tc>
        <w:tc>
          <w:tcPr>
            <w:tcW w:w="269" w:type="dxa"/>
            <w:tcBorders>
              <w:right w:val="nil"/>
            </w:tcBorders>
          </w:tcPr>
          <w:p>
            <w:pPr/>
          </w:p>
        </w:tc>
        <w:tc>
          <w:tcPr>
            <w:tcW w:w="204" w:type="dxa"/>
            <w:vMerge/>
            <w:tcBorders>
              <w:left w:val="nil"/>
              <w:right w:val="nil"/>
            </w:tcBorders>
            <w:shd w:val="clear" w:color="auto" w:fill="539E39"/>
          </w:tcPr>
          <w:p>
            <w:pPr/>
          </w:p>
        </w:tc>
        <w:tc>
          <w:tcPr>
            <w:tcW w:w="557" w:type="dxa"/>
            <w:tcBorders>
              <w:left w:val="nil"/>
            </w:tcBorders>
          </w:tcPr>
          <w:p>
            <w:pPr/>
          </w:p>
        </w:tc>
      </w:tr>
      <w:tr>
        <w:trPr>
          <w:trHeight w:val="257" w:hRule="exact"/>
        </w:trPr>
        <w:tc>
          <w:tcPr>
            <w:tcW w:w="271" w:type="dxa"/>
            <w:tcBorders>
              <w:right w:val="nil"/>
            </w:tcBorders>
          </w:tcPr>
          <w:p>
            <w:pPr/>
          </w:p>
        </w:tc>
        <w:tc>
          <w:tcPr>
            <w:tcW w:w="202" w:type="dxa"/>
            <w:vMerge/>
            <w:tcBorders>
              <w:left w:val="nil"/>
              <w:right w:val="nil"/>
            </w:tcBorders>
            <w:shd w:val="clear" w:color="auto" w:fill="539E39"/>
          </w:tcPr>
          <w:p>
            <w:pPr/>
          </w:p>
        </w:tc>
        <w:tc>
          <w:tcPr>
            <w:tcW w:w="559" w:type="dxa"/>
            <w:tcBorders>
              <w:left w:val="nil"/>
            </w:tcBorders>
          </w:tcPr>
          <w:p>
            <w:pPr/>
          </w:p>
        </w:tc>
        <w:tc>
          <w:tcPr>
            <w:tcW w:w="269" w:type="dxa"/>
            <w:tcBorders>
              <w:right w:val="nil"/>
            </w:tcBorders>
          </w:tcPr>
          <w:p>
            <w:pPr/>
          </w:p>
        </w:tc>
        <w:tc>
          <w:tcPr>
            <w:tcW w:w="202" w:type="dxa"/>
            <w:vMerge/>
            <w:tcBorders>
              <w:left w:val="nil"/>
              <w:right w:val="nil"/>
            </w:tcBorders>
            <w:shd w:val="clear" w:color="auto" w:fill="539E39"/>
          </w:tcPr>
          <w:p>
            <w:pPr/>
          </w:p>
        </w:tc>
        <w:tc>
          <w:tcPr>
            <w:tcW w:w="559" w:type="dxa"/>
            <w:tcBorders>
              <w:left w:val="nil"/>
            </w:tcBorders>
          </w:tcPr>
          <w:p>
            <w:pPr/>
          </w:p>
        </w:tc>
        <w:tc>
          <w:tcPr>
            <w:tcW w:w="269" w:type="dxa"/>
            <w:tcBorders>
              <w:right w:val="nil"/>
            </w:tcBorders>
          </w:tcPr>
          <w:p>
            <w:pPr/>
          </w:p>
        </w:tc>
        <w:tc>
          <w:tcPr>
            <w:tcW w:w="202" w:type="dxa"/>
            <w:vMerge/>
            <w:tcBorders>
              <w:left w:val="nil"/>
              <w:right w:val="nil"/>
            </w:tcBorders>
            <w:shd w:val="clear" w:color="auto" w:fill="539E39"/>
          </w:tcPr>
          <w:p>
            <w:pPr/>
          </w:p>
        </w:tc>
        <w:tc>
          <w:tcPr>
            <w:tcW w:w="559" w:type="dxa"/>
            <w:tcBorders>
              <w:left w:val="nil"/>
            </w:tcBorders>
          </w:tcPr>
          <w:p>
            <w:pPr/>
          </w:p>
        </w:tc>
        <w:tc>
          <w:tcPr>
            <w:tcW w:w="269" w:type="dxa"/>
            <w:tcBorders>
              <w:right w:val="nil"/>
            </w:tcBorders>
          </w:tcPr>
          <w:p>
            <w:pPr/>
          </w:p>
        </w:tc>
        <w:tc>
          <w:tcPr>
            <w:tcW w:w="202" w:type="dxa"/>
            <w:vMerge/>
            <w:tcBorders>
              <w:left w:val="nil"/>
              <w:right w:val="nil"/>
            </w:tcBorders>
            <w:shd w:val="clear" w:color="auto" w:fill="539E39"/>
          </w:tcPr>
          <w:p>
            <w:pPr/>
          </w:p>
        </w:tc>
        <w:tc>
          <w:tcPr>
            <w:tcW w:w="559" w:type="dxa"/>
            <w:tcBorders>
              <w:left w:val="nil"/>
            </w:tcBorders>
          </w:tcPr>
          <w:p>
            <w:pPr>
              <w:pStyle w:val="TableParagraph"/>
              <w:spacing w:line="159" w:lineRule="exact" w:before="123"/>
              <w:ind w:left="75"/>
              <w:jc w:val="left"/>
              <w:rPr>
                <w:sz w:val="18"/>
              </w:rPr>
            </w:pPr>
            <w:r>
              <w:rPr>
                <w:color w:val="404040"/>
                <w:sz w:val="18"/>
              </w:rPr>
              <w:t>0.3</w:t>
            </w:r>
          </w:p>
        </w:tc>
        <w:tc>
          <w:tcPr>
            <w:tcW w:w="269" w:type="dxa"/>
            <w:tcBorders>
              <w:right w:val="nil"/>
            </w:tcBorders>
          </w:tcPr>
          <w:p>
            <w:pPr/>
          </w:p>
        </w:tc>
        <w:tc>
          <w:tcPr>
            <w:tcW w:w="202" w:type="dxa"/>
            <w:vMerge/>
            <w:tcBorders>
              <w:left w:val="nil"/>
              <w:right w:val="nil"/>
            </w:tcBorders>
            <w:shd w:val="clear" w:color="auto" w:fill="539E39"/>
          </w:tcPr>
          <w:p>
            <w:pPr/>
          </w:p>
        </w:tc>
        <w:tc>
          <w:tcPr>
            <w:tcW w:w="559" w:type="dxa"/>
            <w:tcBorders>
              <w:left w:val="nil"/>
            </w:tcBorders>
          </w:tcPr>
          <w:p>
            <w:pPr/>
          </w:p>
        </w:tc>
        <w:tc>
          <w:tcPr>
            <w:tcW w:w="269" w:type="dxa"/>
            <w:tcBorders>
              <w:right w:val="nil"/>
            </w:tcBorders>
          </w:tcPr>
          <w:p>
            <w:pPr/>
          </w:p>
        </w:tc>
        <w:tc>
          <w:tcPr>
            <w:tcW w:w="202" w:type="dxa"/>
            <w:vMerge/>
            <w:tcBorders>
              <w:left w:val="nil"/>
              <w:right w:val="nil"/>
            </w:tcBorders>
            <w:shd w:val="clear" w:color="auto" w:fill="539E39"/>
          </w:tcPr>
          <w:p>
            <w:pPr/>
          </w:p>
        </w:tc>
        <w:tc>
          <w:tcPr>
            <w:tcW w:w="559" w:type="dxa"/>
            <w:tcBorders>
              <w:left w:val="nil"/>
            </w:tcBorders>
          </w:tcPr>
          <w:p>
            <w:pPr/>
          </w:p>
        </w:tc>
        <w:tc>
          <w:tcPr>
            <w:tcW w:w="269" w:type="dxa"/>
            <w:tcBorders>
              <w:right w:val="nil"/>
            </w:tcBorders>
          </w:tcPr>
          <w:p>
            <w:pPr/>
          </w:p>
        </w:tc>
        <w:tc>
          <w:tcPr>
            <w:tcW w:w="204" w:type="dxa"/>
            <w:vMerge/>
            <w:tcBorders>
              <w:left w:val="nil"/>
              <w:right w:val="nil"/>
            </w:tcBorders>
            <w:shd w:val="clear" w:color="auto" w:fill="539E39"/>
          </w:tcPr>
          <w:p>
            <w:pPr/>
          </w:p>
        </w:tc>
        <w:tc>
          <w:tcPr>
            <w:tcW w:w="557" w:type="dxa"/>
            <w:tcBorders>
              <w:left w:val="nil"/>
            </w:tcBorders>
          </w:tcPr>
          <w:p>
            <w:pPr/>
          </w:p>
        </w:tc>
      </w:tr>
      <w:tr>
        <w:trPr>
          <w:trHeight w:val="254" w:hRule="exact"/>
        </w:trPr>
        <w:tc>
          <w:tcPr>
            <w:tcW w:w="271" w:type="dxa"/>
            <w:tcBorders>
              <w:right w:val="nil"/>
            </w:tcBorders>
          </w:tcPr>
          <w:p>
            <w:pPr/>
          </w:p>
        </w:tc>
        <w:tc>
          <w:tcPr>
            <w:tcW w:w="202" w:type="dxa"/>
            <w:vMerge/>
            <w:tcBorders>
              <w:left w:val="nil"/>
              <w:right w:val="nil"/>
            </w:tcBorders>
            <w:shd w:val="clear" w:color="auto" w:fill="539E39"/>
          </w:tcPr>
          <w:p>
            <w:pPr/>
          </w:p>
        </w:tc>
        <w:tc>
          <w:tcPr>
            <w:tcW w:w="559" w:type="dxa"/>
            <w:tcBorders>
              <w:left w:val="nil"/>
              <w:bottom w:val="single" w:sz="13" w:space="0" w:color="89B833"/>
            </w:tcBorders>
          </w:tcPr>
          <w:p>
            <w:pPr>
              <w:pStyle w:val="TableParagraph"/>
              <w:spacing w:line="124" w:lineRule="exact"/>
              <w:ind w:left="73"/>
              <w:jc w:val="left"/>
              <w:rPr>
                <w:sz w:val="18"/>
              </w:rPr>
            </w:pPr>
            <w:r>
              <w:rPr>
                <w:color w:val="404040"/>
                <w:sz w:val="18"/>
              </w:rPr>
              <w:t>0.1</w:t>
            </w:r>
          </w:p>
        </w:tc>
        <w:tc>
          <w:tcPr>
            <w:tcW w:w="269" w:type="dxa"/>
            <w:tcBorders>
              <w:right w:val="nil"/>
            </w:tcBorders>
          </w:tcPr>
          <w:p>
            <w:pPr/>
          </w:p>
        </w:tc>
        <w:tc>
          <w:tcPr>
            <w:tcW w:w="202" w:type="dxa"/>
            <w:vMerge/>
            <w:tcBorders>
              <w:left w:val="nil"/>
              <w:right w:val="nil"/>
            </w:tcBorders>
            <w:shd w:val="clear" w:color="auto" w:fill="539E39"/>
          </w:tcPr>
          <w:p>
            <w:pPr/>
          </w:p>
        </w:tc>
        <w:tc>
          <w:tcPr>
            <w:tcW w:w="559" w:type="dxa"/>
            <w:tcBorders>
              <w:left w:val="nil"/>
              <w:bottom w:val="single" w:sz="13" w:space="0" w:color="89B833"/>
            </w:tcBorders>
          </w:tcPr>
          <w:p>
            <w:pPr>
              <w:pStyle w:val="TableParagraph"/>
              <w:spacing w:line="125" w:lineRule="exact"/>
              <w:ind w:left="74"/>
              <w:jc w:val="left"/>
              <w:rPr>
                <w:sz w:val="18"/>
              </w:rPr>
            </w:pPr>
            <w:r>
              <w:rPr>
                <w:color w:val="404040"/>
                <w:sz w:val="18"/>
              </w:rPr>
              <w:t>0.1</w:t>
            </w:r>
          </w:p>
        </w:tc>
        <w:tc>
          <w:tcPr>
            <w:tcW w:w="269" w:type="dxa"/>
            <w:tcBorders>
              <w:right w:val="nil"/>
            </w:tcBorders>
          </w:tcPr>
          <w:p>
            <w:pPr/>
          </w:p>
        </w:tc>
        <w:tc>
          <w:tcPr>
            <w:tcW w:w="202" w:type="dxa"/>
            <w:vMerge/>
            <w:tcBorders>
              <w:left w:val="nil"/>
              <w:right w:val="nil"/>
            </w:tcBorders>
            <w:shd w:val="clear" w:color="auto" w:fill="539E39"/>
          </w:tcPr>
          <w:p>
            <w:pPr/>
          </w:p>
        </w:tc>
        <w:tc>
          <w:tcPr>
            <w:tcW w:w="559" w:type="dxa"/>
            <w:tcBorders>
              <w:left w:val="nil"/>
              <w:bottom w:val="single" w:sz="8" w:space="0" w:color="89B833"/>
            </w:tcBorders>
          </w:tcPr>
          <w:p>
            <w:pPr>
              <w:pStyle w:val="TableParagraph"/>
              <w:spacing w:line="140" w:lineRule="exact"/>
              <w:ind w:left="74"/>
              <w:jc w:val="left"/>
              <w:rPr>
                <w:sz w:val="18"/>
              </w:rPr>
            </w:pPr>
            <w:r>
              <w:rPr>
                <w:color w:val="404040"/>
                <w:sz w:val="18"/>
              </w:rPr>
              <w:t>0.1</w:t>
            </w:r>
          </w:p>
        </w:tc>
        <w:tc>
          <w:tcPr>
            <w:tcW w:w="269" w:type="dxa"/>
            <w:tcBorders>
              <w:right w:val="nil"/>
            </w:tcBorders>
          </w:tcPr>
          <w:p>
            <w:pPr/>
          </w:p>
        </w:tc>
        <w:tc>
          <w:tcPr>
            <w:tcW w:w="202" w:type="dxa"/>
            <w:vMerge/>
            <w:tcBorders>
              <w:left w:val="nil"/>
              <w:right w:val="nil"/>
            </w:tcBorders>
            <w:shd w:val="clear" w:color="auto" w:fill="539E39"/>
          </w:tcPr>
          <w:p>
            <w:pPr/>
          </w:p>
        </w:tc>
        <w:tc>
          <w:tcPr>
            <w:tcW w:w="559" w:type="dxa"/>
            <w:tcBorders>
              <w:left w:val="nil"/>
              <w:bottom w:val="single" w:sz="34" w:space="0" w:color="89B833"/>
            </w:tcBorders>
          </w:tcPr>
          <w:p>
            <w:pPr/>
          </w:p>
        </w:tc>
        <w:tc>
          <w:tcPr>
            <w:tcW w:w="269" w:type="dxa"/>
            <w:tcBorders>
              <w:right w:val="nil"/>
            </w:tcBorders>
          </w:tcPr>
          <w:p>
            <w:pPr/>
          </w:p>
        </w:tc>
        <w:tc>
          <w:tcPr>
            <w:tcW w:w="202" w:type="dxa"/>
            <w:vMerge/>
            <w:tcBorders>
              <w:left w:val="nil"/>
              <w:right w:val="nil"/>
            </w:tcBorders>
            <w:shd w:val="clear" w:color="auto" w:fill="539E39"/>
          </w:tcPr>
          <w:p>
            <w:pPr/>
          </w:p>
        </w:tc>
        <w:tc>
          <w:tcPr>
            <w:tcW w:w="559" w:type="dxa"/>
            <w:tcBorders>
              <w:left w:val="nil"/>
              <w:bottom w:val="single" w:sz="17" w:space="0" w:color="89B833"/>
            </w:tcBorders>
          </w:tcPr>
          <w:p>
            <w:pPr>
              <w:pStyle w:val="TableParagraph"/>
              <w:spacing w:line="115" w:lineRule="exact"/>
              <w:ind w:left="75"/>
              <w:jc w:val="left"/>
              <w:rPr>
                <w:sz w:val="18"/>
              </w:rPr>
            </w:pPr>
            <w:r>
              <w:rPr>
                <w:color w:val="404040"/>
                <w:sz w:val="18"/>
              </w:rPr>
              <w:t>0.2</w:t>
            </w:r>
          </w:p>
        </w:tc>
        <w:tc>
          <w:tcPr>
            <w:tcW w:w="269" w:type="dxa"/>
            <w:tcBorders>
              <w:right w:val="nil"/>
            </w:tcBorders>
          </w:tcPr>
          <w:p>
            <w:pPr/>
          </w:p>
        </w:tc>
        <w:tc>
          <w:tcPr>
            <w:tcW w:w="202" w:type="dxa"/>
            <w:vMerge/>
            <w:tcBorders>
              <w:left w:val="nil"/>
              <w:right w:val="nil"/>
            </w:tcBorders>
            <w:shd w:val="clear" w:color="auto" w:fill="539E39"/>
          </w:tcPr>
          <w:p>
            <w:pPr/>
          </w:p>
        </w:tc>
        <w:tc>
          <w:tcPr>
            <w:tcW w:w="559" w:type="dxa"/>
            <w:tcBorders>
              <w:left w:val="nil"/>
              <w:bottom w:val="single" w:sz="24" w:space="0" w:color="89B833"/>
            </w:tcBorders>
          </w:tcPr>
          <w:p>
            <w:pPr>
              <w:pStyle w:val="TableParagraph"/>
              <w:spacing w:line="99" w:lineRule="exact"/>
              <w:ind w:left="75"/>
              <w:jc w:val="left"/>
              <w:rPr>
                <w:sz w:val="18"/>
              </w:rPr>
            </w:pPr>
            <w:r>
              <w:rPr>
                <w:color w:val="404040"/>
                <w:sz w:val="18"/>
              </w:rPr>
              <w:t>0.2</w:t>
            </w:r>
          </w:p>
        </w:tc>
        <w:tc>
          <w:tcPr>
            <w:tcW w:w="269" w:type="dxa"/>
            <w:tcBorders>
              <w:right w:val="nil"/>
            </w:tcBorders>
          </w:tcPr>
          <w:p>
            <w:pPr/>
          </w:p>
        </w:tc>
        <w:tc>
          <w:tcPr>
            <w:tcW w:w="204" w:type="dxa"/>
            <w:vMerge/>
            <w:tcBorders>
              <w:left w:val="nil"/>
              <w:right w:val="nil"/>
            </w:tcBorders>
            <w:shd w:val="clear" w:color="auto" w:fill="539E39"/>
          </w:tcPr>
          <w:p>
            <w:pPr/>
          </w:p>
        </w:tc>
        <w:tc>
          <w:tcPr>
            <w:tcW w:w="557" w:type="dxa"/>
            <w:tcBorders>
              <w:left w:val="nil"/>
              <w:bottom w:val="single" w:sz="28" w:space="0" w:color="89B833"/>
            </w:tcBorders>
          </w:tcPr>
          <w:p>
            <w:pPr/>
          </w:p>
        </w:tc>
      </w:tr>
    </w:tbl>
    <w:p>
      <w:pPr>
        <w:pStyle w:val="BodyText"/>
        <w:rPr>
          <w:b/>
        </w:rPr>
      </w:pPr>
    </w:p>
    <w:p>
      <w:pPr>
        <w:pStyle w:val="BodyText"/>
        <w:rPr>
          <w:b/>
        </w:rPr>
      </w:pPr>
    </w:p>
    <w:p>
      <w:pPr>
        <w:pStyle w:val="BodyText"/>
        <w:rPr>
          <w:b/>
        </w:rPr>
      </w:pPr>
    </w:p>
    <w:p>
      <w:pPr>
        <w:spacing w:before="158"/>
        <w:ind w:left="383" w:right="399" w:firstLine="0"/>
        <w:jc w:val="center"/>
        <w:rPr>
          <w:sz w:val="18"/>
        </w:rPr>
      </w:pPr>
      <w:r>
        <w:rPr>
          <w:sz w:val="18"/>
        </w:rPr>
        <w:t>Fuente: Elaboración propia con datos de INEGI (varios años).</w:t>
      </w:r>
    </w:p>
    <w:p>
      <w:pPr>
        <w:pStyle w:val="BodyText"/>
        <w:rPr>
          <w:sz w:val="18"/>
        </w:rPr>
      </w:pPr>
    </w:p>
    <w:p>
      <w:pPr>
        <w:pStyle w:val="BodyText"/>
        <w:spacing w:line="360" w:lineRule="auto" w:before="135"/>
        <w:ind w:left="102" w:right="118"/>
        <w:jc w:val="both"/>
      </w:pPr>
      <w:r>
        <w:rPr/>
        <w:t>En cuanto al empleo, si comparamos el año de 1980 con 2008, se encuentra que la participación de la industria manufacturera de Jalisco en la manufactura nacional ha aumentado, pues pasó de tener una participación del 7.0% a participar con el 8.1%. Sin embargo, la industria automotriz del estado no ha mostrado, avances en su aportación al empleo manufacturero, pues su porcentaje de participación se mantuvo en 0.2% (véase gráfica, 4.21).</w:t>
      </w:r>
    </w:p>
    <w:p>
      <w:pPr>
        <w:pStyle w:val="BodyText"/>
        <w:spacing w:before="7"/>
        <w:rPr>
          <w:sz w:val="21"/>
        </w:rPr>
      </w:pPr>
    </w:p>
    <w:p>
      <w:pPr>
        <w:pStyle w:val="Heading1"/>
        <w:spacing w:line="360" w:lineRule="auto"/>
        <w:ind w:left="112" w:right="132"/>
        <w:jc w:val="center"/>
      </w:pPr>
      <w:r>
        <w:rPr/>
        <w:pict>
          <v:group style="position:absolute;margin-left:106.904999pt;margin-top:40.998119pt;width:397.6pt;height:170.8pt;mso-position-horizontal-relative:page;mso-position-vertical-relative:paragraph;z-index:-488440" coordorigin="2138,820" coordsize="7952,3416">
            <v:shape style="position:absolute;left:2743;top:1048;width:7118;height:2306" type="#_x0000_t75" stroked="false">
              <v:imagedata r:id="rId73" o:title=""/>
            </v:shape>
            <v:shape style="position:absolute;left:2743;top:1048;width:7119;height:2307" coordorigin="2743,1048" coordsize="7119,2307" path="m9310,2971l9862,2971m8294,2971l9110,2971m7277,2971l8095,2971m6259,2971l7078,2971m5242,2971l6060,2971m4226,2971l5042,2971m3209,2971l4027,2971m2743,2971l3010,2971m9310,2587l9862,2587m8294,2587l9110,2587m7277,2587l8095,2587m6259,2587l7078,2587m5242,2587l6060,2587m4226,2587l5042,2587m3209,2587l4027,2587m2743,2587l3010,2587m9310,2203l9862,2203m8294,2203l9110,2203m7277,2203l8095,2203m6259,2203l7078,2203m5242,2203l6060,2203m4226,2203l5042,2203m3209,2203l4027,2203m2743,2203l3010,2203m9310,1816l9862,1816m4226,1816l9110,1816m2743,1816l4027,1816m4226,1432l9862,1432m2743,1432l4027,1432m2743,1048l9862,1048m2743,1048l2743,3355m3761,1048l3761,3355m4776,1048l4776,3355m5794,1048l5794,3355m6811,1048l6811,3355m7829,1048l7829,3355m8844,1048l8844,3355m9862,1048l9862,3355e" filled="false" stroked="true" strokeweight=".72pt" strokecolor="#d9d9d9">
              <v:path arrowok="t"/>
            </v:shape>
            <v:shape style="position:absolute;left:3010;top:1396;width:6300;height:1959" coordorigin="3010,1396" coordsize="6300,1959" path="m3209,2011l3010,2011,3010,3355,3209,3355,3209,2011m4226,1396l4027,1396,4027,3355,4226,3355,4226,1396m5242,2078l5042,2078,5042,3355,5242,3355,5242,2078m6259,2035l6060,2035,6060,3355,6259,3355,6259,2035m7277,1867l7078,1867,7078,3355,7277,3355,7277,1867m8294,1862l8095,1862,8095,3355,8294,3355,8294,1862m9310,1790l9110,1790,9110,3355,9310,3355,9310,1790e" filled="true" fillcolor="#539e39" stroked="false">
              <v:path arrowok="t"/>
              <v:fill type="solid"/>
            </v:shape>
            <v:line style="position:absolute" from="3295,3338" to="3494,3338" stroked="true" strokeweight="1.68pt" strokecolor="#89b833"/>
            <v:shape style="position:absolute;left:4310;top:3341;width:1217;height:2" coordorigin="4310,3341" coordsize="1217,0" path="m4310,3341l4512,3341m5328,3341l5527,3341e" filled="false" stroked="true" strokeweight="1.32pt" strokecolor="#89b833">
              <v:path arrowok="t"/>
            </v:shape>
            <v:line style="position:absolute" from="6346,3343" to="6545,3343" stroked="true" strokeweight="1.2pt" strokecolor="#89b833"/>
            <v:line style="position:absolute" from="7363,3334" to="7562,3334" stroked="true" strokeweight="2.04pt" strokecolor="#89b833"/>
            <v:shape style="position:absolute;left:8378;top:3332;width:1217;height:2" coordorigin="8378,3332" coordsize="1217,0" path="m8378,3332l8580,3332m9396,3332l9595,3332e" filled="false" stroked="true" strokeweight="2.280pt" strokecolor="#89b833">
              <v:path arrowok="t"/>
            </v:shape>
            <v:line style="position:absolute" from="2743,3355" to="9862,3355" stroked="true" strokeweight=".72pt" strokecolor="#d9d9d9"/>
            <v:line style="position:absolute" from="4326,3904" to="4326,3995" stroked="true" strokeweight="4.440pt" strokecolor="#539e39"/>
            <v:line style="position:absolute" from="6467,3904" to="6467,3995" stroked="true" strokeweight="4.440pt" strokecolor="#89b833"/>
            <v:rect style="position:absolute;left:2146;top:827;width:7937;height:3401" filled="false" stroked="true" strokeweight=".72pt" strokecolor="#d9d9d9"/>
            <v:shape style="position:absolute;left:3761;top:1048;width:1016;height:384" type="#_x0000_t202" filled="false" stroked="false">
              <v:textbox inset="0,0,0,0">
                <w:txbxContent>
                  <w:p>
                    <w:pPr>
                      <w:spacing w:before="52"/>
                      <w:ind w:left="206" w:right="0" w:firstLine="0"/>
                      <w:jc w:val="left"/>
                      <w:rPr>
                        <w:sz w:val="18"/>
                      </w:rPr>
                    </w:pPr>
                    <w:r>
                      <w:rPr>
                        <w:color w:val="404040"/>
                        <w:sz w:val="18"/>
                      </w:rPr>
                      <w:t>10.2</w:t>
                    </w:r>
                  </w:p>
                </w:txbxContent>
              </v:textbox>
              <w10:wrap type="none"/>
            </v:shape>
            <v:shape style="position:absolute;left:6811;top:1432;width:1018;height:384" type="#_x0000_t202" filled="false" stroked="false">
              <v:textbox inset="0,0,0,0">
                <w:txbxContent>
                  <w:p>
                    <w:pPr>
                      <w:spacing w:before="139"/>
                      <w:ind w:left="252" w:right="0" w:firstLine="0"/>
                      <w:jc w:val="left"/>
                      <w:rPr>
                        <w:sz w:val="18"/>
                      </w:rPr>
                    </w:pPr>
                    <w:r>
                      <w:rPr>
                        <w:color w:val="404040"/>
                        <w:sz w:val="18"/>
                      </w:rPr>
                      <w:t>7.7</w:t>
                    </w:r>
                  </w:p>
                </w:txbxContent>
              </v:textbox>
              <w10:wrap type="none"/>
            </v:shape>
            <v:shape style="position:absolute;left:7829;top:1432;width:1016;height:384" type="#_x0000_t202" filled="false" stroked="false">
              <v:textbox inset="0,0,0,0">
                <w:txbxContent>
                  <w:p>
                    <w:pPr>
                      <w:spacing w:before="135"/>
                      <w:ind w:left="252" w:right="0" w:firstLine="0"/>
                      <w:jc w:val="left"/>
                      <w:rPr>
                        <w:sz w:val="18"/>
                      </w:rPr>
                    </w:pPr>
                    <w:r>
                      <w:rPr>
                        <w:color w:val="404040"/>
                        <w:sz w:val="18"/>
                      </w:rPr>
                      <w:t>7.8</w:t>
                    </w:r>
                  </w:p>
                </w:txbxContent>
              </v:textbox>
              <w10:wrap type="none"/>
            </v:shape>
            <v:shape style="position:absolute;left:8844;top:1432;width:1018;height:384" type="#_x0000_t202" filled="false" stroked="false">
              <v:textbox inset="0,0,0,0">
                <w:txbxContent>
                  <w:p>
                    <w:pPr>
                      <w:spacing w:before="63"/>
                      <w:ind w:left="254" w:right="0" w:firstLine="0"/>
                      <w:jc w:val="left"/>
                      <w:rPr>
                        <w:sz w:val="18"/>
                      </w:rPr>
                    </w:pPr>
                    <w:r>
                      <w:rPr>
                        <w:color w:val="404040"/>
                        <w:sz w:val="18"/>
                      </w:rPr>
                      <w:t>8.1</w:t>
                    </w:r>
                  </w:p>
                </w:txbxContent>
              </v:textbox>
              <w10:wrap type="none"/>
            </v:shape>
            <v:shape style="position:absolute;left:2276;top:961;width:316;height:950" type="#_x0000_t202" filled="false" stroked="false">
              <v:textbox inset="0,0,0,0">
                <w:txbxContent>
                  <w:p>
                    <w:pPr>
                      <w:spacing w:line="184" w:lineRule="exact" w:before="0"/>
                      <w:ind w:left="0" w:right="-19" w:firstLine="0"/>
                      <w:jc w:val="left"/>
                      <w:rPr>
                        <w:sz w:val="18"/>
                      </w:rPr>
                    </w:pPr>
                    <w:r>
                      <w:rPr>
                        <w:color w:val="585858"/>
                        <w:sz w:val="18"/>
                      </w:rPr>
                      <w:t>12.0</w:t>
                    </w:r>
                  </w:p>
                  <w:p>
                    <w:pPr>
                      <w:spacing w:line="240" w:lineRule="auto" w:before="4"/>
                      <w:rPr>
                        <w:sz w:val="15"/>
                      </w:rPr>
                    </w:pPr>
                  </w:p>
                  <w:p>
                    <w:pPr>
                      <w:spacing w:before="1"/>
                      <w:ind w:left="0" w:right="-19" w:firstLine="0"/>
                      <w:jc w:val="left"/>
                      <w:rPr>
                        <w:sz w:val="18"/>
                      </w:rPr>
                    </w:pPr>
                    <w:r>
                      <w:rPr>
                        <w:color w:val="585858"/>
                        <w:sz w:val="18"/>
                      </w:rPr>
                      <w:t>10.0</w:t>
                    </w:r>
                  </w:p>
                  <w:p>
                    <w:pPr>
                      <w:spacing w:line="240" w:lineRule="auto" w:before="5"/>
                      <w:rPr>
                        <w:sz w:val="15"/>
                      </w:rPr>
                    </w:pPr>
                  </w:p>
                  <w:p>
                    <w:pPr>
                      <w:spacing w:line="203" w:lineRule="exact" w:before="0"/>
                      <w:ind w:left="89" w:right="-18" w:firstLine="0"/>
                      <w:jc w:val="left"/>
                      <w:rPr>
                        <w:sz w:val="18"/>
                      </w:rPr>
                    </w:pPr>
                    <w:r>
                      <w:rPr>
                        <w:color w:val="585858"/>
                        <w:sz w:val="18"/>
                      </w:rPr>
                      <w:t>8.0</w:t>
                    </w:r>
                  </w:p>
                </w:txbxContent>
              </v:textbox>
              <w10:wrap type="none"/>
            </v:shape>
            <v:shape style="position:absolute;left:2995;top:1738;width:227;height:180" type="#_x0000_t202" filled="false" stroked="false">
              <v:textbox inset="0,0,0,0">
                <w:txbxContent>
                  <w:p>
                    <w:pPr>
                      <w:spacing w:line="180" w:lineRule="exact" w:before="0"/>
                      <w:ind w:left="0" w:right="-18" w:firstLine="0"/>
                      <w:jc w:val="left"/>
                      <w:rPr>
                        <w:sz w:val="18"/>
                      </w:rPr>
                    </w:pPr>
                    <w:r>
                      <w:rPr>
                        <w:color w:val="404040"/>
                        <w:sz w:val="18"/>
                      </w:rPr>
                      <w:t>7.0</w:t>
                    </w:r>
                  </w:p>
                </w:txbxContent>
              </v:textbox>
              <w10:wrap type="none"/>
            </v:shape>
            <v:shape style="position:absolute;left:5029;top:1807;width:227;height:180" type="#_x0000_t202" filled="false" stroked="false">
              <v:textbox inset="0,0,0,0">
                <w:txbxContent>
                  <w:p>
                    <w:pPr>
                      <w:spacing w:line="180" w:lineRule="exact" w:before="0"/>
                      <w:ind w:left="0" w:right="-18" w:firstLine="0"/>
                      <w:jc w:val="left"/>
                      <w:rPr>
                        <w:sz w:val="18"/>
                      </w:rPr>
                    </w:pPr>
                    <w:r>
                      <w:rPr>
                        <w:color w:val="404040"/>
                        <w:sz w:val="18"/>
                      </w:rPr>
                      <w:t>6.6</w:t>
                    </w:r>
                  </w:p>
                </w:txbxContent>
              </v:textbox>
              <w10:wrap type="none"/>
            </v:shape>
            <v:shape style="position:absolute;left:6047;top:1764;width:227;height:180" type="#_x0000_t202" filled="false" stroked="false">
              <v:textbox inset="0,0,0,0">
                <w:txbxContent>
                  <w:p>
                    <w:pPr>
                      <w:spacing w:line="180" w:lineRule="exact" w:before="0"/>
                      <w:ind w:left="0" w:right="-18" w:firstLine="0"/>
                      <w:jc w:val="left"/>
                      <w:rPr>
                        <w:sz w:val="18"/>
                      </w:rPr>
                    </w:pPr>
                    <w:r>
                      <w:rPr>
                        <w:color w:val="404040"/>
                        <w:sz w:val="18"/>
                      </w:rPr>
                      <w:t>6.9</w:t>
                    </w:r>
                  </w:p>
                </w:txbxContent>
              </v:textbox>
              <w10:wrap type="none"/>
            </v:shape>
            <v:shape style="position:absolute;left:2365;top:2115;width:225;height:949" type="#_x0000_t202" filled="false" stroked="false">
              <v:textbox inset="0,0,0,0">
                <w:txbxContent>
                  <w:p>
                    <w:pPr>
                      <w:spacing w:line="184" w:lineRule="exact" w:before="0"/>
                      <w:ind w:left="0" w:right="-20" w:firstLine="0"/>
                      <w:jc w:val="left"/>
                      <w:rPr>
                        <w:sz w:val="18"/>
                      </w:rPr>
                    </w:pPr>
                    <w:r>
                      <w:rPr>
                        <w:color w:val="585858"/>
                        <w:sz w:val="18"/>
                      </w:rPr>
                      <w:t>6.0</w:t>
                    </w:r>
                  </w:p>
                  <w:p>
                    <w:pPr>
                      <w:spacing w:line="240" w:lineRule="auto" w:before="4"/>
                      <w:rPr>
                        <w:sz w:val="15"/>
                      </w:rPr>
                    </w:pPr>
                  </w:p>
                  <w:p>
                    <w:pPr>
                      <w:spacing w:before="1"/>
                      <w:ind w:left="0" w:right="-20" w:firstLine="0"/>
                      <w:jc w:val="left"/>
                      <w:rPr>
                        <w:sz w:val="18"/>
                      </w:rPr>
                    </w:pPr>
                    <w:r>
                      <w:rPr>
                        <w:color w:val="585858"/>
                        <w:sz w:val="18"/>
                      </w:rPr>
                      <w:t>4.0</w:t>
                    </w:r>
                  </w:p>
                  <w:p>
                    <w:pPr>
                      <w:spacing w:line="240" w:lineRule="auto" w:before="4"/>
                      <w:rPr>
                        <w:sz w:val="15"/>
                      </w:rPr>
                    </w:pPr>
                  </w:p>
                  <w:p>
                    <w:pPr>
                      <w:spacing w:line="203" w:lineRule="exact" w:before="1"/>
                      <w:ind w:left="0" w:right="-20" w:firstLine="0"/>
                      <w:jc w:val="left"/>
                      <w:rPr>
                        <w:sz w:val="18"/>
                      </w:rPr>
                    </w:pPr>
                    <w:r>
                      <w:rPr>
                        <w:color w:val="585858"/>
                        <w:sz w:val="18"/>
                      </w:rPr>
                      <w:t>2.0</w:t>
                    </w:r>
                  </w:p>
                </w:txbxContent>
              </v:textbox>
              <w10:wrap type="none"/>
            </v:shape>
            <v:shape style="position:absolute;left:4410;top:3864;width:1723;height:180" type="#_x0000_t202" filled="false" stroked="false">
              <v:textbox inset="0,0,0,0">
                <w:txbxContent>
                  <w:p>
                    <w:pPr>
                      <w:spacing w:line="180" w:lineRule="exact" w:before="0"/>
                      <w:ind w:left="0" w:right="-15" w:firstLine="0"/>
                      <w:jc w:val="left"/>
                      <w:rPr>
                        <w:sz w:val="18"/>
                      </w:rPr>
                    </w:pPr>
                    <w:r>
                      <w:rPr>
                        <w:color w:val="585858"/>
                        <w:sz w:val="18"/>
                      </w:rPr>
                      <w:t>Industria</w:t>
                    </w:r>
                    <w:r>
                      <w:rPr>
                        <w:color w:val="585858"/>
                        <w:spacing w:val="-7"/>
                        <w:sz w:val="18"/>
                      </w:rPr>
                      <w:t> </w:t>
                    </w:r>
                    <w:r>
                      <w:rPr>
                        <w:color w:val="585858"/>
                        <w:sz w:val="18"/>
                      </w:rPr>
                      <w:t>manufacturera</w:t>
                    </w:r>
                  </w:p>
                </w:txbxContent>
              </v:textbox>
              <w10:wrap type="none"/>
            </v:shape>
            <v:shape style="position:absolute;left:6550;top:3864;width:1464;height:180" type="#_x0000_t202" filled="false" stroked="false">
              <v:textbox inset="0,0,0,0">
                <w:txbxContent>
                  <w:p>
                    <w:pPr>
                      <w:spacing w:line="180" w:lineRule="exact" w:before="0"/>
                      <w:ind w:left="0" w:right="-14" w:firstLine="0"/>
                      <w:jc w:val="left"/>
                      <w:rPr>
                        <w:sz w:val="18"/>
                      </w:rPr>
                    </w:pPr>
                    <w:r>
                      <w:rPr>
                        <w:color w:val="585858"/>
                        <w:sz w:val="18"/>
                      </w:rPr>
                      <w:t>Industria</w:t>
                    </w:r>
                    <w:r>
                      <w:rPr>
                        <w:color w:val="585858"/>
                        <w:spacing w:val="-7"/>
                        <w:sz w:val="18"/>
                      </w:rPr>
                      <w:t> </w:t>
                    </w:r>
                    <w:r>
                      <w:rPr>
                        <w:color w:val="585858"/>
                        <w:sz w:val="18"/>
                      </w:rPr>
                      <w:t>automotriz</w:t>
                    </w:r>
                  </w:p>
                </w:txbxContent>
              </v:textbox>
              <w10:wrap type="none"/>
            </v:shape>
            <w10:wrap type="none"/>
          </v:group>
        </w:pict>
      </w:r>
      <w:r>
        <w:rPr/>
        <w:t>Gráfica 4.21. Participación porcentual de la industria manufacturera y automotriz de Jalisco en la manufactura nacional 1980-2008 (Personal Ocupado)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12"/>
        </w:rPr>
      </w:pPr>
    </w:p>
    <w:tbl>
      <w:tblPr>
        <w:tblW w:w="0" w:type="auto"/>
        <w:jc w:val="left"/>
        <w:tblInd w:w="73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01"/>
        <w:gridCol w:w="967"/>
        <w:gridCol w:w="1017"/>
        <w:gridCol w:w="1017"/>
        <w:gridCol w:w="1017"/>
        <w:gridCol w:w="1017"/>
        <w:gridCol w:w="1017"/>
        <w:gridCol w:w="761"/>
      </w:tblGrid>
      <w:tr>
        <w:trPr>
          <w:trHeight w:val="218" w:hRule="exact"/>
        </w:trPr>
        <w:tc>
          <w:tcPr>
            <w:tcW w:w="501" w:type="dxa"/>
          </w:tcPr>
          <w:p>
            <w:pPr/>
          </w:p>
        </w:tc>
        <w:tc>
          <w:tcPr>
            <w:tcW w:w="967" w:type="dxa"/>
          </w:tcPr>
          <w:p>
            <w:pPr>
              <w:pStyle w:val="TableParagraph"/>
              <w:spacing w:line="197" w:lineRule="exact"/>
              <w:ind w:left="449"/>
              <w:jc w:val="left"/>
              <w:rPr>
                <w:sz w:val="18"/>
              </w:rPr>
            </w:pPr>
            <w:r>
              <w:rPr>
                <w:color w:val="404040"/>
                <w:sz w:val="18"/>
              </w:rPr>
              <w:t>0.2</w:t>
            </w:r>
          </w:p>
        </w:tc>
        <w:tc>
          <w:tcPr>
            <w:tcW w:w="1017" w:type="dxa"/>
          </w:tcPr>
          <w:p>
            <w:pPr>
              <w:pStyle w:val="TableParagraph"/>
              <w:spacing w:line="204" w:lineRule="exact"/>
              <w:ind w:left="499"/>
              <w:jc w:val="left"/>
              <w:rPr>
                <w:sz w:val="18"/>
              </w:rPr>
            </w:pPr>
            <w:r>
              <w:rPr>
                <w:color w:val="404040"/>
                <w:sz w:val="18"/>
              </w:rPr>
              <w:t>0.1</w:t>
            </w:r>
          </w:p>
        </w:tc>
        <w:tc>
          <w:tcPr>
            <w:tcW w:w="1017" w:type="dxa"/>
          </w:tcPr>
          <w:p>
            <w:pPr>
              <w:pStyle w:val="TableParagraph"/>
              <w:spacing w:line="205" w:lineRule="exact"/>
              <w:ind w:left="499"/>
              <w:jc w:val="left"/>
              <w:rPr>
                <w:sz w:val="18"/>
              </w:rPr>
            </w:pPr>
            <w:r>
              <w:rPr>
                <w:color w:val="404040"/>
                <w:sz w:val="18"/>
              </w:rPr>
              <w:t>0.1</w:t>
            </w:r>
          </w:p>
        </w:tc>
        <w:tc>
          <w:tcPr>
            <w:tcW w:w="1017" w:type="dxa"/>
          </w:tcPr>
          <w:p>
            <w:pPr>
              <w:pStyle w:val="TableParagraph"/>
              <w:spacing w:line="206" w:lineRule="exact"/>
              <w:ind w:right="289"/>
              <w:jc w:val="right"/>
              <w:rPr>
                <w:sz w:val="18"/>
              </w:rPr>
            </w:pPr>
            <w:r>
              <w:rPr>
                <w:color w:val="404040"/>
                <w:sz w:val="18"/>
              </w:rPr>
              <w:t>0.1</w:t>
            </w:r>
          </w:p>
        </w:tc>
        <w:tc>
          <w:tcPr>
            <w:tcW w:w="1017" w:type="dxa"/>
          </w:tcPr>
          <w:p>
            <w:pPr>
              <w:pStyle w:val="TableParagraph"/>
              <w:spacing w:line="189" w:lineRule="exact"/>
              <w:ind w:left="499"/>
              <w:jc w:val="left"/>
              <w:rPr>
                <w:sz w:val="18"/>
              </w:rPr>
            </w:pPr>
            <w:r>
              <w:rPr>
                <w:color w:val="404040"/>
                <w:sz w:val="18"/>
              </w:rPr>
              <w:t>0.2</w:t>
            </w:r>
          </w:p>
        </w:tc>
        <w:tc>
          <w:tcPr>
            <w:tcW w:w="1017" w:type="dxa"/>
          </w:tcPr>
          <w:p>
            <w:pPr>
              <w:pStyle w:val="TableParagraph"/>
              <w:spacing w:line="184" w:lineRule="exact"/>
              <w:ind w:left="499"/>
              <w:jc w:val="left"/>
              <w:rPr>
                <w:sz w:val="18"/>
              </w:rPr>
            </w:pPr>
            <w:r>
              <w:rPr>
                <w:color w:val="404040"/>
                <w:sz w:val="18"/>
              </w:rPr>
              <w:t>0.2</w:t>
            </w:r>
          </w:p>
        </w:tc>
        <w:tc>
          <w:tcPr>
            <w:tcW w:w="761" w:type="dxa"/>
          </w:tcPr>
          <w:p>
            <w:pPr>
              <w:pStyle w:val="TableParagraph"/>
              <w:spacing w:line="185" w:lineRule="exact"/>
              <w:ind w:left="499"/>
              <w:jc w:val="left"/>
              <w:rPr>
                <w:sz w:val="18"/>
              </w:rPr>
            </w:pPr>
            <w:r>
              <w:rPr>
                <w:color w:val="404040"/>
                <w:sz w:val="18"/>
              </w:rPr>
              <w:t>0.2</w:t>
            </w:r>
          </w:p>
        </w:tc>
      </w:tr>
      <w:tr>
        <w:trPr>
          <w:trHeight w:val="211" w:hRule="exact"/>
        </w:trPr>
        <w:tc>
          <w:tcPr>
            <w:tcW w:w="501" w:type="dxa"/>
          </w:tcPr>
          <w:p>
            <w:pPr>
              <w:pStyle w:val="TableParagraph"/>
              <w:spacing w:line="199" w:lineRule="exact"/>
              <w:ind w:left="35"/>
              <w:jc w:val="left"/>
              <w:rPr>
                <w:sz w:val="18"/>
              </w:rPr>
            </w:pPr>
            <w:r>
              <w:rPr>
                <w:color w:val="585858"/>
                <w:sz w:val="18"/>
              </w:rPr>
              <w:t>0.0</w:t>
            </w:r>
          </w:p>
        </w:tc>
        <w:tc>
          <w:tcPr>
            <w:tcW w:w="967" w:type="dxa"/>
          </w:tcPr>
          <w:p>
            <w:pPr/>
          </w:p>
        </w:tc>
        <w:tc>
          <w:tcPr>
            <w:tcW w:w="1017" w:type="dxa"/>
          </w:tcPr>
          <w:p>
            <w:pPr/>
          </w:p>
        </w:tc>
        <w:tc>
          <w:tcPr>
            <w:tcW w:w="1017" w:type="dxa"/>
          </w:tcPr>
          <w:p>
            <w:pPr/>
          </w:p>
        </w:tc>
        <w:tc>
          <w:tcPr>
            <w:tcW w:w="1017" w:type="dxa"/>
          </w:tcPr>
          <w:p>
            <w:pPr/>
          </w:p>
        </w:tc>
        <w:tc>
          <w:tcPr>
            <w:tcW w:w="1017" w:type="dxa"/>
          </w:tcPr>
          <w:p>
            <w:pPr/>
          </w:p>
        </w:tc>
        <w:tc>
          <w:tcPr>
            <w:tcW w:w="1017" w:type="dxa"/>
          </w:tcPr>
          <w:p>
            <w:pPr/>
          </w:p>
        </w:tc>
        <w:tc>
          <w:tcPr>
            <w:tcW w:w="761" w:type="dxa"/>
          </w:tcPr>
          <w:p>
            <w:pPr/>
          </w:p>
        </w:tc>
      </w:tr>
      <w:tr>
        <w:trPr>
          <w:trHeight w:val="296" w:hRule="exact"/>
        </w:trPr>
        <w:tc>
          <w:tcPr>
            <w:tcW w:w="501" w:type="dxa"/>
          </w:tcPr>
          <w:p>
            <w:pPr/>
          </w:p>
        </w:tc>
        <w:tc>
          <w:tcPr>
            <w:tcW w:w="967" w:type="dxa"/>
          </w:tcPr>
          <w:p>
            <w:pPr>
              <w:pStyle w:val="TableParagraph"/>
              <w:spacing w:line="199" w:lineRule="exact"/>
              <w:ind w:left="241"/>
              <w:jc w:val="left"/>
              <w:rPr>
                <w:sz w:val="18"/>
              </w:rPr>
            </w:pPr>
            <w:r>
              <w:rPr>
                <w:color w:val="585858"/>
                <w:sz w:val="18"/>
              </w:rPr>
              <w:t>1980</w:t>
            </w:r>
          </w:p>
        </w:tc>
        <w:tc>
          <w:tcPr>
            <w:tcW w:w="1017" w:type="dxa"/>
          </w:tcPr>
          <w:p>
            <w:pPr>
              <w:pStyle w:val="TableParagraph"/>
              <w:spacing w:line="199" w:lineRule="exact"/>
              <w:ind w:left="291"/>
              <w:jc w:val="left"/>
              <w:rPr>
                <w:sz w:val="18"/>
              </w:rPr>
            </w:pPr>
            <w:r>
              <w:rPr>
                <w:color w:val="585858"/>
                <w:sz w:val="18"/>
              </w:rPr>
              <w:t>1985</w:t>
            </w:r>
          </w:p>
        </w:tc>
        <w:tc>
          <w:tcPr>
            <w:tcW w:w="1017" w:type="dxa"/>
          </w:tcPr>
          <w:p>
            <w:pPr>
              <w:pStyle w:val="TableParagraph"/>
              <w:spacing w:line="199" w:lineRule="exact"/>
              <w:ind w:left="291"/>
              <w:jc w:val="left"/>
              <w:rPr>
                <w:sz w:val="18"/>
              </w:rPr>
            </w:pPr>
            <w:r>
              <w:rPr>
                <w:color w:val="585858"/>
                <w:sz w:val="18"/>
              </w:rPr>
              <w:t>1988</w:t>
            </w:r>
          </w:p>
        </w:tc>
        <w:tc>
          <w:tcPr>
            <w:tcW w:w="1017" w:type="dxa"/>
          </w:tcPr>
          <w:p>
            <w:pPr>
              <w:pStyle w:val="TableParagraph"/>
              <w:spacing w:line="199" w:lineRule="exact"/>
              <w:ind w:right="363"/>
              <w:jc w:val="right"/>
              <w:rPr>
                <w:sz w:val="18"/>
              </w:rPr>
            </w:pPr>
            <w:r>
              <w:rPr>
                <w:color w:val="585858"/>
                <w:sz w:val="18"/>
              </w:rPr>
              <w:t>1993</w:t>
            </w:r>
          </w:p>
        </w:tc>
        <w:tc>
          <w:tcPr>
            <w:tcW w:w="1017" w:type="dxa"/>
          </w:tcPr>
          <w:p>
            <w:pPr>
              <w:pStyle w:val="TableParagraph"/>
              <w:spacing w:line="199" w:lineRule="exact"/>
              <w:ind w:left="291"/>
              <w:jc w:val="left"/>
              <w:rPr>
                <w:sz w:val="18"/>
              </w:rPr>
            </w:pPr>
            <w:r>
              <w:rPr>
                <w:color w:val="585858"/>
                <w:sz w:val="18"/>
              </w:rPr>
              <w:t>1998</w:t>
            </w:r>
          </w:p>
        </w:tc>
        <w:tc>
          <w:tcPr>
            <w:tcW w:w="1017" w:type="dxa"/>
          </w:tcPr>
          <w:p>
            <w:pPr>
              <w:pStyle w:val="TableParagraph"/>
              <w:spacing w:line="199" w:lineRule="exact"/>
              <w:ind w:left="291"/>
              <w:jc w:val="left"/>
              <w:rPr>
                <w:sz w:val="18"/>
              </w:rPr>
            </w:pPr>
            <w:r>
              <w:rPr>
                <w:color w:val="585858"/>
                <w:sz w:val="18"/>
              </w:rPr>
              <w:t>2003</w:t>
            </w:r>
          </w:p>
        </w:tc>
        <w:tc>
          <w:tcPr>
            <w:tcW w:w="761" w:type="dxa"/>
          </w:tcPr>
          <w:p>
            <w:pPr>
              <w:pStyle w:val="TableParagraph"/>
              <w:spacing w:line="199" w:lineRule="exact"/>
              <w:ind w:left="291"/>
              <w:jc w:val="left"/>
              <w:rPr>
                <w:sz w:val="18"/>
              </w:rPr>
            </w:pPr>
            <w:r>
              <w:rPr>
                <w:color w:val="585858"/>
                <w:sz w:val="18"/>
              </w:rPr>
              <w:t>2008</w:t>
            </w:r>
          </w:p>
        </w:tc>
      </w:tr>
    </w:tbl>
    <w:p>
      <w:pPr>
        <w:pStyle w:val="BodyText"/>
        <w:rPr>
          <w:b/>
        </w:rPr>
      </w:pPr>
    </w:p>
    <w:p>
      <w:pPr>
        <w:pStyle w:val="BodyText"/>
        <w:spacing w:before="3"/>
        <w:rPr>
          <w:b/>
          <w:sz w:val="30"/>
        </w:rPr>
      </w:pPr>
    </w:p>
    <w:p>
      <w:pPr>
        <w:spacing w:before="0"/>
        <w:ind w:left="383" w:right="399" w:firstLine="0"/>
        <w:jc w:val="center"/>
        <w:rPr>
          <w:sz w:val="18"/>
        </w:rPr>
      </w:pPr>
      <w:r>
        <w:rPr>
          <w:sz w:val="18"/>
        </w:rPr>
        <w:t>Fuente: Elaboración propia con datos de INEGI (varios años).</w:t>
      </w:r>
    </w:p>
    <w:p>
      <w:pPr>
        <w:spacing w:after="0"/>
        <w:jc w:val="center"/>
        <w:rPr>
          <w:sz w:val="18"/>
        </w:rPr>
        <w:sectPr>
          <w:pgSz w:w="12240" w:h="15840"/>
          <w:pgMar w:header="0" w:footer="1035" w:top="1360" w:bottom="1220" w:left="1600" w:right="1580"/>
        </w:sectPr>
      </w:pPr>
    </w:p>
    <w:p>
      <w:pPr>
        <w:pStyle w:val="BodyText"/>
        <w:spacing w:line="360" w:lineRule="auto" w:before="50"/>
        <w:ind w:left="102" w:right="114"/>
        <w:jc w:val="both"/>
      </w:pPr>
      <w:r>
        <w:rPr/>
        <w:t>En</w:t>
      </w:r>
      <w:r>
        <w:rPr>
          <w:spacing w:val="-14"/>
        </w:rPr>
        <w:t> </w:t>
      </w:r>
      <w:r>
        <w:rPr/>
        <w:t>cuanto</w:t>
      </w:r>
      <w:r>
        <w:rPr>
          <w:spacing w:val="-13"/>
        </w:rPr>
        <w:t> </w:t>
      </w:r>
      <w:r>
        <w:rPr/>
        <w:t>a</w:t>
      </w:r>
      <w:r>
        <w:rPr>
          <w:spacing w:val="-12"/>
        </w:rPr>
        <w:t> </w:t>
      </w:r>
      <w:r>
        <w:rPr/>
        <w:t>los</w:t>
      </w:r>
      <w:r>
        <w:rPr>
          <w:spacing w:val="-13"/>
        </w:rPr>
        <w:t> </w:t>
      </w:r>
      <w:r>
        <w:rPr/>
        <w:t>cocientes</w:t>
      </w:r>
      <w:r>
        <w:rPr>
          <w:spacing w:val="-11"/>
        </w:rPr>
        <w:t> </w:t>
      </w:r>
      <w:r>
        <w:rPr/>
        <w:t>de</w:t>
      </w:r>
      <w:r>
        <w:rPr>
          <w:spacing w:val="-14"/>
        </w:rPr>
        <w:t> </w:t>
      </w:r>
      <w:r>
        <w:rPr/>
        <w:t>localización,</w:t>
      </w:r>
      <w:r>
        <w:rPr>
          <w:spacing w:val="-13"/>
        </w:rPr>
        <w:t> </w:t>
      </w:r>
      <w:r>
        <w:rPr/>
        <w:t>se</w:t>
      </w:r>
      <w:r>
        <w:rPr>
          <w:spacing w:val="-14"/>
        </w:rPr>
        <w:t> </w:t>
      </w:r>
      <w:r>
        <w:rPr/>
        <w:t>puede</w:t>
      </w:r>
      <w:r>
        <w:rPr>
          <w:spacing w:val="-12"/>
        </w:rPr>
        <w:t> </w:t>
      </w:r>
      <w:r>
        <w:rPr/>
        <w:t>observar</w:t>
      </w:r>
      <w:r>
        <w:rPr>
          <w:spacing w:val="-12"/>
        </w:rPr>
        <w:t> </w:t>
      </w:r>
      <w:r>
        <w:rPr/>
        <w:t>en</w:t>
      </w:r>
      <w:r>
        <w:rPr>
          <w:spacing w:val="-13"/>
        </w:rPr>
        <w:t> </w:t>
      </w:r>
      <w:r>
        <w:rPr/>
        <w:t>el</w:t>
      </w:r>
      <w:r>
        <w:rPr>
          <w:spacing w:val="-11"/>
        </w:rPr>
        <w:t> </w:t>
      </w:r>
      <w:r>
        <w:rPr/>
        <w:t>cuadro</w:t>
      </w:r>
      <w:r>
        <w:rPr>
          <w:spacing w:val="-14"/>
        </w:rPr>
        <w:t> </w:t>
      </w:r>
      <w:r>
        <w:rPr/>
        <w:t>4.33</w:t>
      </w:r>
      <w:r>
        <w:rPr>
          <w:spacing w:val="-13"/>
        </w:rPr>
        <w:t> </w:t>
      </w:r>
      <w:r>
        <w:rPr/>
        <w:t>que</w:t>
      </w:r>
      <w:r>
        <w:rPr>
          <w:spacing w:val="-14"/>
        </w:rPr>
        <w:t> </w:t>
      </w:r>
      <w:r>
        <w:rPr/>
        <w:t>la</w:t>
      </w:r>
      <w:r>
        <w:rPr>
          <w:spacing w:val="-14"/>
        </w:rPr>
        <w:t> </w:t>
      </w:r>
      <w:r>
        <w:rPr/>
        <w:t>industria automotriz en la manufactura de la región occidente a lo largo del periodo de análisis no presenta,</w:t>
      </w:r>
      <w:r>
        <w:rPr>
          <w:spacing w:val="-7"/>
        </w:rPr>
        <w:t> </w:t>
      </w:r>
      <w:r>
        <w:rPr/>
        <w:t>un</w:t>
      </w:r>
      <w:r>
        <w:rPr>
          <w:spacing w:val="-7"/>
        </w:rPr>
        <w:t> </w:t>
      </w:r>
      <w:r>
        <w:rPr/>
        <w:t>grado</w:t>
      </w:r>
      <w:r>
        <w:rPr>
          <w:spacing w:val="-7"/>
        </w:rPr>
        <w:t> </w:t>
      </w:r>
      <w:r>
        <w:rPr/>
        <w:t>significativo</w:t>
      </w:r>
      <w:r>
        <w:rPr>
          <w:spacing w:val="-7"/>
        </w:rPr>
        <w:t> </w:t>
      </w:r>
      <w:r>
        <w:rPr/>
        <w:t>de</w:t>
      </w:r>
      <w:r>
        <w:rPr>
          <w:spacing w:val="-8"/>
        </w:rPr>
        <w:t> </w:t>
      </w:r>
      <w:r>
        <w:rPr/>
        <w:t>especialización</w:t>
      </w:r>
      <w:r>
        <w:rPr>
          <w:spacing w:val="-4"/>
        </w:rPr>
        <w:t> </w:t>
      </w:r>
      <w:r>
        <w:rPr/>
        <w:t>en</w:t>
      </w:r>
      <w:r>
        <w:rPr>
          <w:spacing w:val="-7"/>
        </w:rPr>
        <w:t> </w:t>
      </w:r>
      <w:r>
        <w:rPr/>
        <w:t>el</w:t>
      </w:r>
      <w:r>
        <w:rPr>
          <w:spacing w:val="-7"/>
        </w:rPr>
        <w:t> </w:t>
      </w:r>
      <w:r>
        <w:rPr/>
        <w:t>personal</w:t>
      </w:r>
      <w:r>
        <w:rPr>
          <w:spacing w:val="-7"/>
        </w:rPr>
        <w:t> </w:t>
      </w:r>
      <w:r>
        <w:rPr/>
        <w:t>ocupado,</w:t>
      </w:r>
      <w:r>
        <w:rPr>
          <w:spacing w:val="-7"/>
        </w:rPr>
        <w:t> </w:t>
      </w:r>
      <w:r>
        <w:rPr/>
        <w:t>lo</w:t>
      </w:r>
      <w:r>
        <w:rPr>
          <w:spacing w:val="-7"/>
        </w:rPr>
        <w:t> </w:t>
      </w:r>
      <w:r>
        <w:rPr/>
        <w:t>que</w:t>
      </w:r>
      <w:r>
        <w:rPr>
          <w:spacing w:val="-8"/>
        </w:rPr>
        <w:t> </w:t>
      </w:r>
      <w:r>
        <w:rPr/>
        <w:t>también</w:t>
      </w:r>
      <w:r>
        <w:rPr>
          <w:spacing w:val="-8"/>
        </w:rPr>
        <w:t> </w:t>
      </w:r>
      <w:r>
        <w:rPr/>
        <w:t>se observa para el estado de Jalisco. No obstante, el caso del estado de Aguascalientes es muy distinto, pues a partir de 1985, cuando México cambia de modelo económico, comienza a mostrar signos de especialización en la industria automotriz, manteniendo dicha especialización hasta el</w:t>
      </w:r>
      <w:r>
        <w:rPr>
          <w:spacing w:val="-6"/>
        </w:rPr>
        <w:t> </w:t>
      </w:r>
      <w:r>
        <w:rPr/>
        <w:t>2008.</w:t>
      </w:r>
    </w:p>
    <w:p>
      <w:pPr>
        <w:pStyle w:val="BodyText"/>
        <w:spacing w:before="10"/>
        <w:rPr>
          <w:sz w:val="21"/>
        </w:rPr>
      </w:pPr>
    </w:p>
    <w:p>
      <w:pPr>
        <w:pStyle w:val="Heading1"/>
        <w:spacing w:line="360" w:lineRule="auto" w:after="48"/>
        <w:ind w:left="759" w:right="668" w:hanging="94"/>
      </w:pPr>
      <w:r>
        <w:rPr/>
        <w:t>Cuadro 4.33. Cocientes de localización del personal ocupado de la industria automotriz en el sector manufacturero de la Región Occidente, 1980-2008</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04"/>
        <w:gridCol w:w="854"/>
        <w:gridCol w:w="1013"/>
        <w:gridCol w:w="1013"/>
        <w:gridCol w:w="1015"/>
        <w:gridCol w:w="1013"/>
        <w:gridCol w:w="1013"/>
        <w:gridCol w:w="1004"/>
      </w:tblGrid>
      <w:tr>
        <w:trPr>
          <w:trHeight w:val="251" w:hRule="exact"/>
        </w:trPr>
        <w:tc>
          <w:tcPr>
            <w:tcW w:w="1904" w:type="dxa"/>
            <w:tcBorders>
              <w:bottom w:val="single" w:sz="30" w:space="0" w:color="D9D9D9"/>
              <w:right w:val="nil"/>
            </w:tcBorders>
            <w:shd w:val="clear" w:color="auto" w:fill="A6A6A6"/>
          </w:tcPr>
          <w:p>
            <w:pPr/>
          </w:p>
        </w:tc>
        <w:tc>
          <w:tcPr>
            <w:tcW w:w="854" w:type="dxa"/>
            <w:tcBorders>
              <w:left w:val="nil"/>
              <w:bottom w:val="single" w:sz="30" w:space="0" w:color="D9D9D9"/>
              <w:right w:val="nil"/>
            </w:tcBorders>
            <w:shd w:val="clear" w:color="auto" w:fill="A6A6A6"/>
          </w:tcPr>
          <w:p>
            <w:pPr>
              <w:pStyle w:val="TableParagraph"/>
              <w:spacing w:line="223" w:lineRule="exact"/>
              <w:ind w:right="223"/>
              <w:jc w:val="right"/>
              <w:rPr>
                <w:b/>
                <w:sz w:val="20"/>
              </w:rPr>
            </w:pPr>
            <w:r>
              <w:rPr>
                <w:b/>
                <w:sz w:val="20"/>
              </w:rPr>
              <w:t>1980</w:t>
            </w:r>
          </w:p>
        </w:tc>
        <w:tc>
          <w:tcPr>
            <w:tcW w:w="1013" w:type="dxa"/>
            <w:tcBorders>
              <w:left w:val="nil"/>
              <w:bottom w:val="single" w:sz="30" w:space="0" w:color="D9D9D9"/>
              <w:right w:val="nil"/>
            </w:tcBorders>
            <w:shd w:val="clear" w:color="auto" w:fill="A6A6A6"/>
          </w:tcPr>
          <w:p>
            <w:pPr>
              <w:pStyle w:val="TableParagraph"/>
              <w:spacing w:line="223" w:lineRule="exact"/>
              <w:ind w:left="285" w:right="285"/>
              <w:rPr>
                <w:b/>
                <w:sz w:val="20"/>
              </w:rPr>
            </w:pPr>
            <w:r>
              <w:rPr>
                <w:b/>
                <w:sz w:val="20"/>
              </w:rPr>
              <w:t>1985</w:t>
            </w:r>
          </w:p>
        </w:tc>
        <w:tc>
          <w:tcPr>
            <w:tcW w:w="1013" w:type="dxa"/>
            <w:tcBorders>
              <w:left w:val="nil"/>
              <w:bottom w:val="single" w:sz="30" w:space="0" w:color="D9D9D9"/>
              <w:right w:val="nil"/>
            </w:tcBorders>
            <w:shd w:val="clear" w:color="auto" w:fill="A6A6A6"/>
          </w:tcPr>
          <w:p>
            <w:pPr>
              <w:pStyle w:val="TableParagraph"/>
              <w:spacing w:line="223" w:lineRule="exact"/>
              <w:ind w:left="286" w:right="286"/>
              <w:rPr>
                <w:b/>
                <w:sz w:val="20"/>
              </w:rPr>
            </w:pPr>
            <w:r>
              <w:rPr>
                <w:b/>
                <w:sz w:val="20"/>
              </w:rPr>
              <w:t>1988</w:t>
            </w:r>
          </w:p>
        </w:tc>
        <w:tc>
          <w:tcPr>
            <w:tcW w:w="1015" w:type="dxa"/>
            <w:tcBorders>
              <w:left w:val="nil"/>
              <w:bottom w:val="single" w:sz="30" w:space="0" w:color="D9D9D9"/>
              <w:right w:val="nil"/>
            </w:tcBorders>
            <w:shd w:val="clear" w:color="auto" w:fill="A6A6A6"/>
          </w:tcPr>
          <w:p>
            <w:pPr>
              <w:pStyle w:val="TableParagraph"/>
              <w:spacing w:line="223" w:lineRule="exact"/>
              <w:ind w:right="305"/>
              <w:jc w:val="right"/>
              <w:rPr>
                <w:b/>
                <w:sz w:val="20"/>
              </w:rPr>
            </w:pPr>
            <w:r>
              <w:rPr>
                <w:b/>
                <w:sz w:val="20"/>
              </w:rPr>
              <w:t>1993</w:t>
            </w:r>
          </w:p>
        </w:tc>
        <w:tc>
          <w:tcPr>
            <w:tcW w:w="1013" w:type="dxa"/>
            <w:tcBorders>
              <w:left w:val="nil"/>
              <w:bottom w:val="single" w:sz="30" w:space="0" w:color="D9D9D9"/>
              <w:right w:val="nil"/>
            </w:tcBorders>
            <w:shd w:val="clear" w:color="auto" w:fill="A6A6A6"/>
          </w:tcPr>
          <w:p>
            <w:pPr>
              <w:pStyle w:val="TableParagraph"/>
              <w:spacing w:line="223" w:lineRule="exact"/>
              <w:ind w:left="285" w:right="288"/>
              <w:rPr>
                <w:b/>
                <w:sz w:val="20"/>
              </w:rPr>
            </w:pPr>
            <w:r>
              <w:rPr>
                <w:b/>
                <w:sz w:val="20"/>
              </w:rPr>
              <w:t>1998</w:t>
            </w:r>
          </w:p>
        </w:tc>
        <w:tc>
          <w:tcPr>
            <w:tcW w:w="1013" w:type="dxa"/>
            <w:tcBorders>
              <w:left w:val="nil"/>
              <w:bottom w:val="single" w:sz="30" w:space="0" w:color="D9D9D9"/>
              <w:right w:val="nil"/>
            </w:tcBorders>
            <w:shd w:val="clear" w:color="auto" w:fill="A6A6A6"/>
          </w:tcPr>
          <w:p>
            <w:pPr>
              <w:pStyle w:val="TableParagraph"/>
              <w:spacing w:line="223" w:lineRule="exact"/>
              <w:ind w:left="284" w:right="286"/>
              <w:rPr>
                <w:b/>
                <w:sz w:val="20"/>
              </w:rPr>
            </w:pPr>
            <w:r>
              <w:rPr>
                <w:b/>
                <w:sz w:val="20"/>
              </w:rPr>
              <w:t>2003</w:t>
            </w:r>
          </w:p>
        </w:tc>
        <w:tc>
          <w:tcPr>
            <w:tcW w:w="1004" w:type="dxa"/>
            <w:tcBorders>
              <w:left w:val="nil"/>
              <w:bottom w:val="single" w:sz="30" w:space="0" w:color="D9D9D9"/>
            </w:tcBorders>
            <w:shd w:val="clear" w:color="auto" w:fill="A6A6A6"/>
          </w:tcPr>
          <w:p>
            <w:pPr>
              <w:pStyle w:val="TableParagraph"/>
              <w:spacing w:line="223" w:lineRule="exact"/>
              <w:ind w:left="279" w:right="275"/>
              <w:rPr>
                <w:b/>
                <w:sz w:val="20"/>
              </w:rPr>
            </w:pPr>
            <w:r>
              <w:rPr>
                <w:b/>
                <w:sz w:val="20"/>
              </w:rPr>
              <w:t>2008</w:t>
            </w:r>
          </w:p>
        </w:tc>
      </w:tr>
      <w:tr>
        <w:trPr>
          <w:trHeight w:val="388" w:hRule="exact"/>
        </w:trPr>
        <w:tc>
          <w:tcPr>
            <w:tcW w:w="1904" w:type="dxa"/>
            <w:tcBorders>
              <w:top w:val="single" w:sz="28" w:space="0" w:color="A6A6A6"/>
            </w:tcBorders>
            <w:shd w:val="clear" w:color="auto" w:fill="D9D9D9"/>
          </w:tcPr>
          <w:p>
            <w:pPr>
              <w:pStyle w:val="TableParagraph"/>
              <w:spacing w:before="51"/>
              <w:ind w:left="103"/>
              <w:jc w:val="left"/>
              <w:rPr>
                <w:b/>
                <w:sz w:val="20"/>
              </w:rPr>
            </w:pPr>
            <w:r>
              <w:rPr>
                <w:b/>
                <w:sz w:val="20"/>
              </w:rPr>
              <w:t>Región Occidente</w:t>
            </w:r>
          </w:p>
        </w:tc>
        <w:tc>
          <w:tcPr>
            <w:tcW w:w="854" w:type="dxa"/>
            <w:tcBorders>
              <w:top w:val="single" w:sz="14" w:space="0" w:color="A6A6A6"/>
            </w:tcBorders>
            <w:shd w:val="clear" w:color="auto" w:fill="D9D9D9"/>
          </w:tcPr>
          <w:p>
            <w:pPr>
              <w:pStyle w:val="TableParagraph"/>
              <w:spacing w:before="67"/>
              <w:ind w:right="294"/>
              <w:jc w:val="right"/>
              <w:rPr>
                <w:b/>
                <w:sz w:val="20"/>
              </w:rPr>
            </w:pPr>
            <w:r>
              <w:rPr>
                <w:b/>
                <w:sz w:val="20"/>
              </w:rPr>
              <w:t>0.4</w:t>
            </w:r>
          </w:p>
        </w:tc>
        <w:tc>
          <w:tcPr>
            <w:tcW w:w="1013" w:type="dxa"/>
            <w:tcBorders>
              <w:top w:val="single" w:sz="14" w:space="0" w:color="A6A6A6"/>
            </w:tcBorders>
            <w:shd w:val="clear" w:color="auto" w:fill="D9D9D9"/>
          </w:tcPr>
          <w:p>
            <w:pPr>
              <w:pStyle w:val="TableParagraph"/>
              <w:spacing w:before="67"/>
              <w:ind w:left="280" w:right="280"/>
              <w:rPr>
                <w:b/>
                <w:sz w:val="20"/>
              </w:rPr>
            </w:pPr>
            <w:r>
              <w:rPr>
                <w:b/>
                <w:sz w:val="20"/>
              </w:rPr>
              <w:t>0.3</w:t>
            </w:r>
          </w:p>
        </w:tc>
        <w:tc>
          <w:tcPr>
            <w:tcW w:w="1013" w:type="dxa"/>
            <w:tcBorders>
              <w:top w:val="single" w:sz="14" w:space="0" w:color="A6A6A6"/>
            </w:tcBorders>
            <w:shd w:val="clear" w:color="auto" w:fill="D9D9D9"/>
          </w:tcPr>
          <w:p>
            <w:pPr>
              <w:pStyle w:val="TableParagraph"/>
              <w:spacing w:before="67"/>
              <w:ind w:left="101" w:right="100"/>
              <w:rPr>
                <w:b/>
                <w:sz w:val="20"/>
              </w:rPr>
            </w:pPr>
            <w:r>
              <w:rPr>
                <w:b/>
                <w:sz w:val="20"/>
              </w:rPr>
              <w:t>0.4</w:t>
            </w:r>
          </w:p>
        </w:tc>
        <w:tc>
          <w:tcPr>
            <w:tcW w:w="1015" w:type="dxa"/>
            <w:tcBorders>
              <w:top w:val="single" w:sz="14" w:space="0" w:color="A6A6A6"/>
            </w:tcBorders>
            <w:shd w:val="clear" w:color="auto" w:fill="D9D9D9"/>
          </w:tcPr>
          <w:p>
            <w:pPr>
              <w:pStyle w:val="TableParagraph"/>
              <w:spacing w:before="67"/>
              <w:ind w:right="376"/>
              <w:jc w:val="right"/>
              <w:rPr>
                <w:b/>
                <w:sz w:val="20"/>
              </w:rPr>
            </w:pPr>
            <w:r>
              <w:rPr>
                <w:b/>
                <w:sz w:val="20"/>
              </w:rPr>
              <w:t>0.5</w:t>
            </w:r>
          </w:p>
        </w:tc>
        <w:tc>
          <w:tcPr>
            <w:tcW w:w="1013" w:type="dxa"/>
            <w:tcBorders>
              <w:top w:val="single" w:sz="14" w:space="0" w:color="A6A6A6"/>
            </w:tcBorders>
            <w:shd w:val="clear" w:color="auto" w:fill="D9D9D9"/>
          </w:tcPr>
          <w:p>
            <w:pPr>
              <w:pStyle w:val="TableParagraph"/>
              <w:spacing w:before="67"/>
              <w:ind w:left="279" w:right="281"/>
              <w:rPr>
                <w:b/>
                <w:sz w:val="20"/>
              </w:rPr>
            </w:pPr>
            <w:r>
              <w:rPr>
                <w:b/>
                <w:sz w:val="20"/>
              </w:rPr>
              <w:t>0.5</w:t>
            </w:r>
          </w:p>
        </w:tc>
        <w:tc>
          <w:tcPr>
            <w:tcW w:w="1013" w:type="dxa"/>
            <w:tcBorders>
              <w:top w:val="single" w:sz="14" w:space="0" w:color="A6A6A6"/>
            </w:tcBorders>
            <w:shd w:val="clear" w:color="auto" w:fill="D9D9D9"/>
          </w:tcPr>
          <w:p>
            <w:pPr>
              <w:pStyle w:val="TableParagraph"/>
              <w:spacing w:before="67"/>
              <w:ind w:left="279" w:right="281"/>
              <w:rPr>
                <w:b/>
                <w:sz w:val="20"/>
              </w:rPr>
            </w:pPr>
            <w:r>
              <w:rPr>
                <w:b/>
                <w:sz w:val="20"/>
              </w:rPr>
              <w:t>0.4</w:t>
            </w:r>
          </w:p>
        </w:tc>
        <w:tc>
          <w:tcPr>
            <w:tcW w:w="1004" w:type="dxa"/>
            <w:tcBorders>
              <w:top w:val="single" w:sz="14" w:space="0" w:color="A6A6A6"/>
            </w:tcBorders>
            <w:shd w:val="clear" w:color="auto" w:fill="D9D9D9"/>
          </w:tcPr>
          <w:p>
            <w:pPr>
              <w:pStyle w:val="TableParagraph"/>
              <w:spacing w:before="67"/>
              <w:ind w:left="351" w:right="353"/>
              <w:rPr>
                <w:b/>
                <w:sz w:val="20"/>
              </w:rPr>
            </w:pPr>
            <w:r>
              <w:rPr>
                <w:b/>
                <w:sz w:val="20"/>
              </w:rPr>
              <w:t>0.5</w:t>
            </w:r>
          </w:p>
        </w:tc>
      </w:tr>
      <w:tr>
        <w:trPr>
          <w:trHeight w:val="240" w:hRule="exact"/>
        </w:trPr>
        <w:tc>
          <w:tcPr>
            <w:tcW w:w="1904" w:type="dxa"/>
            <w:tcBorders>
              <w:top w:val="single" w:sz="26" w:space="0" w:color="D9D9D9"/>
            </w:tcBorders>
          </w:tcPr>
          <w:p>
            <w:pPr>
              <w:pStyle w:val="TableParagraph"/>
              <w:spacing w:line="196" w:lineRule="exact"/>
              <w:ind w:left="103"/>
              <w:jc w:val="left"/>
              <w:rPr>
                <w:sz w:val="20"/>
              </w:rPr>
            </w:pPr>
            <w:r>
              <w:rPr>
                <w:sz w:val="20"/>
              </w:rPr>
              <w:t>Aguascalientes</w:t>
            </w:r>
          </w:p>
        </w:tc>
        <w:tc>
          <w:tcPr>
            <w:tcW w:w="854" w:type="dxa"/>
            <w:tcBorders>
              <w:top w:val="single" w:sz="26" w:space="0" w:color="D9D9D9"/>
            </w:tcBorders>
          </w:tcPr>
          <w:p>
            <w:pPr>
              <w:pStyle w:val="TableParagraph"/>
              <w:spacing w:line="196" w:lineRule="exact"/>
              <w:ind w:right="294"/>
              <w:jc w:val="right"/>
              <w:rPr>
                <w:sz w:val="20"/>
              </w:rPr>
            </w:pPr>
            <w:r>
              <w:rPr>
                <w:sz w:val="20"/>
              </w:rPr>
              <w:t>0.3</w:t>
            </w:r>
          </w:p>
        </w:tc>
        <w:tc>
          <w:tcPr>
            <w:tcW w:w="1013" w:type="dxa"/>
            <w:tcBorders>
              <w:top w:val="single" w:sz="26" w:space="0" w:color="D9D9D9"/>
            </w:tcBorders>
          </w:tcPr>
          <w:p>
            <w:pPr>
              <w:pStyle w:val="TableParagraph"/>
              <w:spacing w:line="196" w:lineRule="exact"/>
              <w:ind w:left="280" w:right="280"/>
              <w:rPr>
                <w:sz w:val="20"/>
              </w:rPr>
            </w:pPr>
            <w:r>
              <w:rPr>
                <w:sz w:val="20"/>
              </w:rPr>
              <w:t>1.2</w:t>
            </w:r>
          </w:p>
        </w:tc>
        <w:tc>
          <w:tcPr>
            <w:tcW w:w="1013" w:type="dxa"/>
            <w:tcBorders>
              <w:top w:val="single" w:sz="26" w:space="0" w:color="D9D9D9"/>
            </w:tcBorders>
          </w:tcPr>
          <w:p>
            <w:pPr>
              <w:pStyle w:val="TableParagraph"/>
              <w:spacing w:line="196" w:lineRule="exact"/>
              <w:ind w:left="101" w:right="100"/>
              <w:rPr>
                <w:sz w:val="20"/>
              </w:rPr>
            </w:pPr>
            <w:r>
              <w:rPr>
                <w:sz w:val="20"/>
              </w:rPr>
              <w:t>1.2</w:t>
            </w:r>
          </w:p>
        </w:tc>
        <w:tc>
          <w:tcPr>
            <w:tcW w:w="1015" w:type="dxa"/>
            <w:tcBorders>
              <w:top w:val="single" w:sz="26" w:space="0" w:color="D9D9D9"/>
            </w:tcBorders>
          </w:tcPr>
          <w:p>
            <w:pPr>
              <w:pStyle w:val="TableParagraph"/>
              <w:spacing w:line="196" w:lineRule="exact"/>
              <w:ind w:right="376"/>
              <w:jc w:val="right"/>
              <w:rPr>
                <w:sz w:val="20"/>
              </w:rPr>
            </w:pPr>
            <w:r>
              <w:rPr>
                <w:sz w:val="20"/>
              </w:rPr>
              <w:t>2.0</w:t>
            </w:r>
          </w:p>
        </w:tc>
        <w:tc>
          <w:tcPr>
            <w:tcW w:w="1013" w:type="dxa"/>
            <w:tcBorders>
              <w:top w:val="single" w:sz="26" w:space="0" w:color="D9D9D9"/>
            </w:tcBorders>
          </w:tcPr>
          <w:p>
            <w:pPr>
              <w:pStyle w:val="TableParagraph"/>
              <w:spacing w:line="196" w:lineRule="exact"/>
              <w:ind w:left="279" w:right="281"/>
              <w:rPr>
                <w:sz w:val="20"/>
              </w:rPr>
            </w:pPr>
            <w:r>
              <w:rPr>
                <w:sz w:val="20"/>
              </w:rPr>
              <w:t>1.7</w:t>
            </w:r>
          </w:p>
        </w:tc>
        <w:tc>
          <w:tcPr>
            <w:tcW w:w="1013" w:type="dxa"/>
            <w:tcBorders>
              <w:top w:val="single" w:sz="26" w:space="0" w:color="D9D9D9"/>
            </w:tcBorders>
          </w:tcPr>
          <w:p>
            <w:pPr>
              <w:pStyle w:val="TableParagraph"/>
              <w:spacing w:line="196" w:lineRule="exact"/>
              <w:ind w:left="279" w:right="281"/>
              <w:rPr>
                <w:sz w:val="20"/>
              </w:rPr>
            </w:pPr>
            <w:r>
              <w:rPr>
                <w:sz w:val="20"/>
              </w:rPr>
              <w:t>1.3</w:t>
            </w:r>
          </w:p>
        </w:tc>
        <w:tc>
          <w:tcPr>
            <w:tcW w:w="1004" w:type="dxa"/>
            <w:tcBorders>
              <w:top w:val="single" w:sz="26" w:space="0" w:color="D9D9D9"/>
            </w:tcBorders>
          </w:tcPr>
          <w:p>
            <w:pPr>
              <w:pStyle w:val="TableParagraph"/>
              <w:spacing w:line="196" w:lineRule="exact"/>
              <w:ind w:left="351" w:right="353"/>
              <w:rPr>
                <w:sz w:val="20"/>
              </w:rPr>
            </w:pPr>
            <w:r>
              <w:rPr>
                <w:sz w:val="20"/>
              </w:rPr>
              <w:t>1.9</w:t>
            </w:r>
          </w:p>
        </w:tc>
      </w:tr>
      <w:tr>
        <w:trPr>
          <w:trHeight w:val="240" w:hRule="exact"/>
        </w:trPr>
        <w:tc>
          <w:tcPr>
            <w:tcW w:w="1904" w:type="dxa"/>
          </w:tcPr>
          <w:p>
            <w:pPr>
              <w:pStyle w:val="TableParagraph"/>
              <w:spacing w:line="223" w:lineRule="exact"/>
              <w:ind w:left="103"/>
              <w:jc w:val="left"/>
              <w:rPr>
                <w:sz w:val="20"/>
              </w:rPr>
            </w:pPr>
            <w:r>
              <w:rPr>
                <w:sz w:val="20"/>
              </w:rPr>
              <w:t>Jalisco</w:t>
            </w:r>
          </w:p>
        </w:tc>
        <w:tc>
          <w:tcPr>
            <w:tcW w:w="854" w:type="dxa"/>
          </w:tcPr>
          <w:p>
            <w:pPr>
              <w:pStyle w:val="TableParagraph"/>
              <w:spacing w:line="223" w:lineRule="exact"/>
              <w:ind w:right="294"/>
              <w:jc w:val="right"/>
              <w:rPr>
                <w:sz w:val="20"/>
              </w:rPr>
            </w:pPr>
            <w:r>
              <w:rPr>
                <w:sz w:val="20"/>
              </w:rPr>
              <w:t>0.4</w:t>
            </w:r>
          </w:p>
        </w:tc>
        <w:tc>
          <w:tcPr>
            <w:tcW w:w="1013" w:type="dxa"/>
          </w:tcPr>
          <w:p>
            <w:pPr>
              <w:pStyle w:val="TableParagraph"/>
              <w:spacing w:line="223" w:lineRule="exact"/>
              <w:ind w:left="280" w:right="280"/>
              <w:rPr>
                <w:sz w:val="20"/>
              </w:rPr>
            </w:pPr>
            <w:r>
              <w:rPr>
                <w:sz w:val="20"/>
              </w:rPr>
              <w:t>0.2</w:t>
            </w:r>
          </w:p>
        </w:tc>
        <w:tc>
          <w:tcPr>
            <w:tcW w:w="1013" w:type="dxa"/>
          </w:tcPr>
          <w:p>
            <w:pPr>
              <w:pStyle w:val="TableParagraph"/>
              <w:spacing w:line="223" w:lineRule="exact"/>
              <w:ind w:left="101" w:right="100"/>
              <w:rPr>
                <w:sz w:val="20"/>
              </w:rPr>
            </w:pPr>
            <w:r>
              <w:rPr>
                <w:sz w:val="20"/>
              </w:rPr>
              <w:t>0.3</w:t>
            </w:r>
          </w:p>
        </w:tc>
        <w:tc>
          <w:tcPr>
            <w:tcW w:w="1015" w:type="dxa"/>
          </w:tcPr>
          <w:p>
            <w:pPr>
              <w:pStyle w:val="TableParagraph"/>
              <w:spacing w:line="223" w:lineRule="exact"/>
              <w:ind w:right="376"/>
              <w:jc w:val="right"/>
              <w:rPr>
                <w:sz w:val="20"/>
              </w:rPr>
            </w:pPr>
            <w:r>
              <w:rPr>
                <w:sz w:val="20"/>
              </w:rPr>
              <w:t>0.2</w:t>
            </w:r>
          </w:p>
        </w:tc>
        <w:tc>
          <w:tcPr>
            <w:tcW w:w="1013" w:type="dxa"/>
          </w:tcPr>
          <w:p>
            <w:pPr>
              <w:pStyle w:val="TableParagraph"/>
              <w:spacing w:line="223" w:lineRule="exact"/>
              <w:ind w:left="279" w:right="281"/>
              <w:rPr>
                <w:sz w:val="20"/>
              </w:rPr>
            </w:pPr>
            <w:r>
              <w:rPr>
                <w:sz w:val="20"/>
              </w:rPr>
              <w:t>0.3</w:t>
            </w:r>
          </w:p>
        </w:tc>
        <w:tc>
          <w:tcPr>
            <w:tcW w:w="1013" w:type="dxa"/>
          </w:tcPr>
          <w:p>
            <w:pPr>
              <w:pStyle w:val="TableParagraph"/>
              <w:spacing w:line="223" w:lineRule="exact"/>
              <w:ind w:left="279" w:right="281"/>
              <w:rPr>
                <w:sz w:val="20"/>
              </w:rPr>
            </w:pPr>
            <w:r>
              <w:rPr>
                <w:sz w:val="20"/>
              </w:rPr>
              <w:t>0.3</w:t>
            </w:r>
          </w:p>
        </w:tc>
        <w:tc>
          <w:tcPr>
            <w:tcW w:w="1004" w:type="dxa"/>
          </w:tcPr>
          <w:p>
            <w:pPr>
              <w:pStyle w:val="TableParagraph"/>
              <w:spacing w:line="223" w:lineRule="exact"/>
              <w:ind w:left="351" w:right="353"/>
              <w:rPr>
                <w:sz w:val="20"/>
              </w:rPr>
            </w:pPr>
            <w:r>
              <w:rPr>
                <w:sz w:val="20"/>
              </w:rPr>
              <w:t>0.3</w:t>
            </w:r>
          </w:p>
        </w:tc>
      </w:tr>
    </w:tbl>
    <w:p>
      <w:pPr>
        <w:spacing w:line="202" w:lineRule="exact" w:before="0"/>
        <w:ind w:left="102" w:right="0" w:firstLine="0"/>
        <w:jc w:val="both"/>
        <w:rPr>
          <w:sz w:val="18"/>
        </w:rPr>
      </w:pPr>
      <w:r>
        <w:rPr>
          <w:sz w:val="18"/>
        </w:rPr>
        <w:t>Fuente: Elaboración propia con datos de INEGI (varios años).</w:t>
      </w:r>
    </w:p>
    <w:p>
      <w:pPr>
        <w:pStyle w:val="BodyText"/>
        <w:rPr>
          <w:sz w:val="18"/>
        </w:rPr>
      </w:pPr>
    </w:p>
    <w:p>
      <w:pPr>
        <w:pStyle w:val="BodyText"/>
        <w:spacing w:line="360" w:lineRule="auto" w:before="137"/>
        <w:ind w:left="102" w:right="118"/>
        <w:jc w:val="both"/>
      </w:pPr>
      <w:r>
        <w:rPr/>
        <w:t>En cuanto al valor agregado censal bruto, se observa en el cuadro 4.34, que la industria automotriz en la manufactura de la región occidente no presentaba en 1980, un grado significativo de especialización, sin embargo para 2008, la región comienza a destacar. Se observa también que, Aguascalientes empieza a especializarse en la industria automotriz a partir de 1985 y aumenta dicha especialización en 2008 con un índice de 4.3.</w:t>
      </w:r>
    </w:p>
    <w:p>
      <w:pPr>
        <w:pStyle w:val="BodyText"/>
        <w:spacing w:before="2"/>
        <w:rPr>
          <w:sz w:val="21"/>
        </w:rPr>
      </w:pPr>
    </w:p>
    <w:p>
      <w:pPr>
        <w:pStyle w:val="BodyText"/>
        <w:spacing w:line="360" w:lineRule="auto"/>
        <w:ind w:left="102" w:right="120"/>
        <w:jc w:val="both"/>
      </w:pPr>
      <w:r>
        <w:rPr/>
        <w:t>Asimismo, se observa que nuevamente el estado de Jalisco presentó en todo el periodo analizado índices por debajo de uno, lo cual nos lleva a pensar que la industria automotriz sin</w:t>
      </w:r>
      <w:r>
        <w:rPr>
          <w:spacing w:val="-10"/>
        </w:rPr>
        <w:t> </w:t>
      </w:r>
      <w:r>
        <w:rPr/>
        <w:t>dejar</w:t>
      </w:r>
      <w:r>
        <w:rPr>
          <w:spacing w:val="-12"/>
        </w:rPr>
        <w:t> </w:t>
      </w:r>
      <w:r>
        <w:rPr/>
        <w:t>de</w:t>
      </w:r>
      <w:r>
        <w:rPr>
          <w:spacing w:val="-10"/>
        </w:rPr>
        <w:t> </w:t>
      </w:r>
      <w:r>
        <w:rPr/>
        <w:t>empezar</w:t>
      </w:r>
      <w:r>
        <w:rPr>
          <w:spacing w:val="-12"/>
        </w:rPr>
        <w:t> </w:t>
      </w:r>
      <w:r>
        <w:rPr/>
        <w:t>a</w:t>
      </w:r>
      <w:r>
        <w:rPr>
          <w:spacing w:val="-12"/>
        </w:rPr>
        <w:t> </w:t>
      </w:r>
      <w:r>
        <w:rPr/>
        <w:t>ser</w:t>
      </w:r>
      <w:r>
        <w:rPr>
          <w:spacing w:val="-10"/>
        </w:rPr>
        <w:t> </w:t>
      </w:r>
      <w:r>
        <w:rPr/>
        <w:t>importante</w:t>
      </w:r>
      <w:r>
        <w:rPr>
          <w:spacing w:val="-11"/>
        </w:rPr>
        <w:t> </w:t>
      </w:r>
      <w:r>
        <w:rPr/>
        <w:t>para</w:t>
      </w:r>
      <w:r>
        <w:rPr>
          <w:spacing w:val="-13"/>
        </w:rPr>
        <w:t> </w:t>
      </w:r>
      <w:r>
        <w:rPr/>
        <w:t>la</w:t>
      </w:r>
      <w:r>
        <w:rPr>
          <w:spacing w:val="-12"/>
        </w:rPr>
        <w:t> </w:t>
      </w:r>
      <w:r>
        <w:rPr/>
        <w:t>economía</w:t>
      </w:r>
      <w:r>
        <w:rPr>
          <w:spacing w:val="-12"/>
        </w:rPr>
        <w:t> </w:t>
      </w:r>
      <w:r>
        <w:rPr/>
        <w:t>de</w:t>
      </w:r>
      <w:r>
        <w:rPr>
          <w:spacing w:val="-12"/>
        </w:rPr>
        <w:t> </w:t>
      </w:r>
      <w:r>
        <w:rPr/>
        <w:t>la</w:t>
      </w:r>
      <w:r>
        <w:rPr>
          <w:spacing w:val="-12"/>
        </w:rPr>
        <w:t> </w:t>
      </w:r>
      <w:r>
        <w:rPr/>
        <w:t>entidad,</w:t>
      </w:r>
      <w:r>
        <w:rPr>
          <w:spacing w:val="-11"/>
        </w:rPr>
        <w:t> </w:t>
      </w:r>
      <w:r>
        <w:rPr/>
        <w:t>no</w:t>
      </w:r>
      <w:r>
        <w:rPr>
          <w:spacing w:val="-11"/>
        </w:rPr>
        <w:t> </w:t>
      </w:r>
      <w:r>
        <w:rPr/>
        <w:t>ha</w:t>
      </w:r>
      <w:r>
        <w:rPr>
          <w:spacing w:val="-12"/>
        </w:rPr>
        <w:t> </w:t>
      </w:r>
      <w:r>
        <w:rPr/>
        <w:t>sido</w:t>
      </w:r>
      <w:r>
        <w:rPr>
          <w:spacing w:val="-10"/>
        </w:rPr>
        <w:t> </w:t>
      </w:r>
      <w:r>
        <w:rPr/>
        <w:t>determinante dentro del sector manufacturero de la misma manera que lo ha hecho el estado de Aguascalientes.</w:t>
      </w:r>
    </w:p>
    <w:p>
      <w:pPr>
        <w:pStyle w:val="BodyText"/>
        <w:spacing w:before="7"/>
        <w:rPr>
          <w:sz w:val="21"/>
        </w:rPr>
      </w:pPr>
    </w:p>
    <w:p>
      <w:pPr>
        <w:pStyle w:val="Heading1"/>
        <w:spacing w:line="360" w:lineRule="auto" w:after="46"/>
        <w:ind w:left="759" w:right="143" w:hanging="622"/>
      </w:pPr>
      <w:r>
        <w:rPr/>
        <w:t>Cuadro 4.34. Cocientes de localización del valor agregado censal bruto de la industria automotriz en el sector manufacturero de la Región Occidente, 1980-2008</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04"/>
        <w:gridCol w:w="826"/>
        <w:gridCol w:w="1018"/>
        <w:gridCol w:w="1016"/>
        <w:gridCol w:w="1018"/>
        <w:gridCol w:w="1018"/>
        <w:gridCol w:w="1018"/>
        <w:gridCol w:w="1013"/>
      </w:tblGrid>
      <w:tr>
        <w:trPr>
          <w:trHeight w:val="253" w:hRule="exact"/>
        </w:trPr>
        <w:tc>
          <w:tcPr>
            <w:tcW w:w="1904" w:type="dxa"/>
            <w:tcBorders>
              <w:bottom w:val="single" w:sz="25" w:space="0" w:color="D9D9D9"/>
              <w:right w:val="nil"/>
            </w:tcBorders>
            <w:shd w:val="clear" w:color="auto" w:fill="A6A6A6"/>
          </w:tcPr>
          <w:p>
            <w:pPr/>
          </w:p>
        </w:tc>
        <w:tc>
          <w:tcPr>
            <w:tcW w:w="826" w:type="dxa"/>
            <w:tcBorders>
              <w:left w:val="nil"/>
              <w:bottom w:val="single" w:sz="25" w:space="0" w:color="D9D9D9"/>
              <w:right w:val="nil"/>
            </w:tcBorders>
            <w:shd w:val="clear" w:color="auto" w:fill="A6A6A6"/>
          </w:tcPr>
          <w:p>
            <w:pPr>
              <w:pStyle w:val="TableParagraph"/>
              <w:spacing w:line="223" w:lineRule="exact"/>
              <w:ind w:left="191" w:right="193"/>
              <w:rPr>
                <w:b/>
                <w:sz w:val="20"/>
              </w:rPr>
            </w:pPr>
            <w:r>
              <w:rPr>
                <w:b/>
                <w:sz w:val="20"/>
              </w:rPr>
              <w:t>1980</w:t>
            </w:r>
          </w:p>
        </w:tc>
        <w:tc>
          <w:tcPr>
            <w:tcW w:w="1018" w:type="dxa"/>
            <w:tcBorders>
              <w:left w:val="nil"/>
              <w:bottom w:val="single" w:sz="25" w:space="0" w:color="D9D9D9"/>
              <w:right w:val="nil"/>
            </w:tcBorders>
            <w:shd w:val="clear" w:color="auto" w:fill="A6A6A6"/>
          </w:tcPr>
          <w:p>
            <w:pPr>
              <w:pStyle w:val="TableParagraph"/>
              <w:spacing w:line="223" w:lineRule="exact"/>
              <w:ind w:left="286" w:right="288"/>
              <w:rPr>
                <w:b/>
                <w:sz w:val="20"/>
              </w:rPr>
            </w:pPr>
            <w:r>
              <w:rPr>
                <w:b/>
                <w:sz w:val="20"/>
              </w:rPr>
              <w:t>1985</w:t>
            </w:r>
          </w:p>
        </w:tc>
        <w:tc>
          <w:tcPr>
            <w:tcW w:w="1016" w:type="dxa"/>
            <w:tcBorders>
              <w:left w:val="nil"/>
              <w:bottom w:val="single" w:sz="25" w:space="0" w:color="D9D9D9"/>
              <w:right w:val="nil"/>
            </w:tcBorders>
            <w:shd w:val="clear" w:color="auto" w:fill="A6A6A6"/>
          </w:tcPr>
          <w:p>
            <w:pPr>
              <w:pStyle w:val="TableParagraph"/>
              <w:spacing w:line="223" w:lineRule="exact"/>
              <w:ind w:left="287" w:right="287"/>
              <w:rPr>
                <w:b/>
                <w:sz w:val="20"/>
              </w:rPr>
            </w:pPr>
            <w:r>
              <w:rPr>
                <w:b/>
                <w:sz w:val="20"/>
              </w:rPr>
              <w:t>1988</w:t>
            </w:r>
          </w:p>
        </w:tc>
        <w:tc>
          <w:tcPr>
            <w:tcW w:w="1018" w:type="dxa"/>
            <w:tcBorders>
              <w:left w:val="nil"/>
              <w:bottom w:val="single" w:sz="25" w:space="0" w:color="D9D9D9"/>
              <w:right w:val="nil"/>
            </w:tcBorders>
            <w:shd w:val="clear" w:color="auto" w:fill="A6A6A6"/>
          </w:tcPr>
          <w:p>
            <w:pPr>
              <w:pStyle w:val="TableParagraph"/>
              <w:spacing w:line="223" w:lineRule="exact"/>
              <w:ind w:left="287" w:right="287"/>
              <w:rPr>
                <w:b/>
                <w:sz w:val="20"/>
              </w:rPr>
            </w:pPr>
            <w:r>
              <w:rPr>
                <w:b/>
                <w:sz w:val="20"/>
              </w:rPr>
              <w:t>1993</w:t>
            </w:r>
          </w:p>
        </w:tc>
        <w:tc>
          <w:tcPr>
            <w:tcW w:w="1018" w:type="dxa"/>
            <w:tcBorders>
              <w:left w:val="nil"/>
              <w:bottom w:val="single" w:sz="25" w:space="0" w:color="D9D9D9"/>
              <w:right w:val="nil"/>
            </w:tcBorders>
            <w:shd w:val="clear" w:color="auto" w:fill="A6A6A6"/>
          </w:tcPr>
          <w:p>
            <w:pPr>
              <w:pStyle w:val="TableParagraph"/>
              <w:spacing w:line="223" w:lineRule="exact"/>
              <w:ind w:right="305"/>
              <w:jc w:val="right"/>
              <w:rPr>
                <w:b/>
                <w:sz w:val="20"/>
              </w:rPr>
            </w:pPr>
            <w:r>
              <w:rPr>
                <w:b/>
                <w:sz w:val="20"/>
              </w:rPr>
              <w:t>1998</w:t>
            </w:r>
          </w:p>
        </w:tc>
        <w:tc>
          <w:tcPr>
            <w:tcW w:w="1018" w:type="dxa"/>
            <w:tcBorders>
              <w:left w:val="nil"/>
              <w:bottom w:val="single" w:sz="25" w:space="0" w:color="D9D9D9"/>
              <w:right w:val="nil"/>
            </w:tcBorders>
            <w:shd w:val="clear" w:color="auto" w:fill="A6A6A6"/>
          </w:tcPr>
          <w:p>
            <w:pPr>
              <w:pStyle w:val="TableParagraph"/>
              <w:spacing w:line="223" w:lineRule="exact"/>
              <w:ind w:left="287" w:right="287"/>
              <w:rPr>
                <w:b/>
                <w:sz w:val="20"/>
              </w:rPr>
            </w:pPr>
            <w:r>
              <w:rPr>
                <w:b/>
                <w:sz w:val="20"/>
              </w:rPr>
              <w:t>2003</w:t>
            </w:r>
          </w:p>
        </w:tc>
        <w:tc>
          <w:tcPr>
            <w:tcW w:w="1013" w:type="dxa"/>
            <w:tcBorders>
              <w:left w:val="nil"/>
              <w:bottom w:val="single" w:sz="25" w:space="0" w:color="D9D9D9"/>
            </w:tcBorders>
            <w:shd w:val="clear" w:color="auto" w:fill="A6A6A6"/>
          </w:tcPr>
          <w:p>
            <w:pPr>
              <w:pStyle w:val="TableParagraph"/>
              <w:spacing w:line="223" w:lineRule="exact"/>
              <w:ind w:left="286" w:right="282"/>
              <w:rPr>
                <w:b/>
                <w:sz w:val="20"/>
              </w:rPr>
            </w:pPr>
            <w:r>
              <w:rPr>
                <w:b/>
                <w:sz w:val="20"/>
              </w:rPr>
              <w:t>2008</w:t>
            </w:r>
          </w:p>
        </w:tc>
      </w:tr>
      <w:tr>
        <w:trPr>
          <w:trHeight w:val="364" w:hRule="exact"/>
        </w:trPr>
        <w:tc>
          <w:tcPr>
            <w:tcW w:w="1904" w:type="dxa"/>
            <w:tcBorders>
              <w:top w:val="single" w:sz="9" w:space="0" w:color="A6A6A6"/>
            </w:tcBorders>
            <w:shd w:val="clear" w:color="auto" w:fill="D9D9D9"/>
          </w:tcPr>
          <w:p>
            <w:pPr>
              <w:pStyle w:val="TableParagraph"/>
              <w:spacing w:before="63"/>
              <w:ind w:left="103"/>
              <w:jc w:val="left"/>
              <w:rPr>
                <w:b/>
                <w:sz w:val="20"/>
              </w:rPr>
            </w:pPr>
            <w:r>
              <w:rPr>
                <w:b/>
                <w:sz w:val="20"/>
              </w:rPr>
              <w:t>Región Occidente</w:t>
            </w:r>
          </w:p>
        </w:tc>
        <w:tc>
          <w:tcPr>
            <w:tcW w:w="826" w:type="dxa"/>
            <w:tcBorders>
              <w:top w:val="single" w:sz="18" w:space="0" w:color="A6A6A6"/>
            </w:tcBorders>
            <w:shd w:val="clear" w:color="auto" w:fill="D9D9D9"/>
          </w:tcPr>
          <w:p>
            <w:pPr>
              <w:pStyle w:val="TableParagraph"/>
              <w:spacing w:before="51"/>
              <w:ind w:left="262" w:right="264"/>
              <w:rPr>
                <w:b/>
                <w:sz w:val="20"/>
              </w:rPr>
            </w:pPr>
            <w:r>
              <w:rPr>
                <w:b/>
                <w:sz w:val="20"/>
              </w:rPr>
              <w:t>0.2</w:t>
            </w:r>
          </w:p>
        </w:tc>
        <w:tc>
          <w:tcPr>
            <w:tcW w:w="1018" w:type="dxa"/>
            <w:tcBorders>
              <w:top w:val="single" w:sz="18" w:space="0" w:color="A6A6A6"/>
            </w:tcBorders>
            <w:shd w:val="clear" w:color="auto" w:fill="D9D9D9"/>
          </w:tcPr>
          <w:p>
            <w:pPr>
              <w:pStyle w:val="TableParagraph"/>
              <w:spacing w:before="51"/>
              <w:ind w:left="282" w:right="284"/>
              <w:rPr>
                <w:b/>
                <w:sz w:val="20"/>
              </w:rPr>
            </w:pPr>
            <w:r>
              <w:rPr>
                <w:b/>
                <w:sz w:val="20"/>
              </w:rPr>
              <w:t>0.4</w:t>
            </w:r>
          </w:p>
        </w:tc>
        <w:tc>
          <w:tcPr>
            <w:tcW w:w="1016" w:type="dxa"/>
            <w:tcBorders>
              <w:top w:val="single" w:sz="18" w:space="0" w:color="A6A6A6"/>
            </w:tcBorders>
            <w:shd w:val="clear" w:color="auto" w:fill="D9D9D9"/>
          </w:tcPr>
          <w:p>
            <w:pPr>
              <w:pStyle w:val="TableParagraph"/>
              <w:spacing w:before="51"/>
              <w:ind w:left="282" w:right="283"/>
              <w:rPr>
                <w:b/>
                <w:sz w:val="20"/>
              </w:rPr>
            </w:pPr>
            <w:r>
              <w:rPr>
                <w:b/>
                <w:sz w:val="20"/>
              </w:rPr>
              <w:t>0.2</w:t>
            </w:r>
          </w:p>
        </w:tc>
        <w:tc>
          <w:tcPr>
            <w:tcW w:w="1018" w:type="dxa"/>
            <w:tcBorders>
              <w:top w:val="single" w:sz="18" w:space="0" w:color="A6A6A6"/>
            </w:tcBorders>
            <w:shd w:val="clear" w:color="auto" w:fill="D9D9D9"/>
          </w:tcPr>
          <w:p>
            <w:pPr>
              <w:pStyle w:val="TableParagraph"/>
              <w:spacing w:before="51"/>
              <w:ind w:left="283" w:right="283"/>
              <w:rPr>
                <w:b/>
                <w:sz w:val="20"/>
              </w:rPr>
            </w:pPr>
            <w:r>
              <w:rPr>
                <w:b/>
                <w:sz w:val="20"/>
              </w:rPr>
              <w:t>0.8</w:t>
            </w:r>
          </w:p>
        </w:tc>
        <w:tc>
          <w:tcPr>
            <w:tcW w:w="1018" w:type="dxa"/>
            <w:tcBorders>
              <w:top w:val="single" w:sz="18" w:space="0" w:color="A6A6A6"/>
            </w:tcBorders>
            <w:shd w:val="clear" w:color="auto" w:fill="D9D9D9"/>
          </w:tcPr>
          <w:p>
            <w:pPr>
              <w:pStyle w:val="TableParagraph"/>
              <w:spacing w:before="51"/>
              <w:ind w:right="377"/>
              <w:jc w:val="right"/>
              <w:rPr>
                <w:b/>
                <w:sz w:val="20"/>
              </w:rPr>
            </w:pPr>
            <w:r>
              <w:rPr>
                <w:b/>
                <w:sz w:val="20"/>
              </w:rPr>
              <w:t>0.7</w:t>
            </w:r>
          </w:p>
        </w:tc>
        <w:tc>
          <w:tcPr>
            <w:tcW w:w="1018" w:type="dxa"/>
            <w:tcBorders>
              <w:top w:val="single" w:sz="18" w:space="0" w:color="A6A6A6"/>
            </w:tcBorders>
            <w:shd w:val="clear" w:color="auto" w:fill="D9D9D9"/>
          </w:tcPr>
          <w:p>
            <w:pPr>
              <w:pStyle w:val="TableParagraph"/>
              <w:spacing w:before="51"/>
              <w:ind w:left="283" w:right="283"/>
              <w:rPr>
                <w:b/>
                <w:sz w:val="20"/>
              </w:rPr>
            </w:pPr>
            <w:r>
              <w:rPr>
                <w:b/>
                <w:sz w:val="20"/>
              </w:rPr>
              <w:t>0.6</w:t>
            </w:r>
          </w:p>
        </w:tc>
        <w:tc>
          <w:tcPr>
            <w:tcW w:w="1013" w:type="dxa"/>
            <w:tcBorders>
              <w:top w:val="single" w:sz="18" w:space="0" w:color="A6A6A6"/>
            </w:tcBorders>
            <w:shd w:val="clear" w:color="auto" w:fill="D9D9D9"/>
          </w:tcPr>
          <w:p>
            <w:pPr>
              <w:pStyle w:val="TableParagraph"/>
              <w:spacing w:before="51"/>
              <w:ind w:left="98" w:right="100"/>
              <w:rPr>
                <w:b/>
                <w:sz w:val="20"/>
              </w:rPr>
            </w:pPr>
            <w:r>
              <w:rPr>
                <w:b/>
                <w:sz w:val="20"/>
              </w:rPr>
              <w:t>1.1</w:t>
            </w:r>
          </w:p>
        </w:tc>
      </w:tr>
      <w:tr>
        <w:trPr>
          <w:trHeight w:val="240" w:hRule="exact"/>
        </w:trPr>
        <w:tc>
          <w:tcPr>
            <w:tcW w:w="1904" w:type="dxa"/>
            <w:tcBorders>
              <w:top w:val="single" w:sz="21" w:space="0" w:color="D9D9D9"/>
            </w:tcBorders>
          </w:tcPr>
          <w:p>
            <w:pPr>
              <w:pStyle w:val="TableParagraph"/>
              <w:spacing w:line="201" w:lineRule="exact"/>
              <w:ind w:left="103"/>
              <w:jc w:val="left"/>
              <w:rPr>
                <w:sz w:val="20"/>
              </w:rPr>
            </w:pPr>
            <w:r>
              <w:rPr>
                <w:sz w:val="20"/>
              </w:rPr>
              <w:t>Aguascalientes</w:t>
            </w:r>
          </w:p>
        </w:tc>
        <w:tc>
          <w:tcPr>
            <w:tcW w:w="826" w:type="dxa"/>
            <w:tcBorders>
              <w:top w:val="single" w:sz="21" w:space="0" w:color="D9D9D9"/>
            </w:tcBorders>
          </w:tcPr>
          <w:p>
            <w:pPr>
              <w:pStyle w:val="TableParagraph"/>
              <w:spacing w:line="201" w:lineRule="exact"/>
              <w:ind w:left="262" w:right="264"/>
              <w:rPr>
                <w:sz w:val="20"/>
              </w:rPr>
            </w:pPr>
            <w:r>
              <w:rPr>
                <w:sz w:val="20"/>
              </w:rPr>
              <w:t>0.1</w:t>
            </w:r>
          </w:p>
        </w:tc>
        <w:tc>
          <w:tcPr>
            <w:tcW w:w="1018" w:type="dxa"/>
            <w:tcBorders>
              <w:top w:val="single" w:sz="21" w:space="0" w:color="D9D9D9"/>
            </w:tcBorders>
          </w:tcPr>
          <w:p>
            <w:pPr>
              <w:pStyle w:val="TableParagraph"/>
              <w:spacing w:line="201" w:lineRule="exact"/>
              <w:ind w:left="282" w:right="284"/>
              <w:rPr>
                <w:sz w:val="20"/>
              </w:rPr>
            </w:pPr>
            <w:r>
              <w:rPr>
                <w:sz w:val="20"/>
              </w:rPr>
              <w:t>3.1</w:t>
            </w:r>
          </w:p>
        </w:tc>
        <w:tc>
          <w:tcPr>
            <w:tcW w:w="1016" w:type="dxa"/>
            <w:tcBorders>
              <w:top w:val="single" w:sz="21" w:space="0" w:color="D9D9D9"/>
            </w:tcBorders>
          </w:tcPr>
          <w:p>
            <w:pPr>
              <w:pStyle w:val="TableParagraph"/>
              <w:spacing w:line="201" w:lineRule="exact"/>
              <w:ind w:left="282" w:right="283"/>
              <w:rPr>
                <w:sz w:val="20"/>
              </w:rPr>
            </w:pPr>
            <w:r>
              <w:rPr>
                <w:sz w:val="20"/>
              </w:rPr>
              <w:t>1.5</w:t>
            </w:r>
          </w:p>
        </w:tc>
        <w:tc>
          <w:tcPr>
            <w:tcW w:w="1018" w:type="dxa"/>
            <w:tcBorders>
              <w:top w:val="single" w:sz="21" w:space="0" w:color="D9D9D9"/>
            </w:tcBorders>
          </w:tcPr>
          <w:p>
            <w:pPr>
              <w:pStyle w:val="TableParagraph"/>
              <w:spacing w:line="201" w:lineRule="exact"/>
              <w:ind w:left="283" w:right="283"/>
              <w:rPr>
                <w:sz w:val="20"/>
              </w:rPr>
            </w:pPr>
            <w:r>
              <w:rPr>
                <w:sz w:val="20"/>
              </w:rPr>
              <w:t>4.0</w:t>
            </w:r>
          </w:p>
        </w:tc>
        <w:tc>
          <w:tcPr>
            <w:tcW w:w="1018" w:type="dxa"/>
            <w:tcBorders>
              <w:top w:val="single" w:sz="21" w:space="0" w:color="D9D9D9"/>
            </w:tcBorders>
          </w:tcPr>
          <w:p>
            <w:pPr>
              <w:pStyle w:val="TableParagraph"/>
              <w:spacing w:line="201" w:lineRule="exact"/>
              <w:ind w:right="377"/>
              <w:jc w:val="right"/>
              <w:rPr>
                <w:sz w:val="20"/>
              </w:rPr>
            </w:pPr>
            <w:r>
              <w:rPr>
                <w:sz w:val="20"/>
              </w:rPr>
              <w:t>3.3</w:t>
            </w:r>
          </w:p>
        </w:tc>
        <w:tc>
          <w:tcPr>
            <w:tcW w:w="1018" w:type="dxa"/>
            <w:tcBorders>
              <w:top w:val="single" w:sz="21" w:space="0" w:color="D9D9D9"/>
            </w:tcBorders>
          </w:tcPr>
          <w:p>
            <w:pPr>
              <w:pStyle w:val="TableParagraph"/>
              <w:spacing w:line="201" w:lineRule="exact"/>
              <w:ind w:left="283" w:right="283"/>
              <w:rPr>
                <w:sz w:val="20"/>
              </w:rPr>
            </w:pPr>
            <w:r>
              <w:rPr>
                <w:sz w:val="20"/>
              </w:rPr>
              <w:t>2.3</w:t>
            </w:r>
          </w:p>
        </w:tc>
        <w:tc>
          <w:tcPr>
            <w:tcW w:w="1013" w:type="dxa"/>
            <w:tcBorders>
              <w:top w:val="single" w:sz="21" w:space="0" w:color="D9D9D9"/>
            </w:tcBorders>
          </w:tcPr>
          <w:p>
            <w:pPr>
              <w:pStyle w:val="TableParagraph"/>
              <w:spacing w:line="201" w:lineRule="exact"/>
              <w:ind w:left="98" w:right="100"/>
              <w:rPr>
                <w:sz w:val="20"/>
              </w:rPr>
            </w:pPr>
            <w:r>
              <w:rPr>
                <w:sz w:val="20"/>
              </w:rPr>
              <w:t>4.3</w:t>
            </w:r>
          </w:p>
        </w:tc>
      </w:tr>
      <w:tr>
        <w:trPr>
          <w:trHeight w:val="240" w:hRule="exact"/>
        </w:trPr>
        <w:tc>
          <w:tcPr>
            <w:tcW w:w="1904" w:type="dxa"/>
          </w:tcPr>
          <w:p>
            <w:pPr>
              <w:pStyle w:val="TableParagraph"/>
              <w:spacing w:line="223" w:lineRule="exact"/>
              <w:ind w:left="103"/>
              <w:jc w:val="left"/>
              <w:rPr>
                <w:sz w:val="20"/>
              </w:rPr>
            </w:pPr>
            <w:r>
              <w:rPr>
                <w:sz w:val="20"/>
              </w:rPr>
              <w:t>Jalisco</w:t>
            </w:r>
          </w:p>
        </w:tc>
        <w:tc>
          <w:tcPr>
            <w:tcW w:w="826" w:type="dxa"/>
          </w:tcPr>
          <w:p>
            <w:pPr>
              <w:pStyle w:val="TableParagraph"/>
              <w:spacing w:line="223" w:lineRule="exact"/>
              <w:ind w:left="262" w:right="264"/>
              <w:rPr>
                <w:sz w:val="20"/>
              </w:rPr>
            </w:pPr>
            <w:r>
              <w:rPr>
                <w:sz w:val="20"/>
              </w:rPr>
              <w:t>0.2</w:t>
            </w:r>
          </w:p>
        </w:tc>
        <w:tc>
          <w:tcPr>
            <w:tcW w:w="1018" w:type="dxa"/>
          </w:tcPr>
          <w:p>
            <w:pPr>
              <w:pStyle w:val="TableParagraph"/>
              <w:spacing w:line="223" w:lineRule="exact"/>
              <w:ind w:left="282" w:right="284"/>
              <w:rPr>
                <w:sz w:val="20"/>
              </w:rPr>
            </w:pPr>
            <w:r>
              <w:rPr>
                <w:sz w:val="20"/>
              </w:rPr>
              <w:t>0.2</w:t>
            </w:r>
          </w:p>
        </w:tc>
        <w:tc>
          <w:tcPr>
            <w:tcW w:w="1016" w:type="dxa"/>
          </w:tcPr>
          <w:p>
            <w:pPr>
              <w:pStyle w:val="TableParagraph"/>
              <w:spacing w:line="223" w:lineRule="exact"/>
              <w:ind w:left="282" w:right="283"/>
              <w:rPr>
                <w:sz w:val="20"/>
              </w:rPr>
            </w:pPr>
            <w:r>
              <w:rPr>
                <w:sz w:val="20"/>
              </w:rPr>
              <w:t>0.1</w:t>
            </w:r>
          </w:p>
        </w:tc>
        <w:tc>
          <w:tcPr>
            <w:tcW w:w="1018" w:type="dxa"/>
          </w:tcPr>
          <w:p>
            <w:pPr>
              <w:pStyle w:val="TableParagraph"/>
              <w:spacing w:line="223" w:lineRule="exact"/>
              <w:ind w:left="283" w:right="283"/>
              <w:rPr>
                <w:sz w:val="20"/>
              </w:rPr>
            </w:pPr>
            <w:r>
              <w:rPr>
                <w:sz w:val="20"/>
              </w:rPr>
              <w:t>0.4</w:t>
            </w:r>
          </w:p>
        </w:tc>
        <w:tc>
          <w:tcPr>
            <w:tcW w:w="1018" w:type="dxa"/>
          </w:tcPr>
          <w:p>
            <w:pPr>
              <w:pStyle w:val="TableParagraph"/>
              <w:spacing w:line="223" w:lineRule="exact"/>
              <w:ind w:right="377"/>
              <w:jc w:val="right"/>
              <w:rPr>
                <w:sz w:val="20"/>
              </w:rPr>
            </w:pPr>
            <w:r>
              <w:rPr>
                <w:sz w:val="20"/>
              </w:rPr>
              <w:t>0.1</w:t>
            </w:r>
          </w:p>
        </w:tc>
        <w:tc>
          <w:tcPr>
            <w:tcW w:w="1018" w:type="dxa"/>
          </w:tcPr>
          <w:p>
            <w:pPr>
              <w:pStyle w:val="TableParagraph"/>
              <w:spacing w:line="223" w:lineRule="exact"/>
              <w:ind w:left="283" w:right="283"/>
              <w:rPr>
                <w:sz w:val="20"/>
              </w:rPr>
            </w:pPr>
            <w:r>
              <w:rPr>
                <w:sz w:val="20"/>
              </w:rPr>
              <w:t>0.2</w:t>
            </w:r>
          </w:p>
        </w:tc>
        <w:tc>
          <w:tcPr>
            <w:tcW w:w="1013" w:type="dxa"/>
          </w:tcPr>
          <w:p>
            <w:pPr>
              <w:pStyle w:val="TableParagraph"/>
              <w:spacing w:line="223" w:lineRule="exact"/>
              <w:ind w:left="98" w:right="100"/>
              <w:rPr>
                <w:sz w:val="20"/>
              </w:rPr>
            </w:pPr>
            <w:r>
              <w:rPr>
                <w:sz w:val="20"/>
              </w:rPr>
              <w:t>0.3</w:t>
            </w:r>
          </w:p>
        </w:tc>
      </w:tr>
    </w:tbl>
    <w:p>
      <w:pPr>
        <w:spacing w:line="202" w:lineRule="exact" w:before="0"/>
        <w:ind w:left="102" w:right="119" w:firstLine="0"/>
        <w:jc w:val="left"/>
        <w:rPr>
          <w:sz w:val="18"/>
        </w:rPr>
      </w:pPr>
      <w:r>
        <w:rPr>
          <w:sz w:val="18"/>
        </w:rPr>
        <w:t>Fuente: Elaboración propia con datos de INEGI (varios años).</w:t>
      </w:r>
    </w:p>
    <w:p>
      <w:pPr>
        <w:spacing w:after="0" w:line="202" w:lineRule="exact"/>
        <w:jc w:val="left"/>
        <w:rPr>
          <w:sz w:val="18"/>
        </w:rPr>
        <w:sectPr>
          <w:pgSz w:w="12240" w:h="15840"/>
          <w:pgMar w:header="0" w:footer="1035" w:top="1360" w:bottom="1220" w:left="1600" w:right="1580"/>
        </w:sectPr>
      </w:pPr>
    </w:p>
    <w:p>
      <w:pPr>
        <w:pStyle w:val="BodyText"/>
        <w:spacing w:line="360" w:lineRule="auto" w:before="50"/>
        <w:ind w:left="102" w:right="116"/>
        <w:jc w:val="both"/>
      </w:pPr>
      <w:r>
        <w:rPr/>
        <w:t>Por otro lado, un punto importante de analizar, es conocer la estructura productiva de la industria</w:t>
      </w:r>
      <w:r>
        <w:rPr>
          <w:spacing w:val="-7"/>
        </w:rPr>
        <w:t> </w:t>
      </w:r>
      <w:r>
        <w:rPr/>
        <w:t>automotriz</w:t>
      </w:r>
      <w:r>
        <w:rPr>
          <w:spacing w:val="-5"/>
        </w:rPr>
        <w:t> </w:t>
      </w:r>
      <w:r>
        <w:rPr/>
        <w:t>en</w:t>
      </w:r>
      <w:r>
        <w:rPr>
          <w:spacing w:val="-5"/>
        </w:rPr>
        <w:t> </w:t>
      </w:r>
      <w:r>
        <w:rPr/>
        <w:t>la</w:t>
      </w:r>
      <w:r>
        <w:rPr>
          <w:spacing w:val="-5"/>
        </w:rPr>
        <w:t> </w:t>
      </w:r>
      <w:r>
        <w:rPr/>
        <w:t>región</w:t>
      </w:r>
      <w:r>
        <w:rPr>
          <w:spacing w:val="-6"/>
        </w:rPr>
        <w:t> </w:t>
      </w:r>
      <w:r>
        <w:rPr/>
        <w:t>occidente,</w:t>
      </w:r>
      <w:r>
        <w:rPr>
          <w:spacing w:val="-4"/>
        </w:rPr>
        <w:t> </w:t>
      </w:r>
      <w:r>
        <w:rPr/>
        <w:t>en</w:t>
      </w:r>
      <w:r>
        <w:rPr>
          <w:spacing w:val="-6"/>
        </w:rPr>
        <w:t> </w:t>
      </w:r>
      <w:r>
        <w:rPr/>
        <w:t>este</w:t>
      </w:r>
      <w:r>
        <w:rPr>
          <w:spacing w:val="-4"/>
        </w:rPr>
        <w:t> </w:t>
      </w:r>
      <w:r>
        <w:rPr/>
        <w:t>sentido</w:t>
      </w:r>
      <w:r>
        <w:rPr>
          <w:spacing w:val="-6"/>
        </w:rPr>
        <w:t> </w:t>
      </w:r>
      <w:r>
        <w:rPr/>
        <w:t>se</w:t>
      </w:r>
      <w:r>
        <w:rPr>
          <w:spacing w:val="-7"/>
        </w:rPr>
        <w:t> </w:t>
      </w:r>
      <w:r>
        <w:rPr/>
        <w:t>presenta</w:t>
      </w:r>
      <w:r>
        <w:rPr>
          <w:spacing w:val="-4"/>
        </w:rPr>
        <w:t> </w:t>
      </w:r>
      <w:r>
        <w:rPr/>
        <w:t>el</w:t>
      </w:r>
      <w:r>
        <w:rPr>
          <w:spacing w:val="-6"/>
        </w:rPr>
        <w:t> </w:t>
      </w:r>
      <w:r>
        <w:rPr/>
        <w:t>cuadro</w:t>
      </w:r>
      <w:r>
        <w:rPr>
          <w:spacing w:val="-7"/>
        </w:rPr>
        <w:t> </w:t>
      </w:r>
      <w:r>
        <w:rPr/>
        <w:t>4.35,</w:t>
      </w:r>
      <w:r>
        <w:rPr>
          <w:spacing w:val="-6"/>
        </w:rPr>
        <w:t> </w:t>
      </w:r>
      <w:r>
        <w:rPr/>
        <w:t>donde se muestra la participación de la región occidente en las ramas de la industria automotriz nacional en cuanto a valor agregado censal bruto. Se observa que la fabricación de sistemas de dirección y suspensión ha sido la rama de mayor aportación de la región a nivel</w:t>
      </w:r>
      <w:r>
        <w:rPr>
          <w:spacing w:val="-28"/>
        </w:rPr>
        <w:t> </w:t>
      </w:r>
      <w:r>
        <w:rPr/>
        <w:t>nacional, durante todos los años analizados, seguida por la fabricación de otras partes de vehículos y carrocerías y</w:t>
      </w:r>
      <w:r>
        <w:rPr>
          <w:spacing w:val="-9"/>
        </w:rPr>
        <w:t> </w:t>
      </w:r>
      <w:r>
        <w:rPr/>
        <w:t>remolques.</w:t>
      </w:r>
    </w:p>
    <w:p>
      <w:pPr>
        <w:pStyle w:val="BodyText"/>
        <w:spacing w:before="10"/>
        <w:rPr>
          <w:sz w:val="21"/>
        </w:rPr>
      </w:pPr>
    </w:p>
    <w:p>
      <w:pPr>
        <w:pStyle w:val="Heading1"/>
        <w:spacing w:line="360" w:lineRule="auto" w:after="7"/>
        <w:ind w:left="102" w:right="121"/>
        <w:jc w:val="both"/>
      </w:pPr>
      <w:r>
        <w:rPr/>
        <w:t>Cuadro 4.35. Participación porcentual de la región occidente en las ramas de la industria automotriz en el total nacional, 1980-2008 (Valor Agregado Censal Bruto)</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18"/>
        <w:gridCol w:w="614"/>
        <w:gridCol w:w="617"/>
        <w:gridCol w:w="617"/>
        <w:gridCol w:w="614"/>
        <w:gridCol w:w="617"/>
        <w:gridCol w:w="617"/>
        <w:gridCol w:w="615"/>
      </w:tblGrid>
      <w:tr>
        <w:trPr>
          <w:trHeight w:val="324" w:hRule="exact"/>
        </w:trPr>
        <w:tc>
          <w:tcPr>
            <w:tcW w:w="4518" w:type="dxa"/>
            <w:tcBorders>
              <w:right w:val="nil"/>
            </w:tcBorders>
            <w:shd w:val="clear" w:color="auto" w:fill="A6A6A6"/>
          </w:tcPr>
          <w:p>
            <w:pPr/>
          </w:p>
        </w:tc>
        <w:tc>
          <w:tcPr>
            <w:tcW w:w="614" w:type="dxa"/>
            <w:tcBorders>
              <w:left w:val="nil"/>
              <w:right w:val="nil"/>
            </w:tcBorders>
            <w:shd w:val="clear" w:color="auto" w:fill="A6A6A6"/>
          </w:tcPr>
          <w:p>
            <w:pPr>
              <w:pStyle w:val="TableParagraph"/>
              <w:spacing w:before="41"/>
              <w:ind w:left="87" w:right="83"/>
              <w:rPr>
                <w:b/>
                <w:sz w:val="20"/>
              </w:rPr>
            </w:pPr>
            <w:r>
              <w:rPr>
                <w:b/>
                <w:sz w:val="20"/>
              </w:rPr>
              <w:t>1980</w:t>
            </w:r>
          </w:p>
        </w:tc>
        <w:tc>
          <w:tcPr>
            <w:tcW w:w="617" w:type="dxa"/>
            <w:tcBorders>
              <w:left w:val="nil"/>
              <w:right w:val="nil"/>
            </w:tcBorders>
            <w:shd w:val="clear" w:color="auto" w:fill="A6A6A6"/>
          </w:tcPr>
          <w:p>
            <w:pPr>
              <w:pStyle w:val="TableParagraph"/>
              <w:spacing w:before="41"/>
              <w:ind w:left="107"/>
              <w:jc w:val="left"/>
              <w:rPr>
                <w:b/>
                <w:sz w:val="20"/>
              </w:rPr>
            </w:pPr>
            <w:r>
              <w:rPr>
                <w:b/>
                <w:sz w:val="20"/>
              </w:rPr>
              <w:t>1985</w:t>
            </w:r>
          </w:p>
        </w:tc>
        <w:tc>
          <w:tcPr>
            <w:tcW w:w="617" w:type="dxa"/>
            <w:tcBorders>
              <w:left w:val="nil"/>
              <w:right w:val="nil"/>
            </w:tcBorders>
            <w:shd w:val="clear" w:color="auto" w:fill="A6A6A6"/>
          </w:tcPr>
          <w:p>
            <w:pPr>
              <w:pStyle w:val="TableParagraph"/>
              <w:spacing w:before="41"/>
              <w:ind w:left="89" w:right="88"/>
              <w:rPr>
                <w:b/>
                <w:sz w:val="20"/>
              </w:rPr>
            </w:pPr>
            <w:r>
              <w:rPr>
                <w:b/>
                <w:sz w:val="20"/>
              </w:rPr>
              <w:t>1988</w:t>
            </w:r>
          </w:p>
        </w:tc>
        <w:tc>
          <w:tcPr>
            <w:tcW w:w="614" w:type="dxa"/>
            <w:tcBorders>
              <w:left w:val="nil"/>
              <w:right w:val="nil"/>
            </w:tcBorders>
            <w:shd w:val="clear" w:color="auto" w:fill="A6A6A6"/>
          </w:tcPr>
          <w:p>
            <w:pPr>
              <w:pStyle w:val="TableParagraph"/>
              <w:spacing w:before="41"/>
              <w:ind w:left="85" w:right="85"/>
              <w:rPr>
                <w:b/>
                <w:sz w:val="20"/>
              </w:rPr>
            </w:pPr>
            <w:r>
              <w:rPr>
                <w:b/>
                <w:sz w:val="20"/>
              </w:rPr>
              <w:t>1993</w:t>
            </w:r>
          </w:p>
        </w:tc>
        <w:tc>
          <w:tcPr>
            <w:tcW w:w="617" w:type="dxa"/>
            <w:tcBorders>
              <w:left w:val="nil"/>
              <w:right w:val="nil"/>
            </w:tcBorders>
            <w:shd w:val="clear" w:color="auto" w:fill="A6A6A6"/>
          </w:tcPr>
          <w:p>
            <w:pPr>
              <w:pStyle w:val="TableParagraph"/>
              <w:spacing w:before="41"/>
              <w:ind w:left="108"/>
              <w:jc w:val="left"/>
              <w:rPr>
                <w:b/>
                <w:sz w:val="20"/>
              </w:rPr>
            </w:pPr>
            <w:r>
              <w:rPr>
                <w:b/>
                <w:sz w:val="20"/>
              </w:rPr>
              <w:t>1998</w:t>
            </w:r>
          </w:p>
        </w:tc>
        <w:tc>
          <w:tcPr>
            <w:tcW w:w="617" w:type="dxa"/>
            <w:tcBorders>
              <w:left w:val="nil"/>
              <w:right w:val="nil"/>
            </w:tcBorders>
            <w:shd w:val="clear" w:color="auto" w:fill="A6A6A6"/>
          </w:tcPr>
          <w:p>
            <w:pPr>
              <w:pStyle w:val="TableParagraph"/>
              <w:spacing w:before="41"/>
              <w:ind w:left="89" w:right="87"/>
              <w:rPr>
                <w:b/>
                <w:sz w:val="20"/>
              </w:rPr>
            </w:pPr>
            <w:r>
              <w:rPr>
                <w:b/>
                <w:sz w:val="20"/>
              </w:rPr>
              <w:t>2003</w:t>
            </w:r>
          </w:p>
        </w:tc>
        <w:tc>
          <w:tcPr>
            <w:tcW w:w="615" w:type="dxa"/>
            <w:tcBorders>
              <w:left w:val="nil"/>
            </w:tcBorders>
            <w:shd w:val="clear" w:color="auto" w:fill="A6A6A6"/>
          </w:tcPr>
          <w:p>
            <w:pPr>
              <w:pStyle w:val="TableParagraph"/>
              <w:spacing w:before="41"/>
              <w:ind w:right="96"/>
              <w:jc w:val="right"/>
              <w:rPr>
                <w:b/>
                <w:sz w:val="20"/>
              </w:rPr>
            </w:pPr>
            <w:r>
              <w:rPr>
                <w:b/>
                <w:sz w:val="20"/>
              </w:rPr>
              <w:t>2009</w:t>
            </w:r>
          </w:p>
        </w:tc>
      </w:tr>
      <w:tr>
        <w:trPr>
          <w:trHeight w:val="293" w:hRule="exact"/>
        </w:trPr>
        <w:tc>
          <w:tcPr>
            <w:tcW w:w="4518" w:type="dxa"/>
            <w:tcBorders>
              <w:top w:val="single" w:sz="34" w:space="0" w:color="A6A6A6"/>
            </w:tcBorders>
          </w:tcPr>
          <w:p>
            <w:pPr>
              <w:pStyle w:val="TableParagraph"/>
              <w:spacing w:line="217" w:lineRule="exact"/>
              <w:ind w:left="103" w:right="130"/>
              <w:jc w:val="left"/>
              <w:rPr>
                <w:b/>
                <w:sz w:val="20"/>
              </w:rPr>
            </w:pPr>
            <w:r>
              <w:rPr>
                <w:b/>
                <w:sz w:val="20"/>
              </w:rPr>
              <w:t>Fabricación de automóviles y camiones</w:t>
            </w:r>
          </w:p>
        </w:tc>
        <w:tc>
          <w:tcPr>
            <w:tcW w:w="614" w:type="dxa"/>
            <w:tcBorders>
              <w:top w:val="single" w:sz="17" w:space="0" w:color="A6A6A6"/>
            </w:tcBorders>
          </w:tcPr>
          <w:p>
            <w:pPr>
              <w:pStyle w:val="TableParagraph"/>
              <w:spacing w:before="3"/>
              <w:ind w:left="106" w:right="106"/>
              <w:rPr>
                <w:sz w:val="20"/>
              </w:rPr>
            </w:pPr>
            <w:r>
              <w:rPr>
                <w:sz w:val="20"/>
              </w:rPr>
              <w:t>0.0</w:t>
            </w:r>
          </w:p>
        </w:tc>
        <w:tc>
          <w:tcPr>
            <w:tcW w:w="617" w:type="dxa"/>
            <w:tcBorders>
              <w:top w:val="single" w:sz="17" w:space="0" w:color="A6A6A6"/>
            </w:tcBorders>
          </w:tcPr>
          <w:p>
            <w:pPr>
              <w:pStyle w:val="TableParagraph"/>
              <w:spacing w:before="3"/>
              <w:ind w:left="177"/>
              <w:jc w:val="left"/>
              <w:rPr>
                <w:sz w:val="20"/>
              </w:rPr>
            </w:pPr>
            <w:r>
              <w:rPr>
                <w:sz w:val="20"/>
              </w:rPr>
              <w:t>2.5</w:t>
            </w:r>
          </w:p>
        </w:tc>
        <w:tc>
          <w:tcPr>
            <w:tcW w:w="617" w:type="dxa"/>
            <w:tcBorders>
              <w:top w:val="single" w:sz="17" w:space="0" w:color="A6A6A6"/>
            </w:tcBorders>
          </w:tcPr>
          <w:p>
            <w:pPr>
              <w:pStyle w:val="TableParagraph"/>
              <w:spacing w:before="3"/>
              <w:ind w:left="108" w:right="108"/>
              <w:rPr>
                <w:sz w:val="20"/>
              </w:rPr>
            </w:pPr>
            <w:r>
              <w:rPr>
                <w:sz w:val="20"/>
              </w:rPr>
              <w:t>0.0</w:t>
            </w:r>
          </w:p>
        </w:tc>
        <w:tc>
          <w:tcPr>
            <w:tcW w:w="614" w:type="dxa"/>
            <w:tcBorders>
              <w:top w:val="single" w:sz="17" w:space="0" w:color="A6A6A6"/>
            </w:tcBorders>
          </w:tcPr>
          <w:p>
            <w:pPr>
              <w:pStyle w:val="TableParagraph"/>
              <w:spacing w:before="3"/>
              <w:ind w:left="105" w:right="107"/>
              <w:rPr>
                <w:sz w:val="20"/>
              </w:rPr>
            </w:pPr>
            <w:r>
              <w:rPr>
                <w:sz w:val="20"/>
              </w:rPr>
              <w:t>3.0</w:t>
            </w:r>
          </w:p>
        </w:tc>
        <w:tc>
          <w:tcPr>
            <w:tcW w:w="617" w:type="dxa"/>
            <w:tcBorders>
              <w:top w:val="single" w:sz="17" w:space="0" w:color="A6A6A6"/>
            </w:tcBorders>
          </w:tcPr>
          <w:p>
            <w:pPr>
              <w:pStyle w:val="TableParagraph"/>
              <w:spacing w:before="3"/>
              <w:ind w:left="177"/>
              <w:jc w:val="left"/>
              <w:rPr>
                <w:sz w:val="20"/>
              </w:rPr>
            </w:pPr>
            <w:r>
              <w:rPr>
                <w:sz w:val="20"/>
              </w:rPr>
              <w:t>4.4</w:t>
            </w:r>
          </w:p>
        </w:tc>
        <w:tc>
          <w:tcPr>
            <w:tcW w:w="617" w:type="dxa"/>
            <w:tcBorders>
              <w:top w:val="single" w:sz="17" w:space="0" w:color="A6A6A6"/>
            </w:tcBorders>
          </w:tcPr>
          <w:p>
            <w:pPr>
              <w:pStyle w:val="TableParagraph"/>
              <w:spacing w:before="3"/>
              <w:ind w:left="108" w:right="109"/>
              <w:rPr>
                <w:sz w:val="20"/>
              </w:rPr>
            </w:pPr>
            <w:r>
              <w:rPr>
                <w:sz w:val="20"/>
              </w:rPr>
              <w:t>7.8</w:t>
            </w:r>
          </w:p>
        </w:tc>
        <w:tc>
          <w:tcPr>
            <w:tcW w:w="615" w:type="dxa"/>
            <w:tcBorders>
              <w:top w:val="single" w:sz="17" w:space="0" w:color="A6A6A6"/>
            </w:tcBorders>
          </w:tcPr>
          <w:p>
            <w:pPr>
              <w:pStyle w:val="TableParagraph"/>
              <w:spacing w:before="3"/>
              <w:ind w:right="125"/>
              <w:jc w:val="right"/>
              <w:rPr>
                <w:sz w:val="20"/>
              </w:rPr>
            </w:pPr>
            <w:r>
              <w:rPr>
                <w:sz w:val="20"/>
              </w:rPr>
              <w:t>12.1</w:t>
            </w:r>
          </w:p>
        </w:tc>
      </w:tr>
      <w:tr>
        <w:trPr>
          <w:trHeight w:val="240" w:hRule="exact"/>
        </w:trPr>
        <w:tc>
          <w:tcPr>
            <w:tcW w:w="4518" w:type="dxa"/>
          </w:tcPr>
          <w:p>
            <w:pPr>
              <w:pStyle w:val="TableParagraph"/>
              <w:spacing w:line="228" w:lineRule="exact"/>
              <w:ind w:left="103" w:right="130"/>
              <w:jc w:val="left"/>
              <w:rPr>
                <w:b/>
                <w:sz w:val="20"/>
              </w:rPr>
            </w:pPr>
            <w:r>
              <w:rPr>
                <w:b/>
                <w:sz w:val="20"/>
              </w:rPr>
              <w:t>Fabricación de carrocerías y remolques</w:t>
            </w:r>
          </w:p>
        </w:tc>
        <w:tc>
          <w:tcPr>
            <w:tcW w:w="614" w:type="dxa"/>
          </w:tcPr>
          <w:p>
            <w:pPr>
              <w:pStyle w:val="TableParagraph"/>
              <w:spacing w:line="223" w:lineRule="exact"/>
              <w:ind w:left="106" w:right="106"/>
              <w:rPr>
                <w:sz w:val="20"/>
              </w:rPr>
            </w:pPr>
            <w:r>
              <w:rPr>
                <w:sz w:val="20"/>
              </w:rPr>
              <w:t>2.9</w:t>
            </w:r>
          </w:p>
        </w:tc>
        <w:tc>
          <w:tcPr>
            <w:tcW w:w="617" w:type="dxa"/>
          </w:tcPr>
          <w:p>
            <w:pPr>
              <w:pStyle w:val="TableParagraph"/>
              <w:spacing w:line="223" w:lineRule="exact"/>
              <w:ind w:left="177"/>
              <w:jc w:val="left"/>
              <w:rPr>
                <w:sz w:val="20"/>
              </w:rPr>
            </w:pPr>
            <w:r>
              <w:rPr>
                <w:sz w:val="20"/>
              </w:rPr>
              <w:t>2.1</w:t>
            </w:r>
          </w:p>
        </w:tc>
        <w:tc>
          <w:tcPr>
            <w:tcW w:w="617" w:type="dxa"/>
          </w:tcPr>
          <w:p>
            <w:pPr>
              <w:pStyle w:val="TableParagraph"/>
              <w:spacing w:line="223" w:lineRule="exact"/>
              <w:ind w:left="108" w:right="108"/>
              <w:rPr>
                <w:sz w:val="20"/>
              </w:rPr>
            </w:pPr>
            <w:r>
              <w:rPr>
                <w:sz w:val="20"/>
              </w:rPr>
              <w:t>1.7</w:t>
            </w:r>
          </w:p>
        </w:tc>
        <w:tc>
          <w:tcPr>
            <w:tcW w:w="614" w:type="dxa"/>
          </w:tcPr>
          <w:p>
            <w:pPr>
              <w:pStyle w:val="TableParagraph"/>
              <w:spacing w:line="223" w:lineRule="exact"/>
              <w:ind w:left="105" w:right="107"/>
              <w:rPr>
                <w:sz w:val="20"/>
              </w:rPr>
            </w:pPr>
            <w:r>
              <w:rPr>
                <w:sz w:val="20"/>
              </w:rPr>
              <w:t>2.5</w:t>
            </w:r>
          </w:p>
        </w:tc>
        <w:tc>
          <w:tcPr>
            <w:tcW w:w="617" w:type="dxa"/>
          </w:tcPr>
          <w:p>
            <w:pPr>
              <w:pStyle w:val="TableParagraph"/>
              <w:spacing w:line="223" w:lineRule="exact"/>
              <w:ind w:left="177"/>
              <w:jc w:val="left"/>
              <w:rPr>
                <w:sz w:val="20"/>
              </w:rPr>
            </w:pPr>
            <w:r>
              <w:rPr>
                <w:sz w:val="20"/>
              </w:rPr>
              <w:t>5.1</w:t>
            </w:r>
          </w:p>
        </w:tc>
        <w:tc>
          <w:tcPr>
            <w:tcW w:w="617" w:type="dxa"/>
          </w:tcPr>
          <w:p>
            <w:pPr>
              <w:pStyle w:val="TableParagraph"/>
              <w:spacing w:line="223" w:lineRule="exact"/>
              <w:ind w:left="108" w:right="109"/>
              <w:rPr>
                <w:sz w:val="20"/>
              </w:rPr>
            </w:pPr>
            <w:r>
              <w:rPr>
                <w:sz w:val="20"/>
              </w:rPr>
              <w:t>8.0</w:t>
            </w:r>
          </w:p>
        </w:tc>
        <w:tc>
          <w:tcPr>
            <w:tcW w:w="615" w:type="dxa"/>
          </w:tcPr>
          <w:p>
            <w:pPr>
              <w:pStyle w:val="TableParagraph"/>
              <w:spacing w:line="223" w:lineRule="exact"/>
              <w:ind w:left="177"/>
              <w:jc w:val="left"/>
              <w:rPr>
                <w:sz w:val="20"/>
              </w:rPr>
            </w:pPr>
            <w:r>
              <w:rPr>
                <w:sz w:val="20"/>
              </w:rPr>
              <w:t>5.9</w:t>
            </w:r>
          </w:p>
        </w:tc>
      </w:tr>
      <w:tr>
        <w:trPr>
          <w:trHeight w:val="470" w:hRule="exact"/>
        </w:trPr>
        <w:tc>
          <w:tcPr>
            <w:tcW w:w="4518" w:type="dxa"/>
          </w:tcPr>
          <w:p>
            <w:pPr>
              <w:pStyle w:val="TableParagraph"/>
              <w:ind w:left="103" w:right="130"/>
              <w:jc w:val="left"/>
              <w:rPr>
                <w:b/>
                <w:sz w:val="20"/>
              </w:rPr>
            </w:pPr>
            <w:r>
              <w:rPr>
                <w:b/>
                <w:sz w:val="20"/>
              </w:rPr>
              <w:t>Fabricación de motores de gasolina y sus partes para vehículos automotrices</w:t>
            </w:r>
          </w:p>
        </w:tc>
        <w:tc>
          <w:tcPr>
            <w:tcW w:w="614" w:type="dxa"/>
          </w:tcPr>
          <w:p>
            <w:pPr>
              <w:pStyle w:val="TableParagraph"/>
              <w:spacing w:before="108"/>
              <w:ind w:left="106" w:right="106"/>
              <w:rPr>
                <w:sz w:val="20"/>
              </w:rPr>
            </w:pPr>
            <w:r>
              <w:rPr>
                <w:sz w:val="20"/>
              </w:rPr>
              <w:t>0.3</w:t>
            </w:r>
          </w:p>
        </w:tc>
        <w:tc>
          <w:tcPr>
            <w:tcW w:w="617" w:type="dxa"/>
          </w:tcPr>
          <w:p>
            <w:pPr>
              <w:pStyle w:val="TableParagraph"/>
              <w:spacing w:before="108"/>
              <w:ind w:left="177"/>
              <w:jc w:val="left"/>
              <w:rPr>
                <w:sz w:val="20"/>
              </w:rPr>
            </w:pPr>
            <w:r>
              <w:rPr>
                <w:sz w:val="20"/>
              </w:rPr>
              <w:t>0.8</w:t>
            </w:r>
          </w:p>
        </w:tc>
        <w:tc>
          <w:tcPr>
            <w:tcW w:w="617" w:type="dxa"/>
          </w:tcPr>
          <w:p>
            <w:pPr>
              <w:pStyle w:val="TableParagraph"/>
              <w:spacing w:before="108"/>
              <w:ind w:left="108" w:right="108"/>
              <w:rPr>
                <w:sz w:val="20"/>
              </w:rPr>
            </w:pPr>
            <w:r>
              <w:rPr>
                <w:sz w:val="20"/>
              </w:rPr>
              <w:t>3.6</w:t>
            </w:r>
          </w:p>
        </w:tc>
        <w:tc>
          <w:tcPr>
            <w:tcW w:w="614" w:type="dxa"/>
          </w:tcPr>
          <w:p>
            <w:pPr>
              <w:pStyle w:val="TableParagraph"/>
              <w:spacing w:before="108"/>
              <w:ind w:left="105" w:right="107"/>
              <w:rPr>
                <w:sz w:val="20"/>
              </w:rPr>
            </w:pPr>
            <w:r>
              <w:rPr>
                <w:sz w:val="20"/>
              </w:rPr>
              <w:t>19.4</w:t>
            </w:r>
          </w:p>
        </w:tc>
        <w:tc>
          <w:tcPr>
            <w:tcW w:w="617" w:type="dxa"/>
          </w:tcPr>
          <w:p>
            <w:pPr>
              <w:pStyle w:val="TableParagraph"/>
              <w:spacing w:before="108"/>
              <w:ind w:left="127"/>
              <w:jc w:val="left"/>
              <w:rPr>
                <w:sz w:val="20"/>
              </w:rPr>
            </w:pPr>
            <w:r>
              <w:rPr>
                <w:sz w:val="20"/>
              </w:rPr>
              <w:t>22.1</w:t>
            </w:r>
          </w:p>
        </w:tc>
        <w:tc>
          <w:tcPr>
            <w:tcW w:w="617" w:type="dxa"/>
          </w:tcPr>
          <w:p>
            <w:pPr>
              <w:pStyle w:val="TableParagraph"/>
              <w:spacing w:before="108"/>
              <w:ind w:left="108" w:right="109"/>
              <w:rPr>
                <w:sz w:val="20"/>
              </w:rPr>
            </w:pPr>
            <w:r>
              <w:rPr>
                <w:sz w:val="20"/>
              </w:rPr>
              <w:t>11.1</w:t>
            </w:r>
          </w:p>
        </w:tc>
        <w:tc>
          <w:tcPr>
            <w:tcW w:w="615" w:type="dxa"/>
          </w:tcPr>
          <w:p>
            <w:pPr>
              <w:pStyle w:val="TableParagraph"/>
              <w:spacing w:before="108"/>
              <w:ind w:right="125"/>
              <w:jc w:val="right"/>
              <w:rPr>
                <w:sz w:val="20"/>
              </w:rPr>
            </w:pPr>
            <w:r>
              <w:rPr>
                <w:sz w:val="20"/>
              </w:rPr>
              <w:t>10.8</w:t>
            </w:r>
          </w:p>
        </w:tc>
      </w:tr>
      <w:tr>
        <w:trPr>
          <w:trHeight w:val="240" w:hRule="exact"/>
        </w:trPr>
        <w:tc>
          <w:tcPr>
            <w:tcW w:w="4518" w:type="dxa"/>
          </w:tcPr>
          <w:p>
            <w:pPr>
              <w:pStyle w:val="TableParagraph"/>
              <w:spacing w:line="228" w:lineRule="exact"/>
              <w:ind w:left="103" w:right="130"/>
              <w:jc w:val="left"/>
              <w:rPr>
                <w:b/>
                <w:sz w:val="20"/>
              </w:rPr>
            </w:pPr>
            <w:r>
              <w:rPr>
                <w:b/>
                <w:sz w:val="20"/>
              </w:rPr>
              <w:t>Fabricación de partes de sistemas de transmisión</w:t>
            </w:r>
          </w:p>
        </w:tc>
        <w:tc>
          <w:tcPr>
            <w:tcW w:w="614" w:type="dxa"/>
          </w:tcPr>
          <w:p>
            <w:pPr>
              <w:pStyle w:val="TableParagraph"/>
              <w:spacing w:line="223" w:lineRule="exact"/>
              <w:ind w:left="106" w:right="106"/>
              <w:rPr>
                <w:sz w:val="20"/>
              </w:rPr>
            </w:pPr>
            <w:r>
              <w:rPr>
                <w:sz w:val="20"/>
              </w:rPr>
              <w:t>0.0</w:t>
            </w:r>
          </w:p>
        </w:tc>
        <w:tc>
          <w:tcPr>
            <w:tcW w:w="617" w:type="dxa"/>
          </w:tcPr>
          <w:p>
            <w:pPr>
              <w:pStyle w:val="TableParagraph"/>
              <w:spacing w:line="223" w:lineRule="exact"/>
              <w:ind w:left="177"/>
              <w:jc w:val="left"/>
              <w:rPr>
                <w:sz w:val="20"/>
              </w:rPr>
            </w:pPr>
            <w:r>
              <w:rPr>
                <w:sz w:val="20"/>
              </w:rPr>
              <w:t>8.3</w:t>
            </w:r>
          </w:p>
        </w:tc>
        <w:tc>
          <w:tcPr>
            <w:tcW w:w="617" w:type="dxa"/>
          </w:tcPr>
          <w:p>
            <w:pPr>
              <w:pStyle w:val="TableParagraph"/>
              <w:spacing w:line="223" w:lineRule="exact"/>
              <w:ind w:left="108" w:right="108"/>
              <w:rPr>
                <w:sz w:val="20"/>
              </w:rPr>
            </w:pPr>
            <w:r>
              <w:rPr>
                <w:sz w:val="20"/>
              </w:rPr>
              <w:t>0.0</w:t>
            </w:r>
          </w:p>
        </w:tc>
        <w:tc>
          <w:tcPr>
            <w:tcW w:w="614" w:type="dxa"/>
          </w:tcPr>
          <w:p>
            <w:pPr>
              <w:pStyle w:val="TableParagraph"/>
              <w:spacing w:line="223" w:lineRule="exact"/>
              <w:ind w:left="105" w:right="107"/>
              <w:rPr>
                <w:sz w:val="20"/>
              </w:rPr>
            </w:pPr>
            <w:r>
              <w:rPr>
                <w:sz w:val="20"/>
              </w:rPr>
              <w:t>0.8</w:t>
            </w:r>
          </w:p>
        </w:tc>
        <w:tc>
          <w:tcPr>
            <w:tcW w:w="617" w:type="dxa"/>
          </w:tcPr>
          <w:p>
            <w:pPr>
              <w:pStyle w:val="TableParagraph"/>
              <w:spacing w:line="223" w:lineRule="exact"/>
              <w:ind w:left="177"/>
              <w:jc w:val="left"/>
              <w:rPr>
                <w:sz w:val="20"/>
              </w:rPr>
            </w:pPr>
            <w:r>
              <w:rPr>
                <w:sz w:val="20"/>
              </w:rPr>
              <w:t>1.8</w:t>
            </w:r>
          </w:p>
        </w:tc>
        <w:tc>
          <w:tcPr>
            <w:tcW w:w="617" w:type="dxa"/>
          </w:tcPr>
          <w:p>
            <w:pPr>
              <w:pStyle w:val="TableParagraph"/>
              <w:spacing w:line="223" w:lineRule="exact"/>
              <w:ind w:left="108" w:right="109"/>
              <w:rPr>
                <w:sz w:val="20"/>
              </w:rPr>
            </w:pPr>
            <w:r>
              <w:rPr>
                <w:sz w:val="20"/>
              </w:rPr>
              <w:t>1.9</w:t>
            </w:r>
          </w:p>
        </w:tc>
        <w:tc>
          <w:tcPr>
            <w:tcW w:w="615" w:type="dxa"/>
          </w:tcPr>
          <w:p>
            <w:pPr>
              <w:pStyle w:val="TableParagraph"/>
              <w:spacing w:line="223" w:lineRule="exact"/>
              <w:ind w:right="125"/>
              <w:jc w:val="right"/>
              <w:rPr>
                <w:sz w:val="20"/>
              </w:rPr>
            </w:pPr>
            <w:r>
              <w:rPr>
                <w:sz w:val="20"/>
              </w:rPr>
              <w:t>27.6</w:t>
            </w:r>
          </w:p>
        </w:tc>
      </w:tr>
      <w:tr>
        <w:trPr>
          <w:trHeight w:val="471" w:hRule="exact"/>
        </w:trPr>
        <w:tc>
          <w:tcPr>
            <w:tcW w:w="4518" w:type="dxa"/>
          </w:tcPr>
          <w:p>
            <w:pPr>
              <w:pStyle w:val="TableParagraph"/>
              <w:ind w:left="103" w:right="130"/>
              <w:jc w:val="left"/>
              <w:rPr>
                <w:b/>
                <w:sz w:val="20"/>
              </w:rPr>
            </w:pPr>
            <w:r>
              <w:rPr>
                <w:b/>
                <w:sz w:val="20"/>
              </w:rPr>
              <w:t>Fabricación de partes de sistemas de dirección y de suspensión para vehículos automotrices</w:t>
            </w:r>
          </w:p>
        </w:tc>
        <w:tc>
          <w:tcPr>
            <w:tcW w:w="614" w:type="dxa"/>
          </w:tcPr>
          <w:p>
            <w:pPr>
              <w:pStyle w:val="TableParagraph"/>
              <w:spacing w:before="108"/>
              <w:ind w:left="106" w:right="106"/>
              <w:rPr>
                <w:sz w:val="20"/>
              </w:rPr>
            </w:pPr>
            <w:r>
              <w:rPr>
                <w:sz w:val="20"/>
              </w:rPr>
              <w:t>21.0</w:t>
            </w:r>
          </w:p>
        </w:tc>
        <w:tc>
          <w:tcPr>
            <w:tcW w:w="617" w:type="dxa"/>
          </w:tcPr>
          <w:p>
            <w:pPr>
              <w:pStyle w:val="TableParagraph"/>
              <w:spacing w:before="108"/>
              <w:ind w:left="127"/>
              <w:jc w:val="left"/>
              <w:rPr>
                <w:sz w:val="20"/>
              </w:rPr>
            </w:pPr>
            <w:r>
              <w:rPr>
                <w:sz w:val="20"/>
              </w:rPr>
              <w:t>31.0</w:t>
            </w:r>
          </w:p>
        </w:tc>
        <w:tc>
          <w:tcPr>
            <w:tcW w:w="617" w:type="dxa"/>
          </w:tcPr>
          <w:p>
            <w:pPr>
              <w:pStyle w:val="TableParagraph"/>
              <w:spacing w:before="108"/>
              <w:ind w:left="108" w:right="108"/>
              <w:rPr>
                <w:sz w:val="20"/>
              </w:rPr>
            </w:pPr>
            <w:r>
              <w:rPr>
                <w:sz w:val="20"/>
              </w:rPr>
              <w:t>17.3</w:t>
            </w:r>
          </w:p>
        </w:tc>
        <w:tc>
          <w:tcPr>
            <w:tcW w:w="614" w:type="dxa"/>
          </w:tcPr>
          <w:p>
            <w:pPr>
              <w:pStyle w:val="TableParagraph"/>
              <w:spacing w:before="108"/>
              <w:ind w:left="105" w:right="107"/>
              <w:rPr>
                <w:sz w:val="20"/>
              </w:rPr>
            </w:pPr>
            <w:r>
              <w:rPr>
                <w:sz w:val="20"/>
              </w:rPr>
              <w:t>62.0</w:t>
            </w:r>
          </w:p>
        </w:tc>
        <w:tc>
          <w:tcPr>
            <w:tcW w:w="617" w:type="dxa"/>
          </w:tcPr>
          <w:p>
            <w:pPr>
              <w:pStyle w:val="TableParagraph"/>
              <w:spacing w:before="108"/>
              <w:ind w:left="127"/>
              <w:jc w:val="left"/>
              <w:rPr>
                <w:sz w:val="20"/>
              </w:rPr>
            </w:pPr>
            <w:r>
              <w:rPr>
                <w:sz w:val="20"/>
              </w:rPr>
              <w:t>17.6</w:t>
            </w:r>
          </w:p>
        </w:tc>
        <w:tc>
          <w:tcPr>
            <w:tcW w:w="617" w:type="dxa"/>
          </w:tcPr>
          <w:p>
            <w:pPr>
              <w:pStyle w:val="TableParagraph"/>
              <w:spacing w:before="108"/>
              <w:ind w:left="108" w:right="109"/>
              <w:rPr>
                <w:sz w:val="20"/>
              </w:rPr>
            </w:pPr>
            <w:r>
              <w:rPr>
                <w:sz w:val="20"/>
              </w:rPr>
              <w:t>18.0</w:t>
            </w:r>
          </w:p>
        </w:tc>
        <w:tc>
          <w:tcPr>
            <w:tcW w:w="615" w:type="dxa"/>
          </w:tcPr>
          <w:p>
            <w:pPr>
              <w:pStyle w:val="TableParagraph"/>
              <w:spacing w:before="108"/>
              <w:ind w:right="125"/>
              <w:jc w:val="right"/>
              <w:rPr>
                <w:sz w:val="20"/>
              </w:rPr>
            </w:pPr>
            <w:r>
              <w:rPr>
                <w:sz w:val="20"/>
              </w:rPr>
              <w:t>25.6</w:t>
            </w:r>
          </w:p>
        </w:tc>
      </w:tr>
      <w:tr>
        <w:trPr>
          <w:trHeight w:val="470" w:hRule="exact"/>
        </w:trPr>
        <w:tc>
          <w:tcPr>
            <w:tcW w:w="4518" w:type="dxa"/>
          </w:tcPr>
          <w:p>
            <w:pPr>
              <w:pStyle w:val="TableParagraph"/>
              <w:ind w:left="103" w:right="130"/>
              <w:jc w:val="left"/>
              <w:rPr>
                <w:b/>
                <w:sz w:val="20"/>
              </w:rPr>
            </w:pPr>
            <w:r>
              <w:rPr>
                <w:b/>
                <w:sz w:val="20"/>
              </w:rPr>
              <w:t>Fabricación de partes de sistemas de frenos para vehículos automotrices</w:t>
            </w:r>
          </w:p>
        </w:tc>
        <w:tc>
          <w:tcPr>
            <w:tcW w:w="614" w:type="dxa"/>
          </w:tcPr>
          <w:p>
            <w:pPr>
              <w:pStyle w:val="TableParagraph"/>
              <w:spacing w:before="108"/>
              <w:ind w:left="106" w:right="106"/>
              <w:rPr>
                <w:sz w:val="20"/>
              </w:rPr>
            </w:pPr>
            <w:r>
              <w:rPr>
                <w:sz w:val="20"/>
              </w:rPr>
              <w:t>3.2</w:t>
            </w:r>
          </w:p>
        </w:tc>
        <w:tc>
          <w:tcPr>
            <w:tcW w:w="617" w:type="dxa"/>
          </w:tcPr>
          <w:p>
            <w:pPr>
              <w:pStyle w:val="TableParagraph"/>
              <w:spacing w:before="108"/>
              <w:ind w:left="177"/>
              <w:jc w:val="left"/>
              <w:rPr>
                <w:sz w:val="20"/>
              </w:rPr>
            </w:pPr>
            <w:r>
              <w:rPr>
                <w:sz w:val="20"/>
              </w:rPr>
              <w:t>0.4</w:t>
            </w:r>
          </w:p>
        </w:tc>
        <w:tc>
          <w:tcPr>
            <w:tcW w:w="617" w:type="dxa"/>
          </w:tcPr>
          <w:p>
            <w:pPr>
              <w:pStyle w:val="TableParagraph"/>
              <w:spacing w:before="108"/>
              <w:ind w:left="108" w:right="108"/>
              <w:rPr>
                <w:sz w:val="20"/>
              </w:rPr>
            </w:pPr>
            <w:r>
              <w:rPr>
                <w:sz w:val="20"/>
              </w:rPr>
              <w:t>0.2</w:t>
            </w:r>
          </w:p>
        </w:tc>
        <w:tc>
          <w:tcPr>
            <w:tcW w:w="614" w:type="dxa"/>
          </w:tcPr>
          <w:p>
            <w:pPr>
              <w:pStyle w:val="TableParagraph"/>
              <w:spacing w:before="108"/>
              <w:ind w:left="105" w:right="107"/>
              <w:rPr>
                <w:sz w:val="20"/>
              </w:rPr>
            </w:pPr>
            <w:r>
              <w:rPr>
                <w:sz w:val="20"/>
              </w:rPr>
              <w:t>3.4</w:t>
            </w:r>
          </w:p>
        </w:tc>
        <w:tc>
          <w:tcPr>
            <w:tcW w:w="617" w:type="dxa"/>
          </w:tcPr>
          <w:p>
            <w:pPr>
              <w:pStyle w:val="TableParagraph"/>
              <w:spacing w:before="108"/>
              <w:ind w:left="177"/>
              <w:jc w:val="left"/>
              <w:rPr>
                <w:sz w:val="20"/>
              </w:rPr>
            </w:pPr>
            <w:r>
              <w:rPr>
                <w:sz w:val="20"/>
              </w:rPr>
              <w:t>5.9</w:t>
            </w:r>
          </w:p>
        </w:tc>
        <w:tc>
          <w:tcPr>
            <w:tcW w:w="617" w:type="dxa"/>
          </w:tcPr>
          <w:p>
            <w:pPr>
              <w:pStyle w:val="TableParagraph"/>
              <w:spacing w:before="108"/>
              <w:ind w:left="108" w:right="109"/>
              <w:rPr>
                <w:sz w:val="20"/>
              </w:rPr>
            </w:pPr>
            <w:r>
              <w:rPr>
                <w:sz w:val="20"/>
              </w:rPr>
              <w:t>3.8</w:t>
            </w:r>
          </w:p>
        </w:tc>
        <w:tc>
          <w:tcPr>
            <w:tcW w:w="615" w:type="dxa"/>
          </w:tcPr>
          <w:p>
            <w:pPr>
              <w:pStyle w:val="TableParagraph"/>
              <w:spacing w:before="108"/>
              <w:ind w:left="177"/>
              <w:jc w:val="left"/>
              <w:rPr>
                <w:sz w:val="20"/>
              </w:rPr>
            </w:pPr>
            <w:r>
              <w:rPr>
                <w:sz w:val="20"/>
              </w:rPr>
              <w:t>7.5</w:t>
            </w:r>
          </w:p>
        </w:tc>
      </w:tr>
      <w:tr>
        <w:trPr>
          <w:trHeight w:val="470" w:hRule="exact"/>
        </w:trPr>
        <w:tc>
          <w:tcPr>
            <w:tcW w:w="4518" w:type="dxa"/>
          </w:tcPr>
          <w:p>
            <w:pPr>
              <w:pStyle w:val="TableParagraph"/>
              <w:ind w:left="103"/>
              <w:jc w:val="left"/>
              <w:rPr>
                <w:b/>
                <w:sz w:val="20"/>
              </w:rPr>
            </w:pPr>
            <w:r>
              <w:rPr>
                <w:b/>
                <w:sz w:val="20"/>
              </w:rPr>
              <w:t>Fabricación de equipo eléctrico y electrónico para vehículos automotores</w:t>
            </w:r>
          </w:p>
        </w:tc>
        <w:tc>
          <w:tcPr>
            <w:tcW w:w="614" w:type="dxa"/>
          </w:tcPr>
          <w:p>
            <w:pPr>
              <w:pStyle w:val="TableParagraph"/>
              <w:spacing w:before="108"/>
              <w:ind w:left="106" w:right="106"/>
              <w:rPr>
                <w:sz w:val="20"/>
              </w:rPr>
            </w:pPr>
            <w:r>
              <w:rPr>
                <w:sz w:val="20"/>
              </w:rPr>
              <w:t>0.0</w:t>
            </w:r>
          </w:p>
        </w:tc>
        <w:tc>
          <w:tcPr>
            <w:tcW w:w="617" w:type="dxa"/>
          </w:tcPr>
          <w:p>
            <w:pPr>
              <w:pStyle w:val="TableParagraph"/>
              <w:spacing w:before="108"/>
              <w:ind w:left="177"/>
              <w:jc w:val="left"/>
              <w:rPr>
                <w:sz w:val="20"/>
              </w:rPr>
            </w:pPr>
            <w:r>
              <w:rPr>
                <w:sz w:val="20"/>
              </w:rPr>
              <w:t>0.6</w:t>
            </w:r>
          </w:p>
        </w:tc>
        <w:tc>
          <w:tcPr>
            <w:tcW w:w="617" w:type="dxa"/>
          </w:tcPr>
          <w:p>
            <w:pPr>
              <w:pStyle w:val="TableParagraph"/>
              <w:spacing w:before="108"/>
              <w:ind w:left="108" w:right="108"/>
              <w:rPr>
                <w:sz w:val="20"/>
              </w:rPr>
            </w:pPr>
            <w:r>
              <w:rPr>
                <w:sz w:val="20"/>
              </w:rPr>
              <w:t>0.3</w:t>
            </w:r>
          </w:p>
        </w:tc>
        <w:tc>
          <w:tcPr>
            <w:tcW w:w="614" w:type="dxa"/>
          </w:tcPr>
          <w:p>
            <w:pPr>
              <w:pStyle w:val="TableParagraph"/>
              <w:spacing w:before="108"/>
              <w:ind w:left="105" w:right="107"/>
              <w:rPr>
                <w:sz w:val="20"/>
              </w:rPr>
            </w:pPr>
            <w:r>
              <w:rPr>
                <w:sz w:val="20"/>
              </w:rPr>
              <w:t>0.2</w:t>
            </w:r>
          </w:p>
        </w:tc>
        <w:tc>
          <w:tcPr>
            <w:tcW w:w="617" w:type="dxa"/>
          </w:tcPr>
          <w:p>
            <w:pPr>
              <w:pStyle w:val="TableParagraph"/>
              <w:spacing w:before="108"/>
              <w:ind w:left="177"/>
              <w:jc w:val="left"/>
              <w:rPr>
                <w:sz w:val="20"/>
              </w:rPr>
            </w:pPr>
            <w:r>
              <w:rPr>
                <w:sz w:val="20"/>
              </w:rPr>
              <w:t>1.6</w:t>
            </w:r>
          </w:p>
        </w:tc>
        <w:tc>
          <w:tcPr>
            <w:tcW w:w="617" w:type="dxa"/>
          </w:tcPr>
          <w:p>
            <w:pPr>
              <w:pStyle w:val="TableParagraph"/>
              <w:spacing w:before="108"/>
              <w:ind w:left="108" w:right="109"/>
              <w:rPr>
                <w:sz w:val="20"/>
              </w:rPr>
            </w:pPr>
            <w:r>
              <w:rPr>
                <w:sz w:val="20"/>
              </w:rPr>
              <w:t>0.5</w:t>
            </w:r>
          </w:p>
        </w:tc>
        <w:tc>
          <w:tcPr>
            <w:tcW w:w="615" w:type="dxa"/>
          </w:tcPr>
          <w:p>
            <w:pPr>
              <w:pStyle w:val="TableParagraph"/>
              <w:spacing w:before="108"/>
              <w:ind w:left="177"/>
              <w:jc w:val="left"/>
              <w:rPr>
                <w:sz w:val="20"/>
              </w:rPr>
            </w:pPr>
            <w:r>
              <w:rPr>
                <w:sz w:val="20"/>
              </w:rPr>
              <w:t>2.0</w:t>
            </w:r>
          </w:p>
        </w:tc>
      </w:tr>
      <w:tr>
        <w:trPr>
          <w:trHeight w:val="470" w:hRule="exact"/>
        </w:trPr>
        <w:tc>
          <w:tcPr>
            <w:tcW w:w="4518" w:type="dxa"/>
          </w:tcPr>
          <w:p>
            <w:pPr>
              <w:pStyle w:val="TableParagraph"/>
              <w:ind w:left="103" w:right="130"/>
              <w:jc w:val="left"/>
              <w:rPr>
                <w:b/>
                <w:sz w:val="20"/>
              </w:rPr>
            </w:pPr>
            <w:r>
              <w:rPr>
                <w:b/>
                <w:sz w:val="20"/>
              </w:rPr>
              <w:t>Fabricación de otras partes para vehículos automotrices</w:t>
            </w:r>
          </w:p>
        </w:tc>
        <w:tc>
          <w:tcPr>
            <w:tcW w:w="614" w:type="dxa"/>
          </w:tcPr>
          <w:p>
            <w:pPr>
              <w:pStyle w:val="TableParagraph"/>
              <w:spacing w:before="108"/>
              <w:ind w:left="106" w:right="106"/>
              <w:rPr>
                <w:sz w:val="20"/>
              </w:rPr>
            </w:pPr>
            <w:r>
              <w:rPr>
                <w:sz w:val="20"/>
              </w:rPr>
              <w:t>10.0</w:t>
            </w:r>
          </w:p>
        </w:tc>
        <w:tc>
          <w:tcPr>
            <w:tcW w:w="617" w:type="dxa"/>
          </w:tcPr>
          <w:p>
            <w:pPr>
              <w:pStyle w:val="TableParagraph"/>
              <w:spacing w:before="108"/>
              <w:ind w:left="177"/>
              <w:jc w:val="left"/>
              <w:rPr>
                <w:sz w:val="20"/>
              </w:rPr>
            </w:pPr>
            <w:r>
              <w:rPr>
                <w:sz w:val="20"/>
              </w:rPr>
              <w:t>1.5</w:t>
            </w:r>
          </w:p>
        </w:tc>
        <w:tc>
          <w:tcPr>
            <w:tcW w:w="617" w:type="dxa"/>
          </w:tcPr>
          <w:p>
            <w:pPr>
              <w:pStyle w:val="TableParagraph"/>
              <w:spacing w:before="108"/>
              <w:ind w:left="108" w:right="108"/>
              <w:rPr>
                <w:sz w:val="20"/>
              </w:rPr>
            </w:pPr>
            <w:r>
              <w:rPr>
                <w:sz w:val="20"/>
              </w:rPr>
              <w:t>3.5</w:t>
            </w:r>
          </w:p>
        </w:tc>
        <w:tc>
          <w:tcPr>
            <w:tcW w:w="614" w:type="dxa"/>
          </w:tcPr>
          <w:p>
            <w:pPr>
              <w:pStyle w:val="TableParagraph"/>
              <w:spacing w:before="108"/>
              <w:ind w:left="105" w:right="107"/>
              <w:rPr>
                <w:sz w:val="20"/>
              </w:rPr>
            </w:pPr>
            <w:r>
              <w:rPr>
                <w:sz w:val="20"/>
              </w:rPr>
              <w:t>6.0</w:t>
            </w:r>
          </w:p>
        </w:tc>
        <w:tc>
          <w:tcPr>
            <w:tcW w:w="617" w:type="dxa"/>
          </w:tcPr>
          <w:p>
            <w:pPr>
              <w:pStyle w:val="TableParagraph"/>
              <w:spacing w:before="108"/>
              <w:ind w:left="177"/>
              <w:jc w:val="left"/>
              <w:rPr>
                <w:sz w:val="20"/>
              </w:rPr>
            </w:pPr>
            <w:r>
              <w:rPr>
                <w:sz w:val="20"/>
              </w:rPr>
              <w:t>4.5</w:t>
            </w:r>
          </w:p>
        </w:tc>
        <w:tc>
          <w:tcPr>
            <w:tcW w:w="617" w:type="dxa"/>
          </w:tcPr>
          <w:p>
            <w:pPr>
              <w:pStyle w:val="TableParagraph"/>
              <w:spacing w:before="108"/>
              <w:ind w:left="108" w:right="109"/>
              <w:rPr>
                <w:sz w:val="20"/>
              </w:rPr>
            </w:pPr>
            <w:r>
              <w:rPr>
                <w:sz w:val="20"/>
              </w:rPr>
              <w:t>4.5</w:t>
            </w:r>
          </w:p>
        </w:tc>
        <w:tc>
          <w:tcPr>
            <w:tcW w:w="615" w:type="dxa"/>
          </w:tcPr>
          <w:p>
            <w:pPr>
              <w:pStyle w:val="TableParagraph"/>
              <w:spacing w:before="108"/>
              <w:ind w:left="177"/>
              <w:jc w:val="left"/>
              <w:rPr>
                <w:sz w:val="20"/>
              </w:rPr>
            </w:pPr>
            <w:r>
              <w:rPr>
                <w:sz w:val="20"/>
              </w:rPr>
              <w:t>6.8</w:t>
            </w:r>
          </w:p>
        </w:tc>
      </w:tr>
    </w:tbl>
    <w:p>
      <w:pPr>
        <w:spacing w:line="202" w:lineRule="exact" w:before="0"/>
        <w:ind w:left="102" w:right="0" w:firstLine="0"/>
        <w:jc w:val="both"/>
        <w:rPr>
          <w:sz w:val="18"/>
        </w:rPr>
      </w:pPr>
      <w:r>
        <w:rPr>
          <w:sz w:val="18"/>
        </w:rPr>
        <w:t>Fuente: Elaboración propia con datos de INEGI (varios años)</w:t>
      </w:r>
    </w:p>
    <w:p>
      <w:pPr>
        <w:pStyle w:val="BodyText"/>
        <w:rPr>
          <w:sz w:val="18"/>
        </w:rPr>
      </w:pPr>
    </w:p>
    <w:p>
      <w:pPr>
        <w:pStyle w:val="BodyText"/>
        <w:spacing w:line="360" w:lineRule="auto" w:before="135"/>
        <w:ind w:left="102" w:right="118"/>
        <w:jc w:val="both"/>
      </w:pPr>
      <w:r>
        <w:rPr/>
        <w:t>En lo que respecta al personal ocupado, la región occidente muestra el mismo comportamiento que en el VACB, pues la rama con mayor participación en el total nacional es la fabricación de sistemas de dirección y suspensión, sin embargo, en dicha rama su participación</w:t>
      </w:r>
      <w:r>
        <w:rPr>
          <w:spacing w:val="-8"/>
        </w:rPr>
        <w:t> </w:t>
      </w:r>
      <w:r>
        <w:rPr/>
        <w:t>ha</w:t>
      </w:r>
      <w:r>
        <w:rPr>
          <w:spacing w:val="-10"/>
        </w:rPr>
        <w:t> </w:t>
      </w:r>
      <w:r>
        <w:rPr/>
        <w:t>ido</w:t>
      </w:r>
      <w:r>
        <w:rPr>
          <w:spacing w:val="-8"/>
        </w:rPr>
        <w:t> </w:t>
      </w:r>
      <w:r>
        <w:rPr/>
        <w:t>en</w:t>
      </w:r>
      <w:r>
        <w:rPr>
          <w:spacing w:val="-7"/>
        </w:rPr>
        <w:t> </w:t>
      </w:r>
      <w:r>
        <w:rPr/>
        <w:t>detrimento,</w:t>
      </w:r>
      <w:r>
        <w:rPr>
          <w:spacing w:val="-9"/>
        </w:rPr>
        <w:t> </w:t>
      </w:r>
      <w:r>
        <w:rPr/>
        <w:t>pues</w:t>
      </w:r>
      <w:r>
        <w:rPr>
          <w:spacing w:val="-8"/>
        </w:rPr>
        <w:t> </w:t>
      </w:r>
      <w:r>
        <w:rPr/>
        <w:t>en</w:t>
      </w:r>
      <w:r>
        <w:rPr>
          <w:spacing w:val="-9"/>
        </w:rPr>
        <w:t> </w:t>
      </w:r>
      <w:r>
        <w:rPr/>
        <w:t>1980</w:t>
      </w:r>
      <w:r>
        <w:rPr>
          <w:spacing w:val="-7"/>
        </w:rPr>
        <w:t> </w:t>
      </w:r>
      <w:r>
        <w:rPr/>
        <w:t>concentraba</w:t>
      </w:r>
      <w:r>
        <w:rPr>
          <w:spacing w:val="-10"/>
        </w:rPr>
        <w:t> </w:t>
      </w:r>
      <w:r>
        <w:rPr/>
        <w:t>el</w:t>
      </w:r>
      <w:r>
        <w:rPr>
          <w:spacing w:val="-8"/>
        </w:rPr>
        <w:t> </w:t>
      </w:r>
      <w:r>
        <w:rPr/>
        <w:t>31.2%</w:t>
      </w:r>
      <w:r>
        <w:rPr>
          <w:spacing w:val="-9"/>
        </w:rPr>
        <w:t> </w:t>
      </w:r>
      <w:r>
        <w:rPr/>
        <w:t>del</w:t>
      </w:r>
      <w:r>
        <w:rPr>
          <w:spacing w:val="-6"/>
        </w:rPr>
        <w:t> </w:t>
      </w:r>
      <w:r>
        <w:rPr/>
        <w:t>empleo</w:t>
      </w:r>
      <w:r>
        <w:rPr>
          <w:spacing w:val="-4"/>
        </w:rPr>
        <w:t> </w:t>
      </w:r>
      <w:r>
        <w:rPr/>
        <w:t>y</w:t>
      </w:r>
      <w:r>
        <w:rPr>
          <w:spacing w:val="-13"/>
        </w:rPr>
        <w:t> </w:t>
      </w:r>
      <w:r>
        <w:rPr/>
        <w:t>en</w:t>
      </w:r>
      <w:r>
        <w:rPr>
          <w:spacing w:val="-7"/>
        </w:rPr>
        <w:t> </w:t>
      </w:r>
      <w:r>
        <w:rPr/>
        <w:t>2008 se redujo a 19.1% (véase cuadro</w:t>
      </w:r>
      <w:r>
        <w:rPr>
          <w:spacing w:val="-8"/>
        </w:rPr>
        <w:t> </w:t>
      </w:r>
      <w:r>
        <w:rPr/>
        <w:t>4.36).</w:t>
      </w:r>
    </w:p>
    <w:p>
      <w:pPr>
        <w:spacing w:after="0" w:line="360" w:lineRule="auto"/>
        <w:jc w:val="both"/>
        <w:sectPr>
          <w:pgSz w:w="12240" w:h="15840"/>
          <w:pgMar w:header="0" w:footer="1035" w:top="1360" w:bottom="1220" w:left="1600" w:right="1580"/>
        </w:sectPr>
      </w:pPr>
    </w:p>
    <w:p>
      <w:pPr>
        <w:pStyle w:val="Heading1"/>
        <w:spacing w:line="360" w:lineRule="auto" w:before="55" w:after="6"/>
        <w:ind w:left="829" w:right="119" w:hanging="356"/>
      </w:pPr>
      <w:r>
        <w:rPr/>
        <w:t>Cuadro 4.36. Participación porcentual de la región occidente en las ramas de la industria automotriz en el total nacional, 1980-2008 (Personal Ocupado)</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18"/>
        <w:gridCol w:w="614"/>
        <w:gridCol w:w="617"/>
        <w:gridCol w:w="617"/>
        <w:gridCol w:w="614"/>
        <w:gridCol w:w="617"/>
        <w:gridCol w:w="617"/>
        <w:gridCol w:w="615"/>
      </w:tblGrid>
      <w:tr>
        <w:trPr>
          <w:trHeight w:val="325" w:hRule="exact"/>
        </w:trPr>
        <w:tc>
          <w:tcPr>
            <w:tcW w:w="4518" w:type="dxa"/>
            <w:tcBorders>
              <w:right w:val="nil"/>
            </w:tcBorders>
            <w:shd w:val="clear" w:color="auto" w:fill="A6A6A6"/>
          </w:tcPr>
          <w:p>
            <w:pPr/>
          </w:p>
        </w:tc>
        <w:tc>
          <w:tcPr>
            <w:tcW w:w="614" w:type="dxa"/>
            <w:tcBorders>
              <w:left w:val="nil"/>
              <w:right w:val="nil"/>
            </w:tcBorders>
            <w:shd w:val="clear" w:color="auto" w:fill="A6A6A6"/>
          </w:tcPr>
          <w:p>
            <w:pPr>
              <w:pStyle w:val="TableParagraph"/>
              <w:spacing w:before="40"/>
              <w:ind w:left="87" w:right="83"/>
              <w:rPr>
                <w:b/>
                <w:sz w:val="20"/>
              </w:rPr>
            </w:pPr>
            <w:r>
              <w:rPr>
                <w:b/>
                <w:sz w:val="20"/>
              </w:rPr>
              <w:t>1980</w:t>
            </w:r>
          </w:p>
        </w:tc>
        <w:tc>
          <w:tcPr>
            <w:tcW w:w="617" w:type="dxa"/>
            <w:tcBorders>
              <w:left w:val="nil"/>
              <w:right w:val="nil"/>
            </w:tcBorders>
            <w:shd w:val="clear" w:color="auto" w:fill="A6A6A6"/>
          </w:tcPr>
          <w:p>
            <w:pPr>
              <w:pStyle w:val="TableParagraph"/>
              <w:spacing w:before="40"/>
              <w:ind w:left="107"/>
              <w:jc w:val="left"/>
              <w:rPr>
                <w:b/>
                <w:sz w:val="20"/>
              </w:rPr>
            </w:pPr>
            <w:r>
              <w:rPr>
                <w:b/>
                <w:sz w:val="20"/>
              </w:rPr>
              <w:t>1985</w:t>
            </w:r>
          </w:p>
        </w:tc>
        <w:tc>
          <w:tcPr>
            <w:tcW w:w="617" w:type="dxa"/>
            <w:tcBorders>
              <w:left w:val="nil"/>
              <w:right w:val="nil"/>
            </w:tcBorders>
            <w:shd w:val="clear" w:color="auto" w:fill="A6A6A6"/>
          </w:tcPr>
          <w:p>
            <w:pPr>
              <w:pStyle w:val="TableParagraph"/>
              <w:spacing w:before="40"/>
              <w:ind w:left="89" w:right="88"/>
              <w:rPr>
                <w:b/>
                <w:sz w:val="20"/>
              </w:rPr>
            </w:pPr>
            <w:r>
              <w:rPr>
                <w:b/>
                <w:sz w:val="20"/>
              </w:rPr>
              <w:t>1988</w:t>
            </w:r>
          </w:p>
        </w:tc>
        <w:tc>
          <w:tcPr>
            <w:tcW w:w="614" w:type="dxa"/>
            <w:tcBorders>
              <w:left w:val="nil"/>
              <w:right w:val="nil"/>
            </w:tcBorders>
            <w:shd w:val="clear" w:color="auto" w:fill="A6A6A6"/>
          </w:tcPr>
          <w:p>
            <w:pPr>
              <w:pStyle w:val="TableParagraph"/>
              <w:spacing w:before="40"/>
              <w:ind w:left="85" w:right="85"/>
              <w:rPr>
                <w:b/>
                <w:sz w:val="20"/>
              </w:rPr>
            </w:pPr>
            <w:r>
              <w:rPr>
                <w:b/>
                <w:sz w:val="20"/>
              </w:rPr>
              <w:t>1993</w:t>
            </w:r>
          </w:p>
        </w:tc>
        <w:tc>
          <w:tcPr>
            <w:tcW w:w="617" w:type="dxa"/>
            <w:tcBorders>
              <w:left w:val="nil"/>
              <w:right w:val="nil"/>
            </w:tcBorders>
            <w:shd w:val="clear" w:color="auto" w:fill="A6A6A6"/>
          </w:tcPr>
          <w:p>
            <w:pPr>
              <w:pStyle w:val="TableParagraph"/>
              <w:spacing w:before="40"/>
              <w:ind w:right="103"/>
              <w:jc w:val="right"/>
              <w:rPr>
                <w:b/>
                <w:sz w:val="20"/>
              </w:rPr>
            </w:pPr>
            <w:r>
              <w:rPr>
                <w:b/>
                <w:sz w:val="20"/>
              </w:rPr>
              <w:t>1998</w:t>
            </w:r>
          </w:p>
        </w:tc>
        <w:tc>
          <w:tcPr>
            <w:tcW w:w="617" w:type="dxa"/>
            <w:tcBorders>
              <w:left w:val="nil"/>
              <w:right w:val="nil"/>
            </w:tcBorders>
            <w:shd w:val="clear" w:color="auto" w:fill="A6A6A6"/>
          </w:tcPr>
          <w:p>
            <w:pPr>
              <w:pStyle w:val="TableParagraph"/>
              <w:spacing w:before="40"/>
              <w:ind w:left="89" w:right="87"/>
              <w:rPr>
                <w:b/>
                <w:sz w:val="20"/>
              </w:rPr>
            </w:pPr>
            <w:r>
              <w:rPr>
                <w:b/>
                <w:sz w:val="20"/>
              </w:rPr>
              <w:t>2003</w:t>
            </w:r>
          </w:p>
        </w:tc>
        <w:tc>
          <w:tcPr>
            <w:tcW w:w="615" w:type="dxa"/>
            <w:tcBorders>
              <w:left w:val="nil"/>
            </w:tcBorders>
            <w:shd w:val="clear" w:color="auto" w:fill="A6A6A6"/>
          </w:tcPr>
          <w:p>
            <w:pPr>
              <w:pStyle w:val="TableParagraph"/>
              <w:spacing w:before="40"/>
              <w:ind w:right="99"/>
              <w:jc w:val="right"/>
              <w:rPr>
                <w:b/>
                <w:sz w:val="20"/>
              </w:rPr>
            </w:pPr>
            <w:r>
              <w:rPr>
                <w:b/>
                <w:sz w:val="20"/>
              </w:rPr>
              <w:t>2008</w:t>
            </w:r>
          </w:p>
        </w:tc>
      </w:tr>
      <w:tr>
        <w:trPr>
          <w:trHeight w:val="422" w:hRule="exact"/>
        </w:trPr>
        <w:tc>
          <w:tcPr>
            <w:tcW w:w="4518" w:type="dxa"/>
            <w:tcBorders>
              <w:top w:val="single" w:sz="21" w:space="0" w:color="A6A6A6"/>
            </w:tcBorders>
          </w:tcPr>
          <w:p>
            <w:pPr>
              <w:pStyle w:val="TableParagraph"/>
              <w:spacing w:before="67"/>
              <w:ind w:left="103" w:right="130"/>
              <w:jc w:val="left"/>
              <w:rPr>
                <w:b/>
                <w:sz w:val="20"/>
              </w:rPr>
            </w:pPr>
            <w:r>
              <w:rPr>
                <w:b/>
                <w:sz w:val="20"/>
              </w:rPr>
              <w:t>Fabricación de automóviles y camiones</w:t>
            </w:r>
          </w:p>
        </w:tc>
        <w:tc>
          <w:tcPr>
            <w:tcW w:w="614" w:type="dxa"/>
            <w:tcBorders>
              <w:top w:val="single" w:sz="21" w:space="0" w:color="A6A6A6"/>
            </w:tcBorders>
          </w:tcPr>
          <w:p>
            <w:pPr>
              <w:pStyle w:val="TableParagraph"/>
              <w:spacing w:before="63"/>
              <w:ind w:left="106" w:right="106"/>
              <w:rPr>
                <w:sz w:val="20"/>
              </w:rPr>
            </w:pPr>
            <w:r>
              <w:rPr>
                <w:sz w:val="20"/>
              </w:rPr>
              <w:t>0.0</w:t>
            </w:r>
          </w:p>
        </w:tc>
        <w:tc>
          <w:tcPr>
            <w:tcW w:w="617" w:type="dxa"/>
            <w:tcBorders>
              <w:top w:val="single" w:sz="21" w:space="0" w:color="A6A6A6"/>
            </w:tcBorders>
          </w:tcPr>
          <w:p>
            <w:pPr>
              <w:pStyle w:val="TableParagraph"/>
              <w:spacing w:before="63"/>
              <w:ind w:left="177"/>
              <w:jc w:val="left"/>
              <w:rPr>
                <w:sz w:val="20"/>
              </w:rPr>
            </w:pPr>
            <w:r>
              <w:rPr>
                <w:sz w:val="20"/>
              </w:rPr>
              <w:t>1.8</w:t>
            </w:r>
          </w:p>
        </w:tc>
        <w:tc>
          <w:tcPr>
            <w:tcW w:w="617" w:type="dxa"/>
            <w:tcBorders>
              <w:top w:val="single" w:sz="21" w:space="0" w:color="A6A6A6"/>
            </w:tcBorders>
          </w:tcPr>
          <w:p>
            <w:pPr>
              <w:pStyle w:val="TableParagraph"/>
              <w:spacing w:before="63"/>
              <w:ind w:right="2"/>
              <w:rPr>
                <w:sz w:val="20"/>
              </w:rPr>
            </w:pPr>
            <w:r>
              <w:rPr>
                <w:w w:val="99"/>
                <w:sz w:val="20"/>
              </w:rPr>
              <w:t>0</w:t>
            </w:r>
          </w:p>
        </w:tc>
        <w:tc>
          <w:tcPr>
            <w:tcW w:w="614" w:type="dxa"/>
            <w:tcBorders>
              <w:top w:val="single" w:sz="21" w:space="0" w:color="A6A6A6"/>
            </w:tcBorders>
          </w:tcPr>
          <w:p>
            <w:pPr>
              <w:pStyle w:val="TableParagraph"/>
              <w:spacing w:before="63"/>
              <w:ind w:left="105" w:right="107"/>
              <w:rPr>
                <w:sz w:val="20"/>
              </w:rPr>
            </w:pPr>
            <w:r>
              <w:rPr>
                <w:sz w:val="20"/>
              </w:rPr>
              <w:t>4.6</w:t>
            </w:r>
          </w:p>
        </w:tc>
        <w:tc>
          <w:tcPr>
            <w:tcW w:w="617" w:type="dxa"/>
            <w:tcBorders>
              <w:top w:val="single" w:sz="21" w:space="0" w:color="A6A6A6"/>
            </w:tcBorders>
          </w:tcPr>
          <w:p>
            <w:pPr>
              <w:pStyle w:val="TableParagraph"/>
              <w:spacing w:before="63"/>
              <w:ind w:right="177"/>
              <w:jc w:val="right"/>
              <w:rPr>
                <w:sz w:val="20"/>
              </w:rPr>
            </w:pPr>
            <w:r>
              <w:rPr>
                <w:sz w:val="20"/>
              </w:rPr>
              <w:t>5.8</w:t>
            </w:r>
          </w:p>
        </w:tc>
        <w:tc>
          <w:tcPr>
            <w:tcW w:w="617" w:type="dxa"/>
            <w:tcBorders>
              <w:top w:val="single" w:sz="21" w:space="0" w:color="A6A6A6"/>
            </w:tcBorders>
          </w:tcPr>
          <w:p>
            <w:pPr>
              <w:pStyle w:val="TableParagraph"/>
              <w:spacing w:before="63"/>
              <w:ind w:left="108" w:right="109"/>
              <w:rPr>
                <w:sz w:val="20"/>
              </w:rPr>
            </w:pPr>
            <w:r>
              <w:rPr>
                <w:sz w:val="20"/>
              </w:rPr>
              <w:t>8.6</w:t>
            </w:r>
          </w:p>
        </w:tc>
        <w:tc>
          <w:tcPr>
            <w:tcW w:w="615" w:type="dxa"/>
            <w:tcBorders>
              <w:top w:val="single" w:sz="21" w:space="0" w:color="A6A6A6"/>
            </w:tcBorders>
          </w:tcPr>
          <w:p>
            <w:pPr>
              <w:pStyle w:val="TableParagraph"/>
              <w:spacing w:before="63"/>
              <w:ind w:left="177"/>
              <w:jc w:val="left"/>
              <w:rPr>
                <w:sz w:val="20"/>
              </w:rPr>
            </w:pPr>
            <w:r>
              <w:rPr>
                <w:sz w:val="20"/>
              </w:rPr>
              <w:t>9.6</w:t>
            </w:r>
          </w:p>
        </w:tc>
      </w:tr>
      <w:tr>
        <w:trPr>
          <w:trHeight w:val="427" w:hRule="exact"/>
        </w:trPr>
        <w:tc>
          <w:tcPr>
            <w:tcW w:w="4518" w:type="dxa"/>
          </w:tcPr>
          <w:p>
            <w:pPr>
              <w:pStyle w:val="TableParagraph"/>
              <w:spacing w:before="91"/>
              <w:ind w:left="103" w:right="130"/>
              <w:jc w:val="left"/>
              <w:rPr>
                <w:b/>
                <w:sz w:val="20"/>
              </w:rPr>
            </w:pPr>
            <w:r>
              <w:rPr>
                <w:b/>
                <w:sz w:val="20"/>
              </w:rPr>
              <w:t>Fabricación de carrocerías y remolques</w:t>
            </w:r>
          </w:p>
        </w:tc>
        <w:tc>
          <w:tcPr>
            <w:tcW w:w="614" w:type="dxa"/>
          </w:tcPr>
          <w:p>
            <w:pPr>
              <w:pStyle w:val="TableParagraph"/>
              <w:spacing w:before="87"/>
              <w:ind w:left="106" w:right="106"/>
              <w:rPr>
                <w:sz w:val="20"/>
              </w:rPr>
            </w:pPr>
            <w:r>
              <w:rPr>
                <w:sz w:val="20"/>
              </w:rPr>
              <w:t>4.8</w:t>
            </w:r>
          </w:p>
        </w:tc>
        <w:tc>
          <w:tcPr>
            <w:tcW w:w="617" w:type="dxa"/>
          </w:tcPr>
          <w:p>
            <w:pPr>
              <w:pStyle w:val="TableParagraph"/>
              <w:spacing w:before="87"/>
              <w:ind w:left="177"/>
              <w:jc w:val="left"/>
              <w:rPr>
                <w:sz w:val="20"/>
              </w:rPr>
            </w:pPr>
            <w:r>
              <w:rPr>
                <w:sz w:val="20"/>
              </w:rPr>
              <w:t>5.8</w:t>
            </w:r>
          </w:p>
        </w:tc>
        <w:tc>
          <w:tcPr>
            <w:tcW w:w="617" w:type="dxa"/>
          </w:tcPr>
          <w:p>
            <w:pPr>
              <w:pStyle w:val="TableParagraph"/>
              <w:spacing w:before="87"/>
              <w:ind w:left="108" w:right="108"/>
              <w:rPr>
                <w:sz w:val="20"/>
              </w:rPr>
            </w:pPr>
            <w:r>
              <w:rPr>
                <w:sz w:val="20"/>
              </w:rPr>
              <w:t>4.9</w:t>
            </w:r>
          </w:p>
        </w:tc>
        <w:tc>
          <w:tcPr>
            <w:tcW w:w="614" w:type="dxa"/>
          </w:tcPr>
          <w:p>
            <w:pPr>
              <w:pStyle w:val="TableParagraph"/>
              <w:spacing w:before="87"/>
              <w:ind w:left="105" w:right="107"/>
              <w:rPr>
                <w:sz w:val="20"/>
              </w:rPr>
            </w:pPr>
            <w:r>
              <w:rPr>
                <w:sz w:val="20"/>
              </w:rPr>
              <w:t>3.5</w:t>
            </w:r>
          </w:p>
        </w:tc>
        <w:tc>
          <w:tcPr>
            <w:tcW w:w="617" w:type="dxa"/>
          </w:tcPr>
          <w:p>
            <w:pPr>
              <w:pStyle w:val="TableParagraph"/>
              <w:spacing w:before="87"/>
              <w:ind w:right="1"/>
              <w:rPr>
                <w:sz w:val="20"/>
              </w:rPr>
            </w:pPr>
            <w:r>
              <w:rPr>
                <w:w w:val="99"/>
                <w:sz w:val="20"/>
              </w:rPr>
              <w:t>5</w:t>
            </w:r>
          </w:p>
        </w:tc>
        <w:tc>
          <w:tcPr>
            <w:tcW w:w="617" w:type="dxa"/>
          </w:tcPr>
          <w:p>
            <w:pPr>
              <w:pStyle w:val="TableParagraph"/>
              <w:spacing w:before="87"/>
              <w:ind w:left="108" w:right="109"/>
              <w:rPr>
                <w:sz w:val="20"/>
              </w:rPr>
            </w:pPr>
            <w:r>
              <w:rPr>
                <w:sz w:val="20"/>
              </w:rPr>
              <w:t>6.0</w:t>
            </w:r>
          </w:p>
        </w:tc>
        <w:tc>
          <w:tcPr>
            <w:tcW w:w="615" w:type="dxa"/>
          </w:tcPr>
          <w:p>
            <w:pPr>
              <w:pStyle w:val="TableParagraph"/>
              <w:spacing w:before="87"/>
              <w:ind w:left="177"/>
              <w:jc w:val="left"/>
              <w:rPr>
                <w:sz w:val="20"/>
              </w:rPr>
            </w:pPr>
            <w:r>
              <w:rPr>
                <w:sz w:val="20"/>
              </w:rPr>
              <w:t>8.6</w:t>
            </w:r>
          </w:p>
        </w:tc>
      </w:tr>
      <w:tr>
        <w:trPr>
          <w:trHeight w:val="470" w:hRule="exact"/>
        </w:trPr>
        <w:tc>
          <w:tcPr>
            <w:tcW w:w="4518" w:type="dxa"/>
          </w:tcPr>
          <w:p>
            <w:pPr>
              <w:pStyle w:val="TableParagraph"/>
              <w:ind w:left="103" w:right="130"/>
              <w:jc w:val="left"/>
              <w:rPr>
                <w:b/>
                <w:sz w:val="20"/>
              </w:rPr>
            </w:pPr>
            <w:r>
              <w:rPr>
                <w:b/>
                <w:sz w:val="20"/>
              </w:rPr>
              <w:t>Fabricación de motores de gasolina y sus partes para vehículos automotrices</w:t>
            </w:r>
          </w:p>
        </w:tc>
        <w:tc>
          <w:tcPr>
            <w:tcW w:w="614" w:type="dxa"/>
          </w:tcPr>
          <w:p>
            <w:pPr>
              <w:pStyle w:val="TableParagraph"/>
              <w:spacing w:before="108"/>
              <w:ind w:left="106" w:right="106"/>
              <w:rPr>
                <w:sz w:val="20"/>
              </w:rPr>
            </w:pPr>
            <w:r>
              <w:rPr>
                <w:sz w:val="20"/>
              </w:rPr>
              <w:t>1.2</w:t>
            </w:r>
          </w:p>
        </w:tc>
        <w:tc>
          <w:tcPr>
            <w:tcW w:w="617" w:type="dxa"/>
          </w:tcPr>
          <w:p>
            <w:pPr>
              <w:pStyle w:val="TableParagraph"/>
              <w:spacing w:before="108"/>
              <w:ind w:left="177"/>
              <w:jc w:val="left"/>
              <w:rPr>
                <w:sz w:val="20"/>
              </w:rPr>
            </w:pPr>
            <w:r>
              <w:rPr>
                <w:sz w:val="20"/>
              </w:rPr>
              <w:t>4.7</w:t>
            </w:r>
          </w:p>
        </w:tc>
        <w:tc>
          <w:tcPr>
            <w:tcW w:w="617" w:type="dxa"/>
          </w:tcPr>
          <w:p>
            <w:pPr>
              <w:pStyle w:val="TableParagraph"/>
              <w:spacing w:before="108"/>
              <w:ind w:left="108" w:right="108"/>
              <w:rPr>
                <w:sz w:val="20"/>
              </w:rPr>
            </w:pPr>
            <w:r>
              <w:rPr>
                <w:sz w:val="20"/>
              </w:rPr>
              <w:t>11.1</w:t>
            </w:r>
          </w:p>
        </w:tc>
        <w:tc>
          <w:tcPr>
            <w:tcW w:w="614" w:type="dxa"/>
          </w:tcPr>
          <w:p>
            <w:pPr>
              <w:pStyle w:val="TableParagraph"/>
              <w:spacing w:before="108"/>
              <w:ind w:left="105" w:right="107"/>
              <w:rPr>
                <w:sz w:val="20"/>
              </w:rPr>
            </w:pPr>
            <w:r>
              <w:rPr>
                <w:sz w:val="20"/>
              </w:rPr>
              <w:t>13.7</w:t>
            </w:r>
          </w:p>
        </w:tc>
        <w:tc>
          <w:tcPr>
            <w:tcW w:w="617" w:type="dxa"/>
          </w:tcPr>
          <w:p>
            <w:pPr>
              <w:pStyle w:val="TableParagraph"/>
              <w:spacing w:before="108"/>
              <w:ind w:right="127"/>
              <w:jc w:val="right"/>
              <w:rPr>
                <w:sz w:val="20"/>
              </w:rPr>
            </w:pPr>
            <w:r>
              <w:rPr>
                <w:sz w:val="20"/>
              </w:rPr>
              <w:t>13.9</w:t>
            </w:r>
          </w:p>
        </w:tc>
        <w:tc>
          <w:tcPr>
            <w:tcW w:w="617" w:type="dxa"/>
          </w:tcPr>
          <w:p>
            <w:pPr>
              <w:pStyle w:val="TableParagraph"/>
              <w:spacing w:before="108"/>
              <w:ind w:left="108" w:right="109"/>
              <w:rPr>
                <w:sz w:val="20"/>
              </w:rPr>
            </w:pPr>
            <w:r>
              <w:rPr>
                <w:sz w:val="20"/>
              </w:rPr>
              <w:t>10.2</w:t>
            </w:r>
          </w:p>
        </w:tc>
        <w:tc>
          <w:tcPr>
            <w:tcW w:w="615" w:type="dxa"/>
          </w:tcPr>
          <w:p>
            <w:pPr>
              <w:pStyle w:val="TableParagraph"/>
              <w:spacing w:before="108"/>
              <w:ind w:left="177"/>
              <w:jc w:val="left"/>
              <w:rPr>
                <w:sz w:val="20"/>
              </w:rPr>
            </w:pPr>
            <w:r>
              <w:rPr>
                <w:sz w:val="20"/>
              </w:rPr>
              <w:t>9.0</w:t>
            </w:r>
          </w:p>
        </w:tc>
      </w:tr>
      <w:tr>
        <w:trPr>
          <w:trHeight w:val="360" w:hRule="exact"/>
        </w:trPr>
        <w:tc>
          <w:tcPr>
            <w:tcW w:w="4518" w:type="dxa"/>
          </w:tcPr>
          <w:p>
            <w:pPr>
              <w:pStyle w:val="TableParagraph"/>
              <w:spacing w:before="58"/>
              <w:ind w:left="103" w:right="130"/>
              <w:jc w:val="left"/>
              <w:rPr>
                <w:b/>
                <w:sz w:val="20"/>
              </w:rPr>
            </w:pPr>
            <w:r>
              <w:rPr>
                <w:b/>
                <w:sz w:val="20"/>
              </w:rPr>
              <w:t>Fabricación de partes de sistemas de transmisión</w:t>
            </w:r>
          </w:p>
        </w:tc>
        <w:tc>
          <w:tcPr>
            <w:tcW w:w="614" w:type="dxa"/>
          </w:tcPr>
          <w:p>
            <w:pPr>
              <w:pStyle w:val="TableParagraph"/>
              <w:spacing w:before="53"/>
              <w:ind w:left="106" w:right="106"/>
              <w:rPr>
                <w:sz w:val="20"/>
              </w:rPr>
            </w:pPr>
            <w:r>
              <w:rPr>
                <w:sz w:val="20"/>
              </w:rPr>
              <w:t>0.2</w:t>
            </w:r>
          </w:p>
        </w:tc>
        <w:tc>
          <w:tcPr>
            <w:tcW w:w="617" w:type="dxa"/>
          </w:tcPr>
          <w:p>
            <w:pPr>
              <w:pStyle w:val="TableParagraph"/>
              <w:spacing w:before="53"/>
              <w:ind w:left="177"/>
              <w:jc w:val="left"/>
              <w:rPr>
                <w:sz w:val="20"/>
              </w:rPr>
            </w:pPr>
            <w:r>
              <w:rPr>
                <w:sz w:val="20"/>
              </w:rPr>
              <w:t>9.4</w:t>
            </w:r>
          </w:p>
        </w:tc>
        <w:tc>
          <w:tcPr>
            <w:tcW w:w="617" w:type="dxa"/>
          </w:tcPr>
          <w:p>
            <w:pPr>
              <w:pStyle w:val="TableParagraph"/>
              <w:spacing w:before="53"/>
              <w:ind w:left="108" w:right="108"/>
              <w:rPr>
                <w:sz w:val="20"/>
              </w:rPr>
            </w:pPr>
            <w:r>
              <w:rPr>
                <w:sz w:val="20"/>
              </w:rPr>
              <w:t>0.3</w:t>
            </w:r>
          </w:p>
        </w:tc>
        <w:tc>
          <w:tcPr>
            <w:tcW w:w="614" w:type="dxa"/>
          </w:tcPr>
          <w:p>
            <w:pPr>
              <w:pStyle w:val="TableParagraph"/>
              <w:spacing w:before="53"/>
              <w:ind w:left="105" w:right="107"/>
              <w:rPr>
                <w:sz w:val="20"/>
              </w:rPr>
            </w:pPr>
            <w:r>
              <w:rPr>
                <w:sz w:val="20"/>
              </w:rPr>
              <w:t>1.8</w:t>
            </w:r>
          </w:p>
        </w:tc>
        <w:tc>
          <w:tcPr>
            <w:tcW w:w="617" w:type="dxa"/>
          </w:tcPr>
          <w:p>
            <w:pPr>
              <w:pStyle w:val="TableParagraph"/>
              <w:spacing w:before="53"/>
              <w:ind w:right="177"/>
              <w:jc w:val="right"/>
              <w:rPr>
                <w:sz w:val="20"/>
              </w:rPr>
            </w:pPr>
            <w:r>
              <w:rPr>
                <w:sz w:val="20"/>
              </w:rPr>
              <w:t>4.4</w:t>
            </w:r>
          </w:p>
        </w:tc>
        <w:tc>
          <w:tcPr>
            <w:tcW w:w="617" w:type="dxa"/>
          </w:tcPr>
          <w:p>
            <w:pPr>
              <w:pStyle w:val="TableParagraph"/>
              <w:spacing w:before="53"/>
              <w:ind w:left="108" w:right="109"/>
              <w:rPr>
                <w:sz w:val="20"/>
              </w:rPr>
            </w:pPr>
            <w:r>
              <w:rPr>
                <w:sz w:val="20"/>
              </w:rPr>
              <w:t>3.4</w:t>
            </w:r>
          </w:p>
        </w:tc>
        <w:tc>
          <w:tcPr>
            <w:tcW w:w="615" w:type="dxa"/>
          </w:tcPr>
          <w:p>
            <w:pPr>
              <w:pStyle w:val="TableParagraph"/>
              <w:spacing w:before="53"/>
              <w:ind w:left="177"/>
              <w:jc w:val="left"/>
              <w:rPr>
                <w:sz w:val="20"/>
              </w:rPr>
            </w:pPr>
            <w:r>
              <w:rPr>
                <w:sz w:val="20"/>
              </w:rPr>
              <w:t>7.2</w:t>
            </w:r>
          </w:p>
        </w:tc>
      </w:tr>
      <w:tr>
        <w:trPr>
          <w:trHeight w:val="471" w:hRule="exact"/>
        </w:trPr>
        <w:tc>
          <w:tcPr>
            <w:tcW w:w="4518" w:type="dxa"/>
          </w:tcPr>
          <w:p>
            <w:pPr>
              <w:pStyle w:val="TableParagraph"/>
              <w:ind w:left="103" w:right="130"/>
              <w:jc w:val="left"/>
              <w:rPr>
                <w:b/>
                <w:sz w:val="20"/>
              </w:rPr>
            </w:pPr>
            <w:r>
              <w:rPr>
                <w:b/>
                <w:sz w:val="20"/>
              </w:rPr>
              <w:t>Fabricación de partes de sistemas de dirección y de suspensión para vehículos automotrices</w:t>
            </w:r>
          </w:p>
        </w:tc>
        <w:tc>
          <w:tcPr>
            <w:tcW w:w="614" w:type="dxa"/>
          </w:tcPr>
          <w:p>
            <w:pPr>
              <w:pStyle w:val="TableParagraph"/>
              <w:spacing w:before="109"/>
              <w:ind w:left="106" w:right="106"/>
              <w:rPr>
                <w:sz w:val="20"/>
              </w:rPr>
            </w:pPr>
            <w:r>
              <w:rPr>
                <w:sz w:val="20"/>
              </w:rPr>
              <w:t>31.2</w:t>
            </w:r>
          </w:p>
        </w:tc>
        <w:tc>
          <w:tcPr>
            <w:tcW w:w="617" w:type="dxa"/>
          </w:tcPr>
          <w:p>
            <w:pPr>
              <w:pStyle w:val="TableParagraph"/>
              <w:spacing w:before="109"/>
              <w:ind w:left="127"/>
              <w:jc w:val="left"/>
              <w:rPr>
                <w:sz w:val="20"/>
              </w:rPr>
            </w:pPr>
            <w:r>
              <w:rPr>
                <w:sz w:val="20"/>
              </w:rPr>
              <w:t>35.8</w:t>
            </w:r>
          </w:p>
        </w:tc>
        <w:tc>
          <w:tcPr>
            <w:tcW w:w="617" w:type="dxa"/>
          </w:tcPr>
          <w:p>
            <w:pPr>
              <w:pStyle w:val="TableParagraph"/>
              <w:spacing w:before="109"/>
              <w:ind w:left="108" w:right="108"/>
              <w:rPr>
                <w:sz w:val="20"/>
              </w:rPr>
            </w:pPr>
            <w:r>
              <w:rPr>
                <w:sz w:val="20"/>
              </w:rPr>
              <w:t>20.6</w:t>
            </w:r>
          </w:p>
        </w:tc>
        <w:tc>
          <w:tcPr>
            <w:tcW w:w="614" w:type="dxa"/>
          </w:tcPr>
          <w:p>
            <w:pPr>
              <w:pStyle w:val="TableParagraph"/>
              <w:spacing w:before="109"/>
              <w:ind w:left="105" w:right="107"/>
              <w:rPr>
                <w:sz w:val="20"/>
              </w:rPr>
            </w:pPr>
            <w:r>
              <w:rPr>
                <w:sz w:val="20"/>
              </w:rPr>
              <w:t>14.1</w:t>
            </w:r>
          </w:p>
        </w:tc>
        <w:tc>
          <w:tcPr>
            <w:tcW w:w="617" w:type="dxa"/>
          </w:tcPr>
          <w:p>
            <w:pPr>
              <w:pStyle w:val="TableParagraph"/>
              <w:spacing w:before="109"/>
              <w:ind w:right="199"/>
              <w:jc w:val="right"/>
              <w:rPr>
                <w:sz w:val="20"/>
              </w:rPr>
            </w:pPr>
            <w:r>
              <w:rPr>
                <w:sz w:val="20"/>
              </w:rPr>
              <w:t>15</w:t>
            </w:r>
          </w:p>
        </w:tc>
        <w:tc>
          <w:tcPr>
            <w:tcW w:w="617" w:type="dxa"/>
          </w:tcPr>
          <w:p>
            <w:pPr>
              <w:pStyle w:val="TableParagraph"/>
              <w:spacing w:before="109"/>
              <w:ind w:left="108" w:right="109"/>
              <w:rPr>
                <w:sz w:val="20"/>
              </w:rPr>
            </w:pPr>
            <w:r>
              <w:rPr>
                <w:sz w:val="20"/>
              </w:rPr>
              <w:t>20.5</w:t>
            </w:r>
          </w:p>
        </w:tc>
        <w:tc>
          <w:tcPr>
            <w:tcW w:w="615" w:type="dxa"/>
          </w:tcPr>
          <w:p>
            <w:pPr>
              <w:pStyle w:val="TableParagraph"/>
              <w:spacing w:before="109"/>
              <w:ind w:right="125"/>
              <w:jc w:val="right"/>
              <w:rPr>
                <w:sz w:val="20"/>
              </w:rPr>
            </w:pPr>
            <w:r>
              <w:rPr>
                <w:sz w:val="20"/>
              </w:rPr>
              <w:t>19.1</w:t>
            </w:r>
          </w:p>
        </w:tc>
      </w:tr>
      <w:tr>
        <w:trPr>
          <w:trHeight w:val="470" w:hRule="exact"/>
        </w:trPr>
        <w:tc>
          <w:tcPr>
            <w:tcW w:w="4518" w:type="dxa"/>
          </w:tcPr>
          <w:p>
            <w:pPr>
              <w:pStyle w:val="TableParagraph"/>
              <w:ind w:left="103" w:right="130"/>
              <w:jc w:val="left"/>
              <w:rPr>
                <w:b/>
                <w:sz w:val="20"/>
              </w:rPr>
            </w:pPr>
            <w:r>
              <w:rPr>
                <w:b/>
                <w:sz w:val="20"/>
              </w:rPr>
              <w:t>Fabricación de partes de sistemas de frenos para vehículos automotrices</w:t>
            </w:r>
          </w:p>
        </w:tc>
        <w:tc>
          <w:tcPr>
            <w:tcW w:w="614" w:type="dxa"/>
          </w:tcPr>
          <w:p>
            <w:pPr>
              <w:pStyle w:val="TableParagraph"/>
              <w:spacing w:before="108"/>
              <w:ind w:left="106" w:right="106"/>
              <w:rPr>
                <w:sz w:val="20"/>
              </w:rPr>
            </w:pPr>
            <w:r>
              <w:rPr>
                <w:sz w:val="20"/>
              </w:rPr>
              <w:t>3.3</w:t>
            </w:r>
          </w:p>
        </w:tc>
        <w:tc>
          <w:tcPr>
            <w:tcW w:w="617" w:type="dxa"/>
          </w:tcPr>
          <w:p>
            <w:pPr>
              <w:pStyle w:val="TableParagraph"/>
              <w:spacing w:before="108"/>
              <w:ind w:left="177"/>
              <w:jc w:val="left"/>
              <w:rPr>
                <w:sz w:val="20"/>
              </w:rPr>
            </w:pPr>
            <w:r>
              <w:rPr>
                <w:sz w:val="20"/>
              </w:rPr>
              <w:t>0.4</w:t>
            </w:r>
          </w:p>
        </w:tc>
        <w:tc>
          <w:tcPr>
            <w:tcW w:w="617" w:type="dxa"/>
          </w:tcPr>
          <w:p>
            <w:pPr>
              <w:pStyle w:val="TableParagraph"/>
              <w:spacing w:before="108"/>
              <w:ind w:left="108" w:right="108"/>
              <w:rPr>
                <w:sz w:val="20"/>
              </w:rPr>
            </w:pPr>
            <w:r>
              <w:rPr>
                <w:sz w:val="20"/>
              </w:rPr>
              <w:t>1.0</w:t>
            </w:r>
          </w:p>
        </w:tc>
        <w:tc>
          <w:tcPr>
            <w:tcW w:w="614" w:type="dxa"/>
          </w:tcPr>
          <w:p>
            <w:pPr>
              <w:pStyle w:val="TableParagraph"/>
              <w:spacing w:before="108"/>
              <w:ind w:left="105" w:right="107"/>
              <w:rPr>
                <w:sz w:val="20"/>
              </w:rPr>
            </w:pPr>
            <w:r>
              <w:rPr>
                <w:sz w:val="20"/>
              </w:rPr>
              <w:t>4.5</w:t>
            </w:r>
          </w:p>
        </w:tc>
        <w:tc>
          <w:tcPr>
            <w:tcW w:w="617" w:type="dxa"/>
          </w:tcPr>
          <w:p>
            <w:pPr>
              <w:pStyle w:val="TableParagraph"/>
              <w:spacing w:before="108"/>
              <w:ind w:right="177"/>
              <w:jc w:val="right"/>
              <w:rPr>
                <w:sz w:val="20"/>
              </w:rPr>
            </w:pPr>
            <w:r>
              <w:rPr>
                <w:sz w:val="20"/>
              </w:rPr>
              <w:t>5.8</w:t>
            </w:r>
          </w:p>
        </w:tc>
        <w:tc>
          <w:tcPr>
            <w:tcW w:w="617" w:type="dxa"/>
          </w:tcPr>
          <w:p>
            <w:pPr>
              <w:pStyle w:val="TableParagraph"/>
              <w:spacing w:before="108"/>
              <w:ind w:left="108" w:right="109"/>
              <w:rPr>
                <w:sz w:val="20"/>
              </w:rPr>
            </w:pPr>
            <w:r>
              <w:rPr>
                <w:sz w:val="20"/>
              </w:rPr>
              <w:t>5.8</w:t>
            </w:r>
          </w:p>
        </w:tc>
        <w:tc>
          <w:tcPr>
            <w:tcW w:w="615" w:type="dxa"/>
          </w:tcPr>
          <w:p>
            <w:pPr>
              <w:pStyle w:val="TableParagraph"/>
              <w:spacing w:before="108"/>
              <w:ind w:left="177"/>
              <w:jc w:val="left"/>
              <w:rPr>
                <w:sz w:val="20"/>
              </w:rPr>
            </w:pPr>
            <w:r>
              <w:rPr>
                <w:sz w:val="20"/>
              </w:rPr>
              <w:t>7.1</w:t>
            </w:r>
          </w:p>
        </w:tc>
      </w:tr>
      <w:tr>
        <w:trPr>
          <w:trHeight w:val="521" w:hRule="exact"/>
        </w:trPr>
        <w:tc>
          <w:tcPr>
            <w:tcW w:w="4518" w:type="dxa"/>
          </w:tcPr>
          <w:p>
            <w:pPr>
              <w:pStyle w:val="TableParagraph"/>
              <w:spacing w:before="24"/>
              <w:ind w:left="103"/>
              <w:jc w:val="left"/>
              <w:rPr>
                <w:b/>
                <w:sz w:val="20"/>
              </w:rPr>
            </w:pPr>
            <w:r>
              <w:rPr>
                <w:b/>
                <w:sz w:val="20"/>
              </w:rPr>
              <w:t>Fabricación de equipo eléctrico y electrónico para vehículos automotores</w:t>
            </w:r>
          </w:p>
        </w:tc>
        <w:tc>
          <w:tcPr>
            <w:tcW w:w="614" w:type="dxa"/>
          </w:tcPr>
          <w:p>
            <w:pPr>
              <w:pStyle w:val="TableParagraph"/>
              <w:spacing w:before="135"/>
              <w:ind w:left="106" w:right="106"/>
              <w:rPr>
                <w:sz w:val="20"/>
              </w:rPr>
            </w:pPr>
            <w:r>
              <w:rPr>
                <w:sz w:val="20"/>
              </w:rPr>
              <w:t>0.0</w:t>
            </w:r>
          </w:p>
        </w:tc>
        <w:tc>
          <w:tcPr>
            <w:tcW w:w="617" w:type="dxa"/>
          </w:tcPr>
          <w:p>
            <w:pPr>
              <w:pStyle w:val="TableParagraph"/>
              <w:spacing w:before="135"/>
              <w:ind w:left="177"/>
              <w:jc w:val="left"/>
              <w:rPr>
                <w:sz w:val="20"/>
              </w:rPr>
            </w:pPr>
            <w:r>
              <w:rPr>
                <w:sz w:val="20"/>
              </w:rPr>
              <w:t>0.6</w:t>
            </w:r>
          </w:p>
        </w:tc>
        <w:tc>
          <w:tcPr>
            <w:tcW w:w="617" w:type="dxa"/>
          </w:tcPr>
          <w:p>
            <w:pPr>
              <w:pStyle w:val="TableParagraph"/>
              <w:spacing w:before="135"/>
              <w:ind w:left="108" w:right="108"/>
              <w:rPr>
                <w:sz w:val="20"/>
              </w:rPr>
            </w:pPr>
            <w:r>
              <w:rPr>
                <w:sz w:val="20"/>
              </w:rPr>
              <w:t>0.5</w:t>
            </w:r>
          </w:p>
        </w:tc>
        <w:tc>
          <w:tcPr>
            <w:tcW w:w="614" w:type="dxa"/>
          </w:tcPr>
          <w:p>
            <w:pPr>
              <w:pStyle w:val="TableParagraph"/>
              <w:spacing w:before="135"/>
              <w:ind w:left="105" w:right="107"/>
              <w:rPr>
                <w:sz w:val="20"/>
              </w:rPr>
            </w:pPr>
            <w:r>
              <w:rPr>
                <w:sz w:val="20"/>
              </w:rPr>
              <w:t>0.4</w:t>
            </w:r>
          </w:p>
        </w:tc>
        <w:tc>
          <w:tcPr>
            <w:tcW w:w="617" w:type="dxa"/>
          </w:tcPr>
          <w:p>
            <w:pPr>
              <w:pStyle w:val="TableParagraph"/>
              <w:spacing w:before="135"/>
              <w:ind w:right="177"/>
              <w:jc w:val="right"/>
              <w:rPr>
                <w:sz w:val="20"/>
              </w:rPr>
            </w:pPr>
            <w:r>
              <w:rPr>
                <w:sz w:val="20"/>
              </w:rPr>
              <w:t>2.6</w:t>
            </w:r>
          </w:p>
        </w:tc>
        <w:tc>
          <w:tcPr>
            <w:tcW w:w="617" w:type="dxa"/>
          </w:tcPr>
          <w:p>
            <w:pPr>
              <w:pStyle w:val="TableParagraph"/>
              <w:spacing w:before="135"/>
              <w:ind w:left="108" w:right="109"/>
              <w:rPr>
                <w:sz w:val="20"/>
              </w:rPr>
            </w:pPr>
            <w:r>
              <w:rPr>
                <w:sz w:val="20"/>
              </w:rPr>
              <w:t>1.4</w:t>
            </w:r>
          </w:p>
        </w:tc>
        <w:tc>
          <w:tcPr>
            <w:tcW w:w="615" w:type="dxa"/>
          </w:tcPr>
          <w:p>
            <w:pPr>
              <w:pStyle w:val="TableParagraph"/>
              <w:spacing w:before="135"/>
              <w:ind w:left="177"/>
              <w:jc w:val="left"/>
              <w:rPr>
                <w:sz w:val="20"/>
              </w:rPr>
            </w:pPr>
            <w:r>
              <w:rPr>
                <w:sz w:val="20"/>
              </w:rPr>
              <w:t>1.7</w:t>
            </w:r>
          </w:p>
        </w:tc>
      </w:tr>
      <w:tr>
        <w:trPr>
          <w:trHeight w:val="470" w:hRule="exact"/>
        </w:trPr>
        <w:tc>
          <w:tcPr>
            <w:tcW w:w="4518" w:type="dxa"/>
          </w:tcPr>
          <w:p>
            <w:pPr>
              <w:pStyle w:val="TableParagraph"/>
              <w:ind w:left="103" w:right="130"/>
              <w:jc w:val="left"/>
              <w:rPr>
                <w:b/>
                <w:sz w:val="20"/>
              </w:rPr>
            </w:pPr>
            <w:r>
              <w:rPr>
                <w:b/>
                <w:sz w:val="20"/>
              </w:rPr>
              <w:t>Fabricación de otras partes para vehículos automotrices</w:t>
            </w:r>
          </w:p>
        </w:tc>
        <w:tc>
          <w:tcPr>
            <w:tcW w:w="614" w:type="dxa"/>
          </w:tcPr>
          <w:p>
            <w:pPr>
              <w:pStyle w:val="TableParagraph"/>
              <w:spacing w:before="108"/>
              <w:ind w:left="106" w:right="106"/>
              <w:rPr>
                <w:sz w:val="20"/>
              </w:rPr>
            </w:pPr>
            <w:r>
              <w:rPr>
                <w:sz w:val="20"/>
              </w:rPr>
              <w:t>8.4</w:t>
            </w:r>
          </w:p>
        </w:tc>
        <w:tc>
          <w:tcPr>
            <w:tcW w:w="617" w:type="dxa"/>
          </w:tcPr>
          <w:p>
            <w:pPr>
              <w:pStyle w:val="TableParagraph"/>
              <w:spacing w:before="108"/>
              <w:ind w:left="177"/>
              <w:jc w:val="left"/>
              <w:rPr>
                <w:sz w:val="20"/>
              </w:rPr>
            </w:pPr>
            <w:r>
              <w:rPr>
                <w:sz w:val="20"/>
              </w:rPr>
              <w:t>2.6</w:t>
            </w:r>
          </w:p>
        </w:tc>
        <w:tc>
          <w:tcPr>
            <w:tcW w:w="617" w:type="dxa"/>
          </w:tcPr>
          <w:p>
            <w:pPr>
              <w:pStyle w:val="TableParagraph"/>
              <w:spacing w:before="108"/>
              <w:ind w:left="108" w:right="108"/>
              <w:rPr>
                <w:sz w:val="20"/>
              </w:rPr>
            </w:pPr>
            <w:r>
              <w:rPr>
                <w:sz w:val="20"/>
              </w:rPr>
              <w:t>4.1</w:t>
            </w:r>
          </w:p>
        </w:tc>
        <w:tc>
          <w:tcPr>
            <w:tcW w:w="614" w:type="dxa"/>
          </w:tcPr>
          <w:p>
            <w:pPr>
              <w:pStyle w:val="TableParagraph"/>
              <w:spacing w:before="108"/>
              <w:ind w:left="105" w:right="107"/>
              <w:rPr>
                <w:sz w:val="20"/>
              </w:rPr>
            </w:pPr>
            <w:r>
              <w:rPr>
                <w:sz w:val="20"/>
              </w:rPr>
              <w:t>5.8</w:t>
            </w:r>
          </w:p>
        </w:tc>
        <w:tc>
          <w:tcPr>
            <w:tcW w:w="617" w:type="dxa"/>
          </w:tcPr>
          <w:p>
            <w:pPr>
              <w:pStyle w:val="TableParagraph"/>
              <w:spacing w:before="108"/>
              <w:ind w:right="177"/>
              <w:jc w:val="right"/>
              <w:rPr>
                <w:sz w:val="20"/>
              </w:rPr>
            </w:pPr>
            <w:r>
              <w:rPr>
                <w:sz w:val="20"/>
              </w:rPr>
              <w:t>5.3</w:t>
            </w:r>
          </w:p>
        </w:tc>
        <w:tc>
          <w:tcPr>
            <w:tcW w:w="617" w:type="dxa"/>
          </w:tcPr>
          <w:p>
            <w:pPr>
              <w:pStyle w:val="TableParagraph"/>
              <w:spacing w:before="108"/>
              <w:ind w:left="108" w:right="109"/>
              <w:rPr>
                <w:sz w:val="20"/>
              </w:rPr>
            </w:pPr>
            <w:r>
              <w:rPr>
                <w:sz w:val="20"/>
              </w:rPr>
              <w:t>5.2</w:t>
            </w:r>
          </w:p>
        </w:tc>
        <w:tc>
          <w:tcPr>
            <w:tcW w:w="615" w:type="dxa"/>
          </w:tcPr>
          <w:p>
            <w:pPr>
              <w:pStyle w:val="TableParagraph"/>
              <w:spacing w:before="108"/>
              <w:ind w:left="177"/>
              <w:jc w:val="left"/>
              <w:rPr>
                <w:sz w:val="20"/>
              </w:rPr>
            </w:pPr>
            <w:r>
              <w:rPr>
                <w:sz w:val="20"/>
              </w:rPr>
              <w:t>4.3</w:t>
            </w:r>
          </w:p>
        </w:tc>
      </w:tr>
    </w:tbl>
    <w:p>
      <w:pPr>
        <w:spacing w:line="202" w:lineRule="exact" w:before="0"/>
        <w:ind w:left="2310" w:right="119" w:firstLine="0"/>
        <w:jc w:val="left"/>
        <w:rPr>
          <w:sz w:val="18"/>
        </w:rPr>
      </w:pPr>
      <w:r>
        <w:rPr>
          <w:sz w:val="18"/>
        </w:rPr>
        <w:t>Fuente: Elaboración propia con datos de INEGI (varios años)</w:t>
      </w:r>
    </w:p>
    <w:p>
      <w:pPr>
        <w:pStyle w:val="BodyText"/>
        <w:rPr>
          <w:sz w:val="18"/>
        </w:rPr>
      </w:pPr>
    </w:p>
    <w:p>
      <w:pPr>
        <w:pStyle w:val="BodyText"/>
        <w:spacing w:line="360" w:lineRule="auto" w:before="137"/>
        <w:ind w:left="102" w:right="116"/>
        <w:jc w:val="both"/>
      </w:pPr>
      <w:r>
        <w:rPr/>
        <w:t>Por</w:t>
      </w:r>
      <w:r>
        <w:rPr>
          <w:spacing w:val="-17"/>
        </w:rPr>
        <w:t> </w:t>
      </w:r>
      <w:r>
        <w:rPr/>
        <w:t>otro</w:t>
      </w:r>
      <w:r>
        <w:rPr>
          <w:spacing w:val="-16"/>
        </w:rPr>
        <w:t> </w:t>
      </w:r>
      <w:r>
        <w:rPr/>
        <w:t>lado,</w:t>
      </w:r>
      <w:r>
        <w:rPr>
          <w:spacing w:val="-12"/>
        </w:rPr>
        <w:t> </w:t>
      </w:r>
      <w:r>
        <w:rPr/>
        <w:t>y</w:t>
      </w:r>
      <w:r>
        <w:rPr>
          <w:spacing w:val="-21"/>
        </w:rPr>
        <w:t> </w:t>
      </w:r>
      <w:r>
        <w:rPr/>
        <w:t>para</w:t>
      </w:r>
      <w:r>
        <w:rPr>
          <w:spacing w:val="-17"/>
        </w:rPr>
        <w:t> </w:t>
      </w:r>
      <w:r>
        <w:rPr/>
        <w:t>confirmar</w:t>
      </w:r>
      <w:r>
        <w:rPr>
          <w:spacing w:val="-17"/>
        </w:rPr>
        <w:t> </w:t>
      </w:r>
      <w:r>
        <w:rPr/>
        <w:t>lo</w:t>
      </w:r>
      <w:r>
        <w:rPr>
          <w:spacing w:val="-13"/>
        </w:rPr>
        <w:t> </w:t>
      </w:r>
      <w:r>
        <w:rPr/>
        <w:t>anteriormente</w:t>
      </w:r>
      <w:r>
        <w:rPr>
          <w:spacing w:val="-14"/>
        </w:rPr>
        <w:t> </w:t>
      </w:r>
      <w:r>
        <w:rPr/>
        <w:t>dicho,</w:t>
      </w:r>
      <w:r>
        <w:rPr>
          <w:spacing w:val="-16"/>
        </w:rPr>
        <w:t> </w:t>
      </w:r>
      <w:r>
        <w:rPr/>
        <w:t>al</w:t>
      </w:r>
      <w:r>
        <w:rPr>
          <w:spacing w:val="-15"/>
        </w:rPr>
        <w:t> </w:t>
      </w:r>
      <w:r>
        <w:rPr/>
        <w:t>realizar</w:t>
      </w:r>
      <w:r>
        <w:rPr>
          <w:spacing w:val="-17"/>
        </w:rPr>
        <w:t> </w:t>
      </w:r>
      <w:r>
        <w:rPr/>
        <w:t>el</w:t>
      </w:r>
      <w:r>
        <w:rPr>
          <w:spacing w:val="-13"/>
        </w:rPr>
        <w:t> </w:t>
      </w:r>
      <w:r>
        <w:rPr/>
        <w:t>análisis</w:t>
      </w:r>
      <w:r>
        <w:rPr>
          <w:spacing w:val="-15"/>
        </w:rPr>
        <w:t> </w:t>
      </w:r>
      <w:r>
        <w:rPr/>
        <w:t>de</w:t>
      </w:r>
      <w:r>
        <w:rPr>
          <w:spacing w:val="-17"/>
        </w:rPr>
        <w:t> </w:t>
      </w:r>
      <w:r>
        <w:rPr/>
        <w:t>las</w:t>
      </w:r>
      <w:r>
        <w:rPr>
          <w:spacing w:val="-16"/>
        </w:rPr>
        <w:t> </w:t>
      </w:r>
      <w:r>
        <w:rPr/>
        <w:t>actividades de la industria automotriz en las que se ha especializado la región occidente en cuanto al personal ocupado, si observamos el cuadro 4.37, tenemos que, en 1980, se especializaba en actividades</w:t>
      </w:r>
      <w:r>
        <w:rPr>
          <w:spacing w:val="-5"/>
        </w:rPr>
        <w:t> </w:t>
      </w:r>
      <w:r>
        <w:rPr/>
        <w:t>como</w:t>
      </w:r>
      <w:r>
        <w:rPr>
          <w:spacing w:val="-4"/>
        </w:rPr>
        <w:t> </w:t>
      </w:r>
      <w:r>
        <w:rPr/>
        <w:t>la</w:t>
      </w:r>
      <w:r>
        <w:rPr>
          <w:spacing w:val="-5"/>
        </w:rPr>
        <w:t> </w:t>
      </w:r>
      <w:r>
        <w:rPr/>
        <w:t>fabricación</w:t>
      </w:r>
      <w:r>
        <w:rPr>
          <w:spacing w:val="-4"/>
        </w:rPr>
        <w:t> </w:t>
      </w:r>
      <w:r>
        <w:rPr/>
        <w:t>de</w:t>
      </w:r>
      <w:r>
        <w:rPr>
          <w:spacing w:val="-6"/>
        </w:rPr>
        <w:t> </w:t>
      </w:r>
      <w:r>
        <w:rPr/>
        <w:t>carrocerías y</w:t>
      </w:r>
      <w:r>
        <w:rPr>
          <w:spacing w:val="-12"/>
        </w:rPr>
        <w:t> </w:t>
      </w:r>
      <w:r>
        <w:rPr/>
        <w:t>remolques</w:t>
      </w:r>
      <w:r>
        <w:rPr>
          <w:spacing w:val="-5"/>
        </w:rPr>
        <w:t> </w:t>
      </w:r>
      <w:r>
        <w:rPr/>
        <w:t>con</w:t>
      </w:r>
      <w:r>
        <w:rPr>
          <w:spacing w:val="-5"/>
        </w:rPr>
        <w:t> </w:t>
      </w:r>
      <w:r>
        <w:rPr/>
        <w:t>un</w:t>
      </w:r>
      <w:r>
        <w:rPr>
          <w:spacing w:val="-5"/>
        </w:rPr>
        <w:t> </w:t>
      </w:r>
      <w:r>
        <w:rPr/>
        <w:t>índice</w:t>
      </w:r>
      <w:r>
        <w:rPr>
          <w:spacing w:val="-6"/>
        </w:rPr>
        <w:t> </w:t>
      </w:r>
      <w:r>
        <w:rPr/>
        <w:t>de</w:t>
      </w:r>
      <w:r>
        <w:rPr>
          <w:spacing w:val="-8"/>
        </w:rPr>
        <w:t> </w:t>
      </w:r>
      <w:r>
        <w:rPr/>
        <w:t>1.4,</w:t>
      </w:r>
      <w:r>
        <w:rPr>
          <w:spacing w:val="-5"/>
        </w:rPr>
        <w:t> </w:t>
      </w:r>
      <w:r>
        <w:rPr/>
        <w:t>fabricación de partes de sistemas de frenos con un índice de 1.0, en la fabricación de otras partes para vehículos</w:t>
      </w:r>
      <w:r>
        <w:rPr>
          <w:spacing w:val="-11"/>
        </w:rPr>
        <w:t> </w:t>
      </w:r>
      <w:r>
        <w:rPr/>
        <w:t>automotrices</w:t>
      </w:r>
      <w:r>
        <w:rPr>
          <w:spacing w:val="-8"/>
        </w:rPr>
        <w:t> </w:t>
      </w:r>
      <w:r>
        <w:rPr/>
        <w:t>con</w:t>
      </w:r>
      <w:r>
        <w:rPr>
          <w:spacing w:val="-11"/>
        </w:rPr>
        <w:t> </w:t>
      </w:r>
      <w:r>
        <w:rPr/>
        <w:t>un</w:t>
      </w:r>
      <w:r>
        <w:rPr>
          <w:spacing w:val="-11"/>
        </w:rPr>
        <w:t> </w:t>
      </w:r>
      <w:r>
        <w:rPr/>
        <w:t>índice</w:t>
      </w:r>
      <w:r>
        <w:rPr>
          <w:spacing w:val="-12"/>
        </w:rPr>
        <w:t> </w:t>
      </w:r>
      <w:r>
        <w:rPr/>
        <w:t>de</w:t>
      </w:r>
      <w:r>
        <w:rPr>
          <w:spacing w:val="-10"/>
        </w:rPr>
        <w:t> </w:t>
      </w:r>
      <w:r>
        <w:rPr/>
        <w:t>2.5</w:t>
      </w:r>
      <w:r>
        <w:rPr>
          <w:spacing w:val="-6"/>
        </w:rPr>
        <w:t> </w:t>
      </w:r>
      <w:r>
        <w:rPr/>
        <w:t>y</w:t>
      </w:r>
      <w:r>
        <w:rPr>
          <w:spacing w:val="-16"/>
        </w:rPr>
        <w:t> </w:t>
      </w:r>
      <w:r>
        <w:rPr/>
        <w:t>donde</w:t>
      </w:r>
      <w:r>
        <w:rPr>
          <w:spacing w:val="-12"/>
        </w:rPr>
        <w:t> </w:t>
      </w:r>
      <w:r>
        <w:rPr/>
        <w:t>mostraba</w:t>
      </w:r>
      <w:r>
        <w:rPr>
          <w:spacing w:val="-12"/>
        </w:rPr>
        <w:t> </w:t>
      </w:r>
      <w:r>
        <w:rPr/>
        <w:t>una</w:t>
      </w:r>
      <w:r>
        <w:rPr>
          <w:spacing w:val="-12"/>
        </w:rPr>
        <w:t> </w:t>
      </w:r>
      <w:r>
        <w:rPr/>
        <w:t>mayor</w:t>
      </w:r>
      <w:r>
        <w:rPr>
          <w:spacing w:val="-10"/>
        </w:rPr>
        <w:t> </w:t>
      </w:r>
      <w:r>
        <w:rPr/>
        <w:t>especialización</w:t>
      </w:r>
      <w:r>
        <w:rPr>
          <w:spacing w:val="-11"/>
        </w:rPr>
        <w:t> </w:t>
      </w:r>
      <w:r>
        <w:rPr/>
        <w:t>fue en la fabricación de partes de sistemas de dirección y de suspensión para vehículos automotrices con un índice de</w:t>
      </w:r>
      <w:r>
        <w:rPr>
          <w:spacing w:val="-5"/>
        </w:rPr>
        <w:t> </w:t>
      </w:r>
      <w:r>
        <w:rPr/>
        <w:t>9.3.</w:t>
      </w:r>
    </w:p>
    <w:p>
      <w:pPr>
        <w:pStyle w:val="BodyText"/>
        <w:spacing w:before="5"/>
        <w:rPr>
          <w:sz w:val="21"/>
        </w:rPr>
      </w:pPr>
    </w:p>
    <w:p>
      <w:pPr>
        <w:pStyle w:val="BodyText"/>
        <w:spacing w:line="360" w:lineRule="auto"/>
        <w:ind w:left="102" w:right="119"/>
        <w:jc w:val="both"/>
      </w:pPr>
      <w:r>
        <w:rPr/>
        <w:t>En 2008, la región aumentó su participación en las actividades de la industria automotriz, especializando también en la fabricación de automóviles y camiones, la fabricación de motores</w:t>
      </w:r>
      <w:r>
        <w:rPr>
          <w:spacing w:val="-5"/>
        </w:rPr>
        <w:t> </w:t>
      </w:r>
      <w:r>
        <w:rPr/>
        <w:t>de</w:t>
      </w:r>
      <w:r>
        <w:rPr>
          <w:spacing w:val="-6"/>
        </w:rPr>
        <w:t> </w:t>
      </w:r>
      <w:r>
        <w:rPr/>
        <w:t>gasolina,</w:t>
      </w:r>
      <w:r>
        <w:rPr>
          <w:spacing w:val="-5"/>
        </w:rPr>
        <w:t> </w:t>
      </w:r>
      <w:r>
        <w:rPr/>
        <w:t>de</w:t>
      </w:r>
      <w:r>
        <w:rPr>
          <w:spacing w:val="-6"/>
        </w:rPr>
        <w:t> </w:t>
      </w:r>
      <w:r>
        <w:rPr/>
        <w:t>sistemas</w:t>
      </w:r>
      <w:r>
        <w:rPr>
          <w:spacing w:val="-6"/>
        </w:rPr>
        <w:t> </w:t>
      </w:r>
      <w:r>
        <w:rPr/>
        <w:t>de</w:t>
      </w:r>
      <w:r>
        <w:rPr>
          <w:spacing w:val="-6"/>
        </w:rPr>
        <w:t> </w:t>
      </w:r>
      <w:r>
        <w:rPr/>
        <w:t>transmisión,</w:t>
      </w:r>
      <w:r>
        <w:rPr>
          <w:spacing w:val="-5"/>
        </w:rPr>
        <w:t> </w:t>
      </w:r>
      <w:r>
        <w:rPr/>
        <w:t>en</w:t>
      </w:r>
      <w:r>
        <w:rPr>
          <w:spacing w:val="-5"/>
        </w:rPr>
        <w:t> </w:t>
      </w:r>
      <w:r>
        <w:rPr/>
        <w:t>las</w:t>
      </w:r>
      <w:r>
        <w:rPr>
          <w:spacing w:val="-6"/>
        </w:rPr>
        <w:t> </w:t>
      </w:r>
      <w:r>
        <w:rPr/>
        <w:t>que</w:t>
      </w:r>
      <w:r>
        <w:rPr>
          <w:spacing w:val="-6"/>
        </w:rPr>
        <w:t> </w:t>
      </w:r>
      <w:r>
        <w:rPr/>
        <w:t>presentó</w:t>
      </w:r>
      <w:r>
        <w:rPr>
          <w:spacing w:val="-5"/>
        </w:rPr>
        <w:t> </w:t>
      </w:r>
      <w:r>
        <w:rPr/>
        <w:t>índices</w:t>
      </w:r>
      <w:r>
        <w:rPr>
          <w:spacing w:val="-3"/>
        </w:rPr>
        <w:t> </w:t>
      </w:r>
      <w:r>
        <w:rPr/>
        <w:t>de</w:t>
      </w:r>
      <w:r>
        <w:rPr>
          <w:spacing w:val="-6"/>
        </w:rPr>
        <w:t> </w:t>
      </w:r>
      <w:r>
        <w:rPr/>
        <w:t>1.8,</w:t>
      </w:r>
      <w:r>
        <w:rPr>
          <w:spacing w:val="-5"/>
        </w:rPr>
        <w:t> </w:t>
      </w:r>
      <w:r>
        <w:rPr/>
        <w:t>1.7 y</w:t>
      </w:r>
      <w:r>
        <w:rPr>
          <w:spacing w:val="-8"/>
        </w:rPr>
        <w:t> </w:t>
      </w:r>
      <w:r>
        <w:rPr/>
        <w:t>1.4 (véase cuadro</w:t>
      </w:r>
      <w:r>
        <w:rPr>
          <w:spacing w:val="-5"/>
        </w:rPr>
        <w:t> </w:t>
      </w:r>
      <w:r>
        <w:rPr/>
        <w:t>4.37).</w:t>
      </w:r>
    </w:p>
    <w:p>
      <w:pPr>
        <w:spacing w:after="0" w:line="360" w:lineRule="auto"/>
        <w:jc w:val="both"/>
        <w:sectPr>
          <w:pgSz w:w="12240" w:h="15840"/>
          <w:pgMar w:header="0" w:footer="1035" w:top="1360" w:bottom="1220" w:left="1600" w:right="1580"/>
        </w:sectPr>
      </w:pPr>
    </w:p>
    <w:p>
      <w:pPr>
        <w:pStyle w:val="Heading1"/>
        <w:spacing w:line="360" w:lineRule="auto" w:before="55" w:after="6"/>
        <w:ind w:left="970" w:right="119" w:hanging="797"/>
      </w:pPr>
      <w:r>
        <w:rPr/>
        <w:t>Cuadro 4.37. Cocientes de localización de las actividades de la industria automotriz a nivel nacional de la Región Occidente, 1980-2008 (Personal Ocupado)</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18"/>
        <w:gridCol w:w="614"/>
        <w:gridCol w:w="617"/>
        <w:gridCol w:w="617"/>
        <w:gridCol w:w="614"/>
        <w:gridCol w:w="617"/>
        <w:gridCol w:w="617"/>
        <w:gridCol w:w="615"/>
      </w:tblGrid>
      <w:tr>
        <w:trPr>
          <w:trHeight w:val="318" w:hRule="exact"/>
        </w:trPr>
        <w:tc>
          <w:tcPr>
            <w:tcW w:w="4518" w:type="dxa"/>
            <w:tcBorders>
              <w:right w:val="nil"/>
            </w:tcBorders>
            <w:shd w:val="clear" w:color="auto" w:fill="A6A6A6"/>
          </w:tcPr>
          <w:p>
            <w:pPr>
              <w:pStyle w:val="TableParagraph"/>
              <w:spacing w:before="37"/>
              <w:ind w:right="5"/>
              <w:rPr>
                <w:b/>
                <w:sz w:val="20"/>
              </w:rPr>
            </w:pPr>
            <w:r>
              <w:rPr>
                <w:b/>
                <w:color w:val="FFFFFF"/>
                <w:w w:val="99"/>
                <w:sz w:val="20"/>
              </w:rPr>
              <w:t>.</w:t>
            </w:r>
          </w:p>
        </w:tc>
        <w:tc>
          <w:tcPr>
            <w:tcW w:w="614" w:type="dxa"/>
            <w:tcBorders>
              <w:left w:val="nil"/>
              <w:right w:val="nil"/>
            </w:tcBorders>
            <w:shd w:val="clear" w:color="auto" w:fill="A6A6A6"/>
          </w:tcPr>
          <w:p>
            <w:pPr>
              <w:pStyle w:val="TableParagraph"/>
              <w:spacing w:before="37"/>
              <w:ind w:left="87" w:right="83"/>
              <w:rPr>
                <w:b/>
                <w:sz w:val="20"/>
              </w:rPr>
            </w:pPr>
            <w:r>
              <w:rPr>
                <w:b/>
                <w:sz w:val="20"/>
              </w:rPr>
              <w:t>1980</w:t>
            </w:r>
          </w:p>
        </w:tc>
        <w:tc>
          <w:tcPr>
            <w:tcW w:w="617" w:type="dxa"/>
            <w:tcBorders>
              <w:left w:val="nil"/>
              <w:right w:val="nil"/>
            </w:tcBorders>
            <w:shd w:val="clear" w:color="auto" w:fill="A6A6A6"/>
          </w:tcPr>
          <w:p>
            <w:pPr>
              <w:pStyle w:val="TableParagraph"/>
              <w:spacing w:before="37"/>
              <w:ind w:left="89" w:right="87"/>
              <w:rPr>
                <w:b/>
                <w:sz w:val="20"/>
              </w:rPr>
            </w:pPr>
            <w:r>
              <w:rPr>
                <w:b/>
                <w:sz w:val="20"/>
              </w:rPr>
              <w:t>1985</w:t>
            </w:r>
          </w:p>
        </w:tc>
        <w:tc>
          <w:tcPr>
            <w:tcW w:w="617" w:type="dxa"/>
            <w:tcBorders>
              <w:left w:val="nil"/>
              <w:right w:val="nil"/>
            </w:tcBorders>
            <w:shd w:val="clear" w:color="auto" w:fill="A6A6A6"/>
          </w:tcPr>
          <w:p>
            <w:pPr>
              <w:pStyle w:val="TableParagraph"/>
              <w:spacing w:before="37"/>
              <w:ind w:left="107"/>
              <w:jc w:val="left"/>
              <w:rPr>
                <w:b/>
                <w:sz w:val="20"/>
              </w:rPr>
            </w:pPr>
            <w:r>
              <w:rPr>
                <w:b/>
                <w:sz w:val="20"/>
              </w:rPr>
              <w:t>1988</w:t>
            </w:r>
          </w:p>
        </w:tc>
        <w:tc>
          <w:tcPr>
            <w:tcW w:w="614" w:type="dxa"/>
            <w:tcBorders>
              <w:left w:val="nil"/>
              <w:right w:val="nil"/>
            </w:tcBorders>
            <w:shd w:val="clear" w:color="auto" w:fill="A6A6A6"/>
          </w:tcPr>
          <w:p>
            <w:pPr>
              <w:pStyle w:val="TableParagraph"/>
              <w:spacing w:before="37"/>
              <w:ind w:left="85" w:right="85"/>
              <w:rPr>
                <w:b/>
                <w:sz w:val="20"/>
              </w:rPr>
            </w:pPr>
            <w:r>
              <w:rPr>
                <w:b/>
                <w:sz w:val="20"/>
              </w:rPr>
              <w:t>1993</w:t>
            </w:r>
          </w:p>
        </w:tc>
        <w:tc>
          <w:tcPr>
            <w:tcW w:w="617" w:type="dxa"/>
            <w:tcBorders>
              <w:left w:val="nil"/>
              <w:right w:val="nil"/>
            </w:tcBorders>
            <w:shd w:val="clear" w:color="auto" w:fill="A6A6A6"/>
          </w:tcPr>
          <w:p>
            <w:pPr>
              <w:pStyle w:val="TableParagraph"/>
              <w:spacing w:before="37"/>
              <w:ind w:right="103"/>
              <w:jc w:val="right"/>
              <w:rPr>
                <w:b/>
                <w:sz w:val="20"/>
              </w:rPr>
            </w:pPr>
            <w:r>
              <w:rPr>
                <w:b/>
                <w:sz w:val="20"/>
              </w:rPr>
              <w:t>1998</w:t>
            </w:r>
          </w:p>
        </w:tc>
        <w:tc>
          <w:tcPr>
            <w:tcW w:w="617" w:type="dxa"/>
            <w:tcBorders>
              <w:left w:val="nil"/>
              <w:right w:val="nil"/>
            </w:tcBorders>
            <w:shd w:val="clear" w:color="auto" w:fill="A6A6A6"/>
          </w:tcPr>
          <w:p>
            <w:pPr>
              <w:pStyle w:val="TableParagraph"/>
              <w:spacing w:before="37"/>
              <w:ind w:left="89" w:right="87"/>
              <w:rPr>
                <w:b/>
                <w:sz w:val="20"/>
              </w:rPr>
            </w:pPr>
            <w:r>
              <w:rPr>
                <w:b/>
                <w:sz w:val="20"/>
              </w:rPr>
              <w:t>2003</w:t>
            </w:r>
          </w:p>
        </w:tc>
        <w:tc>
          <w:tcPr>
            <w:tcW w:w="615" w:type="dxa"/>
            <w:tcBorders>
              <w:left w:val="nil"/>
            </w:tcBorders>
            <w:shd w:val="clear" w:color="auto" w:fill="A6A6A6"/>
          </w:tcPr>
          <w:p>
            <w:pPr>
              <w:pStyle w:val="TableParagraph"/>
              <w:spacing w:before="37"/>
              <w:ind w:left="89" w:right="80"/>
              <w:rPr>
                <w:b/>
                <w:sz w:val="20"/>
              </w:rPr>
            </w:pPr>
            <w:r>
              <w:rPr>
                <w:b/>
                <w:sz w:val="20"/>
              </w:rPr>
              <w:t>2008</w:t>
            </w:r>
          </w:p>
        </w:tc>
      </w:tr>
      <w:tr>
        <w:trPr>
          <w:trHeight w:val="281" w:hRule="exact"/>
        </w:trPr>
        <w:tc>
          <w:tcPr>
            <w:tcW w:w="4518" w:type="dxa"/>
          </w:tcPr>
          <w:p>
            <w:pPr>
              <w:pStyle w:val="TableParagraph"/>
              <w:spacing w:before="19"/>
              <w:ind w:left="103" w:right="130"/>
              <w:jc w:val="left"/>
              <w:rPr>
                <w:b/>
                <w:sz w:val="20"/>
              </w:rPr>
            </w:pPr>
            <w:r>
              <w:rPr>
                <w:b/>
                <w:sz w:val="20"/>
              </w:rPr>
              <w:t>Fabricación de automóviles y camiones</w:t>
            </w:r>
          </w:p>
        </w:tc>
        <w:tc>
          <w:tcPr>
            <w:tcW w:w="614" w:type="dxa"/>
          </w:tcPr>
          <w:p>
            <w:pPr>
              <w:pStyle w:val="TableParagraph"/>
              <w:spacing w:before="15"/>
              <w:ind w:left="106" w:right="106"/>
              <w:rPr>
                <w:sz w:val="20"/>
              </w:rPr>
            </w:pPr>
            <w:r>
              <w:rPr>
                <w:sz w:val="20"/>
              </w:rPr>
              <w:t>0.0</w:t>
            </w:r>
          </w:p>
        </w:tc>
        <w:tc>
          <w:tcPr>
            <w:tcW w:w="617" w:type="dxa"/>
          </w:tcPr>
          <w:p>
            <w:pPr>
              <w:pStyle w:val="TableParagraph"/>
              <w:spacing w:before="15"/>
              <w:ind w:left="108" w:right="109"/>
              <w:rPr>
                <w:sz w:val="20"/>
              </w:rPr>
            </w:pPr>
            <w:r>
              <w:rPr>
                <w:sz w:val="20"/>
              </w:rPr>
              <w:t>0.2</w:t>
            </w:r>
          </w:p>
        </w:tc>
        <w:tc>
          <w:tcPr>
            <w:tcW w:w="617" w:type="dxa"/>
          </w:tcPr>
          <w:p>
            <w:pPr>
              <w:pStyle w:val="TableParagraph"/>
              <w:spacing w:before="15"/>
              <w:ind w:left="177"/>
              <w:jc w:val="left"/>
              <w:rPr>
                <w:sz w:val="20"/>
              </w:rPr>
            </w:pPr>
            <w:r>
              <w:rPr>
                <w:sz w:val="20"/>
              </w:rPr>
              <w:t>0.0</w:t>
            </w:r>
          </w:p>
        </w:tc>
        <w:tc>
          <w:tcPr>
            <w:tcW w:w="614" w:type="dxa"/>
          </w:tcPr>
          <w:p>
            <w:pPr>
              <w:pStyle w:val="TableParagraph"/>
              <w:spacing w:before="15"/>
              <w:ind w:left="105" w:right="107"/>
              <w:rPr>
                <w:sz w:val="20"/>
              </w:rPr>
            </w:pPr>
            <w:r>
              <w:rPr>
                <w:sz w:val="20"/>
              </w:rPr>
              <w:t>1.0</w:t>
            </w:r>
          </w:p>
        </w:tc>
        <w:tc>
          <w:tcPr>
            <w:tcW w:w="617" w:type="dxa"/>
          </w:tcPr>
          <w:p>
            <w:pPr>
              <w:pStyle w:val="TableParagraph"/>
              <w:spacing w:before="15"/>
              <w:ind w:right="177"/>
              <w:jc w:val="right"/>
              <w:rPr>
                <w:sz w:val="20"/>
              </w:rPr>
            </w:pPr>
            <w:r>
              <w:rPr>
                <w:sz w:val="20"/>
              </w:rPr>
              <w:t>1.2</w:t>
            </w:r>
          </w:p>
        </w:tc>
        <w:tc>
          <w:tcPr>
            <w:tcW w:w="617" w:type="dxa"/>
          </w:tcPr>
          <w:p>
            <w:pPr>
              <w:pStyle w:val="TableParagraph"/>
              <w:spacing w:before="15"/>
              <w:ind w:left="108" w:right="109"/>
              <w:rPr>
                <w:sz w:val="20"/>
              </w:rPr>
            </w:pPr>
            <w:r>
              <w:rPr>
                <w:sz w:val="20"/>
              </w:rPr>
              <w:t>2.1</w:t>
            </w:r>
          </w:p>
        </w:tc>
        <w:tc>
          <w:tcPr>
            <w:tcW w:w="615" w:type="dxa"/>
          </w:tcPr>
          <w:p>
            <w:pPr>
              <w:pStyle w:val="TableParagraph"/>
              <w:spacing w:before="15"/>
              <w:ind w:left="157" w:right="157"/>
              <w:rPr>
                <w:sz w:val="20"/>
              </w:rPr>
            </w:pPr>
            <w:r>
              <w:rPr>
                <w:sz w:val="20"/>
              </w:rPr>
              <w:t>1.8</w:t>
            </w:r>
          </w:p>
        </w:tc>
      </w:tr>
      <w:tr>
        <w:trPr>
          <w:trHeight w:val="240" w:hRule="exact"/>
        </w:trPr>
        <w:tc>
          <w:tcPr>
            <w:tcW w:w="4518" w:type="dxa"/>
          </w:tcPr>
          <w:p>
            <w:pPr>
              <w:pStyle w:val="TableParagraph"/>
              <w:ind w:left="103" w:right="130"/>
              <w:jc w:val="left"/>
              <w:rPr>
                <w:b/>
                <w:sz w:val="20"/>
              </w:rPr>
            </w:pPr>
            <w:r>
              <w:rPr>
                <w:b/>
                <w:sz w:val="20"/>
              </w:rPr>
              <w:t>Fabricación de carrocerías y remolques</w:t>
            </w:r>
          </w:p>
        </w:tc>
        <w:tc>
          <w:tcPr>
            <w:tcW w:w="614" w:type="dxa"/>
          </w:tcPr>
          <w:p>
            <w:pPr>
              <w:pStyle w:val="TableParagraph"/>
              <w:spacing w:line="226" w:lineRule="exact"/>
              <w:ind w:left="106" w:right="106"/>
              <w:rPr>
                <w:sz w:val="20"/>
              </w:rPr>
            </w:pPr>
            <w:r>
              <w:rPr>
                <w:sz w:val="20"/>
              </w:rPr>
              <w:t>1.4</w:t>
            </w:r>
          </w:p>
        </w:tc>
        <w:tc>
          <w:tcPr>
            <w:tcW w:w="617" w:type="dxa"/>
          </w:tcPr>
          <w:p>
            <w:pPr>
              <w:pStyle w:val="TableParagraph"/>
              <w:spacing w:line="226" w:lineRule="exact"/>
              <w:ind w:left="108" w:right="109"/>
              <w:rPr>
                <w:sz w:val="20"/>
              </w:rPr>
            </w:pPr>
            <w:r>
              <w:rPr>
                <w:sz w:val="20"/>
              </w:rPr>
              <w:t>0.5</w:t>
            </w:r>
          </w:p>
        </w:tc>
        <w:tc>
          <w:tcPr>
            <w:tcW w:w="617" w:type="dxa"/>
          </w:tcPr>
          <w:p>
            <w:pPr>
              <w:pStyle w:val="TableParagraph"/>
              <w:spacing w:line="226" w:lineRule="exact"/>
              <w:ind w:left="177"/>
              <w:jc w:val="left"/>
              <w:rPr>
                <w:sz w:val="20"/>
              </w:rPr>
            </w:pPr>
            <w:r>
              <w:rPr>
                <w:sz w:val="20"/>
              </w:rPr>
              <w:t>1.5</w:t>
            </w:r>
          </w:p>
        </w:tc>
        <w:tc>
          <w:tcPr>
            <w:tcW w:w="614" w:type="dxa"/>
          </w:tcPr>
          <w:p>
            <w:pPr>
              <w:pStyle w:val="TableParagraph"/>
              <w:spacing w:line="226" w:lineRule="exact"/>
              <w:ind w:left="105" w:right="107"/>
              <w:rPr>
                <w:sz w:val="20"/>
              </w:rPr>
            </w:pPr>
            <w:r>
              <w:rPr>
                <w:sz w:val="20"/>
              </w:rPr>
              <w:t>0.8</w:t>
            </w:r>
          </w:p>
        </w:tc>
        <w:tc>
          <w:tcPr>
            <w:tcW w:w="617" w:type="dxa"/>
          </w:tcPr>
          <w:p>
            <w:pPr>
              <w:pStyle w:val="TableParagraph"/>
              <w:spacing w:line="226" w:lineRule="exact"/>
              <w:ind w:right="177"/>
              <w:jc w:val="right"/>
              <w:rPr>
                <w:sz w:val="20"/>
              </w:rPr>
            </w:pPr>
            <w:r>
              <w:rPr>
                <w:sz w:val="20"/>
              </w:rPr>
              <w:t>1.0</w:t>
            </w:r>
          </w:p>
        </w:tc>
        <w:tc>
          <w:tcPr>
            <w:tcW w:w="617" w:type="dxa"/>
          </w:tcPr>
          <w:p>
            <w:pPr>
              <w:pStyle w:val="TableParagraph"/>
              <w:spacing w:line="226" w:lineRule="exact"/>
              <w:ind w:left="108" w:right="109"/>
              <w:rPr>
                <w:sz w:val="20"/>
              </w:rPr>
            </w:pPr>
            <w:r>
              <w:rPr>
                <w:sz w:val="20"/>
              </w:rPr>
              <w:t>1.5</w:t>
            </w:r>
          </w:p>
        </w:tc>
        <w:tc>
          <w:tcPr>
            <w:tcW w:w="615" w:type="dxa"/>
          </w:tcPr>
          <w:p>
            <w:pPr>
              <w:pStyle w:val="TableParagraph"/>
              <w:spacing w:line="226" w:lineRule="exact"/>
              <w:ind w:left="157" w:right="157"/>
              <w:rPr>
                <w:sz w:val="20"/>
              </w:rPr>
            </w:pPr>
            <w:r>
              <w:rPr>
                <w:sz w:val="20"/>
              </w:rPr>
              <w:t>1.6</w:t>
            </w:r>
          </w:p>
        </w:tc>
      </w:tr>
      <w:tr>
        <w:trPr>
          <w:trHeight w:val="470" w:hRule="exact"/>
        </w:trPr>
        <w:tc>
          <w:tcPr>
            <w:tcW w:w="4518" w:type="dxa"/>
          </w:tcPr>
          <w:p>
            <w:pPr>
              <w:pStyle w:val="TableParagraph"/>
              <w:ind w:left="103" w:right="130"/>
              <w:jc w:val="left"/>
              <w:rPr>
                <w:b/>
                <w:sz w:val="20"/>
              </w:rPr>
            </w:pPr>
            <w:r>
              <w:rPr>
                <w:b/>
                <w:sz w:val="20"/>
              </w:rPr>
              <w:t>Fabricación de motores de gasolina y sus partes para vehículos automotrices</w:t>
            </w:r>
          </w:p>
        </w:tc>
        <w:tc>
          <w:tcPr>
            <w:tcW w:w="614" w:type="dxa"/>
          </w:tcPr>
          <w:p>
            <w:pPr>
              <w:pStyle w:val="TableParagraph"/>
              <w:spacing w:before="108"/>
              <w:ind w:left="106" w:right="106"/>
              <w:rPr>
                <w:sz w:val="20"/>
              </w:rPr>
            </w:pPr>
            <w:r>
              <w:rPr>
                <w:sz w:val="20"/>
              </w:rPr>
              <w:t>0.4</w:t>
            </w:r>
          </w:p>
        </w:tc>
        <w:tc>
          <w:tcPr>
            <w:tcW w:w="617" w:type="dxa"/>
          </w:tcPr>
          <w:p>
            <w:pPr>
              <w:pStyle w:val="TableParagraph"/>
              <w:spacing w:before="108"/>
              <w:ind w:left="108" w:right="109"/>
              <w:rPr>
                <w:sz w:val="20"/>
              </w:rPr>
            </w:pPr>
            <w:r>
              <w:rPr>
                <w:sz w:val="20"/>
              </w:rPr>
              <w:t>0.4</w:t>
            </w:r>
          </w:p>
        </w:tc>
        <w:tc>
          <w:tcPr>
            <w:tcW w:w="617" w:type="dxa"/>
          </w:tcPr>
          <w:p>
            <w:pPr>
              <w:pStyle w:val="TableParagraph"/>
              <w:spacing w:before="108"/>
              <w:ind w:left="177"/>
              <w:jc w:val="left"/>
              <w:rPr>
                <w:sz w:val="20"/>
              </w:rPr>
            </w:pPr>
            <w:r>
              <w:rPr>
                <w:sz w:val="20"/>
              </w:rPr>
              <w:t>3.4</w:t>
            </w:r>
          </w:p>
        </w:tc>
        <w:tc>
          <w:tcPr>
            <w:tcW w:w="614" w:type="dxa"/>
          </w:tcPr>
          <w:p>
            <w:pPr>
              <w:pStyle w:val="TableParagraph"/>
              <w:spacing w:before="108"/>
              <w:ind w:left="105" w:right="107"/>
              <w:rPr>
                <w:sz w:val="20"/>
              </w:rPr>
            </w:pPr>
            <w:r>
              <w:rPr>
                <w:sz w:val="20"/>
              </w:rPr>
              <w:t>3.1</w:t>
            </w:r>
          </w:p>
        </w:tc>
        <w:tc>
          <w:tcPr>
            <w:tcW w:w="617" w:type="dxa"/>
          </w:tcPr>
          <w:p>
            <w:pPr>
              <w:pStyle w:val="TableParagraph"/>
              <w:spacing w:before="108"/>
              <w:ind w:right="177"/>
              <w:jc w:val="right"/>
              <w:rPr>
                <w:sz w:val="20"/>
              </w:rPr>
            </w:pPr>
            <w:r>
              <w:rPr>
                <w:sz w:val="20"/>
              </w:rPr>
              <w:t>2.8</w:t>
            </w:r>
          </w:p>
        </w:tc>
        <w:tc>
          <w:tcPr>
            <w:tcW w:w="617" w:type="dxa"/>
          </w:tcPr>
          <w:p>
            <w:pPr>
              <w:pStyle w:val="TableParagraph"/>
              <w:spacing w:before="108"/>
              <w:ind w:left="108" w:right="109"/>
              <w:rPr>
                <w:sz w:val="20"/>
              </w:rPr>
            </w:pPr>
            <w:r>
              <w:rPr>
                <w:sz w:val="20"/>
              </w:rPr>
              <w:t>2.5</w:t>
            </w:r>
          </w:p>
        </w:tc>
        <w:tc>
          <w:tcPr>
            <w:tcW w:w="615" w:type="dxa"/>
          </w:tcPr>
          <w:p>
            <w:pPr>
              <w:pStyle w:val="TableParagraph"/>
              <w:spacing w:before="108"/>
              <w:ind w:left="157" w:right="157"/>
              <w:rPr>
                <w:sz w:val="20"/>
              </w:rPr>
            </w:pPr>
            <w:r>
              <w:rPr>
                <w:sz w:val="20"/>
              </w:rPr>
              <w:t>1.7</w:t>
            </w:r>
          </w:p>
        </w:tc>
      </w:tr>
      <w:tr>
        <w:trPr>
          <w:trHeight w:val="266" w:hRule="exact"/>
        </w:trPr>
        <w:tc>
          <w:tcPr>
            <w:tcW w:w="4518" w:type="dxa"/>
          </w:tcPr>
          <w:p>
            <w:pPr>
              <w:pStyle w:val="TableParagraph"/>
              <w:spacing w:before="12"/>
              <w:ind w:left="103" w:right="130"/>
              <w:jc w:val="left"/>
              <w:rPr>
                <w:b/>
                <w:sz w:val="20"/>
              </w:rPr>
            </w:pPr>
            <w:r>
              <w:rPr>
                <w:b/>
                <w:sz w:val="20"/>
              </w:rPr>
              <w:t>Fabricación de partes de sistemas de transmisión</w:t>
            </w:r>
          </w:p>
        </w:tc>
        <w:tc>
          <w:tcPr>
            <w:tcW w:w="614" w:type="dxa"/>
          </w:tcPr>
          <w:p>
            <w:pPr>
              <w:pStyle w:val="TableParagraph"/>
              <w:spacing w:before="7"/>
              <w:ind w:left="106" w:right="106"/>
              <w:rPr>
                <w:sz w:val="20"/>
              </w:rPr>
            </w:pPr>
            <w:r>
              <w:rPr>
                <w:sz w:val="20"/>
              </w:rPr>
              <w:t>0.1</w:t>
            </w:r>
          </w:p>
        </w:tc>
        <w:tc>
          <w:tcPr>
            <w:tcW w:w="617" w:type="dxa"/>
          </w:tcPr>
          <w:p>
            <w:pPr>
              <w:pStyle w:val="TableParagraph"/>
              <w:spacing w:before="7"/>
              <w:ind w:left="108" w:right="109"/>
              <w:rPr>
                <w:sz w:val="20"/>
              </w:rPr>
            </w:pPr>
            <w:r>
              <w:rPr>
                <w:sz w:val="20"/>
              </w:rPr>
              <w:t>0.8</w:t>
            </w:r>
          </w:p>
        </w:tc>
        <w:tc>
          <w:tcPr>
            <w:tcW w:w="617" w:type="dxa"/>
          </w:tcPr>
          <w:p>
            <w:pPr>
              <w:pStyle w:val="TableParagraph"/>
              <w:spacing w:before="7"/>
              <w:ind w:left="177"/>
              <w:jc w:val="left"/>
              <w:rPr>
                <w:sz w:val="20"/>
              </w:rPr>
            </w:pPr>
            <w:r>
              <w:rPr>
                <w:sz w:val="20"/>
              </w:rPr>
              <w:t>0.1</w:t>
            </w:r>
          </w:p>
        </w:tc>
        <w:tc>
          <w:tcPr>
            <w:tcW w:w="614" w:type="dxa"/>
          </w:tcPr>
          <w:p>
            <w:pPr>
              <w:pStyle w:val="TableParagraph"/>
              <w:spacing w:before="7"/>
              <w:ind w:left="105" w:right="107"/>
              <w:rPr>
                <w:sz w:val="20"/>
              </w:rPr>
            </w:pPr>
            <w:r>
              <w:rPr>
                <w:sz w:val="20"/>
              </w:rPr>
              <w:t>0.4</w:t>
            </w:r>
          </w:p>
        </w:tc>
        <w:tc>
          <w:tcPr>
            <w:tcW w:w="617" w:type="dxa"/>
          </w:tcPr>
          <w:p>
            <w:pPr>
              <w:pStyle w:val="TableParagraph"/>
              <w:spacing w:before="7"/>
              <w:ind w:right="177"/>
              <w:jc w:val="right"/>
              <w:rPr>
                <w:sz w:val="20"/>
              </w:rPr>
            </w:pPr>
            <w:r>
              <w:rPr>
                <w:sz w:val="20"/>
              </w:rPr>
              <w:t>0.9</w:t>
            </w:r>
          </w:p>
        </w:tc>
        <w:tc>
          <w:tcPr>
            <w:tcW w:w="617" w:type="dxa"/>
          </w:tcPr>
          <w:p>
            <w:pPr>
              <w:pStyle w:val="TableParagraph"/>
              <w:spacing w:before="7"/>
              <w:ind w:left="108" w:right="109"/>
              <w:rPr>
                <w:sz w:val="20"/>
              </w:rPr>
            </w:pPr>
            <w:r>
              <w:rPr>
                <w:sz w:val="20"/>
              </w:rPr>
              <w:t>0.8</w:t>
            </w:r>
          </w:p>
        </w:tc>
        <w:tc>
          <w:tcPr>
            <w:tcW w:w="615" w:type="dxa"/>
          </w:tcPr>
          <w:p>
            <w:pPr>
              <w:pStyle w:val="TableParagraph"/>
              <w:spacing w:before="7"/>
              <w:ind w:left="157" w:right="157"/>
              <w:rPr>
                <w:sz w:val="20"/>
              </w:rPr>
            </w:pPr>
            <w:r>
              <w:rPr>
                <w:sz w:val="20"/>
              </w:rPr>
              <w:t>1.4</w:t>
            </w:r>
          </w:p>
        </w:tc>
      </w:tr>
      <w:tr>
        <w:trPr>
          <w:trHeight w:val="470" w:hRule="exact"/>
        </w:trPr>
        <w:tc>
          <w:tcPr>
            <w:tcW w:w="4518" w:type="dxa"/>
          </w:tcPr>
          <w:p>
            <w:pPr>
              <w:pStyle w:val="TableParagraph"/>
              <w:ind w:left="103" w:right="130"/>
              <w:jc w:val="left"/>
              <w:rPr>
                <w:b/>
                <w:sz w:val="20"/>
              </w:rPr>
            </w:pPr>
            <w:r>
              <w:rPr>
                <w:b/>
                <w:sz w:val="20"/>
              </w:rPr>
              <w:t>Fabricación de partes de sistemas de dirección y de suspensión para vehículos automotrices</w:t>
            </w:r>
          </w:p>
        </w:tc>
        <w:tc>
          <w:tcPr>
            <w:tcW w:w="614" w:type="dxa"/>
          </w:tcPr>
          <w:p>
            <w:pPr>
              <w:pStyle w:val="TableParagraph"/>
              <w:spacing w:before="108"/>
              <w:ind w:left="106" w:right="106"/>
              <w:rPr>
                <w:sz w:val="20"/>
              </w:rPr>
            </w:pPr>
            <w:r>
              <w:rPr>
                <w:sz w:val="20"/>
              </w:rPr>
              <w:t>9.3</w:t>
            </w:r>
          </w:p>
        </w:tc>
        <w:tc>
          <w:tcPr>
            <w:tcW w:w="617" w:type="dxa"/>
          </w:tcPr>
          <w:p>
            <w:pPr>
              <w:pStyle w:val="TableParagraph"/>
              <w:spacing w:before="108"/>
              <w:ind w:left="108" w:right="109"/>
              <w:rPr>
                <w:sz w:val="20"/>
              </w:rPr>
            </w:pPr>
            <w:r>
              <w:rPr>
                <w:sz w:val="20"/>
              </w:rPr>
              <w:t>3.2</w:t>
            </w:r>
          </w:p>
        </w:tc>
        <w:tc>
          <w:tcPr>
            <w:tcW w:w="617" w:type="dxa"/>
          </w:tcPr>
          <w:p>
            <w:pPr>
              <w:pStyle w:val="TableParagraph"/>
              <w:spacing w:before="108"/>
              <w:ind w:left="177"/>
              <w:jc w:val="left"/>
              <w:rPr>
                <w:sz w:val="20"/>
              </w:rPr>
            </w:pPr>
            <w:r>
              <w:rPr>
                <w:sz w:val="20"/>
              </w:rPr>
              <w:t>6.3</w:t>
            </w:r>
          </w:p>
        </w:tc>
        <w:tc>
          <w:tcPr>
            <w:tcW w:w="614" w:type="dxa"/>
          </w:tcPr>
          <w:p>
            <w:pPr>
              <w:pStyle w:val="TableParagraph"/>
              <w:spacing w:before="108"/>
              <w:ind w:left="105" w:right="107"/>
              <w:rPr>
                <w:sz w:val="20"/>
              </w:rPr>
            </w:pPr>
            <w:r>
              <w:rPr>
                <w:sz w:val="20"/>
              </w:rPr>
              <w:t>3.2</w:t>
            </w:r>
          </w:p>
        </w:tc>
        <w:tc>
          <w:tcPr>
            <w:tcW w:w="617" w:type="dxa"/>
          </w:tcPr>
          <w:p>
            <w:pPr>
              <w:pStyle w:val="TableParagraph"/>
              <w:spacing w:before="108"/>
              <w:ind w:right="177"/>
              <w:jc w:val="right"/>
              <w:rPr>
                <w:sz w:val="20"/>
              </w:rPr>
            </w:pPr>
            <w:r>
              <w:rPr>
                <w:sz w:val="20"/>
              </w:rPr>
              <w:t>3.1</w:t>
            </w:r>
          </w:p>
        </w:tc>
        <w:tc>
          <w:tcPr>
            <w:tcW w:w="617" w:type="dxa"/>
          </w:tcPr>
          <w:p>
            <w:pPr>
              <w:pStyle w:val="TableParagraph"/>
              <w:spacing w:before="108"/>
              <w:ind w:left="108" w:right="109"/>
              <w:rPr>
                <w:sz w:val="20"/>
              </w:rPr>
            </w:pPr>
            <w:r>
              <w:rPr>
                <w:sz w:val="20"/>
              </w:rPr>
              <w:t>5.0</w:t>
            </w:r>
          </w:p>
        </w:tc>
        <w:tc>
          <w:tcPr>
            <w:tcW w:w="615" w:type="dxa"/>
          </w:tcPr>
          <w:p>
            <w:pPr>
              <w:pStyle w:val="TableParagraph"/>
              <w:spacing w:before="108"/>
              <w:ind w:left="157" w:right="157"/>
              <w:rPr>
                <w:sz w:val="20"/>
              </w:rPr>
            </w:pPr>
            <w:r>
              <w:rPr>
                <w:sz w:val="20"/>
              </w:rPr>
              <w:t>3.6</w:t>
            </w:r>
          </w:p>
        </w:tc>
      </w:tr>
      <w:tr>
        <w:trPr>
          <w:trHeight w:val="471" w:hRule="exact"/>
        </w:trPr>
        <w:tc>
          <w:tcPr>
            <w:tcW w:w="4518" w:type="dxa"/>
          </w:tcPr>
          <w:p>
            <w:pPr>
              <w:pStyle w:val="TableParagraph"/>
              <w:ind w:left="103" w:right="130"/>
              <w:jc w:val="left"/>
              <w:rPr>
                <w:b/>
                <w:sz w:val="20"/>
              </w:rPr>
            </w:pPr>
            <w:r>
              <w:rPr>
                <w:b/>
                <w:sz w:val="20"/>
              </w:rPr>
              <w:t>Fabricación de partes de sistemas de frenos para vehículos automotrices</w:t>
            </w:r>
          </w:p>
        </w:tc>
        <w:tc>
          <w:tcPr>
            <w:tcW w:w="614" w:type="dxa"/>
          </w:tcPr>
          <w:p>
            <w:pPr>
              <w:pStyle w:val="TableParagraph"/>
              <w:spacing w:before="109"/>
              <w:ind w:left="106" w:right="106"/>
              <w:rPr>
                <w:sz w:val="20"/>
              </w:rPr>
            </w:pPr>
            <w:r>
              <w:rPr>
                <w:sz w:val="20"/>
              </w:rPr>
              <w:t>1.0</w:t>
            </w:r>
          </w:p>
        </w:tc>
        <w:tc>
          <w:tcPr>
            <w:tcW w:w="617" w:type="dxa"/>
          </w:tcPr>
          <w:p>
            <w:pPr>
              <w:pStyle w:val="TableParagraph"/>
              <w:spacing w:before="109"/>
              <w:ind w:left="108" w:right="109"/>
              <w:rPr>
                <w:sz w:val="20"/>
              </w:rPr>
            </w:pPr>
            <w:r>
              <w:rPr>
                <w:sz w:val="20"/>
              </w:rPr>
              <w:t>0.0</w:t>
            </w:r>
          </w:p>
        </w:tc>
        <w:tc>
          <w:tcPr>
            <w:tcW w:w="617" w:type="dxa"/>
          </w:tcPr>
          <w:p>
            <w:pPr>
              <w:pStyle w:val="TableParagraph"/>
              <w:spacing w:before="109"/>
              <w:ind w:left="177"/>
              <w:jc w:val="left"/>
              <w:rPr>
                <w:sz w:val="20"/>
              </w:rPr>
            </w:pPr>
            <w:r>
              <w:rPr>
                <w:sz w:val="20"/>
              </w:rPr>
              <w:t>0.3</w:t>
            </w:r>
          </w:p>
        </w:tc>
        <w:tc>
          <w:tcPr>
            <w:tcW w:w="614" w:type="dxa"/>
          </w:tcPr>
          <w:p>
            <w:pPr>
              <w:pStyle w:val="TableParagraph"/>
              <w:spacing w:before="109"/>
              <w:ind w:left="105" w:right="107"/>
              <w:rPr>
                <w:sz w:val="20"/>
              </w:rPr>
            </w:pPr>
            <w:r>
              <w:rPr>
                <w:sz w:val="20"/>
              </w:rPr>
              <w:t>1.0</w:t>
            </w:r>
          </w:p>
        </w:tc>
        <w:tc>
          <w:tcPr>
            <w:tcW w:w="617" w:type="dxa"/>
          </w:tcPr>
          <w:p>
            <w:pPr>
              <w:pStyle w:val="TableParagraph"/>
              <w:spacing w:before="109"/>
              <w:ind w:right="177"/>
              <w:jc w:val="right"/>
              <w:rPr>
                <w:sz w:val="20"/>
              </w:rPr>
            </w:pPr>
            <w:r>
              <w:rPr>
                <w:sz w:val="20"/>
              </w:rPr>
              <w:t>1.2</w:t>
            </w:r>
          </w:p>
        </w:tc>
        <w:tc>
          <w:tcPr>
            <w:tcW w:w="617" w:type="dxa"/>
          </w:tcPr>
          <w:p>
            <w:pPr>
              <w:pStyle w:val="TableParagraph"/>
              <w:spacing w:before="109"/>
              <w:ind w:left="108" w:right="109"/>
              <w:rPr>
                <w:sz w:val="20"/>
              </w:rPr>
            </w:pPr>
            <w:r>
              <w:rPr>
                <w:sz w:val="20"/>
              </w:rPr>
              <w:t>1.4</w:t>
            </w:r>
          </w:p>
        </w:tc>
        <w:tc>
          <w:tcPr>
            <w:tcW w:w="615" w:type="dxa"/>
          </w:tcPr>
          <w:p>
            <w:pPr>
              <w:pStyle w:val="TableParagraph"/>
              <w:spacing w:before="109"/>
              <w:ind w:left="157" w:right="157"/>
              <w:rPr>
                <w:sz w:val="20"/>
              </w:rPr>
            </w:pPr>
            <w:r>
              <w:rPr>
                <w:sz w:val="20"/>
              </w:rPr>
              <w:t>1.4</w:t>
            </w:r>
          </w:p>
        </w:tc>
      </w:tr>
      <w:tr>
        <w:trPr>
          <w:trHeight w:val="468" w:hRule="exact"/>
        </w:trPr>
        <w:tc>
          <w:tcPr>
            <w:tcW w:w="4518" w:type="dxa"/>
          </w:tcPr>
          <w:p>
            <w:pPr>
              <w:pStyle w:val="TableParagraph"/>
              <w:ind w:left="103" w:right="130"/>
              <w:jc w:val="left"/>
              <w:rPr>
                <w:b/>
                <w:sz w:val="20"/>
              </w:rPr>
            </w:pPr>
            <w:r>
              <w:rPr>
                <w:b/>
                <w:sz w:val="20"/>
              </w:rPr>
              <w:t>Fabricación de equipo eléctrico y electrónico para vehículos automotores</w:t>
            </w:r>
          </w:p>
        </w:tc>
        <w:tc>
          <w:tcPr>
            <w:tcW w:w="614" w:type="dxa"/>
          </w:tcPr>
          <w:p>
            <w:pPr>
              <w:pStyle w:val="TableParagraph"/>
              <w:spacing w:before="108"/>
              <w:ind w:left="106" w:right="106"/>
              <w:rPr>
                <w:sz w:val="20"/>
              </w:rPr>
            </w:pPr>
            <w:r>
              <w:rPr>
                <w:sz w:val="20"/>
              </w:rPr>
              <w:t>0.0</w:t>
            </w:r>
          </w:p>
        </w:tc>
        <w:tc>
          <w:tcPr>
            <w:tcW w:w="617" w:type="dxa"/>
          </w:tcPr>
          <w:p>
            <w:pPr>
              <w:pStyle w:val="TableParagraph"/>
              <w:spacing w:before="108"/>
              <w:ind w:left="108" w:right="109"/>
              <w:rPr>
                <w:sz w:val="20"/>
              </w:rPr>
            </w:pPr>
            <w:r>
              <w:rPr>
                <w:sz w:val="20"/>
              </w:rPr>
              <w:t>0.0</w:t>
            </w:r>
          </w:p>
        </w:tc>
        <w:tc>
          <w:tcPr>
            <w:tcW w:w="617" w:type="dxa"/>
          </w:tcPr>
          <w:p>
            <w:pPr>
              <w:pStyle w:val="TableParagraph"/>
              <w:spacing w:before="108"/>
              <w:ind w:left="177"/>
              <w:jc w:val="left"/>
              <w:rPr>
                <w:sz w:val="20"/>
              </w:rPr>
            </w:pPr>
            <w:r>
              <w:rPr>
                <w:sz w:val="20"/>
              </w:rPr>
              <w:t>0.2</w:t>
            </w:r>
          </w:p>
        </w:tc>
        <w:tc>
          <w:tcPr>
            <w:tcW w:w="614" w:type="dxa"/>
          </w:tcPr>
          <w:p>
            <w:pPr>
              <w:pStyle w:val="TableParagraph"/>
              <w:spacing w:before="108"/>
              <w:ind w:left="105" w:right="107"/>
              <w:rPr>
                <w:sz w:val="20"/>
              </w:rPr>
            </w:pPr>
            <w:r>
              <w:rPr>
                <w:sz w:val="20"/>
              </w:rPr>
              <w:t>0.1</w:t>
            </w:r>
          </w:p>
        </w:tc>
        <w:tc>
          <w:tcPr>
            <w:tcW w:w="617" w:type="dxa"/>
          </w:tcPr>
          <w:p>
            <w:pPr>
              <w:pStyle w:val="TableParagraph"/>
              <w:spacing w:before="108"/>
              <w:ind w:right="177"/>
              <w:jc w:val="right"/>
              <w:rPr>
                <w:sz w:val="20"/>
              </w:rPr>
            </w:pPr>
            <w:r>
              <w:rPr>
                <w:sz w:val="20"/>
              </w:rPr>
              <w:t>0.5</w:t>
            </w:r>
          </w:p>
        </w:tc>
        <w:tc>
          <w:tcPr>
            <w:tcW w:w="617" w:type="dxa"/>
          </w:tcPr>
          <w:p>
            <w:pPr>
              <w:pStyle w:val="TableParagraph"/>
              <w:spacing w:before="108"/>
              <w:ind w:left="108" w:right="109"/>
              <w:rPr>
                <w:sz w:val="20"/>
              </w:rPr>
            </w:pPr>
            <w:r>
              <w:rPr>
                <w:sz w:val="20"/>
              </w:rPr>
              <w:t>0.3</w:t>
            </w:r>
          </w:p>
        </w:tc>
        <w:tc>
          <w:tcPr>
            <w:tcW w:w="615" w:type="dxa"/>
          </w:tcPr>
          <w:p>
            <w:pPr>
              <w:pStyle w:val="TableParagraph"/>
              <w:spacing w:before="108"/>
              <w:ind w:left="157" w:right="157"/>
              <w:rPr>
                <w:sz w:val="20"/>
              </w:rPr>
            </w:pPr>
            <w:r>
              <w:rPr>
                <w:sz w:val="20"/>
              </w:rPr>
              <w:t>0.3</w:t>
            </w:r>
          </w:p>
        </w:tc>
      </w:tr>
      <w:tr>
        <w:trPr>
          <w:trHeight w:val="470" w:hRule="exact"/>
        </w:trPr>
        <w:tc>
          <w:tcPr>
            <w:tcW w:w="4518" w:type="dxa"/>
          </w:tcPr>
          <w:p>
            <w:pPr>
              <w:pStyle w:val="TableParagraph"/>
              <w:ind w:left="103" w:right="130"/>
              <w:jc w:val="left"/>
              <w:rPr>
                <w:b/>
                <w:sz w:val="20"/>
              </w:rPr>
            </w:pPr>
            <w:r>
              <w:rPr>
                <w:b/>
                <w:sz w:val="20"/>
              </w:rPr>
              <w:t>Fabricación de otras partes para vehículos automotrices</w:t>
            </w:r>
          </w:p>
        </w:tc>
        <w:tc>
          <w:tcPr>
            <w:tcW w:w="614" w:type="dxa"/>
          </w:tcPr>
          <w:p>
            <w:pPr>
              <w:pStyle w:val="TableParagraph"/>
              <w:spacing w:before="111"/>
              <w:ind w:left="106" w:right="106"/>
              <w:rPr>
                <w:sz w:val="20"/>
              </w:rPr>
            </w:pPr>
            <w:r>
              <w:rPr>
                <w:sz w:val="20"/>
              </w:rPr>
              <w:t>2.5</w:t>
            </w:r>
          </w:p>
        </w:tc>
        <w:tc>
          <w:tcPr>
            <w:tcW w:w="617" w:type="dxa"/>
          </w:tcPr>
          <w:p>
            <w:pPr>
              <w:pStyle w:val="TableParagraph"/>
              <w:spacing w:before="111"/>
              <w:ind w:left="108" w:right="109"/>
              <w:rPr>
                <w:sz w:val="20"/>
              </w:rPr>
            </w:pPr>
            <w:r>
              <w:rPr>
                <w:sz w:val="20"/>
              </w:rPr>
              <w:t>0.2</w:t>
            </w:r>
          </w:p>
        </w:tc>
        <w:tc>
          <w:tcPr>
            <w:tcW w:w="617" w:type="dxa"/>
          </w:tcPr>
          <w:p>
            <w:pPr>
              <w:pStyle w:val="TableParagraph"/>
              <w:spacing w:before="111"/>
              <w:ind w:left="177"/>
              <w:jc w:val="left"/>
              <w:rPr>
                <w:sz w:val="20"/>
              </w:rPr>
            </w:pPr>
            <w:r>
              <w:rPr>
                <w:sz w:val="20"/>
              </w:rPr>
              <w:t>1.2</w:t>
            </w:r>
          </w:p>
        </w:tc>
        <w:tc>
          <w:tcPr>
            <w:tcW w:w="614" w:type="dxa"/>
          </w:tcPr>
          <w:p>
            <w:pPr>
              <w:pStyle w:val="TableParagraph"/>
              <w:spacing w:before="111"/>
              <w:ind w:left="105" w:right="107"/>
              <w:rPr>
                <w:sz w:val="20"/>
              </w:rPr>
            </w:pPr>
            <w:r>
              <w:rPr>
                <w:sz w:val="20"/>
              </w:rPr>
              <w:t>1.3</w:t>
            </w:r>
          </w:p>
        </w:tc>
        <w:tc>
          <w:tcPr>
            <w:tcW w:w="617" w:type="dxa"/>
          </w:tcPr>
          <w:p>
            <w:pPr>
              <w:pStyle w:val="TableParagraph"/>
              <w:spacing w:before="111"/>
              <w:ind w:right="177"/>
              <w:jc w:val="right"/>
              <w:rPr>
                <w:sz w:val="20"/>
              </w:rPr>
            </w:pPr>
            <w:r>
              <w:rPr>
                <w:sz w:val="20"/>
              </w:rPr>
              <w:t>1.1</w:t>
            </w:r>
          </w:p>
        </w:tc>
        <w:tc>
          <w:tcPr>
            <w:tcW w:w="617" w:type="dxa"/>
          </w:tcPr>
          <w:p>
            <w:pPr>
              <w:pStyle w:val="TableParagraph"/>
              <w:spacing w:before="111"/>
              <w:ind w:left="108" w:right="109"/>
              <w:rPr>
                <w:sz w:val="20"/>
              </w:rPr>
            </w:pPr>
            <w:r>
              <w:rPr>
                <w:sz w:val="20"/>
              </w:rPr>
              <w:t>1.3</w:t>
            </w:r>
          </w:p>
        </w:tc>
        <w:tc>
          <w:tcPr>
            <w:tcW w:w="615" w:type="dxa"/>
          </w:tcPr>
          <w:p>
            <w:pPr>
              <w:pStyle w:val="TableParagraph"/>
              <w:spacing w:before="111"/>
              <w:ind w:left="157" w:right="157"/>
              <w:rPr>
                <w:sz w:val="20"/>
              </w:rPr>
            </w:pPr>
            <w:r>
              <w:rPr>
                <w:sz w:val="20"/>
              </w:rPr>
              <w:t>0.8</w:t>
            </w:r>
          </w:p>
        </w:tc>
      </w:tr>
    </w:tbl>
    <w:p>
      <w:pPr>
        <w:spacing w:line="202" w:lineRule="exact" w:before="0"/>
        <w:ind w:left="102" w:right="0" w:firstLine="0"/>
        <w:jc w:val="both"/>
        <w:rPr>
          <w:sz w:val="18"/>
        </w:rPr>
      </w:pPr>
      <w:r>
        <w:rPr>
          <w:sz w:val="18"/>
        </w:rPr>
        <w:t>Fuente: Elaboración propia con datos de INEGI (varios años).</w:t>
      </w:r>
    </w:p>
    <w:p>
      <w:pPr>
        <w:pStyle w:val="BodyText"/>
        <w:rPr>
          <w:sz w:val="18"/>
        </w:rPr>
      </w:pPr>
    </w:p>
    <w:p>
      <w:pPr>
        <w:pStyle w:val="BodyText"/>
        <w:spacing w:line="360" w:lineRule="auto" w:before="137"/>
        <w:ind w:left="102" w:right="121"/>
        <w:jc w:val="both"/>
      </w:pPr>
      <w:r>
        <w:rPr/>
        <w:t>Por el lado del valor agregado censal bruto, en 1980 se especializaba en cuatro actividades de la industria automotriz, sin embargo en 2009 se observa que la región siguió especializándose solamente en cuatro actividades pero tres de ellas cambiaron, si bien en 1980 se especializaba en la fabricación de carrocerías y remolques, de partes de sistemas de dirección y de suspensión, de partes de sistemas de frenos y fabricación de otras partes para vehículos automotrices, para el 2008, los índices de localización que fueron mayores a la unidad se encontraron en las actividades de fabricación de automóviles y camiones, de motores de gasolina, y de sistemas de transmisión (véase 4.42).</w:t>
      </w:r>
    </w:p>
    <w:p>
      <w:pPr>
        <w:pStyle w:val="BodyText"/>
        <w:spacing w:before="9"/>
        <w:rPr>
          <w:sz w:val="21"/>
        </w:rPr>
      </w:pPr>
    </w:p>
    <w:p>
      <w:pPr>
        <w:pStyle w:val="Heading1"/>
        <w:spacing w:line="360" w:lineRule="auto" w:after="7"/>
        <w:ind w:left="382" w:right="119" w:hanging="209"/>
      </w:pPr>
      <w:r>
        <w:rPr/>
        <w:t>Cuadro 4.38. Cocientes de localización de las actividades de la industria automotriz a nivel nacional de la Región Occidente, 1980-2008 (Valor Agregado Censal Bruto)</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18"/>
        <w:gridCol w:w="614"/>
        <w:gridCol w:w="617"/>
        <w:gridCol w:w="617"/>
        <w:gridCol w:w="614"/>
        <w:gridCol w:w="617"/>
        <w:gridCol w:w="617"/>
        <w:gridCol w:w="615"/>
      </w:tblGrid>
      <w:tr>
        <w:trPr>
          <w:trHeight w:val="302" w:hRule="exact"/>
        </w:trPr>
        <w:tc>
          <w:tcPr>
            <w:tcW w:w="4518" w:type="dxa"/>
            <w:tcBorders>
              <w:right w:val="nil"/>
            </w:tcBorders>
            <w:shd w:val="clear" w:color="auto" w:fill="A6A6A6"/>
          </w:tcPr>
          <w:p>
            <w:pPr>
              <w:pStyle w:val="TableParagraph"/>
              <w:spacing w:before="29"/>
              <w:ind w:right="5"/>
              <w:rPr>
                <w:b/>
                <w:sz w:val="20"/>
              </w:rPr>
            </w:pPr>
            <w:r>
              <w:rPr>
                <w:b/>
                <w:color w:val="FFFFFF"/>
                <w:w w:val="99"/>
                <w:sz w:val="20"/>
              </w:rPr>
              <w:t>.</w:t>
            </w:r>
          </w:p>
        </w:tc>
        <w:tc>
          <w:tcPr>
            <w:tcW w:w="614" w:type="dxa"/>
            <w:tcBorders>
              <w:left w:val="nil"/>
              <w:right w:val="nil"/>
            </w:tcBorders>
            <w:shd w:val="clear" w:color="auto" w:fill="A6A6A6"/>
          </w:tcPr>
          <w:p>
            <w:pPr>
              <w:pStyle w:val="TableParagraph"/>
              <w:spacing w:before="29"/>
              <w:ind w:left="87" w:right="83"/>
              <w:rPr>
                <w:b/>
                <w:sz w:val="20"/>
              </w:rPr>
            </w:pPr>
            <w:r>
              <w:rPr>
                <w:b/>
                <w:sz w:val="20"/>
              </w:rPr>
              <w:t>1980</w:t>
            </w:r>
          </w:p>
        </w:tc>
        <w:tc>
          <w:tcPr>
            <w:tcW w:w="617" w:type="dxa"/>
            <w:tcBorders>
              <w:left w:val="nil"/>
              <w:right w:val="nil"/>
            </w:tcBorders>
            <w:shd w:val="clear" w:color="auto" w:fill="A6A6A6"/>
          </w:tcPr>
          <w:p>
            <w:pPr>
              <w:pStyle w:val="TableParagraph"/>
              <w:spacing w:before="29"/>
              <w:ind w:left="107"/>
              <w:jc w:val="left"/>
              <w:rPr>
                <w:b/>
                <w:sz w:val="20"/>
              </w:rPr>
            </w:pPr>
            <w:r>
              <w:rPr>
                <w:b/>
                <w:sz w:val="20"/>
              </w:rPr>
              <w:t>1985</w:t>
            </w:r>
          </w:p>
        </w:tc>
        <w:tc>
          <w:tcPr>
            <w:tcW w:w="617" w:type="dxa"/>
            <w:tcBorders>
              <w:left w:val="nil"/>
              <w:right w:val="nil"/>
            </w:tcBorders>
            <w:shd w:val="clear" w:color="auto" w:fill="A6A6A6"/>
          </w:tcPr>
          <w:p>
            <w:pPr>
              <w:pStyle w:val="TableParagraph"/>
              <w:spacing w:before="29"/>
              <w:ind w:left="89" w:right="88"/>
              <w:rPr>
                <w:b/>
                <w:sz w:val="20"/>
              </w:rPr>
            </w:pPr>
            <w:r>
              <w:rPr>
                <w:b/>
                <w:sz w:val="20"/>
              </w:rPr>
              <w:t>1988</w:t>
            </w:r>
          </w:p>
        </w:tc>
        <w:tc>
          <w:tcPr>
            <w:tcW w:w="614" w:type="dxa"/>
            <w:tcBorders>
              <w:left w:val="nil"/>
              <w:right w:val="nil"/>
            </w:tcBorders>
            <w:shd w:val="clear" w:color="auto" w:fill="A6A6A6"/>
          </w:tcPr>
          <w:p>
            <w:pPr>
              <w:pStyle w:val="TableParagraph"/>
              <w:spacing w:before="29"/>
              <w:ind w:left="85" w:right="85"/>
              <w:rPr>
                <w:b/>
                <w:sz w:val="20"/>
              </w:rPr>
            </w:pPr>
            <w:r>
              <w:rPr>
                <w:b/>
                <w:sz w:val="20"/>
              </w:rPr>
              <w:t>1993</w:t>
            </w:r>
          </w:p>
        </w:tc>
        <w:tc>
          <w:tcPr>
            <w:tcW w:w="617" w:type="dxa"/>
            <w:tcBorders>
              <w:left w:val="nil"/>
              <w:right w:val="nil"/>
            </w:tcBorders>
            <w:shd w:val="clear" w:color="auto" w:fill="A6A6A6"/>
          </w:tcPr>
          <w:p>
            <w:pPr>
              <w:pStyle w:val="TableParagraph"/>
              <w:spacing w:before="29"/>
              <w:ind w:right="103"/>
              <w:jc w:val="right"/>
              <w:rPr>
                <w:b/>
                <w:sz w:val="20"/>
              </w:rPr>
            </w:pPr>
            <w:r>
              <w:rPr>
                <w:b/>
                <w:sz w:val="20"/>
              </w:rPr>
              <w:t>1998</w:t>
            </w:r>
          </w:p>
        </w:tc>
        <w:tc>
          <w:tcPr>
            <w:tcW w:w="617" w:type="dxa"/>
            <w:tcBorders>
              <w:left w:val="nil"/>
              <w:right w:val="nil"/>
            </w:tcBorders>
            <w:shd w:val="clear" w:color="auto" w:fill="A6A6A6"/>
          </w:tcPr>
          <w:p>
            <w:pPr>
              <w:pStyle w:val="TableParagraph"/>
              <w:spacing w:before="29"/>
              <w:ind w:left="89" w:right="87"/>
              <w:rPr>
                <w:b/>
                <w:sz w:val="20"/>
              </w:rPr>
            </w:pPr>
            <w:r>
              <w:rPr>
                <w:b/>
                <w:sz w:val="20"/>
              </w:rPr>
              <w:t>2003</w:t>
            </w:r>
          </w:p>
        </w:tc>
        <w:tc>
          <w:tcPr>
            <w:tcW w:w="615" w:type="dxa"/>
            <w:tcBorders>
              <w:left w:val="nil"/>
            </w:tcBorders>
            <w:shd w:val="clear" w:color="auto" w:fill="A6A6A6"/>
          </w:tcPr>
          <w:p>
            <w:pPr>
              <w:pStyle w:val="TableParagraph"/>
              <w:spacing w:before="29"/>
              <w:ind w:left="89" w:right="80"/>
              <w:rPr>
                <w:b/>
                <w:sz w:val="20"/>
              </w:rPr>
            </w:pPr>
            <w:r>
              <w:rPr>
                <w:b/>
                <w:sz w:val="20"/>
              </w:rPr>
              <w:t>2008</w:t>
            </w:r>
          </w:p>
        </w:tc>
      </w:tr>
      <w:tr>
        <w:trPr>
          <w:trHeight w:val="250" w:hRule="exact"/>
        </w:trPr>
        <w:tc>
          <w:tcPr>
            <w:tcW w:w="4518" w:type="dxa"/>
          </w:tcPr>
          <w:p>
            <w:pPr>
              <w:pStyle w:val="TableParagraph"/>
              <w:spacing w:before="3"/>
              <w:ind w:left="103" w:right="130"/>
              <w:jc w:val="left"/>
              <w:rPr>
                <w:b/>
                <w:sz w:val="20"/>
              </w:rPr>
            </w:pPr>
            <w:r>
              <w:rPr>
                <w:b/>
                <w:sz w:val="20"/>
              </w:rPr>
              <w:t>Fabricación de automóviles y camiones</w:t>
            </w:r>
          </w:p>
        </w:tc>
        <w:tc>
          <w:tcPr>
            <w:tcW w:w="614" w:type="dxa"/>
          </w:tcPr>
          <w:p>
            <w:pPr>
              <w:pStyle w:val="TableParagraph"/>
              <w:spacing w:line="228" w:lineRule="exact"/>
              <w:ind w:left="106" w:right="106"/>
              <w:rPr>
                <w:sz w:val="20"/>
              </w:rPr>
            </w:pPr>
            <w:r>
              <w:rPr>
                <w:sz w:val="20"/>
              </w:rPr>
              <w:t>0.0</w:t>
            </w:r>
          </w:p>
        </w:tc>
        <w:tc>
          <w:tcPr>
            <w:tcW w:w="617" w:type="dxa"/>
          </w:tcPr>
          <w:p>
            <w:pPr>
              <w:pStyle w:val="TableParagraph"/>
              <w:spacing w:line="228" w:lineRule="exact"/>
              <w:ind w:left="177"/>
              <w:jc w:val="left"/>
              <w:rPr>
                <w:sz w:val="20"/>
              </w:rPr>
            </w:pPr>
            <w:r>
              <w:rPr>
                <w:sz w:val="20"/>
              </w:rPr>
              <w:t>0.3</w:t>
            </w:r>
          </w:p>
        </w:tc>
        <w:tc>
          <w:tcPr>
            <w:tcW w:w="617" w:type="dxa"/>
          </w:tcPr>
          <w:p>
            <w:pPr>
              <w:pStyle w:val="TableParagraph"/>
              <w:spacing w:line="228" w:lineRule="exact"/>
              <w:ind w:left="108" w:right="108"/>
              <w:rPr>
                <w:sz w:val="20"/>
              </w:rPr>
            </w:pPr>
            <w:r>
              <w:rPr>
                <w:sz w:val="20"/>
              </w:rPr>
              <w:t>0.0</w:t>
            </w:r>
          </w:p>
        </w:tc>
        <w:tc>
          <w:tcPr>
            <w:tcW w:w="614" w:type="dxa"/>
          </w:tcPr>
          <w:p>
            <w:pPr>
              <w:pStyle w:val="TableParagraph"/>
              <w:spacing w:line="228" w:lineRule="exact"/>
              <w:ind w:left="105" w:right="107"/>
              <w:rPr>
                <w:sz w:val="20"/>
              </w:rPr>
            </w:pPr>
            <w:r>
              <w:rPr>
                <w:sz w:val="20"/>
              </w:rPr>
              <w:t>0.4</w:t>
            </w:r>
          </w:p>
        </w:tc>
        <w:tc>
          <w:tcPr>
            <w:tcW w:w="617" w:type="dxa"/>
          </w:tcPr>
          <w:p>
            <w:pPr>
              <w:pStyle w:val="TableParagraph"/>
              <w:spacing w:line="228" w:lineRule="exact"/>
              <w:ind w:right="177"/>
              <w:jc w:val="right"/>
              <w:rPr>
                <w:sz w:val="20"/>
              </w:rPr>
            </w:pPr>
            <w:r>
              <w:rPr>
                <w:sz w:val="20"/>
              </w:rPr>
              <w:t>0.7</w:t>
            </w:r>
          </w:p>
        </w:tc>
        <w:tc>
          <w:tcPr>
            <w:tcW w:w="617" w:type="dxa"/>
          </w:tcPr>
          <w:p>
            <w:pPr>
              <w:pStyle w:val="TableParagraph"/>
              <w:spacing w:line="228" w:lineRule="exact"/>
              <w:ind w:left="108" w:right="109"/>
              <w:rPr>
                <w:sz w:val="20"/>
              </w:rPr>
            </w:pPr>
            <w:r>
              <w:rPr>
                <w:sz w:val="20"/>
              </w:rPr>
              <w:t>1.4</w:t>
            </w:r>
          </w:p>
        </w:tc>
        <w:tc>
          <w:tcPr>
            <w:tcW w:w="615" w:type="dxa"/>
          </w:tcPr>
          <w:p>
            <w:pPr>
              <w:pStyle w:val="TableParagraph"/>
              <w:spacing w:line="228" w:lineRule="exact"/>
              <w:ind w:left="157" w:right="157"/>
              <w:rPr>
                <w:sz w:val="20"/>
              </w:rPr>
            </w:pPr>
            <w:r>
              <w:rPr>
                <w:sz w:val="20"/>
              </w:rPr>
              <w:t>1.2</w:t>
            </w:r>
          </w:p>
        </w:tc>
      </w:tr>
      <w:tr>
        <w:trPr>
          <w:trHeight w:val="240" w:hRule="exact"/>
        </w:trPr>
        <w:tc>
          <w:tcPr>
            <w:tcW w:w="4518" w:type="dxa"/>
          </w:tcPr>
          <w:p>
            <w:pPr>
              <w:pStyle w:val="TableParagraph"/>
              <w:spacing w:line="228" w:lineRule="exact"/>
              <w:ind w:left="103" w:right="130"/>
              <w:jc w:val="left"/>
              <w:rPr>
                <w:b/>
                <w:sz w:val="20"/>
              </w:rPr>
            </w:pPr>
            <w:r>
              <w:rPr>
                <w:b/>
                <w:sz w:val="20"/>
              </w:rPr>
              <w:t>Fabricación de carrocerías y remolques</w:t>
            </w:r>
          </w:p>
        </w:tc>
        <w:tc>
          <w:tcPr>
            <w:tcW w:w="614" w:type="dxa"/>
          </w:tcPr>
          <w:p>
            <w:pPr>
              <w:pStyle w:val="TableParagraph"/>
              <w:spacing w:line="223" w:lineRule="exact"/>
              <w:ind w:left="106" w:right="106"/>
              <w:rPr>
                <w:sz w:val="20"/>
              </w:rPr>
            </w:pPr>
            <w:r>
              <w:rPr>
                <w:sz w:val="20"/>
              </w:rPr>
              <w:t>1.9</w:t>
            </w:r>
          </w:p>
        </w:tc>
        <w:tc>
          <w:tcPr>
            <w:tcW w:w="617" w:type="dxa"/>
          </w:tcPr>
          <w:p>
            <w:pPr>
              <w:pStyle w:val="TableParagraph"/>
              <w:spacing w:line="223" w:lineRule="exact"/>
              <w:ind w:left="177"/>
              <w:jc w:val="left"/>
              <w:rPr>
                <w:sz w:val="20"/>
              </w:rPr>
            </w:pPr>
            <w:r>
              <w:rPr>
                <w:sz w:val="20"/>
              </w:rPr>
              <w:t>1.5</w:t>
            </w:r>
          </w:p>
        </w:tc>
        <w:tc>
          <w:tcPr>
            <w:tcW w:w="617" w:type="dxa"/>
          </w:tcPr>
          <w:p>
            <w:pPr>
              <w:pStyle w:val="TableParagraph"/>
              <w:spacing w:line="223" w:lineRule="exact"/>
              <w:ind w:left="108" w:right="108"/>
              <w:rPr>
                <w:sz w:val="20"/>
              </w:rPr>
            </w:pPr>
            <w:r>
              <w:rPr>
                <w:sz w:val="20"/>
              </w:rPr>
              <w:t>1.1</w:t>
            </w:r>
          </w:p>
        </w:tc>
        <w:tc>
          <w:tcPr>
            <w:tcW w:w="614" w:type="dxa"/>
          </w:tcPr>
          <w:p>
            <w:pPr>
              <w:pStyle w:val="TableParagraph"/>
              <w:spacing w:line="223" w:lineRule="exact"/>
              <w:ind w:left="105" w:right="107"/>
              <w:rPr>
                <w:sz w:val="20"/>
              </w:rPr>
            </w:pPr>
            <w:r>
              <w:rPr>
                <w:sz w:val="20"/>
              </w:rPr>
              <w:t>0.3</w:t>
            </w:r>
          </w:p>
        </w:tc>
        <w:tc>
          <w:tcPr>
            <w:tcW w:w="617" w:type="dxa"/>
          </w:tcPr>
          <w:p>
            <w:pPr>
              <w:pStyle w:val="TableParagraph"/>
              <w:spacing w:line="223" w:lineRule="exact"/>
              <w:ind w:right="177"/>
              <w:jc w:val="right"/>
              <w:rPr>
                <w:sz w:val="20"/>
              </w:rPr>
            </w:pPr>
            <w:r>
              <w:rPr>
                <w:sz w:val="20"/>
              </w:rPr>
              <w:t>0.8</w:t>
            </w:r>
          </w:p>
        </w:tc>
        <w:tc>
          <w:tcPr>
            <w:tcW w:w="617" w:type="dxa"/>
          </w:tcPr>
          <w:p>
            <w:pPr>
              <w:pStyle w:val="TableParagraph"/>
              <w:spacing w:line="223" w:lineRule="exact"/>
              <w:ind w:left="108" w:right="109"/>
              <w:rPr>
                <w:sz w:val="20"/>
              </w:rPr>
            </w:pPr>
            <w:r>
              <w:rPr>
                <w:sz w:val="20"/>
              </w:rPr>
              <w:t>1.5</w:t>
            </w:r>
          </w:p>
        </w:tc>
        <w:tc>
          <w:tcPr>
            <w:tcW w:w="615" w:type="dxa"/>
          </w:tcPr>
          <w:p>
            <w:pPr>
              <w:pStyle w:val="TableParagraph"/>
              <w:spacing w:line="223" w:lineRule="exact"/>
              <w:ind w:left="157" w:right="157"/>
              <w:rPr>
                <w:sz w:val="20"/>
              </w:rPr>
            </w:pPr>
            <w:r>
              <w:rPr>
                <w:sz w:val="20"/>
              </w:rPr>
              <w:t>0.6</w:t>
            </w:r>
          </w:p>
        </w:tc>
      </w:tr>
      <w:tr>
        <w:trPr>
          <w:trHeight w:val="468" w:hRule="exact"/>
        </w:trPr>
        <w:tc>
          <w:tcPr>
            <w:tcW w:w="4518" w:type="dxa"/>
          </w:tcPr>
          <w:p>
            <w:pPr>
              <w:pStyle w:val="TableParagraph"/>
              <w:ind w:left="103" w:right="324"/>
              <w:jc w:val="left"/>
              <w:rPr>
                <w:b/>
                <w:sz w:val="20"/>
              </w:rPr>
            </w:pPr>
            <w:r>
              <w:rPr>
                <w:b/>
                <w:sz w:val="20"/>
              </w:rPr>
              <w:t>Fabricación de motores de gasolina y sus partes para vehículos automotrices</w:t>
            </w:r>
          </w:p>
        </w:tc>
        <w:tc>
          <w:tcPr>
            <w:tcW w:w="614" w:type="dxa"/>
          </w:tcPr>
          <w:p>
            <w:pPr>
              <w:pStyle w:val="TableParagraph"/>
              <w:spacing w:before="108"/>
              <w:ind w:left="106" w:right="106"/>
              <w:rPr>
                <w:sz w:val="20"/>
              </w:rPr>
            </w:pPr>
            <w:r>
              <w:rPr>
                <w:sz w:val="20"/>
              </w:rPr>
              <w:t>0.2</w:t>
            </w:r>
          </w:p>
        </w:tc>
        <w:tc>
          <w:tcPr>
            <w:tcW w:w="617" w:type="dxa"/>
          </w:tcPr>
          <w:p>
            <w:pPr>
              <w:pStyle w:val="TableParagraph"/>
              <w:spacing w:before="108"/>
              <w:ind w:left="177"/>
              <w:jc w:val="left"/>
              <w:rPr>
                <w:sz w:val="20"/>
              </w:rPr>
            </w:pPr>
            <w:r>
              <w:rPr>
                <w:sz w:val="20"/>
              </w:rPr>
              <w:t>1.2</w:t>
            </w:r>
          </w:p>
        </w:tc>
        <w:tc>
          <w:tcPr>
            <w:tcW w:w="617" w:type="dxa"/>
          </w:tcPr>
          <w:p>
            <w:pPr>
              <w:pStyle w:val="TableParagraph"/>
              <w:spacing w:before="108"/>
              <w:ind w:left="108" w:right="108"/>
              <w:rPr>
                <w:sz w:val="20"/>
              </w:rPr>
            </w:pPr>
            <w:r>
              <w:rPr>
                <w:sz w:val="20"/>
              </w:rPr>
              <w:t>2.4</w:t>
            </w:r>
          </w:p>
        </w:tc>
        <w:tc>
          <w:tcPr>
            <w:tcW w:w="614" w:type="dxa"/>
          </w:tcPr>
          <w:p>
            <w:pPr>
              <w:pStyle w:val="TableParagraph"/>
              <w:spacing w:before="108"/>
              <w:ind w:left="105" w:right="107"/>
              <w:rPr>
                <w:sz w:val="20"/>
              </w:rPr>
            </w:pPr>
            <w:r>
              <w:rPr>
                <w:sz w:val="20"/>
              </w:rPr>
              <w:t>2.6</w:t>
            </w:r>
          </w:p>
        </w:tc>
        <w:tc>
          <w:tcPr>
            <w:tcW w:w="617" w:type="dxa"/>
          </w:tcPr>
          <w:p>
            <w:pPr>
              <w:pStyle w:val="TableParagraph"/>
              <w:spacing w:before="108"/>
              <w:ind w:right="177"/>
              <w:jc w:val="right"/>
              <w:rPr>
                <w:sz w:val="20"/>
              </w:rPr>
            </w:pPr>
            <w:r>
              <w:rPr>
                <w:sz w:val="20"/>
              </w:rPr>
              <w:t>3.4</w:t>
            </w:r>
          </w:p>
        </w:tc>
        <w:tc>
          <w:tcPr>
            <w:tcW w:w="617" w:type="dxa"/>
          </w:tcPr>
          <w:p>
            <w:pPr>
              <w:pStyle w:val="TableParagraph"/>
              <w:spacing w:before="108"/>
              <w:ind w:left="108" w:right="109"/>
              <w:rPr>
                <w:sz w:val="20"/>
              </w:rPr>
            </w:pPr>
            <w:r>
              <w:rPr>
                <w:sz w:val="20"/>
              </w:rPr>
              <w:t>2.0</w:t>
            </w:r>
          </w:p>
        </w:tc>
        <w:tc>
          <w:tcPr>
            <w:tcW w:w="615" w:type="dxa"/>
          </w:tcPr>
          <w:p>
            <w:pPr>
              <w:pStyle w:val="TableParagraph"/>
              <w:spacing w:before="108"/>
              <w:ind w:left="157" w:right="157"/>
              <w:rPr>
                <w:sz w:val="20"/>
              </w:rPr>
            </w:pPr>
            <w:r>
              <w:rPr>
                <w:sz w:val="20"/>
              </w:rPr>
              <w:t>1.1</w:t>
            </w:r>
          </w:p>
        </w:tc>
      </w:tr>
      <w:tr>
        <w:trPr>
          <w:trHeight w:val="276" w:hRule="exact"/>
        </w:trPr>
        <w:tc>
          <w:tcPr>
            <w:tcW w:w="4518" w:type="dxa"/>
          </w:tcPr>
          <w:p>
            <w:pPr>
              <w:pStyle w:val="TableParagraph"/>
              <w:spacing w:before="17"/>
              <w:ind w:left="103" w:right="130"/>
              <w:jc w:val="left"/>
              <w:rPr>
                <w:b/>
                <w:sz w:val="20"/>
              </w:rPr>
            </w:pPr>
            <w:r>
              <w:rPr>
                <w:b/>
                <w:sz w:val="20"/>
              </w:rPr>
              <w:t>Fabricación de partes de sistemas de transmisión</w:t>
            </w:r>
          </w:p>
        </w:tc>
        <w:tc>
          <w:tcPr>
            <w:tcW w:w="614" w:type="dxa"/>
          </w:tcPr>
          <w:p>
            <w:pPr>
              <w:pStyle w:val="TableParagraph"/>
              <w:spacing w:before="12"/>
              <w:ind w:left="106" w:right="106"/>
              <w:rPr>
                <w:sz w:val="20"/>
              </w:rPr>
            </w:pPr>
            <w:r>
              <w:rPr>
                <w:sz w:val="20"/>
              </w:rPr>
              <w:t>0.0</w:t>
            </w:r>
          </w:p>
        </w:tc>
        <w:tc>
          <w:tcPr>
            <w:tcW w:w="617" w:type="dxa"/>
          </w:tcPr>
          <w:p>
            <w:pPr>
              <w:pStyle w:val="TableParagraph"/>
              <w:spacing w:before="12"/>
              <w:ind w:left="177"/>
              <w:jc w:val="left"/>
              <w:rPr>
                <w:sz w:val="20"/>
              </w:rPr>
            </w:pPr>
            <w:r>
              <w:rPr>
                <w:sz w:val="20"/>
              </w:rPr>
              <w:t>0.5</w:t>
            </w:r>
          </w:p>
        </w:tc>
        <w:tc>
          <w:tcPr>
            <w:tcW w:w="617" w:type="dxa"/>
          </w:tcPr>
          <w:p>
            <w:pPr>
              <w:pStyle w:val="TableParagraph"/>
              <w:spacing w:before="12"/>
              <w:ind w:left="108" w:right="108"/>
              <w:rPr>
                <w:sz w:val="20"/>
              </w:rPr>
            </w:pPr>
            <w:r>
              <w:rPr>
                <w:sz w:val="20"/>
              </w:rPr>
              <w:t>0.0</w:t>
            </w:r>
          </w:p>
        </w:tc>
        <w:tc>
          <w:tcPr>
            <w:tcW w:w="614" w:type="dxa"/>
          </w:tcPr>
          <w:p>
            <w:pPr>
              <w:pStyle w:val="TableParagraph"/>
              <w:spacing w:before="12"/>
              <w:ind w:left="105" w:right="107"/>
              <w:rPr>
                <w:sz w:val="20"/>
              </w:rPr>
            </w:pPr>
            <w:r>
              <w:rPr>
                <w:sz w:val="20"/>
              </w:rPr>
              <w:t>0.1</w:t>
            </w:r>
          </w:p>
        </w:tc>
        <w:tc>
          <w:tcPr>
            <w:tcW w:w="617" w:type="dxa"/>
          </w:tcPr>
          <w:p>
            <w:pPr>
              <w:pStyle w:val="TableParagraph"/>
              <w:spacing w:before="12"/>
              <w:ind w:right="177"/>
              <w:jc w:val="right"/>
              <w:rPr>
                <w:sz w:val="20"/>
              </w:rPr>
            </w:pPr>
            <w:r>
              <w:rPr>
                <w:sz w:val="20"/>
              </w:rPr>
              <w:t>0.3</w:t>
            </w:r>
          </w:p>
        </w:tc>
        <w:tc>
          <w:tcPr>
            <w:tcW w:w="617" w:type="dxa"/>
          </w:tcPr>
          <w:p>
            <w:pPr>
              <w:pStyle w:val="TableParagraph"/>
              <w:spacing w:before="12"/>
              <w:ind w:left="108" w:right="109"/>
              <w:rPr>
                <w:sz w:val="20"/>
              </w:rPr>
            </w:pPr>
            <w:r>
              <w:rPr>
                <w:sz w:val="20"/>
              </w:rPr>
              <w:t>0.3</w:t>
            </w:r>
          </w:p>
        </w:tc>
        <w:tc>
          <w:tcPr>
            <w:tcW w:w="615" w:type="dxa"/>
          </w:tcPr>
          <w:p>
            <w:pPr>
              <w:pStyle w:val="TableParagraph"/>
              <w:spacing w:before="12"/>
              <w:ind w:left="157" w:right="157"/>
              <w:rPr>
                <w:sz w:val="20"/>
              </w:rPr>
            </w:pPr>
            <w:r>
              <w:rPr>
                <w:sz w:val="20"/>
              </w:rPr>
              <w:t>2.9</w:t>
            </w:r>
          </w:p>
        </w:tc>
      </w:tr>
      <w:tr>
        <w:trPr>
          <w:trHeight w:val="470" w:hRule="exact"/>
        </w:trPr>
        <w:tc>
          <w:tcPr>
            <w:tcW w:w="4518" w:type="dxa"/>
          </w:tcPr>
          <w:p>
            <w:pPr>
              <w:pStyle w:val="TableParagraph"/>
              <w:ind w:left="103" w:right="130"/>
              <w:jc w:val="left"/>
              <w:rPr>
                <w:b/>
                <w:sz w:val="20"/>
              </w:rPr>
            </w:pPr>
            <w:r>
              <w:rPr>
                <w:b/>
                <w:sz w:val="20"/>
              </w:rPr>
              <w:t>Fabricación de partes de sistemas de dirección y de suspensión para vehículos automotrices</w:t>
            </w:r>
          </w:p>
        </w:tc>
        <w:tc>
          <w:tcPr>
            <w:tcW w:w="614" w:type="dxa"/>
          </w:tcPr>
          <w:p>
            <w:pPr>
              <w:pStyle w:val="TableParagraph"/>
              <w:spacing w:before="111"/>
              <w:ind w:left="106" w:right="106"/>
              <w:rPr>
                <w:sz w:val="20"/>
              </w:rPr>
            </w:pPr>
            <w:r>
              <w:rPr>
                <w:sz w:val="20"/>
              </w:rPr>
              <w:t>13.8</w:t>
            </w:r>
          </w:p>
        </w:tc>
        <w:tc>
          <w:tcPr>
            <w:tcW w:w="617" w:type="dxa"/>
          </w:tcPr>
          <w:p>
            <w:pPr>
              <w:pStyle w:val="TableParagraph"/>
              <w:spacing w:before="111"/>
              <w:ind w:left="177"/>
              <w:jc w:val="left"/>
              <w:rPr>
                <w:sz w:val="20"/>
              </w:rPr>
            </w:pPr>
            <w:r>
              <w:rPr>
                <w:sz w:val="20"/>
              </w:rPr>
              <w:t>4.9</w:t>
            </w:r>
          </w:p>
        </w:tc>
        <w:tc>
          <w:tcPr>
            <w:tcW w:w="617" w:type="dxa"/>
          </w:tcPr>
          <w:p>
            <w:pPr>
              <w:pStyle w:val="TableParagraph"/>
              <w:spacing w:before="111"/>
              <w:ind w:left="108" w:right="108"/>
              <w:rPr>
                <w:sz w:val="20"/>
              </w:rPr>
            </w:pPr>
            <w:r>
              <w:rPr>
                <w:sz w:val="20"/>
              </w:rPr>
              <w:t>11.7</w:t>
            </w:r>
          </w:p>
        </w:tc>
        <w:tc>
          <w:tcPr>
            <w:tcW w:w="614" w:type="dxa"/>
          </w:tcPr>
          <w:p>
            <w:pPr>
              <w:pStyle w:val="TableParagraph"/>
              <w:spacing w:before="111"/>
              <w:ind w:left="105" w:right="107"/>
              <w:rPr>
                <w:sz w:val="20"/>
              </w:rPr>
            </w:pPr>
            <w:r>
              <w:rPr>
                <w:sz w:val="20"/>
              </w:rPr>
              <w:t>8.4</w:t>
            </w:r>
          </w:p>
        </w:tc>
        <w:tc>
          <w:tcPr>
            <w:tcW w:w="617" w:type="dxa"/>
          </w:tcPr>
          <w:p>
            <w:pPr>
              <w:pStyle w:val="TableParagraph"/>
              <w:spacing w:before="111"/>
              <w:ind w:right="177"/>
              <w:jc w:val="right"/>
              <w:rPr>
                <w:sz w:val="20"/>
              </w:rPr>
            </w:pPr>
            <w:r>
              <w:rPr>
                <w:sz w:val="20"/>
              </w:rPr>
              <w:t>2.7</w:t>
            </w:r>
          </w:p>
        </w:tc>
        <w:tc>
          <w:tcPr>
            <w:tcW w:w="617" w:type="dxa"/>
          </w:tcPr>
          <w:p>
            <w:pPr>
              <w:pStyle w:val="TableParagraph"/>
              <w:spacing w:before="111"/>
              <w:ind w:left="108" w:right="109"/>
              <w:rPr>
                <w:sz w:val="20"/>
              </w:rPr>
            </w:pPr>
            <w:r>
              <w:rPr>
                <w:sz w:val="20"/>
              </w:rPr>
              <w:t>3.3</w:t>
            </w:r>
          </w:p>
        </w:tc>
        <w:tc>
          <w:tcPr>
            <w:tcW w:w="615" w:type="dxa"/>
          </w:tcPr>
          <w:p>
            <w:pPr>
              <w:pStyle w:val="TableParagraph"/>
              <w:spacing w:before="111"/>
              <w:ind w:left="157" w:right="157"/>
              <w:rPr>
                <w:sz w:val="20"/>
              </w:rPr>
            </w:pPr>
            <w:r>
              <w:rPr>
                <w:sz w:val="20"/>
              </w:rPr>
              <w:t>2.7</w:t>
            </w:r>
          </w:p>
        </w:tc>
      </w:tr>
      <w:tr>
        <w:trPr>
          <w:trHeight w:val="470" w:hRule="exact"/>
        </w:trPr>
        <w:tc>
          <w:tcPr>
            <w:tcW w:w="4518" w:type="dxa"/>
          </w:tcPr>
          <w:p>
            <w:pPr>
              <w:pStyle w:val="TableParagraph"/>
              <w:ind w:left="103" w:right="130"/>
              <w:jc w:val="left"/>
              <w:rPr>
                <w:b/>
                <w:sz w:val="20"/>
              </w:rPr>
            </w:pPr>
            <w:r>
              <w:rPr>
                <w:b/>
                <w:sz w:val="20"/>
              </w:rPr>
              <w:t>Fabricación de partes de sistemas de frenos para vehículos automotrices</w:t>
            </w:r>
          </w:p>
        </w:tc>
        <w:tc>
          <w:tcPr>
            <w:tcW w:w="614" w:type="dxa"/>
          </w:tcPr>
          <w:p>
            <w:pPr>
              <w:pStyle w:val="TableParagraph"/>
              <w:spacing w:before="108"/>
              <w:ind w:left="106" w:right="106"/>
              <w:rPr>
                <w:sz w:val="20"/>
              </w:rPr>
            </w:pPr>
            <w:r>
              <w:rPr>
                <w:sz w:val="20"/>
              </w:rPr>
              <w:t>2.1</w:t>
            </w:r>
          </w:p>
        </w:tc>
        <w:tc>
          <w:tcPr>
            <w:tcW w:w="617" w:type="dxa"/>
          </w:tcPr>
          <w:p>
            <w:pPr>
              <w:pStyle w:val="TableParagraph"/>
              <w:spacing w:before="108"/>
              <w:ind w:left="127"/>
              <w:jc w:val="left"/>
              <w:rPr>
                <w:sz w:val="20"/>
              </w:rPr>
            </w:pPr>
            <w:r>
              <w:rPr>
                <w:sz w:val="20"/>
              </w:rPr>
              <w:t>18.3</w:t>
            </w:r>
          </w:p>
        </w:tc>
        <w:tc>
          <w:tcPr>
            <w:tcW w:w="617" w:type="dxa"/>
          </w:tcPr>
          <w:p>
            <w:pPr>
              <w:pStyle w:val="TableParagraph"/>
              <w:spacing w:before="108"/>
              <w:ind w:left="108" w:right="108"/>
              <w:rPr>
                <w:sz w:val="20"/>
              </w:rPr>
            </w:pPr>
            <w:r>
              <w:rPr>
                <w:sz w:val="20"/>
              </w:rPr>
              <w:t>0.2</w:t>
            </w:r>
          </w:p>
        </w:tc>
        <w:tc>
          <w:tcPr>
            <w:tcW w:w="614" w:type="dxa"/>
          </w:tcPr>
          <w:p>
            <w:pPr>
              <w:pStyle w:val="TableParagraph"/>
              <w:spacing w:before="108"/>
              <w:ind w:left="105" w:right="107"/>
              <w:rPr>
                <w:sz w:val="20"/>
              </w:rPr>
            </w:pPr>
            <w:r>
              <w:rPr>
                <w:sz w:val="20"/>
              </w:rPr>
              <w:t>0.5</w:t>
            </w:r>
          </w:p>
        </w:tc>
        <w:tc>
          <w:tcPr>
            <w:tcW w:w="617" w:type="dxa"/>
          </w:tcPr>
          <w:p>
            <w:pPr>
              <w:pStyle w:val="TableParagraph"/>
              <w:spacing w:before="108"/>
              <w:ind w:right="177"/>
              <w:jc w:val="right"/>
              <w:rPr>
                <w:sz w:val="20"/>
              </w:rPr>
            </w:pPr>
            <w:r>
              <w:rPr>
                <w:sz w:val="20"/>
              </w:rPr>
              <w:t>0.9</w:t>
            </w:r>
          </w:p>
        </w:tc>
        <w:tc>
          <w:tcPr>
            <w:tcW w:w="617" w:type="dxa"/>
          </w:tcPr>
          <w:p>
            <w:pPr>
              <w:pStyle w:val="TableParagraph"/>
              <w:spacing w:before="108"/>
              <w:ind w:left="108" w:right="109"/>
              <w:rPr>
                <w:sz w:val="20"/>
              </w:rPr>
            </w:pPr>
            <w:r>
              <w:rPr>
                <w:sz w:val="20"/>
              </w:rPr>
              <w:t>0.7</w:t>
            </w:r>
          </w:p>
        </w:tc>
        <w:tc>
          <w:tcPr>
            <w:tcW w:w="615" w:type="dxa"/>
          </w:tcPr>
          <w:p>
            <w:pPr>
              <w:pStyle w:val="TableParagraph"/>
              <w:spacing w:before="108"/>
              <w:ind w:left="157" w:right="157"/>
              <w:rPr>
                <w:sz w:val="20"/>
              </w:rPr>
            </w:pPr>
            <w:r>
              <w:rPr>
                <w:sz w:val="20"/>
              </w:rPr>
              <w:t>0.8</w:t>
            </w:r>
          </w:p>
        </w:tc>
      </w:tr>
      <w:tr>
        <w:trPr>
          <w:trHeight w:val="471" w:hRule="exact"/>
        </w:trPr>
        <w:tc>
          <w:tcPr>
            <w:tcW w:w="4518" w:type="dxa"/>
          </w:tcPr>
          <w:p>
            <w:pPr>
              <w:pStyle w:val="TableParagraph"/>
              <w:ind w:left="103" w:right="130"/>
              <w:jc w:val="left"/>
              <w:rPr>
                <w:b/>
                <w:sz w:val="20"/>
              </w:rPr>
            </w:pPr>
            <w:r>
              <w:rPr>
                <w:b/>
                <w:sz w:val="20"/>
              </w:rPr>
              <w:t>Fabricación de otras partes para vehículos automotrices</w:t>
            </w:r>
          </w:p>
        </w:tc>
        <w:tc>
          <w:tcPr>
            <w:tcW w:w="614" w:type="dxa"/>
          </w:tcPr>
          <w:p>
            <w:pPr>
              <w:pStyle w:val="TableParagraph"/>
              <w:spacing w:before="109"/>
              <w:ind w:left="106" w:right="106"/>
              <w:rPr>
                <w:sz w:val="20"/>
              </w:rPr>
            </w:pPr>
            <w:r>
              <w:rPr>
                <w:sz w:val="20"/>
              </w:rPr>
              <w:t>6.6</w:t>
            </w:r>
          </w:p>
        </w:tc>
        <w:tc>
          <w:tcPr>
            <w:tcW w:w="617" w:type="dxa"/>
          </w:tcPr>
          <w:p>
            <w:pPr>
              <w:pStyle w:val="TableParagraph"/>
              <w:spacing w:before="109"/>
              <w:ind w:left="177"/>
              <w:jc w:val="left"/>
              <w:rPr>
                <w:sz w:val="20"/>
              </w:rPr>
            </w:pPr>
            <w:r>
              <w:rPr>
                <w:sz w:val="20"/>
              </w:rPr>
              <w:t>0.2</w:t>
            </w:r>
          </w:p>
        </w:tc>
        <w:tc>
          <w:tcPr>
            <w:tcW w:w="617" w:type="dxa"/>
          </w:tcPr>
          <w:p>
            <w:pPr>
              <w:pStyle w:val="TableParagraph"/>
              <w:spacing w:before="109"/>
              <w:ind w:left="108" w:right="108"/>
              <w:rPr>
                <w:sz w:val="20"/>
              </w:rPr>
            </w:pPr>
            <w:r>
              <w:rPr>
                <w:sz w:val="20"/>
              </w:rPr>
              <w:t>2.4</w:t>
            </w:r>
          </w:p>
        </w:tc>
        <w:tc>
          <w:tcPr>
            <w:tcW w:w="614" w:type="dxa"/>
          </w:tcPr>
          <w:p>
            <w:pPr>
              <w:pStyle w:val="TableParagraph"/>
              <w:spacing w:before="109"/>
              <w:ind w:left="105" w:right="107"/>
              <w:rPr>
                <w:sz w:val="20"/>
              </w:rPr>
            </w:pPr>
            <w:r>
              <w:rPr>
                <w:sz w:val="20"/>
              </w:rPr>
              <w:t>0.8</w:t>
            </w:r>
          </w:p>
        </w:tc>
        <w:tc>
          <w:tcPr>
            <w:tcW w:w="617" w:type="dxa"/>
          </w:tcPr>
          <w:p>
            <w:pPr>
              <w:pStyle w:val="TableParagraph"/>
              <w:spacing w:before="109"/>
              <w:ind w:right="177"/>
              <w:jc w:val="right"/>
              <w:rPr>
                <w:sz w:val="20"/>
              </w:rPr>
            </w:pPr>
            <w:r>
              <w:rPr>
                <w:sz w:val="20"/>
              </w:rPr>
              <w:t>0.7</w:t>
            </w:r>
          </w:p>
        </w:tc>
        <w:tc>
          <w:tcPr>
            <w:tcW w:w="617" w:type="dxa"/>
          </w:tcPr>
          <w:p>
            <w:pPr>
              <w:pStyle w:val="TableParagraph"/>
              <w:spacing w:before="109"/>
              <w:ind w:left="108" w:right="109"/>
              <w:rPr>
                <w:sz w:val="20"/>
              </w:rPr>
            </w:pPr>
            <w:r>
              <w:rPr>
                <w:sz w:val="20"/>
              </w:rPr>
              <w:t>0.8</w:t>
            </w:r>
          </w:p>
        </w:tc>
        <w:tc>
          <w:tcPr>
            <w:tcW w:w="615" w:type="dxa"/>
          </w:tcPr>
          <w:p>
            <w:pPr>
              <w:pStyle w:val="TableParagraph"/>
              <w:spacing w:before="109"/>
              <w:ind w:left="157" w:right="157"/>
              <w:rPr>
                <w:sz w:val="20"/>
              </w:rPr>
            </w:pPr>
            <w:r>
              <w:rPr>
                <w:sz w:val="20"/>
              </w:rPr>
              <w:t>0.7</w:t>
            </w:r>
          </w:p>
        </w:tc>
      </w:tr>
      <w:tr>
        <w:trPr>
          <w:trHeight w:val="470" w:hRule="exact"/>
        </w:trPr>
        <w:tc>
          <w:tcPr>
            <w:tcW w:w="4518" w:type="dxa"/>
          </w:tcPr>
          <w:p>
            <w:pPr>
              <w:pStyle w:val="TableParagraph"/>
              <w:ind w:left="103"/>
              <w:jc w:val="left"/>
              <w:rPr>
                <w:b/>
                <w:sz w:val="20"/>
              </w:rPr>
            </w:pPr>
            <w:r>
              <w:rPr>
                <w:b/>
                <w:sz w:val="20"/>
              </w:rPr>
              <w:t>Fabricación de equipo eléctrico y electrónico para vehículos automotores</w:t>
            </w:r>
          </w:p>
        </w:tc>
        <w:tc>
          <w:tcPr>
            <w:tcW w:w="614" w:type="dxa"/>
          </w:tcPr>
          <w:p>
            <w:pPr>
              <w:pStyle w:val="TableParagraph"/>
              <w:spacing w:before="108"/>
              <w:ind w:left="106" w:right="106"/>
              <w:rPr>
                <w:sz w:val="20"/>
              </w:rPr>
            </w:pPr>
            <w:r>
              <w:rPr>
                <w:sz w:val="20"/>
              </w:rPr>
              <w:t>0.0</w:t>
            </w:r>
          </w:p>
        </w:tc>
        <w:tc>
          <w:tcPr>
            <w:tcW w:w="617" w:type="dxa"/>
          </w:tcPr>
          <w:p>
            <w:pPr>
              <w:pStyle w:val="TableParagraph"/>
              <w:spacing w:before="108"/>
              <w:ind w:left="177"/>
              <w:jc w:val="left"/>
              <w:rPr>
                <w:sz w:val="20"/>
              </w:rPr>
            </w:pPr>
            <w:r>
              <w:rPr>
                <w:sz w:val="20"/>
              </w:rPr>
              <w:t>0.9</w:t>
            </w:r>
          </w:p>
        </w:tc>
        <w:tc>
          <w:tcPr>
            <w:tcW w:w="617" w:type="dxa"/>
          </w:tcPr>
          <w:p>
            <w:pPr>
              <w:pStyle w:val="TableParagraph"/>
              <w:spacing w:before="108"/>
              <w:ind w:left="108" w:right="108"/>
              <w:rPr>
                <w:sz w:val="20"/>
              </w:rPr>
            </w:pPr>
            <w:r>
              <w:rPr>
                <w:sz w:val="20"/>
              </w:rPr>
              <w:t>0.2</w:t>
            </w:r>
          </w:p>
        </w:tc>
        <w:tc>
          <w:tcPr>
            <w:tcW w:w="614" w:type="dxa"/>
          </w:tcPr>
          <w:p>
            <w:pPr>
              <w:pStyle w:val="TableParagraph"/>
              <w:spacing w:before="108"/>
              <w:ind w:left="105" w:right="107"/>
              <w:rPr>
                <w:sz w:val="20"/>
              </w:rPr>
            </w:pPr>
            <w:r>
              <w:rPr>
                <w:sz w:val="20"/>
              </w:rPr>
              <w:t>0.0</w:t>
            </w:r>
          </w:p>
        </w:tc>
        <w:tc>
          <w:tcPr>
            <w:tcW w:w="617" w:type="dxa"/>
          </w:tcPr>
          <w:p>
            <w:pPr>
              <w:pStyle w:val="TableParagraph"/>
              <w:spacing w:before="108"/>
              <w:ind w:right="177"/>
              <w:jc w:val="right"/>
              <w:rPr>
                <w:sz w:val="20"/>
              </w:rPr>
            </w:pPr>
            <w:r>
              <w:rPr>
                <w:sz w:val="20"/>
              </w:rPr>
              <w:t>0.3</w:t>
            </w:r>
          </w:p>
        </w:tc>
        <w:tc>
          <w:tcPr>
            <w:tcW w:w="617" w:type="dxa"/>
          </w:tcPr>
          <w:p>
            <w:pPr>
              <w:pStyle w:val="TableParagraph"/>
              <w:spacing w:before="108"/>
              <w:ind w:left="108" w:right="109"/>
              <w:rPr>
                <w:sz w:val="20"/>
              </w:rPr>
            </w:pPr>
            <w:r>
              <w:rPr>
                <w:sz w:val="20"/>
              </w:rPr>
              <w:t>0.1</w:t>
            </w:r>
          </w:p>
        </w:tc>
        <w:tc>
          <w:tcPr>
            <w:tcW w:w="615" w:type="dxa"/>
          </w:tcPr>
          <w:p>
            <w:pPr>
              <w:pStyle w:val="TableParagraph"/>
              <w:spacing w:before="108"/>
              <w:ind w:left="157" w:right="157"/>
              <w:rPr>
                <w:sz w:val="20"/>
              </w:rPr>
            </w:pPr>
            <w:r>
              <w:rPr>
                <w:sz w:val="20"/>
              </w:rPr>
              <w:t>0.2</w:t>
            </w:r>
          </w:p>
        </w:tc>
      </w:tr>
    </w:tbl>
    <w:p>
      <w:pPr>
        <w:spacing w:line="202" w:lineRule="exact" w:before="0"/>
        <w:ind w:left="102" w:right="119" w:firstLine="0"/>
        <w:jc w:val="left"/>
        <w:rPr>
          <w:sz w:val="18"/>
        </w:rPr>
      </w:pPr>
      <w:r>
        <w:rPr>
          <w:sz w:val="18"/>
        </w:rPr>
        <w:t>Fuente: Elaboración propia con datos de INEGI (varios años).</w:t>
      </w:r>
    </w:p>
    <w:p>
      <w:pPr>
        <w:spacing w:after="0" w:line="202" w:lineRule="exact"/>
        <w:jc w:val="left"/>
        <w:rPr>
          <w:sz w:val="18"/>
        </w:rPr>
        <w:sectPr>
          <w:pgSz w:w="12240" w:h="15840"/>
          <w:pgMar w:header="0" w:footer="1035" w:top="1360" w:bottom="1220" w:left="1600" w:right="1580"/>
        </w:sectPr>
      </w:pPr>
    </w:p>
    <w:p>
      <w:pPr>
        <w:pStyle w:val="BodyText"/>
        <w:spacing w:line="360" w:lineRule="auto" w:before="50"/>
        <w:ind w:left="102" w:right="119"/>
        <w:jc w:val="both"/>
      </w:pPr>
      <w:r>
        <w:rPr/>
        <w:t>Es importante mencionar, que si bien en términos generales en la región occidente no se ha observado que la industria automotriz dinamice de manera importante al sector manufacturero,</w:t>
      </w:r>
      <w:r>
        <w:rPr>
          <w:spacing w:val="-8"/>
        </w:rPr>
        <w:t> </w:t>
      </w:r>
      <w:r>
        <w:rPr/>
        <w:t>al</w:t>
      </w:r>
      <w:r>
        <w:rPr>
          <w:spacing w:val="-7"/>
        </w:rPr>
        <w:t> </w:t>
      </w:r>
      <w:r>
        <w:rPr/>
        <w:t>realizar</w:t>
      </w:r>
      <w:r>
        <w:rPr>
          <w:spacing w:val="-8"/>
        </w:rPr>
        <w:t> </w:t>
      </w:r>
      <w:r>
        <w:rPr/>
        <w:t>el</w:t>
      </w:r>
      <w:r>
        <w:rPr>
          <w:spacing w:val="-7"/>
        </w:rPr>
        <w:t> </w:t>
      </w:r>
      <w:r>
        <w:rPr/>
        <w:t>análisis</w:t>
      </w:r>
      <w:r>
        <w:rPr>
          <w:spacing w:val="-7"/>
        </w:rPr>
        <w:t> </w:t>
      </w:r>
      <w:r>
        <w:rPr/>
        <w:t>por</w:t>
      </w:r>
      <w:r>
        <w:rPr>
          <w:spacing w:val="-8"/>
        </w:rPr>
        <w:t> </w:t>
      </w:r>
      <w:r>
        <w:rPr/>
        <w:t>entidad</w:t>
      </w:r>
      <w:r>
        <w:rPr>
          <w:spacing w:val="-7"/>
        </w:rPr>
        <w:t> </w:t>
      </w:r>
      <w:r>
        <w:rPr/>
        <w:t>federativa,</w:t>
      </w:r>
      <w:r>
        <w:rPr>
          <w:spacing w:val="-7"/>
        </w:rPr>
        <w:t> </w:t>
      </w:r>
      <w:r>
        <w:rPr/>
        <w:t>se</w:t>
      </w:r>
      <w:r>
        <w:rPr>
          <w:spacing w:val="-8"/>
        </w:rPr>
        <w:t> </w:t>
      </w:r>
      <w:r>
        <w:rPr/>
        <w:t>puede</w:t>
      </w:r>
      <w:r>
        <w:rPr>
          <w:spacing w:val="-8"/>
        </w:rPr>
        <w:t> </w:t>
      </w:r>
      <w:r>
        <w:rPr/>
        <w:t>afirmar</w:t>
      </w:r>
      <w:r>
        <w:rPr>
          <w:spacing w:val="-8"/>
        </w:rPr>
        <w:t> </w:t>
      </w:r>
      <w:r>
        <w:rPr/>
        <w:t>que</w:t>
      </w:r>
      <w:r>
        <w:rPr>
          <w:spacing w:val="-8"/>
        </w:rPr>
        <w:t> </w:t>
      </w:r>
      <w:r>
        <w:rPr/>
        <w:t>la</w:t>
      </w:r>
      <w:r>
        <w:rPr>
          <w:spacing w:val="-8"/>
        </w:rPr>
        <w:t> </w:t>
      </w:r>
      <w:r>
        <w:rPr/>
        <w:t>industria automotriz del estado de Aguascalientes, se ha convertido en un factor determinante de crecimiento</w:t>
      </w:r>
      <w:r>
        <w:rPr>
          <w:spacing w:val="-12"/>
        </w:rPr>
        <w:t> </w:t>
      </w:r>
      <w:r>
        <w:rPr/>
        <w:t>en</w:t>
      </w:r>
      <w:r>
        <w:rPr>
          <w:spacing w:val="-12"/>
        </w:rPr>
        <w:t> </w:t>
      </w:r>
      <w:r>
        <w:rPr/>
        <w:t>la</w:t>
      </w:r>
      <w:r>
        <w:rPr>
          <w:spacing w:val="-13"/>
        </w:rPr>
        <w:t> </w:t>
      </w:r>
      <w:r>
        <w:rPr/>
        <w:t>manufactura</w:t>
      </w:r>
      <w:r>
        <w:rPr>
          <w:spacing w:val="-13"/>
        </w:rPr>
        <w:t> </w:t>
      </w:r>
      <w:r>
        <w:rPr/>
        <w:t>de</w:t>
      </w:r>
      <w:r>
        <w:rPr>
          <w:spacing w:val="-13"/>
        </w:rPr>
        <w:t> </w:t>
      </w:r>
      <w:r>
        <w:rPr/>
        <w:t>la</w:t>
      </w:r>
      <w:r>
        <w:rPr>
          <w:spacing w:val="-13"/>
        </w:rPr>
        <w:t> </w:t>
      </w:r>
      <w:r>
        <w:rPr/>
        <w:t>región.</w:t>
      </w:r>
      <w:r>
        <w:rPr>
          <w:spacing w:val="-10"/>
        </w:rPr>
        <w:t> </w:t>
      </w:r>
      <w:r>
        <w:rPr/>
        <w:t>Es</w:t>
      </w:r>
      <w:r>
        <w:rPr>
          <w:spacing w:val="-12"/>
        </w:rPr>
        <w:t> </w:t>
      </w:r>
      <w:r>
        <w:rPr/>
        <w:t>importante</w:t>
      </w:r>
      <w:r>
        <w:rPr>
          <w:spacing w:val="-12"/>
        </w:rPr>
        <w:t> </w:t>
      </w:r>
      <w:r>
        <w:rPr/>
        <w:t>resaltar</w:t>
      </w:r>
      <w:r>
        <w:rPr>
          <w:spacing w:val="-13"/>
        </w:rPr>
        <w:t> </w:t>
      </w:r>
      <w:r>
        <w:rPr/>
        <w:t>el</w:t>
      </w:r>
      <w:r>
        <w:rPr>
          <w:spacing w:val="-12"/>
        </w:rPr>
        <w:t> </w:t>
      </w:r>
      <w:r>
        <w:rPr/>
        <w:t>hecho</w:t>
      </w:r>
      <w:r>
        <w:rPr>
          <w:spacing w:val="-12"/>
        </w:rPr>
        <w:t> </w:t>
      </w:r>
      <w:r>
        <w:rPr/>
        <w:t>de</w:t>
      </w:r>
      <w:r>
        <w:rPr>
          <w:spacing w:val="-13"/>
        </w:rPr>
        <w:t> </w:t>
      </w:r>
      <w:r>
        <w:rPr/>
        <w:t>que</w:t>
      </w:r>
      <w:r>
        <w:rPr>
          <w:spacing w:val="-13"/>
        </w:rPr>
        <w:t> </w:t>
      </w:r>
      <w:r>
        <w:rPr/>
        <w:t>esta</w:t>
      </w:r>
      <w:r>
        <w:rPr>
          <w:spacing w:val="-12"/>
        </w:rPr>
        <w:t> </w:t>
      </w:r>
      <w:r>
        <w:rPr/>
        <w:t>región tiene un gran potencial para seguir creciendo en términos del sector, sobre todo por la cercanía que se tiene con los estados de la región</w:t>
      </w:r>
      <w:r>
        <w:rPr>
          <w:spacing w:val="-13"/>
        </w:rPr>
        <w:t> </w:t>
      </w:r>
      <w:r>
        <w:rPr/>
        <w:t>centro-norte.</w:t>
      </w:r>
    </w:p>
    <w:p>
      <w:pPr>
        <w:pStyle w:val="BodyText"/>
        <w:spacing w:before="5"/>
        <w:rPr>
          <w:sz w:val="21"/>
        </w:rPr>
      </w:pPr>
    </w:p>
    <w:p>
      <w:pPr>
        <w:pStyle w:val="BodyText"/>
        <w:spacing w:line="360" w:lineRule="auto"/>
        <w:ind w:left="102" w:right="118"/>
        <w:jc w:val="both"/>
      </w:pPr>
      <w:r>
        <w:rPr/>
        <w:t>Para concluir el presente capítulo, se debe decir que en general, durante el desarrollo del mismo, se ha tratado de mostrar evidencia acerca de la importancia que tiene la industria automotriz sobre las manufacturas. En términos generales, podemos decir, que de acuerdo a la información presentada, se ha demostrado que efectivamente la industria automotriz ha inyectado un alto grado de dinamismo en el crecimiento del sector manufacturero de las regiones y estados donde se localiza.</w:t>
      </w:r>
    </w:p>
    <w:p>
      <w:pPr>
        <w:pStyle w:val="BodyText"/>
        <w:spacing w:before="5"/>
        <w:rPr>
          <w:sz w:val="21"/>
        </w:rPr>
      </w:pPr>
    </w:p>
    <w:p>
      <w:pPr>
        <w:pStyle w:val="BodyText"/>
        <w:spacing w:line="360" w:lineRule="auto"/>
        <w:ind w:left="102" w:right="114"/>
        <w:jc w:val="both"/>
      </w:pPr>
      <w:r>
        <w:rPr/>
        <w:t>En específico, en cuanto a la región centro se observó un detrimento de la industria automotriz, sin embargo, sigue siendo un sector de gran importancia, pues se observó que sigue generando crecimiento dentro de la manufactura de la región y de cada uno de los estados que la conforman. Puntualmente la región continuó especializándose en la fabricación de automóviles y camiones, es decir que la industria terminal es la principal actividad de la región, siendo el estado de Puebla el que más se ha visto beneficiado por la industria automotriz. En ese sentido, los gobiernos deben unir esfuerzos para formar polos de desarrollo en cuanto al sector automotriz, de tal forma que se convierta en una región atractiva para las inversiones en este sector.</w:t>
      </w:r>
    </w:p>
    <w:p>
      <w:pPr>
        <w:pStyle w:val="BodyText"/>
        <w:spacing w:before="2"/>
        <w:rPr>
          <w:sz w:val="21"/>
        </w:rPr>
      </w:pPr>
    </w:p>
    <w:p>
      <w:pPr>
        <w:pStyle w:val="BodyText"/>
        <w:spacing w:line="360" w:lineRule="auto"/>
        <w:ind w:left="102" w:right="114"/>
        <w:jc w:val="both"/>
      </w:pPr>
      <w:r>
        <w:rPr/>
        <w:t>La región norte, ha sido la de mayor crecimiento en la industria automotriz, eso ha sido posible gracias a su mano de obra barata y su cercanía con los Estados Unidos.</w:t>
      </w:r>
      <w:r>
        <w:rPr>
          <w:spacing w:val="-23"/>
        </w:rPr>
        <w:t> </w:t>
      </w:r>
      <w:r>
        <w:rPr/>
        <w:t>Actualmente es la que más aporta en términos de empleo y valor agregado censal bruto a la manufactura nacional, además muestra especialización en la industria de autopartes, específicamente dentro de la fabricación de equipo eléctrico y electrónico y ha perdido dinamismo en la fabricación de carrocerías y remolques, los estados más sobresalientes son Chihuahua y Coahuila. Sin duda la industria automotriz ha inyectado un importante dinamismo en la manufactura regional y de cada uno de los</w:t>
      </w:r>
      <w:r>
        <w:rPr>
          <w:spacing w:val="-10"/>
        </w:rPr>
        <w:t> </w:t>
      </w:r>
      <w:r>
        <w:rPr/>
        <w:t>estados.</w:t>
      </w:r>
    </w:p>
    <w:p>
      <w:pPr>
        <w:spacing w:after="0" w:line="360" w:lineRule="auto"/>
        <w:jc w:val="both"/>
        <w:sectPr>
          <w:pgSz w:w="12240" w:h="15840"/>
          <w:pgMar w:header="0" w:footer="1035" w:top="1360" w:bottom="1220" w:left="1600" w:right="1580"/>
        </w:sectPr>
      </w:pPr>
    </w:p>
    <w:p>
      <w:pPr>
        <w:pStyle w:val="BodyText"/>
        <w:spacing w:line="360" w:lineRule="auto" w:before="50"/>
        <w:ind w:left="102" w:right="117"/>
        <w:jc w:val="both"/>
      </w:pPr>
      <w:r>
        <w:rPr/>
        <w:t>En cuanto a la región centro-norte, encontramos una industria automotriz joven y muy dinámica que se encuentra en un constante crecimiento, en general se encontró que se especializa en la industria de autopartes, lo que se traduce en la atracción de otros sectores industriales como el plástico, siderúrgico y de hule, generando así una dinámica productiva que provoca crecimiento dentro del sector manufacturero. Guanajuato ha sido sin duda uno de los estados ganadores.</w:t>
      </w:r>
    </w:p>
    <w:p>
      <w:pPr>
        <w:pStyle w:val="BodyText"/>
        <w:spacing w:before="3"/>
        <w:rPr>
          <w:sz w:val="21"/>
        </w:rPr>
      </w:pPr>
    </w:p>
    <w:p>
      <w:pPr>
        <w:pStyle w:val="BodyText"/>
        <w:spacing w:line="360" w:lineRule="auto"/>
        <w:ind w:left="102" w:right="119"/>
        <w:jc w:val="both"/>
      </w:pPr>
      <w:r>
        <w:rPr/>
        <w:t>Y</w:t>
      </w:r>
      <w:r>
        <w:rPr>
          <w:spacing w:val="-7"/>
        </w:rPr>
        <w:t> </w:t>
      </w:r>
      <w:r>
        <w:rPr/>
        <w:t>por</w:t>
      </w:r>
      <w:r>
        <w:rPr>
          <w:spacing w:val="-7"/>
        </w:rPr>
        <w:t> </w:t>
      </w:r>
      <w:r>
        <w:rPr/>
        <w:t>último</w:t>
      </w:r>
      <w:r>
        <w:rPr>
          <w:spacing w:val="-6"/>
        </w:rPr>
        <w:t> </w:t>
      </w:r>
      <w:r>
        <w:rPr/>
        <w:t>en</w:t>
      </w:r>
      <w:r>
        <w:rPr>
          <w:spacing w:val="-6"/>
        </w:rPr>
        <w:t> </w:t>
      </w:r>
      <w:r>
        <w:rPr/>
        <w:t>la</w:t>
      </w:r>
      <w:r>
        <w:rPr>
          <w:spacing w:val="-4"/>
        </w:rPr>
        <w:t> </w:t>
      </w:r>
      <w:r>
        <w:rPr/>
        <w:t>región</w:t>
      </w:r>
      <w:r>
        <w:rPr>
          <w:spacing w:val="-4"/>
        </w:rPr>
        <w:t> </w:t>
      </w:r>
      <w:r>
        <w:rPr/>
        <w:t>occidente,</w:t>
      </w:r>
      <w:r>
        <w:rPr>
          <w:spacing w:val="-4"/>
        </w:rPr>
        <w:t> </w:t>
      </w:r>
      <w:r>
        <w:rPr/>
        <w:t>se</w:t>
      </w:r>
      <w:r>
        <w:rPr>
          <w:spacing w:val="-5"/>
        </w:rPr>
        <w:t> </w:t>
      </w:r>
      <w:r>
        <w:rPr/>
        <w:t>encontró</w:t>
      </w:r>
      <w:r>
        <w:rPr>
          <w:spacing w:val="-6"/>
        </w:rPr>
        <w:t> </w:t>
      </w:r>
      <w:r>
        <w:rPr/>
        <w:t>que</w:t>
      </w:r>
      <w:r>
        <w:rPr>
          <w:spacing w:val="-7"/>
        </w:rPr>
        <w:t> </w:t>
      </w:r>
      <w:r>
        <w:rPr/>
        <w:t>la</w:t>
      </w:r>
      <w:r>
        <w:rPr>
          <w:spacing w:val="-7"/>
        </w:rPr>
        <w:t> </w:t>
      </w:r>
      <w:r>
        <w:rPr/>
        <w:t>industria</w:t>
      </w:r>
      <w:r>
        <w:rPr>
          <w:spacing w:val="-5"/>
        </w:rPr>
        <w:t> </w:t>
      </w:r>
      <w:r>
        <w:rPr/>
        <w:t>automotriz</w:t>
      </w:r>
      <w:r>
        <w:rPr>
          <w:spacing w:val="-5"/>
        </w:rPr>
        <w:t> </w:t>
      </w:r>
      <w:r>
        <w:rPr/>
        <w:t>es</w:t>
      </w:r>
      <w:r>
        <w:rPr>
          <w:spacing w:val="-6"/>
        </w:rPr>
        <w:t> </w:t>
      </w:r>
      <w:r>
        <w:rPr/>
        <w:t>relativamente nueva en la región, y se espera que ésta siga creciendo, pues se ubica cerca de la región centro-norte, por lo que cuenta con ventajas geográficas para albergar a más empresas automotrices que puedan generar un importante crecimiento en la manufactura regional y estatal.</w:t>
      </w:r>
      <w:r>
        <w:rPr>
          <w:spacing w:val="-11"/>
        </w:rPr>
        <w:t> </w:t>
      </w:r>
      <w:r>
        <w:rPr/>
        <w:t>Si</w:t>
      </w:r>
      <w:r>
        <w:rPr>
          <w:spacing w:val="-11"/>
        </w:rPr>
        <w:t> </w:t>
      </w:r>
      <w:r>
        <w:rPr/>
        <w:t>bien</w:t>
      </w:r>
      <w:r>
        <w:rPr>
          <w:spacing w:val="-11"/>
        </w:rPr>
        <w:t> </w:t>
      </w:r>
      <w:r>
        <w:rPr/>
        <w:t>la</w:t>
      </w:r>
      <w:r>
        <w:rPr>
          <w:spacing w:val="-12"/>
        </w:rPr>
        <w:t> </w:t>
      </w:r>
      <w:r>
        <w:rPr/>
        <w:t>industria</w:t>
      </w:r>
      <w:r>
        <w:rPr>
          <w:spacing w:val="-12"/>
        </w:rPr>
        <w:t> </w:t>
      </w:r>
      <w:r>
        <w:rPr/>
        <w:t>automotriz</w:t>
      </w:r>
      <w:r>
        <w:rPr>
          <w:spacing w:val="-10"/>
        </w:rPr>
        <w:t> </w:t>
      </w:r>
      <w:r>
        <w:rPr/>
        <w:t>no</w:t>
      </w:r>
      <w:r>
        <w:rPr>
          <w:spacing w:val="-11"/>
        </w:rPr>
        <w:t> </w:t>
      </w:r>
      <w:r>
        <w:rPr/>
        <w:t>se</w:t>
      </w:r>
      <w:r>
        <w:rPr>
          <w:spacing w:val="-12"/>
        </w:rPr>
        <w:t> </w:t>
      </w:r>
      <w:r>
        <w:rPr/>
        <w:t>ha</w:t>
      </w:r>
      <w:r>
        <w:rPr>
          <w:spacing w:val="-12"/>
        </w:rPr>
        <w:t> </w:t>
      </w:r>
      <w:r>
        <w:rPr/>
        <w:t>explotado</w:t>
      </w:r>
      <w:r>
        <w:rPr>
          <w:spacing w:val="-11"/>
        </w:rPr>
        <w:t> </w:t>
      </w:r>
      <w:r>
        <w:rPr/>
        <w:t>al</w:t>
      </w:r>
      <w:r>
        <w:rPr>
          <w:spacing w:val="-11"/>
        </w:rPr>
        <w:t> </w:t>
      </w:r>
      <w:r>
        <w:rPr/>
        <w:t>máximo</w:t>
      </w:r>
      <w:r>
        <w:rPr>
          <w:spacing w:val="-11"/>
        </w:rPr>
        <w:t> </w:t>
      </w:r>
      <w:r>
        <w:rPr/>
        <w:t>en</w:t>
      </w:r>
      <w:r>
        <w:rPr>
          <w:spacing w:val="-11"/>
        </w:rPr>
        <w:t> </w:t>
      </w:r>
      <w:r>
        <w:rPr/>
        <w:t>la</w:t>
      </w:r>
      <w:r>
        <w:rPr>
          <w:spacing w:val="-12"/>
        </w:rPr>
        <w:t> </w:t>
      </w:r>
      <w:r>
        <w:rPr/>
        <w:t>región</w:t>
      </w:r>
      <w:r>
        <w:rPr>
          <w:spacing w:val="-11"/>
        </w:rPr>
        <w:t> </w:t>
      </w:r>
      <w:r>
        <w:rPr/>
        <w:t>actualmente se</w:t>
      </w:r>
      <w:r>
        <w:rPr>
          <w:spacing w:val="-5"/>
        </w:rPr>
        <w:t> </w:t>
      </w:r>
      <w:r>
        <w:rPr/>
        <w:t>especializa</w:t>
      </w:r>
      <w:r>
        <w:rPr>
          <w:spacing w:val="-5"/>
        </w:rPr>
        <w:t> </w:t>
      </w:r>
      <w:r>
        <w:rPr/>
        <w:t>tanto</w:t>
      </w:r>
      <w:r>
        <w:rPr>
          <w:spacing w:val="-4"/>
        </w:rPr>
        <w:t> </w:t>
      </w:r>
      <w:r>
        <w:rPr/>
        <w:t>en</w:t>
      </w:r>
      <w:r>
        <w:rPr>
          <w:spacing w:val="-4"/>
        </w:rPr>
        <w:t> </w:t>
      </w:r>
      <w:r>
        <w:rPr/>
        <w:t>la</w:t>
      </w:r>
      <w:r>
        <w:rPr>
          <w:spacing w:val="-4"/>
        </w:rPr>
        <w:t> </w:t>
      </w:r>
      <w:r>
        <w:rPr/>
        <w:t>industria</w:t>
      </w:r>
      <w:r>
        <w:rPr>
          <w:spacing w:val="-5"/>
        </w:rPr>
        <w:t> </w:t>
      </w:r>
      <w:r>
        <w:rPr/>
        <w:t>terminal</w:t>
      </w:r>
      <w:r>
        <w:rPr>
          <w:spacing w:val="-3"/>
        </w:rPr>
        <w:t> </w:t>
      </w:r>
      <w:r>
        <w:rPr/>
        <w:t>como</w:t>
      </w:r>
      <w:r>
        <w:rPr>
          <w:spacing w:val="-3"/>
        </w:rPr>
        <w:t> </w:t>
      </w:r>
      <w:r>
        <w:rPr/>
        <w:t>de</w:t>
      </w:r>
      <w:r>
        <w:rPr>
          <w:spacing w:val="-5"/>
        </w:rPr>
        <w:t> </w:t>
      </w:r>
      <w:r>
        <w:rPr/>
        <w:t>autopartes</w:t>
      </w:r>
      <w:r>
        <w:rPr>
          <w:spacing w:val="-4"/>
        </w:rPr>
        <w:t> </w:t>
      </w:r>
      <w:r>
        <w:rPr/>
        <w:t>siendo</w:t>
      </w:r>
      <w:r>
        <w:rPr>
          <w:spacing w:val="-4"/>
        </w:rPr>
        <w:t> </w:t>
      </w:r>
      <w:r>
        <w:rPr/>
        <w:t>su</w:t>
      </w:r>
      <w:r>
        <w:rPr>
          <w:spacing w:val="-4"/>
        </w:rPr>
        <w:t> </w:t>
      </w:r>
      <w:r>
        <w:rPr/>
        <w:t>principal</w:t>
      </w:r>
      <w:r>
        <w:rPr>
          <w:spacing w:val="-4"/>
        </w:rPr>
        <w:t> </w:t>
      </w:r>
      <w:r>
        <w:rPr/>
        <w:t>actividad la fabricación de sistemas de dirección y de suspensión. El estado de Aguascalientes es el líder dentro de la región, donde se ha encontrado que la automotriz tiene impactos positivos en la manufactura</w:t>
      </w:r>
      <w:r>
        <w:rPr>
          <w:spacing w:val="-6"/>
        </w:rPr>
        <w:t> </w:t>
      </w:r>
      <w:r>
        <w:rPr/>
        <w:t>local</w:t>
      </w:r>
    </w:p>
    <w:p>
      <w:pPr>
        <w:pStyle w:val="BodyText"/>
        <w:spacing w:before="4"/>
        <w:rPr>
          <w:sz w:val="21"/>
        </w:rPr>
      </w:pPr>
    </w:p>
    <w:p>
      <w:pPr>
        <w:pStyle w:val="BodyText"/>
        <w:spacing w:line="360" w:lineRule="auto" w:before="1"/>
        <w:ind w:left="102" w:right="116"/>
        <w:jc w:val="both"/>
      </w:pPr>
      <w:r>
        <w:rPr/>
        <w:t>Este</w:t>
      </w:r>
      <w:r>
        <w:rPr>
          <w:spacing w:val="-12"/>
        </w:rPr>
        <w:t> </w:t>
      </w:r>
      <w:r>
        <w:rPr/>
        <w:t>capítulo,</w:t>
      </w:r>
      <w:r>
        <w:rPr>
          <w:spacing w:val="-11"/>
        </w:rPr>
        <w:t> </w:t>
      </w:r>
      <w:r>
        <w:rPr/>
        <w:t>nos</w:t>
      </w:r>
      <w:r>
        <w:rPr>
          <w:spacing w:val="-11"/>
        </w:rPr>
        <w:t> </w:t>
      </w:r>
      <w:r>
        <w:rPr/>
        <w:t>ha</w:t>
      </w:r>
      <w:r>
        <w:rPr>
          <w:spacing w:val="-12"/>
        </w:rPr>
        <w:t> </w:t>
      </w:r>
      <w:r>
        <w:rPr/>
        <w:t>permitido</w:t>
      </w:r>
      <w:r>
        <w:rPr>
          <w:spacing w:val="-11"/>
        </w:rPr>
        <w:t> </w:t>
      </w:r>
      <w:r>
        <w:rPr/>
        <w:t>confirmar</w:t>
      </w:r>
      <w:r>
        <w:rPr>
          <w:spacing w:val="-12"/>
        </w:rPr>
        <w:t> </w:t>
      </w:r>
      <w:r>
        <w:rPr/>
        <w:t>que</w:t>
      </w:r>
      <w:r>
        <w:rPr>
          <w:spacing w:val="-12"/>
        </w:rPr>
        <w:t> </w:t>
      </w:r>
      <w:r>
        <w:rPr/>
        <w:t>la</w:t>
      </w:r>
      <w:r>
        <w:rPr>
          <w:spacing w:val="-12"/>
        </w:rPr>
        <w:t> </w:t>
      </w:r>
      <w:r>
        <w:rPr/>
        <w:t>industria</w:t>
      </w:r>
      <w:r>
        <w:rPr>
          <w:spacing w:val="-12"/>
        </w:rPr>
        <w:t> </w:t>
      </w:r>
      <w:r>
        <w:rPr/>
        <w:t>automotriz</w:t>
      </w:r>
      <w:r>
        <w:rPr>
          <w:spacing w:val="-10"/>
        </w:rPr>
        <w:t> </w:t>
      </w:r>
      <w:r>
        <w:rPr/>
        <w:t>en</w:t>
      </w:r>
      <w:r>
        <w:rPr>
          <w:spacing w:val="-11"/>
        </w:rPr>
        <w:t> </w:t>
      </w:r>
      <w:r>
        <w:rPr/>
        <w:t>general,</w:t>
      </w:r>
      <w:r>
        <w:rPr>
          <w:spacing w:val="-11"/>
        </w:rPr>
        <w:t> </w:t>
      </w:r>
      <w:r>
        <w:rPr/>
        <w:t>ha</w:t>
      </w:r>
      <w:r>
        <w:rPr>
          <w:spacing w:val="-12"/>
        </w:rPr>
        <w:t> </w:t>
      </w:r>
      <w:r>
        <w:rPr/>
        <w:t>generado crecimiento en la industria manufacturera a nivel nacional, en las regiones y entidades federativas</w:t>
      </w:r>
      <w:r>
        <w:rPr>
          <w:spacing w:val="-14"/>
        </w:rPr>
        <w:t> </w:t>
      </w:r>
      <w:r>
        <w:rPr/>
        <w:t>donde</w:t>
      </w:r>
      <w:r>
        <w:rPr>
          <w:spacing w:val="-15"/>
        </w:rPr>
        <w:t> </w:t>
      </w:r>
      <w:r>
        <w:rPr/>
        <w:t>se</w:t>
      </w:r>
      <w:r>
        <w:rPr>
          <w:spacing w:val="-15"/>
        </w:rPr>
        <w:t> </w:t>
      </w:r>
      <w:r>
        <w:rPr/>
        <w:t>encuentra</w:t>
      </w:r>
      <w:r>
        <w:rPr>
          <w:spacing w:val="-16"/>
        </w:rPr>
        <w:t> </w:t>
      </w:r>
      <w:r>
        <w:rPr/>
        <w:t>presente.</w:t>
      </w:r>
      <w:r>
        <w:rPr>
          <w:spacing w:val="-14"/>
        </w:rPr>
        <w:t> </w:t>
      </w:r>
      <w:r>
        <w:rPr/>
        <w:t>Sin</w:t>
      </w:r>
      <w:r>
        <w:rPr>
          <w:spacing w:val="-14"/>
        </w:rPr>
        <w:t> </w:t>
      </w:r>
      <w:r>
        <w:rPr/>
        <w:t>embargo,</w:t>
      </w:r>
      <w:r>
        <w:rPr>
          <w:spacing w:val="-14"/>
        </w:rPr>
        <w:t> </w:t>
      </w:r>
      <w:r>
        <w:rPr/>
        <w:t>para</w:t>
      </w:r>
      <w:r>
        <w:rPr>
          <w:spacing w:val="-14"/>
        </w:rPr>
        <w:t> </w:t>
      </w:r>
      <w:r>
        <w:rPr/>
        <w:t>reforzar</w:t>
      </w:r>
      <w:r>
        <w:rPr>
          <w:spacing w:val="-15"/>
        </w:rPr>
        <w:t> </w:t>
      </w:r>
      <w:r>
        <w:rPr/>
        <w:t>este</w:t>
      </w:r>
      <w:r>
        <w:rPr>
          <w:spacing w:val="-15"/>
        </w:rPr>
        <w:t> </w:t>
      </w:r>
      <w:r>
        <w:rPr/>
        <w:t>resultado</w:t>
      </w:r>
      <w:r>
        <w:rPr>
          <w:spacing w:val="-14"/>
        </w:rPr>
        <w:t> </w:t>
      </w:r>
      <w:r>
        <w:rPr/>
        <w:t>se</w:t>
      </w:r>
      <w:r>
        <w:rPr>
          <w:spacing w:val="-15"/>
        </w:rPr>
        <w:t> </w:t>
      </w:r>
      <w:r>
        <w:rPr/>
        <w:t>presenta el capítulo cinco, donde se presenta evidencia de causalidad de Granger entre la industria automotriz y manufacturera de México, además se desarrolla un modelo de Vectores Autorregresivos (VAR), aplicado a la manufactura</w:t>
      </w:r>
      <w:r>
        <w:rPr>
          <w:spacing w:val="-8"/>
        </w:rPr>
        <w:t> </w:t>
      </w:r>
      <w:r>
        <w:rPr/>
        <w:t>nacional.</w:t>
      </w:r>
    </w:p>
    <w:p>
      <w:pPr>
        <w:spacing w:after="0" w:line="360" w:lineRule="auto"/>
        <w:jc w:val="both"/>
        <w:sectPr>
          <w:pgSz w:w="12240" w:h="15840"/>
          <w:pgMar w:header="0" w:footer="1035" w:top="1360" w:bottom="1220" w:left="1600" w:right="1580"/>
        </w:sectPr>
      </w:pPr>
    </w:p>
    <w:p>
      <w:pPr>
        <w:pStyle w:val="Heading1"/>
        <w:spacing w:line="360" w:lineRule="auto" w:before="55"/>
        <w:ind w:left="3588" w:right="212" w:hanging="3359"/>
      </w:pPr>
      <w:bookmarkStart w:name="_TOC_250010" w:id="25"/>
      <w:bookmarkEnd w:id="25"/>
      <w:r>
        <w:rPr/>
        <w:t>CAPÍTULO 5. Una estimación de Vectores Autorregresivos para la Manufactura de México, 1993-2014</w:t>
      </w:r>
    </w:p>
    <w:p>
      <w:pPr>
        <w:pStyle w:val="BodyText"/>
        <w:spacing w:before="9"/>
        <w:rPr>
          <w:b/>
          <w:sz w:val="20"/>
        </w:rPr>
      </w:pPr>
    </w:p>
    <w:p>
      <w:pPr>
        <w:pStyle w:val="BodyText"/>
        <w:spacing w:line="360" w:lineRule="auto"/>
        <w:ind w:left="122" w:right="118"/>
        <w:jc w:val="both"/>
      </w:pPr>
      <w:r>
        <w:rPr/>
        <w:t>En el capítulo anterior se mostró la importancia que tiene la industria automotriz en la dinámica productiva de la manufactura de México, sobre todo a nivel regional y por entidad federativa a través del cálculo de cocientes de localización. Sin embargo, el objetivo de este último capítulo es reforzar la evidencia presentada principalmente a nivel nacional, a través del</w:t>
      </w:r>
      <w:r>
        <w:rPr>
          <w:spacing w:val="-3"/>
        </w:rPr>
        <w:t> </w:t>
      </w:r>
      <w:r>
        <w:rPr/>
        <w:t>análisis</w:t>
      </w:r>
      <w:r>
        <w:rPr>
          <w:spacing w:val="-3"/>
        </w:rPr>
        <w:t> </w:t>
      </w:r>
      <w:r>
        <w:rPr/>
        <w:t>de</w:t>
      </w:r>
      <w:r>
        <w:rPr>
          <w:spacing w:val="-3"/>
        </w:rPr>
        <w:t> </w:t>
      </w:r>
      <w:r>
        <w:rPr/>
        <w:t>causalidad</w:t>
      </w:r>
      <w:r>
        <w:rPr>
          <w:spacing w:val="-2"/>
        </w:rPr>
        <w:t> </w:t>
      </w:r>
      <w:r>
        <w:rPr/>
        <w:t>en</w:t>
      </w:r>
      <w:r>
        <w:rPr>
          <w:spacing w:val="-4"/>
        </w:rPr>
        <w:t> </w:t>
      </w:r>
      <w:r>
        <w:rPr/>
        <w:t>el</w:t>
      </w:r>
      <w:r>
        <w:rPr>
          <w:spacing w:val="-1"/>
        </w:rPr>
        <w:t> </w:t>
      </w:r>
      <w:r>
        <w:rPr/>
        <w:t>sentido</w:t>
      </w:r>
      <w:r>
        <w:rPr>
          <w:spacing w:val="-4"/>
        </w:rPr>
        <w:t> </w:t>
      </w:r>
      <w:r>
        <w:rPr/>
        <w:t>de</w:t>
      </w:r>
      <w:r>
        <w:rPr>
          <w:spacing w:val="-3"/>
        </w:rPr>
        <w:t> </w:t>
      </w:r>
      <w:r>
        <w:rPr/>
        <w:t>Granger</w:t>
      </w:r>
      <w:r>
        <w:rPr>
          <w:spacing w:val="-1"/>
        </w:rPr>
        <w:t> </w:t>
      </w:r>
      <w:r>
        <w:rPr/>
        <w:t>y</w:t>
      </w:r>
      <w:r>
        <w:rPr>
          <w:spacing w:val="-7"/>
        </w:rPr>
        <w:t> </w:t>
      </w:r>
      <w:r>
        <w:rPr/>
        <w:t>la</w:t>
      </w:r>
      <w:r>
        <w:rPr>
          <w:spacing w:val="-5"/>
        </w:rPr>
        <w:t> </w:t>
      </w:r>
      <w:r>
        <w:rPr/>
        <w:t>estimación</w:t>
      </w:r>
      <w:r>
        <w:rPr>
          <w:spacing w:val="-3"/>
        </w:rPr>
        <w:t> </w:t>
      </w:r>
      <w:r>
        <w:rPr/>
        <w:t>de</w:t>
      </w:r>
      <w:r>
        <w:rPr>
          <w:spacing w:val="-5"/>
        </w:rPr>
        <w:t> </w:t>
      </w:r>
      <w:r>
        <w:rPr/>
        <w:t>un</w:t>
      </w:r>
      <w:r>
        <w:rPr>
          <w:spacing w:val="-4"/>
        </w:rPr>
        <w:t> </w:t>
      </w:r>
      <w:r>
        <w:rPr/>
        <w:t>modelo</w:t>
      </w:r>
      <w:r>
        <w:rPr>
          <w:spacing w:val="-3"/>
        </w:rPr>
        <w:t> </w:t>
      </w:r>
      <w:r>
        <w:rPr/>
        <w:t>de</w:t>
      </w:r>
      <w:r>
        <w:rPr>
          <w:spacing w:val="-5"/>
        </w:rPr>
        <w:t> </w:t>
      </w:r>
      <w:r>
        <w:rPr/>
        <w:t>vectores autorregresivos, el cual permitió hacer una introspección muy</w:t>
      </w:r>
      <w:r>
        <w:rPr>
          <w:spacing w:val="-12"/>
        </w:rPr>
        <w:t> </w:t>
      </w:r>
      <w:r>
        <w:rPr/>
        <w:t>útil.</w:t>
      </w:r>
    </w:p>
    <w:p>
      <w:pPr>
        <w:pStyle w:val="BodyText"/>
        <w:spacing w:before="2"/>
        <w:rPr>
          <w:sz w:val="21"/>
        </w:rPr>
      </w:pPr>
    </w:p>
    <w:p>
      <w:pPr>
        <w:pStyle w:val="BodyText"/>
        <w:spacing w:line="360" w:lineRule="auto"/>
        <w:ind w:left="122" w:right="116"/>
        <w:jc w:val="both"/>
      </w:pPr>
      <w:r>
        <w:rPr/>
        <w:t>En este sentido, el capítulo se dividió en tres apartados, en el primero se presentan las características estadísticas de las series de tiempo involucradas en el análisis, con el fin de conocer</w:t>
      </w:r>
      <w:r>
        <w:rPr>
          <w:spacing w:val="-14"/>
        </w:rPr>
        <w:t> </w:t>
      </w:r>
      <w:r>
        <w:rPr/>
        <w:t>su</w:t>
      </w:r>
      <w:r>
        <w:rPr>
          <w:spacing w:val="-13"/>
        </w:rPr>
        <w:t> </w:t>
      </w:r>
      <w:r>
        <w:rPr/>
        <w:t>comportamiento</w:t>
      </w:r>
      <w:r>
        <w:rPr>
          <w:spacing w:val="-13"/>
        </w:rPr>
        <w:t> </w:t>
      </w:r>
      <w:r>
        <w:rPr/>
        <w:t>y</w:t>
      </w:r>
      <w:r>
        <w:rPr>
          <w:spacing w:val="-18"/>
        </w:rPr>
        <w:t> </w:t>
      </w:r>
      <w:r>
        <w:rPr/>
        <w:t>advertir</w:t>
      </w:r>
      <w:r>
        <w:rPr>
          <w:spacing w:val="-16"/>
        </w:rPr>
        <w:t> </w:t>
      </w:r>
      <w:r>
        <w:rPr/>
        <w:t>futuros</w:t>
      </w:r>
      <w:r>
        <w:rPr>
          <w:spacing w:val="-16"/>
        </w:rPr>
        <w:t> </w:t>
      </w:r>
      <w:r>
        <w:rPr/>
        <w:t>problemas</w:t>
      </w:r>
      <w:r>
        <w:rPr>
          <w:spacing w:val="-16"/>
        </w:rPr>
        <w:t> </w:t>
      </w:r>
      <w:r>
        <w:rPr/>
        <w:t>estadísticos.</w:t>
      </w:r>
      <w:r>
        <w:rPr>
          <w:spacing w:val="-11"/>
        </w:rPr>
        <w:t> </w:t>
      </w:r>
      <w:r>
        <w:rPr/>
        <w:t>En</w:t>
      </w:r>
      <w:r>
        <w:rPr>
          <w:spacing w:val="-16"/>
        </w:rPr>
        <w:t> </w:t>
      </w:r>
      <w:r>
        <w:rPr/>
        <w:t>el</w:t>
      </w:r>
      <w:r>
        <w:rPr>
          <w:spacing w:val="-13"/>
        </w:rPr>
        <w:t> </w:t>
      </w:r>
      <w:r>
        <w:rPr/>
        <w:t>segundo</w:t>
      </w:r>
      <w:r>
        <w:rPr>
          <w:spacing w:val="-16"/>
        </w:rPr>
        <w:t> </w:t>
      </w:r>
      <w:r>
        <w:rPr/>
        <w:t>apartado se muestra evidencia de que la dinámica de crecimiento de la producción del sector automotriz causa, en sentido de Granger, a la producción manufacturera nacional y finalmente en el tercer apartado se presenta la estimación del modelo de vectores autorregresivos</w:t>
      </w:r>
      <w:r>
        <w:rPr>
          <w:spacing w:val="-12"/>
        </w:rPr>
        <w:t> </w:t>
      </w:r>
      <w:r>
        <w:rPr/>
        <w:t>irrestricto</w:t>
      </w:r>
      <w:r>
        <w:rPr>
          <w:spacing w:val="-13"/>
        </w:rPr>
        <w:t> </w:t>
      </w:r>
      <w:r>
        <w:rPr/>
        <w:t>para</w:t>
      </w:r>
      <w:r>
        <w:rPr>
          <w:spacing w:val="-15"/>
        </w:rPr>
        <w:t> </w:t>
      </w:r>
      <w:r>
        <w:rPr/>
        <w:t>la</w:t>
      </w:r>
      <w:r>
        <w:rPr>
          <w:spacing w:val="-14"/>
        </w:rPr>
        <w:t> </w:t>
      </w:r>
      <w:r>
        <w:rPr/>
        <w:t>industria</w:t>
      </w:r>
      <w:r>
        <w:rPr>
          <w:spacing w:val="-14"/>
        </w:rPr>
        <w:t> </w:t>
      </w:r>
      <w:r>
        <w:rPr/>
        <w:t>manufacturera</w:t>
      </w:r>
      <w:r>
        <w:rPr>
          <w:spacing w:val="-15"/>
        </w:rPr>
        <w:t> </w:t>
      </w:r>
      <w:r>
        <w:rPr/>
        <w:t>de</w:t>
      </w:r>
      <w:r>
        <w:rPr>
          <w:spacing w:val="-14"/>
        </w:rPr>
        <w:t> </w:t>
      </w:r>
      <w:r>
        <w:rPr/>
        <w:t>México,</w:t>
      </w:r>
      <w:r>
        <w:rPr>
          <w:spacing w:val="-12"/>
        </w:rPr>
        <w:t> </w:t>
      </w:r>
      <w:r>
        <w:rPr/>
        <w:t>el</w:t>
      </w:r>
      <w:r>
        <w:rPr>
          <w:spacing w:val="-13"/>
        </w:rPr>
        <w:t> </w:t>
      </w:r>
      <w:r>
        <w:rPr/>
        <w:t>cual</w:t>
      </w:r>
      <w:r>
        <w:rPr>
          <w:spacing w:val="-13"/>
        </w:rPr>
        <w:t> </w:t>
      </w:r>
      <w:r>
        <w:rPr/>
        <w:t>se</w:t>
      </w:r>
      <w:r>
        <w:rPr>
          <w:spacing w:val="-14"/>
        </w:rPr>
        <w:t> </w:t>
      </w:r>
      <w:r>
        <w:rPr/>
        <w:t>complementa con el análisis de impulso respuesta y de descomposición de la varianza para evaluar la congruencia y sensibilidad dinámica de las variables especificadas en el</w:t>
      </w:r>
      <w:r>
        <w:rPr>
          <w:spacing w:val="-12"/>
        </w:rPr>
        <w:t> </w:t>
      </w:r>
      <w:r>
        <w:rPr/>
        <w:t>modelo.</w:t>
      </w:r>
    </w:p>
    <w:p>
      <w:pPr>
        <w:pStyle w:val="BodyText"/>
        <w:spacing w:before="9"/>
        <w:rPr>
          <w:sz w:val="21"/>
        </w:rPr>
      </w:pPr>
    </w:p>
    <w:p>
      <w:pPr>
        <w:pStyle w:val="Heading1"/>
        <w:numPr>
          <w:ilvl w:val="1"/>
          <w:numId w:val="30"/>
        </w:numPr>
        <w:tabs>
          <w:tab w:pos="543" w:val="left" w:leader="none"/>
        </w:tabs>
        <w:spacing w:line="240" w:lineRule="auto" w:before="0" w:after="0"/>
        <w:ind w:left="542" w:right="0" w:hanging="420"/>
        <w:jc w:val="both"/>
      </w:pPr>
      <w:bookmarkStart w:name="_TOC_250009" w:id="26"/>
      <w:r>
        <w:rPr/>
        <w:t>Análisis estadístico de las</w:t>
      </w:r>
      <w:r>
        <w:rPr>
          <w:spacing w:val="-9"/>
        </w:rPr>
        <w:t> </w:t>
      </w:r>
      <w:bookmarkEnd w:id="26"/>
      <w:r>
        <w:rPr/>
        <w:t>series</w:t>
      </w:r>
    </w:p>
    <w:p>
      <w:pPr>
        <w:pStyle w:val="BodyText"/>
        <w:spacing w:before="4"/>
        <w:rPr>
          <w:b/>
          <w:sz w:val="32"/>
        </w:rPr>
      </w:pPr>
    </w:p>
    <w:p>
      <w:pPr>
        <w:pStyle w:val="BodyText"/>
        <w:spacing w:line="360" w:lineRule="auto"/>
        <w:ind w:left="122" w:right="118"/>
        <w:jc w:val="both"/>
      </w:pPr>
      <w:r>
        <w:rPr/>
        <w:t>Para el caso de las variables de México la fuente es el Banco de Información Económica (BIE) del INEGI; mientras que la variable correspondiente a Estados Unidos se obtuvo del Board of Governors of the Federal Reserve. Es importante mencionar que los datos estadísticos son trimestrales para el periodo de 1993:01 a 2014:04, y están expresados en logaritmos.</w:t>
      </w:r>
    </w:p>
    <w:p>
      <w:pPr>
        <w:pStyle w:val="BodyText"/>
        <w:spacing w:before="4"/>
        <w:rPr>
          <w:sz w:val="21"/>
        </w:rPr>
      </w:pPr>
    </w:p>
    <w:p>
      <w:pPr>
        <w:pStyle w:val="BodyText"/>
        <w:spacing w:before="1"/>
        <w:ind w:left="122"/>
        <w:jc w:val="both"/>
      </w:pPr>
      <w:r>
        <w:rPr/>
        <w:t>En específico, las variables son:</w:t>
      </w:r>
    </w:p>
    <w:p>
      <w:pPr>
        <w:pStyle w:val="BodyText"/>
        <w:spacing w:line="362" w:lineRule="auto" w:before="121"/>
        <w:ind w:left="122" w:right="117"/>
        <w:jc w:val="both"/>
      </w:pPr>
      <w:r>
        <w:rPr>
          <w:i/>
        </w:rPr>
        <w:t>lyman</w:t>
      </w:r>
      <w:r>
        <w:rPr>
          <w:i/>
          <w:position w:val="9"/>
          <w:sz w:val="16"/>
        </w:rPr>
        <w:t>16</w:t>
      </w:r>
      <w:r>
        <w:rPr/>
        <w:t>=</w:t>
      </w:r>
      <w:r>
        <w:rPr>
          <w:spacing w:val="-7"/>
        </w:rPr>
        <w:t> </w:t>
      </w:r>
      <w:r>
        <w:rPr/>
        <w:t>Producto</w:t>
      </w:r>
      <w:r>
        <w:rPr>
          <w:spacing w:val="-7"/>
        </w:rPr>
        <w:t> </w:t>
      </w:r>
      <w:r>
        <w:rPr/>
        <w:t>interno</w:t>
      </w:r>
      <w:r>
        <w:rPr>
          <w:spacing w:val="-7"/>
        </w:rPr>
        <w:t> </w:t>
      </w:r>
      <w:r>
        <w:rPr/>
        <w:t>bruto</w:t>
      </w:r>
      <w:r>
        <w:rPr>
          <w:spacing w:val="-7"/>
        </w:rPr>
        <w:t> </w:t>
      </w:r>
      <w:r>
        <w:rPr/>
        <w:t>de</w:t>
      </w:r>
      <w:r>
        <w:rPr>
          <w:spacing w:val="-7"/>
        </w:rPr>
        <w:t> </w:t>
      </w:r>
      <w:r>
        <w:rPr/>
        <w:t>la</w:t>
      </w:r>
      <w:r>
        <w:rPr>
          <w:spacing w:val="-7"/>
        </w:rPr>
        <w:t> </w:t>
      </w:r>
      <w:r>
        <w:rPr/>
        <w:t>industria</w:t>
      </w:r>
      <w:r>
        <w:rPr>
          <w:spacing w:val="-7"/>
        </w:rPr>
        <w:t> </w:t>
      </w:r>
      <w:r>
        <w:rPr/>
        <w:t>manufacturera</w:t>
      </w:r>
      <w:r>
        <w:rPr>
          <w:spacing w:val="-8"/>
        </w:rPr>
        <w:t> </w:t>
      </w:r>
      <w:r>
        <w:rPr/>
        <w:t>de</w:t>
      </w:r>
      <w:r>
        <w:rPr>
          <w:spacing w:val="-7"/>
        </w:rPr>
        <w:t> </w:t>
      </w:r>
      <w:r>
        <w:rPr/>
        <w:t>México</w:t>
      </w:r>
      <w:r>
        <w:rPr>
          <w:spacing w:val="-7"/>
        </w:rPr>
        <w:t> </w:t>
      </w:r>
      <w:r>
        <w:rPr/>
        <w:t>(millones</w:t>
      </w:r>
      <w:r>
        <w:rPr>
          <w:spacing w:val="-7"/>
        </w:rPr>
        <w:t> </w:t>
      </w:r>
      <w:r>
        <w:rPr/>
        <w:t>de</w:t>
      </w:r>
      <w:r>
        <w:rPr>
          <w:spacing w:val="-7"/>
        </w:rPr>
        <w:t> </w:t>
      </w:r>
      <w:r>
        <w:rPr/>
        <w:t>pesos a precios de</w:t>
      </w:r>
      <w:r>
        <w:rPr>
          <w:spacing w:val="-5"/>
        </w:rPr>
        <w:t> </w:t>
      </w:r>
      <w:r>
        <w:rPr/>
        <w:t>2008).</w:t>
      </w:r>
    </w:p>
    <w:p>
      <w:pPr>
        <w:pStyle w:val="BodyText"/>
        <w:rPr>
          <w:sz w:val="20"/>
        </w:rPr>
      </w:pPr>
    </w:p>
    <w:p>
      <w:pPr>
        <w:pStyle w:val="BodyText"/>
        <w:rPr>
          <w:sz w:val="20"/>
        </w:rPr>
      </w:pPr>
    </w:p>
    <w:p>
      <w:pPr>
        <w:pStyle w:val="BodyText"/>
        <w:spacing w:before="3"/>
        <w:rPr>
          <w:sz w:val="17"/>
        </w:rPr>
      </w:pPr>
      <w:r>
        <w:rPr/>
        <w:pict>
          <v:line style="position:absolute;mso-position-horizontal-relative:page;mso-position-vertical-relative:paragraph;z-index:14440;mso-wrap-distance-left:0;mso-wrap-distance-right:0" from="85.103996pt,12.208815pt" to="229.123996pt,12.208815pt" stroked="true" strokeweight=".60004pt" strokecolor="#000000">
            <w10:wrap type="topAndBottom"/>
          </v:line>
        </w:pict>
      </w:r>
    </w:p>
    <w:p>
      <w:pPr>
        <w:spacing w:before="70"/>
        <w:ind w:left="122" w:right="97" w:firstLine="0"/>
        <w:jc w:val="left"/>
        <w:rPr>
          <w:sz w:val="20"/>
        </w:rPr>
      </w:pPr>
      <w:r>
        <w:rPr>
          <w:position w:val="7"/>
          <w:sz w:val="13"/>
        </w:rPr>
        <w:t>16 </w:t>
      </w:r>
      <w:r>
        <w:rPr>
          <w:sz w:val="20"/>
        </w:rPr>
        <w:t>Al producto manufacturero se le restó el PIB automotriz, con el fin de evitar problemas de colinealidad.</w:t>
      </w:r>
    </w:p>
    <w:p>
      <w:pPr>
        <w:spacing w:after="0"/>
        <w:jc w:val="left"/>
        <w:rPr>
          <w:sz w:val="20"/>
        </w:rPr>
        <w:sectPr>
          <w:pgSz w:w="12240" w:h="15840"/>
          <w:pgMar w:header="0" w:footer="1035" w:top="1360" w:bottom="1220" w:left="1580" w:right="1580"/>
        </w:sectPr>
      </w:pPr>
    </w:p>
    <w:p>
      <w:pPr>
        <w:pStyle w:val="BodyText"/>
        <w:spacing w:line="360" w:lineRule="auto" w:before="50"/>
        <w:ind w:left="122" w:right="117"/>
        <w:jc w:val="both"/>
      </w:pPr>
      <w:r>
        <w:rPr>
          <w:i/>
        </w:rPr>
        <w:t>lyauto</w:t>
      </w:r>
      <w:r>
        <w:rPr/>
        <w:t>= Producto interno bruto de la industria automotriz de México ( millones de pesos a precios de 2008).</w:t>
      </w:r>
    </w:p>
    <w:p>
      <w:pPr>
        <w:pStyle w:val="BodyText"/>
        <w:spacing w:line="352" w:lineRule="auto" w:before="4"/>
        <w:ind w:left="122" w:right="1628"/>
      </w:pPr>
      <w:r>
        <w:rPr>
          <w:i/>
        </w:rPr>
        <w:t>lqreal</w:t>
      </w:r>
      <w:r>
        <w:rPr/>
        <w:t>= Tipo de cambio real del peso mexicano (índice base 1990=100). </w:t>
      </w:r>
      <w:r>
        <w:rPr>
          <w:i/>
        </w:rPr>
        <w:t>lyindusteu</w:t>
      </w:r>
      <w:r>
        <w:rPr/>
        <w:t>= Producto industrial de Estados Unidos ( índice base 2007=100). </w:t>
      </w:r>
      <w:r>
        <w:rPr>
          <w:i/>
        </w:rPr>
        <w:t>lpmt</w:t>
      </w:r>
      <w:r>
        <w:rPr>
          <w:i/>
          <w:position w:val="9"/>
          <w:sz w:val="16"/>
        </w:rPr>
        <w:t>17</w:t>
      </w:r>
      <w:r>
        <w:rPr/>
        <w:t>= Productividad media del trabajo en el sector automotriz de México.</w:t>
      </w:r>
    </w:p>
    <w:p>
      <w:pPr>
        <w:pStyle w:val="BodyText"/>
        <w:spacing w:before="4"/>
        <w:rPr>
          <w:sz w:val="21"/>
        </w:rPr>
      </w:pPr>
    </w:p>
    <w:p>
      <w:pPr>
        <w:pStyle w:val="BodyText"/>
        <w:spacing w:line="360" w:lineRule="auto"/>
        <w:ind w:left="122" w:right="117"/>
        <w:jc w:val="both"/>
      </w:pPr>
      <w:r>
        <w:rPr/>
        <w:t>La productividad media del trabajo en el sector automotriz tiene como finalidad reforzar la evidencia presentada, en el sentido de que la industria automotriz genera crecimiento dentro de la industria manufacturera por lo que se espera tengan un impacto positivo en el crecimiento de la manufactura de México.</w:t>
      </w:r>
    </w:p>
    <w:p>
      <w:pPr>
        <w:pStyle w:val="BodyText"/>
        <w:spacing w:before="4"/>
        <w:rPr>
          <w:sz w:val="21"/>
        </w:rPr>
      </w:pPr>
    </w:p>
    <w:p>
      <w:pPr>
        <w:pStyle w:val="BodyText"/>
        <w:spacing w:line="360" w:lineRule="auto" w:before="1"/>
        <w:ind w:left="122" w:right="120"/>
        <w:jc w:val="both"/>
      </w:pPr>
      <w:r>
        <w:rPr/>
        <w:t>El tipo de cambio real y el producto industrial de Estados Unidos, pueden aportar</w:t>
      </w:r>
      <w:r>
        <w:rPr>
          <w:spacing w:val="-29"/>
        </w:rPr>
        <w:t> </w:t>
      </w:r>
      <w:r>
        <w:rPr/>
        <w:t>evidencia, que ayude a explicar también el crecimiento en la manufactura</w:t>
      </w:r>
      <w:r>
        <w:rPr>
          <w:spacing w:val="-12"/>
        </w:rPr>
        <w:t> </w:t>
      </w:r>
      <w:r>
        <w:rPr/>
        <w:t>nacional.</w:t>
      </w:r>
    </w:p>
    <w:p>
      <w:pPr>
        <w:pStyle w:val="BodyText"/>
        <w:spacing w:before="4"/>
        <w:rPr>
          <w:sz w:val="21"/>
        </w:rPr>
      </w:pPr>
    </w:p>
    <w:p>
      <w:pPr>
        <w:pStyle w:val="BodyText"/>
        <w:spacing w:line="360" w:lineRule="auto" w:before="1"/>
        <w:ind w:left="122" w:right="116"/>
        <w:jc w:val="both"/>
      </w:pPr>
      <w:r>
        <w:rPr/>
        <w:t>Puntualmente,</w:t>
      </w:r>
      <w:r>
        <w:rPr>
          <w:spacing w:val="-6"/>
        </w:rPr>
        <w:t> </w:t>
      </w:r>
      <w:r>
        <w:rPr/>
        <w:t>el</w:t>
      </w:r>
      <w:r>
        <w:rPr>
          <w:spacing w:val="-6"/>
        </w:rPr>
        <w:t> </w:t>
      </w:r>
      <w:r>
        <w:rPr/>
        <w:t>tipo</w:t>
      </w:r>
      <w:r>
        <w:rPr>
          <w:spacing w:val="-6"/>
        </w:rPr>
        <w:t> </w:t>
      </w:r>
      <w:r>
        <w:rPr/>
        <w:t>de</w:t>
      </w:r>
      <w:r>
        <w:rPr>
          <w:spacing w:val="-5"/>
        </w:rPr>
        <w:t> </w:t>
      </w:r>
      <w:r>
        <w:rPr/>
        <w:t>cambio</w:t>
      </w:r>
      <w:r>
        <w:rPr>
          <w:spacing w:val="-6"/>
        </w:rPr>
        <w:t> </w:t>
      </w:r>
      <w:r>
        <w:rPr/>
        <w:t>real</w:t>
      </w:r>
      <w:r>
        <w:rPr>
          <w:spacing w:val="-4"/>
        </w:rPr>
        <w:t> </w:t>
      </w:r>
      <w:r>
        <w:rPr/>
        <w:t>es</w:t>
      </w:r>
      <w:r>
        <w:rPr>
          <w:spacing w:val="-6"/>
        </w:rPr>
        <w:t> </w:t>
      </w:r>
      <w:r>
        <w:rPr/>
        <w:t>una</w:t>
      </w:r>
      <w:r>
        <w:rPr>
          <w:spacing w:val="-4"/>
        </w:rPr>
        <w:t> </w:t>
      </w:r>
      <w:r>
        <w:rPr/>
        <w:t>variable</w:t>
      </w:r>
      <w:r>
        <w:rPr>
          <w:spacing w:val="-7"/>
        </w:rPr>
        <w:t> </w:t>
      </w:r>
      <w:r>
        <w:rPr/>
        <w:t>de</w:t>
      </w:r>
      <w:r>
        <w:rPr>
          <w:spacing w:val="-7"/>
        </w:rPr>
        <w:t> </w:t>
      </w:r>
      <w:r>
        <w:rPr/>
        <w:t>suma</w:t>
      </w:r>
      <w:r>
        <w:rPr>
          <w:spacing w:val="-6"/>
        </w:rPr>
        <w:t> </w:t>
      </w:r>
      <w:r>
        <w:rPr/>
        <w:t>importancia</w:t>
      </w:r>
      <w:r>
        <w:rPr>
          <w:spacing w:val="-1"/>
        </w:rPr>
        <w:t> </w:t>
      </w:r>
      <w:r>
        <w:rPr/>
        <w:t>ya</w:t>
      </w:r>
      <w:r>
        <w:rPr>
          <w:spacing w:val="-6"/>
        </w:rPr>
        <w:t> </w:t>
      </w:r>
      <w:r>
        <w:rPr/>
        <w:t>que</w:t>
      </w:r>
      <w:r>
        <w:rPr>
          <w:spacing w:val="-7"/>
        </w:rPr>
        <w:t> </w:t>
      </w:r>
      <w:r>
        <w:rPr/>
        <w:t>la</w:t>
      </w:r>
      <w:r>
        <w:rPr>
          <w:spacing w:val="-7"/>
        </w:rPr>
        <w:t> </w:t>
      </w:r>
      <w:r>
        <w:rPr/>
        <w:t>industria manufacturera al ser un sector altamente exportador e importador, se ve afectado por el comportamiento de la variable, lo que puede influir de manera directa en el crecimiento del producto</w:t>
      </w:r>
      <w:r>
        <w:rPr>
          <w:spacing w:val="-11"/>
        </w:rPr>
        <w:t> </w:t>
      </w:r>
      <w:r>
        <w:rPr/>
        <w:t>manufacturero</w:t>
      </w:r>
      <w:r>
        <w:rPr>
          <w:spacing w:val="-9"/>
        </w:rPr>
        <w:t> </w:t>
      </w:r>
      <w:r>
        <w:rPr/>
        <w:t>de</w:t>
      </w:r>
      <w:r>
        <w:rPr>
          <w:spacing w:val="-12"/>
        </w:rPr>
        <w:t> </w:t>
      </w:r>
      <w:r>
        <w:rPr/>
        <w:t>México.</w:t>
      </w:r>
      <w:r>
        <w:rPr>
          <w:spacing w:val="-11"/>
        </w:rPr>
        <w:t> </w:t>
      </w:r>
      <w:r>
        <w:rPr/>
        <w:t>En</w:t>
      </w:r>
      <w:r>
        <w:rPr>
          <w:spacing w:val="-11"/>
        </w:rPr>
        <w:t> </w:t>
      </w:r>
      <w:r>
        <w:rPr/>
        <w:t>específico,</w:t>
      </w:r>
      <w:r>
        <w:rPr>
          <w:spacing w:val="-9"/>
        </w:rPr>
        <w:t> </w:t>
      </w:r>
      <w:r>
        <w:rPr/>
        <w:t>Loría</w:t>
      </w:r>
      <w:r>
        <w:rPr>
          <w:spacing w:val="-12"/>
        </w:rPr>
        <w:t> </w:t>
      </w:r>
      <w:r>
        <w:rPr/>
        <w:t>(2009)</w:t>
      </w:r>
      <w:r>
        <w:rPr>
          <w:spacing w:val="-12"/>
        </w:rPr>
        <w:t> </w:t>
      </w:r>
      <w:r>
        <w:rPr/>
        <w:t>argumenta</w:t>
      </w:r>
      <w:r>
        <w:rPr>
          <w:spacing w:val="-8"/>
        </w:rPr>
        <w:t> </w:t>
      </w:r>
      <w:r>
        <w:rPr/>
        <w:t>que</w:t>
      </w:r>
      <w:r>
        <w:rPr>
          <w:spacing w:val="-12"/>
        </w:rPr>
        <w:t> </w:t>
      </w:r>
      <w:r>
        <w:rPr/>
        <w:t>las</w:t>
      </w:r>
      <w:r>
        <w:rPr>
          <w:spacing w:val="-11"/>
        </w:rPr>
        <w:t> </w:t>
      </w:r>
      <w:r>
        <w:rPr/>
        <w:t>continuas apreciaciones</w:t>
      </w:r>
      <w:r>
        <w:rPr>
          <w:spacing w:val="-10"/>
        </w:rPr>
        <w:t> </w:t>
      </w:r>
      <w:r>
        <w:rPr/>
        <w:t>cambiarias</w:t>
      </w:r>
      <w:r>
        <w:rPr>
          <w:spacing w:val="-7"/>
        </w:rPr>
        <w:t> </w:t>
      </w:r>
      <w:r>
        <w:rPr/>
        <w:t>en</w:t>
      </w:r>
      <w:r>
        <w:rPr>
          <w:spacing w:val="-10"/>
        </w:rPr>
        <w:t> </w:t>
      </w:r>
      <w:r>
        <w:rPr/>
        <w:t>un</w:t>
      </w:r>
      <w:r>
        <w:rPr>
          <w:spacing w:val="-10"/>
        </w:rPr>
        <w:t> </w:t>
      </w:r>
      <w:r>
        <w:rPr/>
        <w:t>contexto</w:t>
      </w:r>
      <w:r>
        <w:rPr>
          <w:spacing w:val="-10"/>
        </w:rPr>
        <w:t> </w:t>
      </w:r>
      <w:r>
        <w:rPr/>
        <w:t>de</w:t>
      </w:r>
      <w:r>
        <w:rPr>
          <w:spacing w:val="-11"/>
        </w:rPr>
        <w:t> </w:t>
      </w:r>
      <w:r>
        <w:rPr/>
        <w:t>liberalización</w:t>
      </w:r>
      <w:r>
        <w:rPr>
          <w:spacing w:val="-9"/>
        </w:rPr>
        <w:t> </w:t>
      </w:r>
      <w:r>
        <w:rPr/>
        <w:t>comercial</w:t>
      </w:r>
      <w:r>
        <w:rPr>
          <w:spacing w:val="-5"/>
        </w:rPr>
        <w:t> </w:t>
      </w:r>
      <w:r>
        <w:rPr/>
        <w:t>y</w:t>
      </w:r>
      <w:r>
        <w:rPr>
          <w:spacing w:val="-14"/>
        </w:rPr>
        <w:t> </w:t>
      </w:r>
      <w:r>
        <w:rPr/>
        <w:t>de</w:t>
      </w:r>
      <w:r>
        <w:rPr>
          <w:spacing w:val="-11"/>
        </w:rPr>
        <w:t> </w:t>
      </w:r>
      <w:r>
        <w:rPr/>
        <w:t>bajo</w:t>
      </w:r>
      <w:r>
        <w:rPr>
          <w:spacing w:val="-10"/>
        </w:rPr>
        <w:t> </w:t>
      </w:r>
      <w:r>
        <w:rPr/>
        <w:t>crecimiento</w:t>
      </w:r>
      <w:r>
        <w:rPr>
          <w:spacing w:val="-6"/>
        </w:rPr>
        <w:t> </w:t>
      </w:r>
      <w:r>
        <w:rPr/>
        <w:t>se han traducido simultáneamente en grandes importaciones de bienes de capital que explican las pérdidas de productividad, competitividad y producción por lo que bien pueden explicar el bajo crecimiento de la economía mexicana. Asimismo Ros y Casar (2004) han probado que si bien las depreciaciones cambiaras en México en el corto plazo generan efectos inflacionarios, finalmente se traducen en efectos expansivos del</w:t>
      </w:r>
      <w:r>
        <w:rPr>
          <w:spacing w:val="-13"/>
        </w:rPr>
        <w:t> </w:t>
      </w:r>
      <w:r>
        <w:rPr/>
        <w:t>producto.</w:t>
      </w:r>
    </w:p>
    <w:p>
      <w:pPr>
        <w:pStyle w:val="BodyText"/>
        <w:spacing w:before="4"/>
        <w:rPr>
          <w:sz w:val="21"/>
        </w:rPr>
      </w:pPr>
    </w:p>
    <w:p>
      <w:pPr>
        <w:pStyle w:val="BodyText"/>
        <w:spacing w:line="360" w:lineRule="auto" w:before="1"/>
        <w:ind w:left="122" w:right="116"/>
        <w:jc w:val="both"/>
      </w:pPr>
      <w:r>
        <w:rPr/>
        <w:t>Además</w:t>
      </w:r>
      <w:r>
        <w:rPr>
          <w:spacing w:val="-4"/>
        </w:rPr>
        <w:t> </w:t>
      </w:r>
      <w:r>
        <w:rPr/>
        <w:t>la</w:t>
      </w:r>
      <w:r>
        <w:rPr>
          <w:spacing w:val="-4"/>
        </w:rPr>
        <w:t> </w:t>
      </w:r>
      <w:r>
        <w:rPr/>
        <w:t>industria</w:t>
      </w:r>
      <w:r>
        <w:rPr>
          <w:spacing w:val="-5"/>
        </w:rPr>
        <w:t> </w:t>
      </w:r>
      <w:r>
        <w:rPr/>
        <w:t>manufacturera</w:t>
      </w:r>
      <w:r>
        <w:rPr>
          <w:spacing w:val="-2"/>
        </w:rPr>
        <w:t> </w:t>
      </w:r>
      <w:r>
        <w:rPr/>
        <w:t>y</w:t>
      </w:r>
      <w:r>
        <w:rPr>
          <w:spacing w:val="-9"/>
        </w:rPr>
        <w:t> </w:t>
      </w:r>
      <w:r>
        <w:rPr/>
        <w:t>automotriz</w:t>
      </w:r>
      <w:r>
        <w:rPr>
          <w:spacing w:val="-2"/>
        </w:rPr>
        <w:t> </w:t>
      </w:r>
      <w:r>
        <w:rPr/>
        <w:t>de</w:t>
      </w:r>
      <w:r>
        <w:rPr>
          <w:spacing w:val="-5"/>
        </w:rPr>
        <w:t> </w:t>
      </w:r>
      <w:r>
        <w:rPr/>
        <w:t>México,</w:t>
      </w:r>
      <w:r>
        <w:rPr>
          <w:spacing w:val="-4"/>
        </w:rPr>
        <w:t> </w:t>
      </w:r>
      <w:r>
        <w:rPr/>
        <w:t>sobre</w:t>
      </w:r>
      <w:r>
        <w:rPr>
          <w:spacing w:val="-5"/>
        </w:rPr>
        <w:t> </w:t>
      </w:r>
      <w:r>
        <w:rPr/>
        <w:t>todo</w:t>
      </w:r>
      <w:r>
        <w:rPr>
          <w:spacing w:val="-3"/>
        </w:rPr>
        <w:t> </w:t>
      </w:r>
      <w:r>
        <w:rPr/>
        <w:t>a</w:t>
      </w:r>
      <w:r>
        <w:rPr>
          <w:spacing w:val="-5"/>
        </w:rPr>
        <w:t> </w:t>
      </w:r>
      <w:r>
        <w:rPr/>
        <w:t>partir</w:t>
      </w:r>
      <w:r>
        <w:rPr>
          <w:spacing w:val="-4"/>
        </w:rPr>
        <w:t> </w:t>
      </w:r>
      <w:r>
        <w:rPr/>
        <w:t>de</w:t>
      </w:r>
      <w:r>
        <w:rPr>
          <w:spacing w:val="-5"/>
        </w:rPr>
        <w:t> </w:t>
      </w:r>
      <w:r>
        <w:rPr/>
        <w:t>la</w:t>
      </w:r>
      <w:r>
        <w:rPr>
          <w:spacing w:val="-4"/>
        </w:rPr>
        <w:t> </w:t>
      </w:r>
      <w:r>
        <w:rPr/>
        <w:t>entrada en vigor del TLCAN en enero de 1994, ha mostrado cambios importantes en su estructura productiva, volviéndose más dinámicas con el fin de abastecer al mercado norteamericano, provocando una mayor integración de la industria automotriz mexicana con la economía de Estados Unidos. En este sentido es que también se incluye al índice del producto </w:t>
      </w:r>
      <w:r>
        <w:rPr>
          <w:spacing w:val="54"/>
        </w:rPr>
        <w:t> </w:t>
      </w:r>
      <w:r>
        <w:rPr/>
        <w:t>industrial</w:t>
      </w:r>
    </w:p>
    <w:p>
      <w:pPr>
        <w:pStyle w:val="BodyText"/>
        <w:rPr>
          <w:sz w:val="20"/>
        </w:rPr>
      </w:pPr>
    </w:p>
    <w:p>
      <w:pPr>
        <w:pStyle w:val="BodyText"/>
        <w:rPr>
          <w:sz w:val="20"/>
        </w:rPr>
      </w:pPr>
    </w:p>
    <w:p>
      <w:pPr>
        <w:pStyle w:val="BodyText"/>
        <w:spacing w:before="4"/>
        <w:rPr>
          <w:sz w:val="18"/>
        </w:rPr>
      </w:pPr>
      <w:r>
        <w:rPr/>
        <w:pict>
          <v:line style="position:absolute;mso-position-horizontal-relative:page;mso-position-vertical-relative:paragraph;z-index:14464;mso-wrap-distance-left:0;mso-wrap-distance-right:0" from="85.103996pt,12.841723pt" to="229.123996pt,12.841723pt" stroked="true" strokeweight=".599980pt" strokecolor="#000000">
            <w10:wrap type="topAndBottom"/>
          </v:line>
        </w:pict>
      </w:r>
    </w:p>
    <w:p>
      <w:pPr>
        <w:spacing w:before="70"/>
        <w:ind w:left="122" w:right="97" w:firstLine="0"/>
        <w:jc w:val="left"/>
        <w:rPr>
          <w:sz w:val="20"/>
        </w:rPr>
      </w:pPr>
      <w:r>
        <w:rPr>
          <w:position w:val="7"/>
          <w:sz w:val="13"/>
        </w:rPr>
        <w:t>17 </w:t>
      </w:r>
      <w:r>
        <w:rPr>
          <w:sz w:val="20"/>
        </w:rPr>
        <w:t>La productividad media por trabajador resulta de la relación entre la cantidad producida en la industria automotriz y el número de trabajadores ocupados en la misma.</w:t>
      </w:r>
    </w:p>
    <w:p>
      <w:pPr>
        <w:spacing w:after="0"/>
        <w:jc w:val="left"/>
        <w:rPr>
          <w:sz w:val="20"/>
        </w:rPr>
        <w:sectPr>
          <w:pgSz w:w="12240" w:h="15840"/>
          <w:pgMar w:header="0" w:footer="1035" w:top="1360" w:bottom="1220" w:left="1580" w:right="1580"/>
        </w:sectPr>
      </w:pPr>
    </w:p>
    <w:p>
      <w:pPr>
        <w:pStyle w:val="BodyText"/>
        <w:spacing w:line="360" w:lineRule="auto" w:before="50"/>
        <w:ind w:left="102" w:right="125"/>
        <w:jc w:val="both"/>
      </w:pPr>
      <w:r>
        <w:rPr/>
        <w:t>de este país, “por el efecto de arrastre” comercial y productivo que genera en la industria automotriz y por lo tanto en las manufacturas de México.</w:t>
      </w:r>
    </w:p>
    <w:p>
      <w:pPr>
        <w:pStyle w:val="BodyText"/>
        <w:spacing w:before="7"/>
        <w:rPr>
          <w:sz w:val="21"/>
        </w:rPr>
      </w:pPr>
    </w:p>
    <w:p>
      <w:pPr>
        <w:pStyle w:val="Heading1"/>
        <w:numPr>
          <w:ilvl w:val="2"/>
          <w:numId w:val="30"/>
        </w:numPr>
        <w:tabs>
          <w:tab w:pos="703" w:val="left" w:leader="none"/>
        </w:tabs>
        <w:spacing w:line="240" w:lineRule="auto" w:before="0" w:after="0"/>
        <w:ind w:left="702" w:right="0" w:hanging="600"/>
        <w:jc w:val="both"/>
      </w:pPr>
      <w:bookmarkStart w:name="_TOC_250008" w:id="27"/>
      <w:r>
        <w:rPr/>
        <w:t>Pruebas de raíces</w:t>
      </w:r>
      <w:r>
        <w:rPr>
          <w:spacing w:val="-8"/>
        </w:rPr>
        <w:t> </w:t>
      </w:r>
      <w:bookmarkEnd w:id="27"/>
      <w:r>
        <w:rPr/>
        <w:t>unitarias</w:t>
      </w:r>
    </w:p>
    <w:p>
      <w:pPr>
        <w:pStyle w:val="BodyText"/>
        <w:spacing w:before="6"/>
        <w:rPr>
          <w:b/>
          <w:sz w:val="32"/>
        </w:rPr>
      </w:pPr>
    </w:p>
    <w:p>
      <w:pPr>
        <w:pStyle w:val="BodyText"/>
        <w:spacing w:line="360" w:lineRule="auto"/>
        <w:ind w:left="102" w:right="117"/>
        <w:jc w:val="both"/>
      </w:pPr>
      <w:r>
        <w:rPr/>
        <w:t>En principio es necesario conocer las propiedades estadísticas de las series de tiempo que se van</w:t>
      </w:r>
      <w:r>
        <w:rPr>
          <w:spacing w:val="-13"/>
        </w:rPr>
        <w:t> </w:t>
      </w:r>
      <w:r>
        <w:rPr/>
        <w:t>a</w:t>
      </w:r>
      <w:r>
        <w:rPr>
          <w:spacing w:val="-14"/>
        </w:rPr>
        <w:t> </w:t>
      </w:r>
      <w:r>
        <w:rPr/>
        <w:t>utilizar,</w:t>
      </w:r>
      <w:r>
        <w:rPr>
          <w:spacing w:val="-14"/>
        </w:rPr>
        <w:t> </w:t>
      </w:r>
      <w:r>
        <w:rPr/>
        <w:t>para</w:t>
      </w:r>
      <w:r>
        <w:rPr>
          <w:spacing w:val="-15"/>
        </w:rPr>
        <w:t> </w:t>
      </w:r>
      <w:r>
        <w:rPr/>
        <w:t>ello</w:t>
      </w:r>
      <w:r>
        <w:rPr>
          <w:spacing w:val="-13"/>
        </w:rPr>
        <w:t> </w:t>
      </w:r>
      <w:r>
        <w:rPr/>
        <w:t>es</w:t>
      </w:r>
      <w:r>
        <w:rPr>
          <w:spacing w:val="-12"/>
        </w:rPr>
        <w:t> </w:t>
      </w:r>
      <w:r>
        <w:rPr/>
        <w:t>recomendable</w:t>
      </w:r>
      <w:r>
        <w:rPr>
          <w:spacing w:val="-14"/>
        </w:rPr>
        <w:t> </w:t>
      </w:r>
      <w:r>
        <w:rPr/>
        <w:t>reportar</w:t>
      </w:r>
      <w:r>
        <w:rPr>
          <w:spacing w:val="-14"/>
        </w:rPr>
        <w:t> </w:t>
      </w:r>
      <w:r>
        <w:rPr/>
        <w:t>sus</w:t>
      </w:r>
      <w:r>
        <w:rPr>
          <w:spacing w:val="-13"/>
        </w:rPr>
        <w:t> </w:t>
      </w:r>
      <w:r>
        <w:rPr/>
        <w:t>estadísticas</w:t>
      </w:r>
      <w:r>
        <w:rPr>
          <w:spacing w:val="-13"/>
        </w:rPr>
        <w:t> </w:t>
      </w:r>
      <w:r>
        <w:rPr/>
        <w:t>básicas</w:t>
      </w:r>
      <w:r>
        <w:rPr>
          <w:spacing w:val="-12"/>
        </w:rPr>
        <w:t> </w:t>
      </w:r>
      <w:r>
        <w:rPr/>
        <w:t>con</w:t>
      </w:r>
      <w:r>
        <w:rPr>
          <w:spacing w:val="-12"/>
        </w:rPr>
        <w:t> </w:t>
      </w:r>
      <w:r>
        <w:rPr/>
        <w:t>el</w:t>
      </w:r>
      <w:r>
        <w:rPr>
          <w:spacing w:val="-13"/>
        </w:rPr>
        <w:t> </w:t>
      </w:r>
      <w:r>
        <w:rPr/>
        <w:t>fin</w:t>
      </w:r>
      <w:r>
        <w:rPr>
          <w:spacing w:val="-14"/>
        </w:rPr>
        <w:t> </w:t>
      </w:r>
      <w:r>
        <w:rPr/>
        <w:t>de</w:t>
      </w:r>
      <w:r>
        <w:rPr>
          <w:spacing w:val="-14"/>
        </w:rPr>
        <w:t> </w:t>
      </w:r>
      <w:r>
        <w:rPr/>
        <w:t>advertir problemas estadísticos que se puedan enfrentar más tarde (Loría,</w:t>
      </w:r>
      <w:r>
        <w:rPr>
          <w:spacing w:val="-15"/>
        </w:rPr>
        <w:t> </w:t>
      </w:r>
      <w:r>
        <w:rPr/>
        <w:t>2007).</w:t>
      </w:r>
    </w:p>
    <w:p>
      <w:pPr>
        <w:pStyle w:val="BodyText"/>
        <w:spacing w:before="3"/>
        <w:rPr>
          <w:sz w:val="21"/>
        </w:rPr>
      </w:pPr>
    </w:p>
    <w:p>
      <w:pPr>
        <w:pStyle w:val="BodyText"/>
        <w:spacing w:line="360" w:lineRule="auto"/>
        <w:ind w:left="102" w:right="113"/>
        <w:jc w:val="both"/>
      </w:pPr>
      <w:r>
        <w:rPr/>
        <w:t>En el cuadro 5.1 se presentan las características estadísticas de las series de tiempo. Se observa que a excepción del producto manufacturero y automotriz y la productividad media del trabajo (en logaritmos) no siguen una distribución normal debido a que presentan altos estadísticos de kurtosis lo cual puede afectar la eficiencia de las estimaciones, sin embargo, Loría (2007) menciona que esto se puede corregir mediante una correcta especificación.</w:t>
      </w:r>
    </w:p>
    <w:p>
      <w:pPr>
        <w:pStyle w:val="BodyText"/>
        <w:spacing w:before="4"/>
        <w:rPr>
          <w:sz w:val="21"/>
        </w:rPr>
      </w:pPr>
    </w:p>
    <w:p>
      <w:pPr>
        <w:pStyle w:val="BodyText"/>
        <w:spacing w:line="360" w:lineRule="auto" w:before="1"/>
        <w:ind w:left="102" w:right="118"/>
        <w:jc w:val="both"/>
      </w:pPr>
      <w:r>
        <w:rPr/>
        <w:t>Es importante también determinar el orden de integración de las variables, con el fin de conocer si existe una relación estadística de largo plazo entre ellas y entonces evitar resultados</w:t>
      </w:r>
      <w:r>
        <w:rPr>
          <w:spacing w:val="-11"/>
        </w:rPr>
        <w:t> </w:t>
      </w:r>
      <w:r>
        <w:rPr/>
        <w:t>espurios</w:t>
      </w:r>
      <w:r>
        <w:rPr>
          <w:spacing w:val="-8"/>
        </w:rPr>
        <w:t> </w:t>
      </w:r>
      <w:r>
        <w:rPr/>
        <w:t>en</w:t>
      </w:r>
      <w:r>
        <w:rPr>
          <w:spacing w:val="-11"/>
        </w:rPr>
        <w:t> </w:t>
      </w:r>
      <w:r>
        <w:rPr/>
        <w:t>las</w:t>
      </w:r>
      <w:r>
        <w:rPr>
          <w:spacing w:val="-9"/>
        </w:rPr>
        <w:t> </w:t>
      </w:r>
      <w:r>
        <w:rPr/>
        <w:t>estimaciones.</w:t>
      </w:r>
      <w:r>
        <w:rPr>
          <w:spacing w:val="-11"/>
        </w:rPr>
        <w:t> </w:t>
      </w:r>
      <w:r>
        <w:rPr/>
        <w:t>Así,</w:t>
      </w:r>
      <w:r>
        <w:rPr>
          <w:spacing w:val="-9"/>
        </w:rPr>
        <w:t> </w:t>
      </w:r>
      <w:r>
        <w:rPr/>
        <w:t>el</w:t>
      </w:r>
      <w:r>
        <w:rPr>
          <w:spacing w:val="-11"/>
        </w:rPr>
        <w:t> </w:t>
      </w:r>
      <w:r>
        <w:rPr/>
        <w:t>análisis</w:t>
      </w:r>
      <w:r>
        <w:rPr>
          <w:spacing w:val="-10"/>
        </w:rPr>
        <w:t> </w:t>
      </w:r>
      <w:r>
        <w:rPr/>
        <w:t>de</w:t>
      </w:r>
      <w:r>
        <w:rPr>
          <w:spacing w:val="-12"/>
        </w:rPr>
        <w:t> </w:t>
      </w:r>
      <w:r>
        <w:rPr/>
        <w:t>estacionariedad</w:t>
      </w:r>
      <w:r>
        <w:rPr>
          <w:spacing w:val="-9"/>
        </w:rPr>
        <w:t> </w:t>
      </w:r>
      <w:r>
        <w:rPr/>
        <w:t>es</w:t>
      </w:r>
      <w:r>
        <w:rPr>
          <w:spacing w:val="-11"/>
        </w:rPr>
        <w:t> </w:t>
      </w:r>
      <w:r>
        <w:rPr/>
        <w:t>importante</w:t>
      </w:r>
      <w:r>
        <w:rPr>
          <w:spacing w:val="-11"/>
        </w:rPr>
        <w:t> </w:t>
      </w:r>
      <w:r>
        <w:rPr/>
        <w:t>para cualquier análisis posterior. Una prueba de las pruebas para la detección de estacionariedad, que se basa en la inferencia estadística es la prueba de raíz unitaria, la cual permite conocer si las series presentan una tendencia lineal o una raíz unitaria </w:t>
      </w:r>
      <w:r>
        <w:rPr>
          <w:i/>
        </w:rPr>
        <w:t>I(1)</w:t>
      </w:r>
      <w:r>
        <w:rPr/>
        <w:t>, lo cual implica que la media y la varianza dependen del</w:t>
      </w:r>
      <w:r>
        <w:rPr>
          <w:spacing w:val="-4"/>
        </w:rPr>
        <w:t> </w:t>
      </w:r>
      <w:r>
        <w:rPr/>
        <w:t>tiempo.</w:t>
      </w:r>
    </w:p>
    <w:p>
      <w:pPr>
        <w:pStyle w:val="BodyText"/>
        <w:spacing w:before="3"/>
        <w:rPr>
          <w:sz w:val="21"/>
        </w:rPr>
      </w:pPr>
    </w:p>
    <w:p>
      <w:pPr>
        <w:pStyle w:val="BodyText"/>
        <w:spacing w:line="355" w:lineRule="auto"/>
        <w:ind w:left="102" w:right="115"/>
        <w:jc w:val="both"/>
      </w:pPr>
      <w:r>
        <w:rPr/>
        <w:t>Puntualmente, las pruebas de raíces unitarias que se utilizaron fueron las pruebas estándar: la prueba de Dickey-Fuller con mínimos cuadrados generalizados (DF-GLS), la prueba Dickey-Fuller Aumentada (ADF) y la prueba Philllips-Perron (PP), que utilizan los valores críticos de Mackinnon (1996) y cuya hipótesis nula (</w:t>
      </w:r>
      <w:r>
        <w:rPr>
          <w:rFonts w:ascii="Cambria Math" w:hAnsi="Cambria Math" w:eastAsia="Cambria Math"/>
        </w:rPr>
        <w:t>�</w:t>
      </w:r>
      <w:r>
        <w:rPr>
          <w:rFonts w:ascii="Cambria Math" w:hAnsi="Cambria Math" w:eastAsia="Cambria Math"/>
          <w:position w:val="-4"/>
          <w:sz w:val="17"/>
        </w:rPr>
        <w:t>�</w:t>
      </w:r>
      <w:r>
        <w:rPr/>
        <w:t>) propone que la serie tiene una raíz unitaria. Asimismo, se utilizó la prueba Kwatkowski, Phillips, Schimidt y Shin</w:t>
      </w:r>
      <w:r>
        <w:rPr>
          <w:spacing w:val="-15"/>
        </w:rPr>
        <w:t> </w:t>
      </w:r>
      <w:r>
        <w:rPr/>
        <w:t>(KPSS), que a diferencia de las otras propone como hipótesis nula que la variable es</w:t>
      </w:r>
      <w:r>
        <w:rPr>
          <w:spacing w:val="-15"/>
        </w:rPr>
        <w:t> </w:t>
      </w:r>
      <w:r>
        <w:rPr/>
        <w:t>estacionaria.</w:t>
      </w:r>
    </w:p>
    <w:p>
      <w:pPr>
        <w:pStyle w:val="BodyText"/>
        <w:spacing w:before="7"/>
        <w:rPr>
          <w:sz w:val="21"/>
        </w:rPr>
      </w:pPr>
    </w:p>
    <w:p>
      <w:pPr>
        <w:pStyle w:val="BodyText"/>
        <w:spacing w:line="360" w:lineRule="auto"/>
        <w:ind w:left="102" w:right="121"/>
        <w:jc w:val="both"/>
      </w:pPr>
      <w:r>
        <w:rPr/>
        <w:t>Las pruebas de raíces unitarias se estimaron para las series en logaritmos y en primeras diferencias, los resultados indican que en cualquier caso las series presentan el mismo</w:t>
      </w:r>
      <w:r>
        <w:rPr>
          <w:spacing w:val="-25"/>
        </w:rPr>
        <w:t> </w:t>
      </w:r>
      <w:r>
        <w:rPr/>
        <w:t>orden de</w:t>
      </w:r>
      <w:r>
        <w:rPr>
          <w:spacing w:val="48"/>
        </w:rPr>
        <w:t> </w:t>
      </w:r>
      <w:r>
        <w:rPr/>
        <w:t>integración,</w:t>
      </w:r>
      <w:r>
        <w:rPr>
          <w:spacing w:val="51"/>
        </w:rPr>
        <w:t> </w:t>
      </w:r>
      <w:r>
        <w:rPr/>
        <w:t>es</w:t>
      </w:r>
      <w:r>
        <w:rPr>
          <w:spacing w:val="49"/>
        </w:rPr>
        <w:t> </w:t>
      </w:r>
      <w:r>
        <w:rPr/>
        <w:t>decir</w:t>
      </w:r>
      <w:r>
        <w:rPr>
          <w:spacing w:val="51"/>
        </w:rPr>
        <w:t> </w:t>
      </w:r>
      <w:r>
        <w:rPr/>
        <w:t>todas</w:t>
      </w:r>
      <w:r>
        <w:rPr>
          <w:spacing w:val="48"/>
        </w:rPr>
        <w:t> </w:t>
      </w:r>
      <w:r>
        <w:rPr/>
        <w:t>son</w:t>
      </w:r>
      <w:r>
        <w:rPr>
          <w:spacing w:val="49"/>
        </w:rPr>
        <w:t> </w:t>
      </w:r>
      <w:r>
        <w:rPr/>
        <w:t>de</w:t>
      </w:r>
      <w:r>
        <w:rPr>
          <w:spacing w:val="48"/>
        </w:rPr>
        <w:t> </w:t>
      </w:r>
      <w:r>
        <w:rPr/>
        <w:t>orden</w:t>
      </w:r>
      <w:r>
        <w:rPr>
          <w:spacing w:val="51"/>
        </w:rPr>
        <w:t> </w:t>
      </w:r>
      <w:r>
        <w:rPr/>
        <w:t>I(1),</w:t>
      </w:r>
      <w:r>
        <w:rPr>
          <w:spacing w:val="52"/>
        </w:rPr>
        <w:t> </w:t>
      </w:r>
      <w:r>
        <w:rPr/>
        <w:t>con</w:t>
      </w:r>
      <w:r>
        <w:rPr>
          <w:spacing w:val="49"/>
        </w:rPr>
        <w:t> </w:t>
      </w:r>
      <w:r>
        <w:rPr/>
        <w:t>lo</w:t>
      </w:r>
      <w:r>
        <w:rPr>
          <w:spacing w:val="49"/>
        </w:rPr>
        <w:t> </w:t>
      </w:r>
      <w:r>
        <w:rPr/>
        <w:t>que</w:t>
      </w:r>
      <w:r>
        <w:rPr>
          <w:spacing w:val="48"/>
        </w:rPr>
        <w:t> </w:t>
      </w:r>
      <w:r>
        <w:rPr/>
        <w:t>se</w:t>
      </w:r>
      <w:r>
        <w:rPr>
          <w:spacing w:val="48"/>
        </w:rPr>
        <w:t> </w:t>
      </w:r>
      <w:r>
        <w:rPr/>
        <w:t>cuenta</w:t>
      </w:r>
      <w:r>
        <w:rPr>
          <w:spacing w:val="50"/>
        </w:rPr>
        <w:t> </w:t>
      </w:r>
      <w:r>
        <w:rPr/>
        <w:t>con</w:t>
      </w:r>
      <w:r>
        <w:rPr>
          <w:spacing w:val="49"/>
        </w:rPr>
        <w:t> </w:t>
      </w:r>
      <w:r>
        <w:rPr/>
        <w:t>ecuaciones</w:t>
      </w:r>
    </w:p>
    <w:p>
      <w:pPr>
        <w:spacing w:after="0" w:line="360" w:lineRule="auto"/>
        <w:jc w:val="both"/>
        <w:sectPr>
          <w:pgSz w:w="12240" w:h="15840"/>
          <w:pgMar w:header="0" w:footer="1035" w:top="1360" w:bottom="1220" w:left="1600" w:right="1580"/>
        </w:sectPr>
      </w:pPr>
    </w:p>
    <w:p>
      <w:pPr>
        <w:pStyle w:val="BodyText"/>
        <w:spacing w:line="360" w:lineRule="auto" w:before="50"/>
        <w:ind w:left="542"/>
      </w:pPr>
      <w:r>
        <w:rPr/>
        <w:t>balanceadas que evitan resultados espurios y por lo tanto es posible estimar un modelo VAR (véase cuadro 5.1).</w:t>
      </w:r>
    </w:p>
    <w:p>
      <w:pPr>
        <w:pStyle w:val="BodyText"/>
        <w:spacing w:before="7"/>
        <w:rPr>
          <w:sz w:val="21"/>
        </w:rPr>
      </w:pPr>
    </w:p>
    <w:p>
      <w:pPr>
        <w:pStyle w:val="Heading1"/>
        <w:spacing w:line="360" w:lineRule="auto"/>
        <w:ind w:left="2337" w:right="936" w:hanging="1307"/>
      </w:pPr>
      <w:r>
        <w:rPr/>
        <w:t>Cuadro 5.1. Estadísticas básicas de las series y pruebas de raíces unitarias en logaritmos y primeras diferencias, 1993:01-2014:04</w:t>
      </w:r>
    </w:p>
    <w:tbl>
      <w:tblPr>
        <w:tblW w:w="0" w:type="auto"/>
        <w:jc w:val="left"/>
        <w:tblInd w:w="2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103"/>
        <w:gridCol w:w="689"/>
        <w:gridCol w:w="850"/>
        <w:gridCol w:w="684"/>
        <w:gridCol w:w="850"/>
        <w:gridCol w:w="776"/>
        <w:gridCol w:w="773"/>
        <w:gridCol w:w="686"/>
        <w:gridCol w:w="821"/>
        <w:gridCol w:w="936"/>
        <w:gridCol w:w="1274"/>
      </w:tblGrid>
      <w:tr>
        <w:trPr>
          <w:trHeight w:val="223" w:hRule="exact"/>
        </w:trPr>
        <w:tc>
          <w:tcPr>
            <w:tcW w:w="1103" w:type="dxa"/>
            <w:tcBorders>
              <w:left w:val="nil"/>
              <w:right w:val="single" w:sz="4" w:space="0" w:color="D1E7A8"/>
            </w:tcBorders>
            <w:shd w:val="clear" w:color="auto" w:fill="D9D9D9"/>
          </w:tcPr>
          <w:p>
            <w:pPr/>
          </w:p>
        </w:tc>
        <w:tc>
          <w:tcPr>
            <w:tcW w:w="689" w:type="dxa"/>
            <w:tcBorders>
              <w:left w:val="single" w:sz="4" w:space="0" w:color="D1E7A8"/>
              <w:right w:val="single" w:sz="4" w:space="0" w:color="D1E7A8"/>
            </w:tcBorders>
            <w:shd w:val="clear" w:color="auto" w:fill="D9D9D9"/>
          </w:tcPr>
          <w:p>
            <w:pPr>
              <w:pStyle w:val="TableParagraph"/>
              <w:spacing w:line="182" w:lineRule="exact"/>
              <w:ind w:left="106" w:right="106"/>
              <w:rPr>
                <w:b/>
                <w:sz w:val="16"/>
              </w:rPr>
            </w:pPr>
            <w:r>
              <w:rPr>
                <w:b/>
                <w:sz w:val="16"/>
              </w:rPr>
              <w:t>lyman</w:t>
            </w:r>
          </w:p>
        </w:tc>
        <w:tc>
          <w:tcPr>
            <w:tcW w:w="850" w:type="dxa"/>
            <w:tcBorders>
              <w:left w:val="single" w:sz="4" w:space="0" w:color="D1E7A8"/>
              <w:right w:val="single" w:sz="4" w:space="0" w:color="D1E7A8"/>
            </w:tcBorders>
            <w:shd w:val="clear" w:color="auto" w:fill="D9D9D9"/>
          </w:tcPr>
          <w:p>
            <w:pPr>
              <w:pStyle w:val="TableParagraph"/>
              <w:spacing w:line="182" w:lineRule="exact"/>
              <w:ind w:right="101"/>
              <w:jc w:val="right"/>
              <w:rPr>
                <w:b/>
                <w:sz w:val="16"/>
              </w:rPr>
            </w:pPr>
            <w:r>
              <w:rPr>
                <w:b/>
                <w:sz w:val="16"/>
              </w:rPr>
              <w:t>Δ(lyman)</w:t>
            </w:r>
          </w:p>
        </w:tc>
        <w:tc>
          <w:tcPr>
            <w:tcW w:w="684" w:type="dxa"/>
            <w:tcBorders>
              <w:left w:val="single" w:sz="4" w:space="0" w:color="D1E7A8"/>
              <w:right w:val="single" w:sz="4" w:space="0" w:color="D1E7A8"/>
            </w:tcBorders>
            <w:shd w:val="clear" w:color="auto" w:fill="D9D9D9"/>
          </w:tcPr>
          <w:p>
            <w:pPr>
              <w:pStyle w:val="TableParagraph"/>
              <w:spacing w:line="182" w:lineRule="exact"/>
              <w:ind w:right="121"/>
              <w:jc w:val="right"/>
              <w:rPr>
                <w:b/>
                <w:sz w:val="16"/>
              </w:rPr>
            </w:pPr>
            <w:r>
              <w:rPr>
                <w:b/>
                <w:sz w:val="16"/>
              </w:rPr>
              <w:t>lyauto</w:t>
            </w:r>
          </w:p>
        </w:tc>
        <w:tc>
          <w:tcPr>
            <w:tcW w:w="850" w:type="dxa"/>
            <w:tcBorders>
              <w:left w:val="single" w:sz="4" w:space="0" w:color="D1E7A8"/>
              <w:right w:val="single" w:sz="4" w:space="0" w:color="D1E7A8"/>
            </w:tcBorders>
            <w:shd w:val="clear" w:color="auto" w:fill="D9D9D9"/>
          </w:tcPr>
          <w:p>
            <w:pPr>
              <w:pStyle w:val="TableParagraph"/>
              <w:spacing w:line="182" w:lineRule="exact"/>
              <w:ind w:left="84" w:right="82"/>
              <w:rPr>
                <w:b/>
                <w:sz w:val="16"/>
              </w:rPr>
            </w:pPr>
            <w:r>
              <w:rPr>
                <w:b/>
                <w:sz w:val="16"/>
              </w:rPr>
              <w:t>Δ(lyauto)</w:t>
            </w:r>
          </w:p>
        </w:tc>
        <w:tc>
          <w:tcPr>
            <w:tcW w:w="776" w:type="dxa"/>
            <w:tcBorders>
              <w:left w:val="single" w:sz="4" w:space="0" w:color="D1E7A8"/>
              <w:right w:val="single" w:sz="4" w:space="0" w:color="D1E7A8"/>
            </w:tcBorders>
            <w:shd w:val="clear" w:color="auto" w:fill="D9D9D9"/>
          </w:tcPr>
          <w:p>
            <w:pPr>
              <w:pStyle w:val="TableParagraph"/>
              <w:spacing w:line="182" w:lineRule="exact"/>
              <w:ind w:left="202" w:right="203"/>
              <w:rPr>
                <w:b/>
                <w:sz w:val="16"/>
              </w:rPr>
            </w:pPr>
            <w:r>
              <w:rPr>
                <w:b/>
                <w:sz w:val="16"/>
              </w:rPr>
              <w:t>lpmt</w:t>
            </w:r>
          </w:p>
        </w:tc>
        <w:tc>
          <w:tcPr>
            <w:tcW w:w="773" w:type="dxa"/>
            <w:tcBorders>
              <w:left w:val="single" w:sz="4" w:space="0" w:color="D1E7A8"/>
              <w:right w:val="single" w:sz="4" w:space="0" w:color="D1E7A8"/>
            </w:tcBorders>
            <w:shd w:val="clear" w:color="auto" w:fill="D9D9D9"/>
          </w:tcPr>
          <w:p>
            <w:pPr>
              <w:pStyle w:val="TableParagraph"/>
              <w:spacing w:line="182" w:lineRule="exact"/>
              <w:ind w:left="98" w:right="98"/>
              <w:rPr>
                <w:b/>
                <w:sz w:val="16"/>
              </w:rPr>
            </w:pPr>
            <w:r>
              <w:rPr>
                <w:b/>
                <w:sz w:val="16"/>
              </w:rPr>
              <w:t>Δ(lpmt)</w:t>
            </w:r>
          </w:p>
        </w:tc>
        <w:tc>
          <w:tcPr>
            <w:tcW w:w="686" w:type="dxa"/>
            <w:tcBorders>
              <w:left w:val="single" w:sz="4" w:space="0" w:color="D1E7A8"/>
              <w:right w:val="single" w:sz="4" w:space="0" w:color="D1E7A8"/>
            </w:tcBorders>
            <w:shd w:val="clear" w:color="auto" w:fill="D9D9D9"/>
          </w:tcPr>
          <w:p>
            <w:pPr>
              <w:pStyle w:val="TableParagraph"/>
              <w:spacing w:line="182" w:lineRule="exact"/>
              <w:ind w:left="136"/>
              <w:jc w:val="left"/>
              <w:rPr>
                <w:b/>
                <w:sz w:val="16"/>
              </w:rPr>
            </w:pPr>
            <w:r>
              <w:rPr>
                <w:b/>
                <w:sz w:val="16"/>
              </w:rPr>
              <w:t>lqreal</w:t>
            </w:r>
          </w:p>
        </w:tc>
        <w:tc>
          <w:tcPr>
            <w:tcW w:w="821" w:type="dxa"/>
            <w:tcBorders>
              <w:left w:val="single" w:sz="4" w:space="0" w:color="D1E7A8"/>
              <w:right w:val="single" w:sz="4" w:space="0" w:color="D1E7A8"/>
            </w:tcBorders>
            <w:shd w:val="clear" w:color="auto" w:fill="D9D9D9"/>
          </w:tcPr>
          <w:p>
            <w:pPr>
              <w:pStyle w:val="TableParagraph"/>
              <w:spacing w:line="182" w:lineRule="exact"/>
              <w:ind w:left="82" w:right="82"/>
              <w:rPr>
                <w:b/>
                <w:sz w:val="16"/>
              </w:rPr>
            </w:pPr>
            <w:r>
              <w:rPr>
                <w:b/>
                <w:sz w:val="16"/>
              </w:rPr>
              <w:t>Δ(lqreal)</w:t>
            </w:r>
          </w:p>
        </w:tc>
        <w:tc>
          <w:tcPr>
            <w:tcW w:w="936" w:type="dxa"/>
            <w:tcBorders>
              <w:left w:val="single" w:sz="4" w:space="0" w:color="D1E7A8"/>
              <w:right w:val="single" w:sz="4" w:space="0" w:color="D1E7A8"/>
            </w:tcBorders>
            <w:shd w:val="clear" w:color="auto" w:fill="D9D9D9"/>
          </w:tcPr>
          <w:p>
            <w:pPr>
              <w:pStyle w:val="TableParagraph"/>
              <w:spacing w:line="182" w:lineRule="exact"/>
              <w:ind w:left="88" w:right="86"/>
              <w:rPr>
                <w:b/>
                <w:sz w:val="16"/>
              </w:rPr>
            </w:pPr>
            <w:r>
              <w:rPr>
                <w:b/>
                <w:sz w:val="16"/>
              </w:rPr>
              <w:t>lyindusteu</w:t>
            </w:r>
          </w:p>
        </w:tc>
        <w:tc>
          <w:tcPr>
            <w:tcW w:w="1274" w:type="dxa"/>
            <w:tcBorders>
              <w:left w:val="single" w:sz="4" w:space="0" w:color="D1E7A8"/>
              <w:right w:val="nil"/>
            </w:tcBorders>
            <w:shd w:val="clear" w:color="auto" w:fill="D9D9D9"/>
          </w:tcPr>
          <w:p>
            <w:pPr>
              <w:pStyle w:val="TableParagraph"/>
              <w:spacing w:line="182" w:lineRule="exact"/>
              <w:ind w:left="152" w:right="158"/>
              <w:rPr>
                <w:b/>
                <w:sz w:val="16"/>
              </w:rPr>
            </w:pPr>
            <w:r>
              <w:rPr>
                <w:b/>
                <w:sz w:val="16"/>
              </w:rPr>
              <w:t>Δ(lyindusteu)</w:t>
            </w:r>
          </w:p>
        </w:tc>
      </w:tr>
      <w:tr>
        <w:trPr>
          <w:trHeight w:val="209" w:hRule="exact"/>
        </w:trPr>
        <w:tc>
          <w:tcPr>
            <w:tcW w:w="1103" w:type="dxa"/>
            <w:tcBorders>
              <w:left w:val="nil"/>
              <w:bottom w:val="nil"/>
              <w:right w:val="nil"/>
            </w:tcBorders>
          </w:tcPr>
          <w:p>
            <w:pPr>
              <w:pStyle w:val="TableParagraph"/>
              <w:spacing w:line="181" w:lineRule="exact"/>
              <w:ind w:left="70"/>
              <w:jc w:val="left"/>
              <w:rPr>
                <w:b/>
                <w:sz w:val="16"/>
              </w:rPr>
            </w:pPr>
            <w:r>
              <w:rPr>
                <w:b/>
                <w:sz w:val="16"/>
              </w:rPr>
              <w:t>Media</w:t>
            </w:r>
          </w:p>
        </w:tc>
        <w:tc>
          <w:tcPr>
            <w:tcW w:w="689" w:type="dxa"/>
            <w:tcBorders>
              <w:left w:val="nil"/>
              <w:bottom w:val="nil"/>
              <w:right w:val="nil"/>
            </w:tcBorders>
          </w:tcPr>
          <w:p>
            <w:pPr>
              <w:pStyle w:val="TableParagraph"/>
              <w:spacing w:line="179" w:lineRule="exact"/>
              <w:ind w:left="81" w:right="82"/>
              <w:rPr>
                <w:sz w:val="16"/>
              </w:rPr>
            </w:pPr>
            <w:r>
              <w:rPr>
                <w:sz w:val="16"/>
              </w:rPr>
              <w:t>14.31</w:t>
            </w:r>
          </w:p>
        </w:tc>
        <w:tc>
          <w:tcPr>
            <w:tcW w:w="850" w:type="dxa"/>
            <w:tcBorders>
              <w:left w:val="nil"/>
              <w:bottom w:val="nil"/>
              <w:right w:val="nil"/>
            </w:tcBorders>
          </w:tcPr>
          <w:p>
            <w:pPr>
              <w:pStyle w:val="TableParagraph"/>
              <w:spacing w:line="179" w:lineRule="exact"/>
              <w:ind w:left="264" w:right="265"/>
              <w:rPr>
                <w:sz w:val="16"/>
              </w:rPr>
            </w:pPr>
            <w:r>
              <w:rPr>
                <w:sz w:val="16"/>
              </w:rPr>
              <w:t>0.00</w:t>
            </w:r>
          </w:p>
        </w:tc>
        <w:tc>
          <w:tcPr>
            <w:tcW w:w="684" w:type="dxa"/>
            <w:tcBorders>
              <w:left w:val="nil"/>
              <w:bottom w:val="nil"/>
              <w:right w:val="nil"/>
            </w:tcBorders>
          </w:tcPr>
          <w:p>
            <w:pPr>
              <w:pStyle w:val="TableParagraph"/>
              <w:spacing w:line="179" w:lineRule="exact"/>
              <w:ind w:right="198"/>
              <w:jc w:val="right"/>
              <w:rPr>
                <w:sz w:val="16"/>
              </w:rPr>
            </w:pPr>
            <w:r>
              <w:rPr>
                <w:sz w:val="16"/>
              </w:rPr>
              <w:t>12.2</w:t>
            </w:r>
          </w:p>
        </w:tc>
        <w:tc>
          <w:tcPr>
            <w:tcW w:w="850" w:type="dxa"/>
            <w:tcBorders>
              <w:left w:val="nil"/>
              <w:bottom w:val="nil"/>
              <w:right w:val="nil"/>
            </w:tcBorders>
          </w:tcPr>
          <w:p>
            <w:pPr>
              <w:pStyle w:val="TableParagraph"/>
              <w:spacing w:line="179" w:lineRule="exact"/>
              <w:ind w:left="122" w:right="123"/>
              <w:rPr>
                <w:sz w:val="16"/>
              </w:rPr>
            </w:pPr>
            <w:r>
              <w:rPr>
                <w:sz w:val="16"/>
              </w:rPr>
              <w:t>0.01</w:t>
            </w:r>
          </w:p>
        </w:tc>
        <w:tc>
          <w:tcPr>
            <w:tcW w:w="776" w:type="dxa"/>
            <w:tcBorders>
              <w:left w:val="nil"/>
              <w:bottom w:val="nil"/>
              <w:right w:val="nil"/>
            </w:tcBorders>
          </w:tcPr>
          <w:p>
            <w:pPr>
              <w:pStyle w:val="TableParagraph"/>
              <w:spacing w:line="179" w:lineRule="exact"/>
              <w:ind w:left="86" w:right="85"/>
              <w:rPr>
                <w:sz w:val="16"/>
              </w:rPr>
            </w:pPr>
            <w:r>
              <w:rPr>
                <w:sz w:val="16"/>
              </w:rPr>
              <w:t>-0.91</w:t>
            </w:r>
          </w:p>
        </w:tc>
        <w:tc>
          <w:tcPr>
            <w:tcW w:w="773" w:type="dxa"/>
            <w:tcBorders>
              <w:left w:val="nil"/>
              <w:bottom w:val="nil"/>
              <w:right w:val="nil"/>
            </w:tcBorders>
          </w:tcPr>
          <w:p>
            <w:pPr>
              <w:pStyle w:val="TableParagraph"/>
              <w:spacing w:line="179" w:lineRule="exact"/>
              <w:ind w:left="83" w:right="84"/>
              <w:rPr>
                <w:sz w:val="16"/>
              </w:rPr>
            </w:pPr>
            <w:r>
              <w:rPr>
                <w:sz w:val="16"/>
              </w:rPr>
              <w:t>0.01</w:t>
            </w:r>
          </w:p>
        </w:tc>
        <w:tc>
          <w:tcPr>
            <w:tcW w:w="686" w:type="dxa"/>
            <w:tcBorders>
              <w:left w:val="nil"/>
              <w:bottom w:val="nil"/>
              <w:right w:val="nil"/>
            </w:tcBorders>
          </w:tcPr>
          <w:p>
            <w:pPr>
              <w:pStyle w:val="TableParagraph"/>
              <w:spacing w:line="179" w:lineRule="exact"/>
              <w:ind w:left="201"/>
              <w:jc w:val="left"/>
              <w:rPr>
                <w:sz w:val="16"/>
              </w:rPr>
            </w:pPr>
            <w:r>
              <w:rPr>
                <w:sz w:val="16"/>
              </w:rPr>
              <w:t>4.36</w:t>
            </w:r>
          </w:p>
        </w:tc>
        <w:tc>
          <w:tcPr>
            <w:tcW w:w="821" w:type="dxa"/>
            <w:tcBorders>
              <w:left w:val="nil"/>
              <w:bottom w:val="nil"/>
              <w:right w:val="nil"/>
            </w:tcBorders>
          </w:tcPr>
          <w:p>
            <w:pPr>
              <w:pStyle w:val="TableParagraph"/>
              <w:spacing w:line="179" w:lineRule="exact"/>
              <w:ind w:left="108" w:right="109"/>
              <w:rPr>
                <w:sz w:val="16"/>
              </w:rPr>
            </w:pPr>
            <w:r>
              <w:rPr>
                <w:sz w:val="16"/>
              </w:rPr>
              <w:t>0.00</w:t>
            </w:r>
          </w:p>
        </w:tc>
        <w:tc>
          <w:tcPr>
            <w:tcW w:w="936" w:type="dxa"/>
            <w:tcBorders>
              <w:left w:val="nil"/>
              <w:bottom w:val="nil"/>
              <w:right w:val="nil"/>
            </w:tcBorders>
          </w:tcPr>
          <w:p>
            <w:pPr>
              <w:pStyle w:val="TableParagraph"/>
              <w:spacing w:line="179" w:lineRule="exact"/>
              <w:ind w:left="205" w:right="206"/>
              <w:rPr>
                <w:sz w:val="16"/>
              </w:rPr>
            </w:pPr>
            <w:r>
              <w:rPr>
                <w:sz w:val="16"/>
              </w:rPr>
              <w:t>4.47</w:t>
            </w:r>
          </w:p>
        </w:tc>
        <w:tc>
          <w:tcPr>
            <w:tcW w:w="1274" w:type="dxa"/>
            <w:tcBorders>
              <w:left w:val="nil"/>
              <w:bottom w:val="nil"/>
              <w:right w:val="nil"/>
            </w:tcBorders>
          </w:tcPr>
          <w:p>
            <w:pPr>
              <w:pStyle w:val="TableParagraph"/>
              <w:spacing w:line="179" w:lineRule="exact"/>
              <w:ind w:left="349" w:right="350"/>
              <w:rPr>
                <w:sz w:val="16"/>
              </w:rPr>
            </w:pPr>
            <w:r>
              <w:rPr>
                <w:sz w:val="16"/>
              </w:rPr>
              <w:t>0.01</w:t>
            </w:r>
          </w:p>
        </w:tc>
      </w:tr>
      <w:tr>
        <w:trPr>
          <w:trHeight w:val="213" w:hRule="exact"/>
        </w:trPr>
        <w:tc>
          <w:tcPr>
            <w:tcW w:w="1103" w:type="dxa"/>
            <w:tcBorders>
              <w:top w:val="nil"/>
              <w:left w:val="nil"/>
              <w:right w:val="nil"/>
            </w:tcBorders>
          </w:tcPr>
          <w:p>
            <w:pPr>
              <w:pStyle w:val="TableParagraph"/>
              <w:spacing w:line="183" w:lineRule="exact"/>
              <w:ind w:left="70"/>
              <w:jc w:val="left"/>
              <w:rPr>
                <w:b/>
                <w:sz w:val="16"/>
              </w:rPr>
            </w:pPr>
            <w:r>
              <w:rPr>
                <w:b/>
                <w:sz w:val="16"/>
              </w:rPr>
              <w:t>Mediana</w:t>
            </w:r>
          </w:p>
        </w:tc>
        <w:tc>
          <w:tcPr>
            <w:tcW w:w="689" w:type="dxa"/>
            <w:tcBorders>
              <w:top w:val="nil"/>
              <w:left w:val="nil"/>
              <w:right w:val="nil"/>
            </w:tcBorders>
          </w:tcPr>
          <w:p>
            <w:pPr>
              <w:pStyle w:val="TableParagraph"/>
              <w:spacing w:line="181" w:lineRule="exact"/>
              <w:ind w:left="81" w:right="82"/>
              <w:rPr>
                <w:sz w:val="16"/>
              </w:rPr>
            </w:pPr>
            <w:r>
              <w:rPr>
                <w:sz w:val="16"/>
              </w:rPr>
              <w:t>14.33</w:t>
            </w:r>
          </w:p>
        </w:tc>
        <w:tc>
          <w:tcPr>
            <w:tcW w:w="850" w:type="dxa"/>
            <w:tcBorders>
              <w:top w:val="nil"/>
              <w:left w:val="nil"/>
              <w:right w:val="nil"/>
            </w:tcBorders>
          </w:tcPr>
          <w:p>
            <w:pPr>
              <w:pStyle w:val="TableParagraph"/>
              <w:spacing w:line="181" w:lineRule="exact"/>
              <w:ind w:left="264" w:right="265"/>
              <w:rPr>
                <w:sz w:val="16"/>
              </w:rPr>
            </w:pPr>
            <w:r>
              <w:rPr>
                <w:sz w:val="16"/>
              </w:rPr>
              <w:t>0.01</w:t>
            </w:r>
          </w:p>
        </w:tc>
        <w:tc>
          <w:tcPr>
            <w:tcW w:w="684" w:type="dxa"/>
            <w:tcBorders>
              <w:top w:val="nil"/>
              <w:left w:val="nil"/>
              <w:right w:val="nil"/>
            </w:tcBorders>
          </w:tcPr>
          <w:p>
            <w:pPr>
              <w:pStyle w:val="TableParagraph"/>
              <w:spacing w:line="181" w:lineRule="exact"/>
              <w:ind w:right="160"/>
              <w:jc w:val="right"/>
              <w:rPr>
                <w:sz w:val="16"/>
              </w:rPr>
            </w:pPr>
            <w:r>
              <w:rPr>
                <w:sz w:val="16"/>
              </w:rPr>
              <w:t>12.21</w:t>
            </w:r>
          </w:p>
        </w:tc>
        <w:tc>
          <w:tcPr>
            <w:tcW w:w="850" w:type="dxa"/>
            <w:tcBorders>
              <w:top w:val="nil"/>
              <w:left w:val="nil"/>
              <w:right w:val="nil"/>
            </w:tcBorders>
          </w:tcPr>
          <w:p>
            <w:pPr>
              <w:pStyle w:val="TableParagraph"/>
              <w:spacing w:line="181" w:lineRule="exact"/>
              <w:ind w:left="122" w:right="123"/>
              <w:rPr>
                <w:sz w:val="16"/>
              </w:rPr>
            </w:pPr>
            <w:r>
              <w:rPr>
                <w:sz w:val="16"/>
              </w:rPr>
              <w:t>0.02</w:t>
            </w:r>
          </w:p>
        </w:tc>
        <w:tc>
          <w:tcPr>
            <w:tcW w:w="776" w:type="dxa"/>
            <w:tcBorders>
              <w:top w:val="nil"/>
              <w:left w:val="nil"/>
              <w:right w:val="nil"/>
            </w:tcBorders>
          </w:tcPr>
          <w:p>
            <w:pPr>
              <w:pStyle w:val="TableParagraph"/>
              <w:spacing w:line="181" w:lineRule="exact"/>
              <w:ind w:left="86" w:right="85"/>
              <w:rPr>
                <w:sz w:val="16"/>
              </w:rPr>
            </w:pPr>
            <w:r>
              <w:rPr>
                <w:sz w:val="16"/>
              </w:rPr>
              <w:t>-0.86</w:t>
            </w:r>
          </w:p>
        </w:tc>
        <w:tc>
          <w:tcPr>
            <w:tcW w:w="773" w:type="dxa"/>
            <w:tcBorders>
              <w:top w:val="nil"/>
              <w:left w:val="nil"/>
              <w:right w:val="nil"/>
            </w:tcBorders>
          </w:tcPr>
          <w:p>
            <w:pPr>
              <w:pStyle w:val="TableParagraph"/>
              <w:spacing w:line="181" w:lineRule="exact"/>
              <w:ind w:left="83" w:right="84"/>
              <w:rPr>
                <w:sz w:val="16"/>
              </w:rPr>
            </w:pPr>
            <w:r>
              <w:rPr>
                <w:sz w:val="16"/>
              </w:rPr>
              <w:t>0.01</w:t>
            </w:r>
          </w:p>
        </w:tc>
        <w:tc>
          <w:tcPr>
            <w:tcW w:w="686" w:type="dxa"/>
            <w:tcBorders>
              <w:top w:val="nil"/>
              <w:left w:val="nil"/>
              <w:right w:val="nil"/>
            </w:tcBorders>
          </w:tcPr>
          <w:p>
            <w:pPr>
              <w:pStyle w:val="TableParagraph"/>
              <w:spacing w:line="181" w:lineRule="exact"/>
              <w:ind w:left="201"/>
              <w:jc w:val="left"/>
              <w:rPr>
                <w:sz w:val="16"/>
              </w:rPr>
            </w:pPr>
            <w:r>
              <w:rPr>
                <w:sz w:val="16"/>
              </w:rPr>
              <w:t>4.35</w:t>
            </w:r>
          </w:p>
        </w:tc>
        <w:tc>
          <w:tcPr>
            <w:tcW w:w="821" w:type="dxa"/>
            <w:tcBorders>
              <w:top w:val="nil"/>
              <w:left w:val="nil"/>
              <w:right w:val="nil"/>
            </w:tcBorders>
          </w:tcPr>
          <w:p>
            <w:pPr>
              <w:pStyle w:val="TableParagraph"/>
              <w:spacing w:line="181" w:lineRule="exact"/>
              <w:ind w:left="109" w:right="109"/>
              <w:rPr>
                <w:sz w:val="16"/>
              </w:rPr>
            </w:pPr>
            <w:r>
              <w:rPr>
                <w:sz w:val="16"/>
              </w:rPr>
              <w:t>-0.01</w:t>
            </w:r>
          </w:p>
        </w:tc>
        <w:tc>
          <w:tcPr>
            <w:tcW w:w="936" w:type="dxa"/>
            <w:tcBorders>
              <w:top w:val="nil"/>
              <w:left w:val="nil"/>
              <w:right w:val="nil"/>
            </w:tcBorders>
          </w:tcPr>
          <w:p>
            <w:pPr>
              <w:pStyle w:val="TableParagraph"/>
              <w:spacing w:line="181" w:lineRule="exact"/>
              <w:ind w:left="205" w:right="206"/>
              <w:rPr>
                <w:sz w:val="16"/>
              </w:rPr>
            </w:pPr>
            <w:r>
              <w:rPr>
                <w:sz w:val="16"/>
              </w:rPr>
              <w:t>4.5</w:t>
            </w:r>
          </w:p>
        </w:tc>
        <w:tc>
          <w:tcPr>
            <w:tcW w:w="1274" w:type="dxa"/>
            <w:tcBorders>
              <w:top w:val="nil"/>
              <w:left w:val="nil"/>
              <w:right w:val="nil"/>
            </w:tcBorders>
          </w:tcPr>
          <w:p>
            <w:pPr>
              <w:pStyle w:val="TableParagraph"/>
              <w:spacing w:line="181" w:lineRule="exact"/>
              <w:ind w:left="349" w:right="350"/>
              <w:rPr>
                <w:sz w:val="16"/>
              </w:rPr>
            </w:pPr>
            <w:r>
              <w:rPr>
                <w:sz w:val="16"/>
              </w:rPr>
              <w:t>0.01</w:t>
            </w:r>
          </w:p>
        </w:tc>
      </w:tr>
      <w:tr>
        <w:trPr>
          <w:trHeight w:val="204" w:hRule="exact"/>
        </w:trPr>
        <w:tc>
          <w:tcPr>
            <w:tcW w:w="1103" w:type="dxa"/>
            <w:tcBorders>
              <w:left w:val="nil"/>
              <w:bottom w:val="nil"/>
              <w:right w:val="nil"/>
            </w:tcBorders>
          </w:tcPr>
          <w:p>
            <w:pPr>
              <w:pStyle w:val="TableParagraph"/>
              <w:spacing w:line="183" w:lineRule="exact"/>
              <w:ind w:left="70"/>
              <w:jc w:val="left"/>
              <w:rPr>
                <w:b/>
                <w:sz w:val="16"/>
              </w:rPr>
            </w:pPr>
            <w:r>
              <w:rPr>
                <w:b/>
                <w:sz w:val="16"/>
              </w:rPr>
              <w:t>Desv. est.</w:t>
            </w:r>
          </w:p>
        </w:tc>
        <w:tc>
          <w:tcPr>
            <w:tcW w:w="689" w:type="dxa"/>
            <w:tcBorders>
              <w:left w:val="nil"/>
              <w:bottom w:val="nil"/>
              <w:right w:val="nil"/>
            </w:tcBorders>
          </w:tcPr>
          <w:p>
            <w:pPr>
              <w:pStyle w:val="TableParagraph"/>
              <w:spacing w:line="181" w:lineRule="exact"/>
              <w:ind w:left="80" w:right="82"/>
              <w:rPr>
                <w:sz w:val="16"/>
              </w:rPr>
            </w:pPr>
            <w:r>
              <w:rPr>
                <w:sz w:val="16"/>
              </w:rPr>
              <w:t>0.12</w:t>
            </w:r>
          </w:p>
        </w:tc>
        <w:tc>
          <w:tcPr>
            <w:tcW w:w="850" w:type="dxa"/>
            <w:tcBorders>
              <w:left w:val="nil"/>
              <w:bottom w:val="nil"/>
              <w:right w:val="nil"/>
            </w:tcBorders>
          </w:tcPr>
          <w:p>
            <w:pPr>
              <w:pStyle w:val="TableParagraph"/>
              <w:spacing w:line="181" w:lineRule="exact"/>
              <w:ind w:left="264" w:right="265"/>
              <w:rPr>
                <w:sz w:val="16"/>
              </w:rPr>
            </w:pPr>
            <w:r>
              <w:rPr>
                <w:sz w:val="16"/>
              </w:rPr>
              <w:t>0.02</w:t>
            </w:r>
          </w:p>
        </w:tc>
        <w:tc>
          <w:tcPr>
            <w:tcW w:w="684" w:type="dxa"/>
            <w:tcBorders>
              <w:left w:val="nil"/>
              <w:bottom w:val="nil"/>
              <w:right w:val="nil"/>
            </w:tcBorders>
          </w:tcPr>
          <w:p>
            <w:pPr>
              <w:pStyle w:val="TableParagraph"/>
              <w:spacing w:line="181" w:lineRule="exact"/>
              <w:ind w:right="198"/>
              <w:jc w:val="right"/>
              <w:rPr>
                <w:sz w:val="16"/>
              </w:rPr>
            </w:pPr>
            <w:r>
              <w:rPr>
                <w:sz w:val="16"/>
              </w:rPr>
              <w:t>0.37</w:t>
            </w:r>
          </w:p>
        </w:tc>
        <w:tc>
          <w:tcPr>
            <w:tcW w:w="850" w:type="dxa"/>
            <w:tcBorders>
              <w:left w:val="nil"/>
              <w:bottom w:val="nil"/>
              <w:right w:val="nil"/>
            </w:tcBorders>
          </w:tcPr>
          <w:p>
            <w:pPr>
              <w:pStyle w:val="TableParagraph"/>
              <w:spacing w:line="181" w:lineRule="exact"/>
              <w:ind w:left="122" w:right="123"/>
              <w:rPr>
                <w:sz w:val="16"/>
              </w:rPr>
            </w:pPr>
            <w:r>
              <w:rPr>
                <w:sz w:val="16"/>
              </w:rPr>
              <w:t>0.09</w:t>
            </w:r>
          </w:p>
        </w:tc>
        <w:tc>
          <w:tcPr>
            <w:tcW w:w="776" w:type="dxa"/>
            <w:tcBorders>
              <w:left w:val="nil"/>
              <w:bottom w:val="nil"/>
              <w:right w:val="nil"/>
            </w:tcBorders>
          </w:tcPr>
          <w:p>
            <w:pPr>
              <w:pStyle w:val="TableParagraph"/>
              <w:spacing w:line="181" w:lineRule="exact"/>
              <w:ind w:left="86" w:right="85"/>
              <w:rPr>
                <w:sz w:val="16"/>
              </w:rPr>
            </w:pPr>
            <w:r>
              <w:rPr>
                <w:sz w:val="16"/>
              </w:rPr>
              <w:t>0.31</w:t>
            </w:r>
          </w:p>
        </w:tc>
        <w:tc>
          <w:tcPr>
            <w:tcW w:w="773" w:type="dxa"/>
            <w:tcBorders>
              <w:left w:val="nil"/>
              <w:bottom w:val="nil"/>
              <w:right w:val="nil"/>
            </w:tcBorders>
          </w:tcPr>
          <w:p>
            <w:pPr>
              <w:pStyle w:val="TableParagraph"/>
              <w:spacing w:line="181" w:lineRule="exact"/>
              <w:ind w:left="83" w:right="84"/>
              <w:rPr>
                <w:sz w:val="16"/>
              </w:rPr>
            </w:pPr>
            <w:r>
              <w:rPr>
                <w:sz w:val="16"/>
              </w:rPr>
              <w:t>0.07</w:t>
            </w:r>
          </w:p>
        </w:tc>
        <w:tc>
          <w:tcPr>
            <w:tcW w:w="686" w:type="dxa"/>
            <w:tcBorders>
              <w:left w:val="nil"/>
              <w:bottom w:val="nil"/>
              <w:right w:val="nil"/>
            </w:tcBorders>
          </w:tcPr>
          <w:p>
            <w:pPr>
              <w:pStyle w:val="TableParagraph"/>
              <w:spacing w:line="181" w:lineRule="exact"/>
              <w:ind w:left="201"/>
              <w:jc w:val="left"/>
              <w:rPr>
                <w:sz w:val="16"/>
              </w:rPr>
            </w:pPr>
            <w:r>
              <w:rPr>
                <w:sz w:val="16"/>
              </w:rPr>
              <w:t>0.15</w:t>
            </w:r>
          </w:p>
        </w:tc>
        <w:tc>
          <w:tcPr>
            <w:tcW w:w="821" w:type="dxa"/>
            <w:tcBorders>
              <w:left w:val="nil"/>
              <w:bottom w:val="nil"/>
              <w:right w:val="nil"/>
            </w:tcBorders>
          </w:tcPr>
          <w:p>
            <w:pPr>
              <w:pStyle w:val="TableParagraph"/>
              <w:spacing w:line="181" w:lineRule="exact"/>
              <w:ind w:left="108" w:right="109"/>
              <w:rPr>
                <w:sz w:val="16"/>
              </w:rPr>
            </w:pPr>
            <w:r>
              <w:rPr>
                <w:sz w:val="16"/>
              </w:rPr>
              <w:t>0.07</w:t>
            </w:r>
          </w:p>
        </w:tc>
        <w:tc>
          <w:tcPr>
            <w:tcW w:w="936" w:type="dxa"/>
            <w:tcBorders>
              <w:left w:val="nil"/>
              <w:bottom w:val="nil"/>
              <w:right w:val="nil"/>
            </w:tcBorders>
          </w:tcPr>
          <w:p>
            <w:pPr>
              <w:pStyle w:val="TableParagraph"/>
              <w:spacing w:line="181" w:lineRule="exact"/>
              <w:ind w:left="205" w:right="206"/>
              <w:rPr>
                <w:sz w:val="16"/>
              </w:rPr>
            </w:pPr>
            <w:r>
              <w:rPr>
                <w:sz w:val="16"/>
              </w:rPr>
              <w:t>0.12</w:t>
            </w:r>
          </w:p>
        </w:tc>
        <w:tc>
          <w:tcPr>
            <w:tcW w:w="1274" w:type="dxa"/>
            <w:tcBorders>
              <w:left w:val="nil"/>
              <w:bottom w:val="nil"/>
              <w:right w:val="nil"/>
            </w:tcBorders>
          </w:tcPr>
          <w:p>
            <w:pPr>
              <w:pStyle w:val="TableParagraph"/>
              <w:spacing w:line="181" w:lineRule="exact"/>
              <w:ind w:left="349" w:right="350"/>
              <w:rPr>
                <w:sz w:val="16"/>
              </w:rPr>
            </w:pPr>
            <w:r>
              <w:rPr>
                <w:sz w:val="16"/>
              </w:rPr>
              <w:t>0.01</w:t>
            </w:r>
          </w:p>
        </w:tc>
      </w:tr>
      <w:tr>
        <w:trPr>
          <w:trHeight w:val="184" w:hRule="exact"/>
        </w:trPr>
        <w:tc>
          <w:tcPr>
            <w:tcW w:w="1103" w:type="dxa"/>
            <w:tcBorders>
              <w:top w:val="nil"/>
              <w:left w:val="nil"/>
              <w:bottom w:val="nil"/>
              <w:right w:val="nil"/>
            </w:tcBorders>
          </w:tcPr>
          <w:p>
            <w:pPr>
              <w:pStyle w:val="TableParagraph"/>
              <w:spacing w:line="176" w:lineRule="exact"/>
              <w:ind w:left="70"/>
              <w:jc w:val="left"/>
              <w:rPr>
                <w:b/>
                <w:sz w:val="16"/>
              </w:rPr>
            </w:pPr>
            <w:r>
              <w:rPr>
                <w:b/>
                <w:sz w:val="16"/>
              </w:rPr>
              <w:t>Sesgo</w:t>
            </w:r>
          </w:p>
        </w:tc>
        <w:tc>
          <w:tcPr>
            <w:tcW w:w="689" w:type="dxa"/>
            <w:tcBorders>
              <w:top w:val="nil"/>
              <w:left w:val="nil"/>
              <w:bottom w:val="nil"/>
              <w:right w:val="nil"/>
            </w:tcBorders>
          </w:tcPr>
          <w:p>
            <w:pPr>
              <w:pStyle w:val="TableParagraph"/>
              <w:spacing w:line="174" w:lineRule="exact"/>
              <w:ind w:left="81" w:right="82"/>
              <w:rPr>
                <w:sz w:val="16"/>
              </w:rPr>
            </w:pPr>
            <w:r>
              <w:rPr>
                <w:sz w:val="16"/>
              </w:rPr>
              <w:t>- 0.98</w:t>
            </w:r>
          </w:p>
        </w:tc>
        <w:tc>
          <w:tcPr>
            <w:tcW w:w="850" w:type="dxa"/>
            <w:tcBorders>
              <w:top w:val="nil"/>
              <w:left w:val="nil"/>
              <w:bottom w:val="nil"/>
              <w:right w:val="nil"/>
            </w:tcBorders>
          </w:tcPr>
          <w:p>
            <w:pPr>
              <w:pStyle w:val="TableParagraph"/>
              <w:spacing w:line="174" w:lineRule="exact"/>
              <w:ind w:left="257"/>
              <w:jc w:val="left"/>
              <w:rPr>
                <w:sz w:val="16"/>
              </w:rPr>
            </w:pPr>
            <w:r>
              <w:rPr>
                <w:sz w:val="16"/>
              </w:rPr>
              <w:t>-0.24</w:t>
            </w:r>
          </w:p>
        </w:tc>
        <w:tc>
          <w:tcPr>
            <w:tcW w:w="684" w:type="dxa"/>
            <w:tcBorders>
              <w:top w:val="nil"/>
              <w:left w:val="nil"/>
              <w:bottom w:val="nil"/>
              <w:right w:val="nil"/>
            </w:tcBorders>
          </w:tcPr>
          <w:p>
            <w:pPr>
              <w:pStyle w:val="TableParagraph"/>
              <w:spacing w:line="174" w:lineRule="exact"/>
              <w:ind w:right="172"/>
              <w:jc w:val="right"/>
              <w:rPr>
                <w:sz w:val="16"/>
              </w:rPr>
            </w:pPr>
            <w:r>
              <w:rPr>
                <w:sz w:val="16"/>
              </w:rPr>
              <w:t>-0.14</w:t>
            </w:r>
          </w:p>
        </w:tc>
        <w:tc>
          <w:tcPr>
            <w:tcW w:w="850" w:type="dxa"/>
            <w:tcBorders>
              <w:top w:val="nil"/>
              <w:left w:val="nil"/>
              <w:bottom w:val="nil"/>
              <w:right w:val="nil"/>
            </w:tcBorders>
          </w:tcPr>
          <w:p>
            <w:pPr>
              <w:pStyle w:val="TableParagraph"/>
              <w:spacing w:line="174" w:lineRule="exact"/>
              <w:ind w:left="122" w:right="123"/>
              <w:rPr>
                <w:sz w:val="16"/>
              </w:rPr>
            </w:pPr>
            <w:r>
              <w:rPr>
                <w:sz w:val="16"/>
              </w:rPr>
              <w:t>-1.45</w:t>
            </w:r>
          </w:p>
        </w:tc>
        <w:tc>
          <w:tcPr>
            <w:tcW w:w="776" w:type="dxa"/>
            <w:tcBorders>
              <w:top w:val="nil"/>
              <w:left w:val="nil"/>
              <w:bottom w:val="nil"/>
              <w:right w:val="nil"/>
            </w:tcBorders>
          </w:tcPr>
          <w:p>
            <w:pPr>
              <w:pStyle w:val="TableParagraph"/>
              <w:spacing w:line="174" w:lineRule="exact"/>
              <w:ind w:left="86" w:right="85"/>
              <w:rPr>
                <w:sz w:val="16"/>
              </w:rPr>
            </w:pPr>
            <w:r>
              <w:rPr>
                <w:sz w:val="16"/>
              </w:rPr>
              <w:t>-0.52</w:t>
            </w:r>
          </w:p>
        </w:tc>
        <w:tc>
          <w:tcPr>
            <w:tcW w:w="773" w:type="dxa"/>
            <w:tcBorders>
              <w:top w:val="nil"/>
              <w:left w:val="nil"/>
              <w:bottom w:val="nil"/>
              <w:right w:val="nil"/>
            </w:tcBorders>
          </w:tcPr>
          <w:p>
            <w:pPr>
              <w:pStyle w:val="TableParagraph"/>
              <w:spacing w:line="174" w:lineRule="exact"/>
              <w:ind w:left="83" w:right="84"/>
              <w:rPr>
                <w:sz w:val="16"/>
              </w:rPr>
            </w:pPr>
            <w:r>
              <w:rPr>
                <w:sz w:val="16"/>
              </w:rPr>
              <w:t>-0.55</w:t>
            </w:r>
          </w:p>
        </w:tc>
        <w:tc>
          <w:tcPr>
            <w:tcW w:w="686" w:type="dxa"/>
            <w:tcBorders>
              <w:top w:val="nil"/>
              <w:left w:val="nil"/>
              <w:bottom w:val="nil"/>
              <w:right w:val="nil"/>
            </w:tcBorders>
          </w:tcPr>
          <w:p>
            <w:pPr>
              <w:pStyle w:val="TableParagraph"/>
              <w:spacing w:line="174" w:lineRule="exact"/>
              <w:ind w:left="201"/>
              <w:jc w:val="left"/>
              <w:rPr>
                <w:sz w:val="16"/>
              </w:rPr>
            </w:pPr>
            <w:r>
              <w:rPr>
                <w:sz w:val="16"/>
              </w:rPr>
              <w:t>0.81</w:t>
            </w:r>
          </w:p>
        </w:tc>
        <w:tc>
          <w:tcPr>
            <w:tcW w:w="821" w:type="dxa"/>
            <w:tcBorders>
              <w:top w:val="nil"/>
              <w:left w:val="nil"/>
              <w:bottom w:val="nil"/>
              <w:right w:val="nil"/>
            </w:tcBorders>
          </w:tcPr>
          <w:p>
            <w:pPr>
              <w:pStyle w:val="TableParagraph"/>
              <w:spacing w:line="174" w:lineRule="exact"/>
              <w:ind w:left="108" w:right="109"/>
              <w:rPr>
                <w:sz w:val="16"/>
              </w:rPr>
            </w:pPr>
            <w:r>
              <w:rPr>
                <w:sz w:val="16"/>
              </w:rPr>
              <w:t>3.40</w:t>
            </w:r>
          </w:p>
        </w:tc>
        <w:tc>
          <w:tcPr>
            <w:tcW w:w="936" w:type="dxa"/>
            <w:tcBorders>
              <w:top w:val="nil"/>
              <w:left w:val="nil"/>
              <w:bottom w:val="nil"/>
              <w:right w:val="nil"/>
            </w:tcBorders>
          </w:tcPr>
          <w:p>
            <w:pPr>
              <w:pStyle w:val="TableParagraph"/>
              <w:spacing w:line="174" w:lineRule="exact"/>
              <w:ind w:left="205" w:right="206"/>
              <w:rPr>
                <w:sz w:val="16"/>
              </w:rPr>
            </w:pPr>
            <w:r>
              <w:rPr>
                <w:sz w:val="16"/>
              </w:rPr>
              <w:t>-1</w:t>
            </w:r>
          </w:p>
        </w:tc>
        <w:tc>
          <w:tcPr>
            <w:tcW w:w="1274" w:type="dxa"/>
            <w:tcBorders>
              <w:top w:val="nil"/>
              <w:left w:val="nil"/>
              <w:bottom w:val="nil"/>
              <w:right w:val="nil"/>
            </w:tcBorders>
          </w:tcPr>
          <w:p>
            <w:pPr>
              <w:pStyle w:val="TableParagraph"/>
              <w:spacing w:line="174" w:lineRule="exact"/>
              <w:ind w:left="349" w:right="350"/>
              <w:rPr>
                <w:sz w:val="16"/>
              </w:rPr>
            </w:pPr>
            <w:r>
              <w:rPr>
                <w:sz w:val="16"/>
              </w:rPr>
              <w:t>-2.27</w:t>
            </w:r>
          </w:p>
        </w:tc>
      </w:tr>
      <w:tr>
        <w:trPr>
          <w:trHeight w:val="185" w:hRule="exact"/>
        </w:trPr>
        <w:tc>
          <w:tcPr>
            <w:tcW w:w="1103" w:type="dxa"/>
            <w:tcBorders>
              <w:top w:val="nil"/>
              <w:left w:val="nil"/>
              <w:bottom w:val="nil"/>
              <w:right w:val="nil"/>
            </w:tcBorders>
          </w:tcPr>
          <w:p>
            <w:pPr>
              <w:pStyle w:val="TableParagraph"/>
              <w:spacing w:line="178" w:lineRule="exact"/>
              <w:ind w:left="70"/>
              <w:jc w:val="left"/>
              <w:rPr>
                <w:b/>
                <w:sz w:val="16"/>
              </w:rPr>
            </w:pPr>
            <w:r>
              <w:rPr>
                <w:b/>
                <w:sz w:val="16"/>
              </w:rPr>
              <w:t>Kurtosis</w:t>
            </w:r>
          </w:p>
        </w:tc>
        <w:tc>
          <w:tcPr>
            <w:tcW w:w="689" w:type="dxa"/>
            <w:tcBorders>
              <w:top w:val="nil"/>
              <w:left w:val="nil"/>
              <w:bottom w:val="nil"/>
              <w:right w:val="nil"/>
            </w:tcBorders>
          </w:tcPr>
          <w:p>
            <w:pPr>
              <w:pStyle w:val="TableParagraph"/>
              <w:spacing w:line="175" w:lineRule="exact"/>
              <w:ind w:left="81" w:right="82"/>
              <w:rPr>
                <w:sz w:val="16"/>
              </w:rPr>
            </w:pPr>
            <w:r>
              <w:rPr>
                <w:sz w:val="16"/>
              </w:rPr>
              <w:t>2.9</w:t>
            </w:r>
          </w:p>
        </w:tc>
        <w:tc>
          <w:tcPr>
            <w:tcW w:w="850" w:type="dxa"/>
            <w:tcBorders>
              <w:top w:val="nil"/>
              <w:left w:val="nil"/>
              <w:bottom w:val="nil"/>
              <w:right w:val="nil"/>
            </w:tcBorders>
          </w:tcPr>
          <w:p>
            <w:pPr>
              <w:pStyle w:val="TableParagraph"/>
              <w:spacing w:line="175" w:lineRule="exact"/>
              <w:ind w:left="264" w:right="265"/>
              <w:rPr>
                <w:sz w:val="16"/>
              </w:rPr>
            </w:pPr>
            <w:r>
              <w:rPr>
                <w:sz w:val="16"/>
              </w:rPr>
              <w:t>4.48</w:t>
            </w:r>
          </w:p>
        </w:tc>
        <w:tc>
          <w:tcPr>
            <w:tcW w:w="684" w:type="dxa"/>
            <w:tcBorders>
              <w:top w:val="nil"/>
              <w:left w:val="nil"/>
              <w:bottom w:val="nil"/>
              <w:right w:val="nil"/>
            </w:tcBorders>
          </w:tcPr>
          <w:p>
            <w:pPr>
              <w:pStyle w:val="TableParagraph"/>
              <w:spacing w:line="175" w:lineRule="exact"/>
              <w:ind w:right="198"/>
              <w:jc w:val="right"/>
              <w:rPr>
                <w:sz w:val="16"/>
              </w:rPr>
            </w:pPr>
            <w:r>
              <w:rPr>
                <w:sz w:val="16"/>
              </w:rPr>
              <w:t>2.55</w:t>
            </w:r>
          </w:p>
        </w:tc>
        <w:tc>
          <w:tcPr>
            <w:tcW w:w="850" w:type="dxa"/>
            <w:tcBorders>
              <w:top w:val="nil"/>
              <w:left w:val="nil"/>
              <w:bottom w:val="nil"/>
              <w:right w:val="nil"/>
            </w:tcBorders>
          </w:tcPr>
          <w:p>
            <w:pPr>
              <w:pStyle w:val="TableParagraph"/>
              <w:spacing w:line="175" w:lineRule="exact"/>
              <w:ind w:left="123" w:right="123"/>
              <w:rPr>
                <w:sz w:val="16"/>
              </w:rPr>
            </w:pPr>
            <w:r>
              <w:rPr>
                <w:sz w:val="16"/>
              </w:rPr>
              <w:t>11.22</w:t>
            </w:r>
          </w:p>
        </w:tc>
        <w:tc>
          <w:tcPr>
            <w:tcW w:w="776" w:type="dxa"/>
            <w:tcBorders>
              <w:top w:val="nil"/>
              <w:left w:val="nil"/>
              <w:bottom w:val="nil"/>
              <w:right w:val="nil"/>
            </w:tcBorders>
          </w:tcPr>
          <w:p>
            <w:pPr>
              <w:pStyle w:val="TableParagraph"/>
              <w:spacing w:line="175" w:lineRule="exact"/>
              <w:ind w:left="86" w:right="85"/>
              <w:rPr>
                <w:sz w:val="16"/>
              </w:rPr>
            </w:pPr>
            <w:r>
              <w:rPr>
                <w:sz w:val="16"/>
              </w:rPr>
              <w:t>2.37</w:t>
            </w:r>
          </w:p>
        </w:tc>
        <w:tc>
          <w:tcPr>
            <w:tcW w:w="773" w:type="dxa"/>
            <w:tcBorders>
              <w:top w:val="nil"/>
              <w:left w:val="nil"/>
              <w:bottom w:val="nil"/>
              <w:right w:val="nil"/>
            </w:tcBorders>
          </w:tcPr>
          <w:p>
            <w:pPr>
              <w:pStyle w:val="TableParagraph"/>
              <w:spacing w:line="175" w:lineRule="exact"/>
              <w:ind w:left="83" w:right="84"/>
              <w:rPr>
                <w:sz w:val="16"/>
              </w:rPr>
            </w:pPr>
            <w:r>
              <w:rPr>
                <w:sz w:val="16"/>
              </w:rPr>
              <w:t>8.44</w:t>
            </w:r>
          </w:p>
        </w:tc>
        <w:tc>
          <w:tcPr>
            <w:tcW w:w="686" w:type="dxa"/>
            <w:tcBorders>
              <w:top w:val="nil"/>
              <w:left w:val="nil"/>
              <w:bottom w:val="nil"/>
              <w:right w:val="nil"/>
            </w:tcBorders>
          </w:tcPr>
          <w:p>
            <w:pPr>
              <w:pStyle w:val="TableParagraph"/>
              <w:spacing w:line="175" w:lineRule="exact"/>
              <w:ind w:left="201"/>
              <w:jc w:val="left"/>
              <w:rPr>
                <w:sz w:val="16"/>
              </w:rPr>
            </w:pPr>
            <w:r>
              <w:rPr>
                <w:sz w:val="16"/>
              </w:rPr>
              <w:t>4.54</w:t>
            </w:r>
          </w:p>
        </w:tc>
        <w:tc>
          <w:tcPr>
            <w:tcW w:w="821" w:type="dxa"/>
            <w:tcBorders>
              <w:top w:val="nil"/>
              <w:left w:val="nil"/>
              <w:bottom w:val="nil"/>
              <w:right w:val="nil"/>
            </w:tcBorders>
          </w:tcPr>
          <w:p>
            <w:pPr>
              <w:pStyle w:val="TableParagraph"/>
              <w:spacing w:line="175" w:lineRule="exact"/>
              <w:ind w:left="109" w:right="108"/>
              <w:rPr>
                <w:sz w:val="16"/>
              </w:rPr>
            </w:pPr>
            <w:r>
              <w:rPr>
                <w:sz w:val="16"/>
              </w:rPr>
              <w:t>22.81</w:t>
            </w:r>
          </w:p>
        </w:tc>
        <w:tc>
          <w:tcPr>
            <w:tcW w:w="936" w:type="dxa"/>
            <w:tcBorders>
              <w:top w:val="nil"/>
              <w:left w:val="nil"/>
              <w:bottom w:val="nil"/>
              <w:right w:val="nil"/>
            </w:tcBorders>
          </w:tcPr>
          <w:p>
            <w:pPr>
              <w:pStyle w:val="TableParagraph"/>
              <w:spacing w:line="175" w:lineRule="exact"/>
              <w:ind w:left="205" w:right="206"/>
              <w:rPr>
                <w:sz w:val="16"/>
              </w:rPr>
            </w:pPr>
            <w:r>
              <w:rPr>
                <w:sz w:val="16"/>
              </w:rPr>
              <w:t>3.11</w:t>
            </w:r>
          </w:p>
        </w:tc>
        <w:tc>
          <w:tcPr>
            <w:tcW w:w="1274" w:type="dxa"/>
            <w:tcBorders>
              <w:top w:val="nil"/>
              <w:left w:val="nil"/>
              <w:bottom w:val="nil"/>
              <w:right w:val="nil"/>
            </w:tcBorders>
          </w:tcPr>
          <w:p>
            <w:pPr>
              <w:pStyle w:val="TableParagraph"/>
              <w:spacing w:line="175" w:lineRule="exact"/>
              <w:ind w:left="349" w:right="350"/>
              <w:rPr>
                <w:sz w:val="16"/>
              </w:rPr>
            </w:pPr>
            <w:r>
              <w:rPr>
                <w:sz w:val="16"/>
              </w:rPr>
              <w:t>9.55</w:t>
            </w:r>
          </w:p>
        </w:tc>
      </w:tr>
      <w:tr>
        <w:trPr>
          <w:trHeight w:val="184" w:hRule="exact"/>
        </w:trPr>
        <w:tc>
          <w:tcPr>
            <w:tcW w:w="1103" w:type="dxa"/>
            <w:tcBorders>
              <w:top w:val="nil"/>
              <w:left w:val="nil"/>
              <w:bottom w:val="nil"/>
              <w:right w:val="nil"/>
            </w:tcBorders>
          </w:tcPr>
          <w:p>
            <w:pPr>
              <w:pStyle w:val="TableParagraph"/>
              <w:spacing w:line="177" w:lineRule="exact"/>
              <w:ind w:left="70"/>
              <w:jc w:val="left"/>
              <w:rPr>
                <w:b/>
                <w:sz w:val="16"/>
              </w:rPr>
            </w:pPr>
            <w:r>
              <w:rPr>
                <w:b/>
                <w:sz w:val="16"/>
              </w:rPr>
              <w:t>Jarque-Bera</w:t>
            </w:r>
          </w:p>
        </w:tc>
        <w:tc>
          <w:tcPr>
            <w:tcW w:w="689" w:type="dxa"/>
            <w:tcBorders>
              <w:top w:val="nil"/>
              <w:left w:val="nil"/>
              <w:bottom w:val="nil"/>
              <w:right w:val="nil"/>
            </w:tcBorders>
          </w:tcPr>
          <w:p>
            <w:pPr>
              <w:pStyle w:val="TableParagraph"/>
              <w:spacing w:line="175" w:lineRule="exact"/>
              <w:ind w:left="80" w:right="82"/>
              <w:rPr>
                <w:sz w:val="16"/>
              </w:rPr>
            </w:pPr>
            <w:r>
              <w:rPr>
                <w:sz w:val="16"/>
              </w:rPr>
              <w:t>7.76</w:t>
            </w:r>
          </w:p>
        </w:tc>
        <w:tc>
          <w:tcPr>
            <w:tcW w:w="850" w:type="dxa"/>
            <w:tcBorders>
              <w:top w:val="nil"/>
              <w:left w:val="nil"/>
              <w:bottom w:val="nil"/>
              <w:right w:val="nil"/>
            </w:tcBorders>
          </w:tcPr>
          <w:p>
            <w:pPr>
              <w:pStyle w:val="TableParagraph"/>
              <w:spacing w:line="175" w:lineRule="exact"/>
              <w:ind w:left="264" w:right="265"/>
              <w:rPr>
                <w:sz w:val="16"/>
              </w:rPr>
            </w:pPr>
            <w:r>
              <w:rPr>
                <w:sz w:val="16"/>
              </w:rPr>
              <w:t>8.49</w:t>
            </w:r>
          </w:p>
        </w:tc>
        <w:tc>
          <w:tcPr>
            <w:tcW w:w="684" w:type="dxa"/>
            <w:tcBorders>
              <w:top w:val="nil"/>
              <w:left w:val="nil"/>
              <w:bottom w:val="nil"/>
              <w:right w:val="nil"/>
            </w:tcBorders>
          </w:tcPr>
          <w:p>
            <w:pPr>
              <w:pStyle w:val="TableParagraph"/>
              <w:spacing w:line="175" w:lineRule="exact"/>
              <w:ind w:right="198"/>
              <w:jc w:val="right"/>
              <w:rPr>
                <w:sz w:val="16"/>
              </w:rPr>
            </w:pPr>
            <w:r>
              <w:rPr>
                <w:sz w:val="16"/>
              </w:rPr>
              <w:t>1.04</w:t>
            </w:r>
          </w:p>
        </w:tc>
        <w:tc>
          <w:tcPr>
            <w:tcW w:w="850" w:type="dxa"/>
            <w:tcBorders>
              <w:top w:val="nil"/>
              <w:left w:val="nil"/>
              <w:bottom w:val="nil"/>
              <w:right w:val="nil"/>
            </w:tcBorders>
          </w:tcPr>
          <w:p>
            <w:pPr>
              <w:pStyle w:val="TableParagraph"/>
              <w:spacing w:line="175" w:lineRule="exact"/>
              <w:ind w:left="122" w:right="123"/>
              <w:rPr>
                <w:sz w:val="16"/>
              </w:rPr>
            </w:pPr>
            <w:r>
              <w:rPr>
                <w:sz w:val="16"/>
              </w:rPr>
              <w:t>265.83</w:t>
            </w:r>
          </w:p>
        </w:tc>
        <w:tc>
          <w:tcPr>
            <w:tcW w:w="776" w:type="dxa"/>
            <w:tcBorders>
              <w:top w:val="nil"/>
              <w:left w:val="nil"/>
              <w:bottom w:val="nil"/>
              <w:right w:val="nil"/>
            </w:tcBorders>
          </w:tcPr>
          <w:p>
            <w:pPr>
              <w:pStyle w:val="TableParagraph"/>
              <w:spacing w:line="175" w:lineRule="exact"/>
              <w:ind w:left="86" w:right="85"/>
              <w:rPr>
                <w:sz w:val="16"/>
              </w:rPr>
            </w:pPr>
            <w:r>
              <w:rPr>
                <w:sz w:val="16"/>
              </w:rPr>
              <w:t>5.46</w:t>
            </w:r>
          </w:p>
        </w:tc>
        <w:tc>
          <w:tcPr>
            <w:tcW w:w="773" w:type="dxa"/>
            <w:tcBorders>
              <w:top w:val="nil"/>
              <w:left w:val="nil"/>
              <w:bottom w:val="nil"/>
              <w:right w:val="nil"/>
            </w:tcBorders>
          </w:tcPr>
          <w:p>
            <w:pPr>
              <w:pStyle w:val="TableParagraph"/>
              <w:spacing w:line="175" w:lineRule="exact"/>
              <w:ind w:left="83" w:right="84"/>
              <w:rPr>
                <w:sz w:val="16"/>
              </w:rPr>
            </w:pPr>
            <w:r>
              <w:rPr>
                <w:sz w:val="16"/>
              </w:rPr>
              <w:t>107.75</w:t>
            </w:r>
          </w:p>
        </w:tc>
        <w:tc>
          <w:tcPr>
            <w:tcW w:w="686" w:type="dxa"/>
            <w:tcBorders>
              <w:top w:val="nil"/>
              <w:left w:val="nil"/>
              <w:bottom w:val="nil"/>
              <w:right w:val="nil"/>
            </w:tcBorders>
          </w:tcPr>
          <w:p>
            <w:pPr>
              <w:pStyle w:val="TableParagraph"/>
              <w:spacing w:line="175" w:lineRule="exact"/>
              <w:ind w:left="160"/>
              <w:jc w:val="left"/>
              <w:rPr>
                <w:sz w:val="16"/>
              </w:rPr>
            </w:pPr>
            <w:r>
              <w:rPr>
                <w:sz w:val="16"/>
              </w:rPr>
              <w:t>18.33</w:t>
            </w:r>
          </w:p>
        </w:tc>
        <w:tc>
          <w:tcPr>
            <w:tcW w:w="821" w:type="dxa"/>
            <w:tcBorders>
              <w:top w:val="nil"/>
              <w:left w:val="nil"/>
              <w:bottom w:val="nil"/>
              <w:right w:val="nil"/>
            </w:tcBorders>
          </w:tcPr>
          <w:p>
            <w:pPr>
              <w:pStyle w:val="TableParagraph"/>
              <w:spacing w:line="175" w:lineRule="exact"/>
              <w:ind w:left="109" w:right="109"/>
              <w:rPr>
                <w:sz w:val="16"/>
              </w:rPr>
            </w:pPr>
            <w:r>
              <w:rPr>
                <w:sz w:val="16"/>
              </w:rPr>
              <w:t>1535.51</w:t>
            </w:r>
          </w:p>
        </w:tc>
        <w:tc>
          <w:tcPr>
            <w:tcW w:w="936" w:type="dxa"/>
            <w:tcBorders>
              <w:top w:val="nil"/>
              <w:left w:val="nil"/>
              <w:bottom w:val="nil"/>
              <w:right w:val="nil"/>
            </w:tcBorders>
          </w:tcPr>
          <w:p>
            <w:pPr>
              <w:pStyle w:val="TableParagraph"/>
              <w:spacing w:line="175" w:lineRule="exact"/>
              <w:ind w:left="206" w:right="206"/>
              <w:rPr>
                <w:sz w:val="16"/>
              </w:rPr>
            </w:pPr>
            <w:r>
              <w:rPr>
                <w:sz w:val="16"/>
              </w:rPr>
              <w:t>14.83</w:t>
            </w:r>
          </w:p>
        </w:tc>
        <w:tc>
          <w:tcPr>
            <w:tcW w:w="1274" w:type="dxa"/>
            <w:tcBorders>
              <w:top w:val="nil"/>
              <w:left w:val="nil"/>
              <w:bottom w:val="nil"/>
              <w:right w:val="nil"/>
            </w:tcBorders>
          </w:tcPr>
          <w:p>
            <w:pPr>
              <w:pStyle w:val="TableParagraph"/>
              <w:spacing w:line="175" w:lineRule="exact"/>
              <w:ind w:left="349" w:right="350"/>
              <w:rPr>
                <w:sz w:val="16"/>
              </w:rPr>
            </w:pPr>
            <w:r>
              <w:rPr>
                <w:sz w:val="16"/>
              </w:rPr>
              <w:t>222.17</w:t>
            </w:r>
          </w:p>
        </w:tc>
      </w:tr>
      <w:tr>
        <w:trPr>
          <w:trHeight w:val="194" w:hRule="exact"/>
        </w:trPr>
        <w:tc>
          <w:tcPr>
            <w:tcW w:w="1103" w:type="dxa"/>
            <w:tcBorders>
              <w:top w:val="nil"/>
              <w:left w:val="nil"/>
              <w:right w:val="nil"/>
            </w:tcBorders>
          </w:tcPr>
          <w:p>
            <w:pPr/>
          </w:p>
        </w:tc>
        <w:tc>
          <w:tcPr>
            <w:tcW w:w="689" w:type="dxa"/>
            <w:tcBorders>
              <w:top w:val="nil"/>
              <w:left w:val="nil"/>
              <w:right w:val="nil"/>
            </w:tcBorders>
          </w:tcPr>
          <w:p>
            <w:pPr>
              <w:pStyle w:val="TableParagraph"/>
              <w:spacing w:line="174" w:lineRule="exact"/>
              <w:ind w:left="81" w:right="82"/>
              <w:rPr>
                <w:sz w:val="16"/>
              </w:rPr>
            </w:pPr>
            <w:r>
              <w:rPr>
                <w:sz w:val="16"/>
              </w:rPr>
              <w:t>(0.00)</w:t>
            </w:r>
          </w:p>
        </w:tc>
        <w:tc>
          <w:tcPr>
            <w:tcW w:w="850" w:type="dxa"/>
            <w:tcBorders>
              <w:top w:val="nil"/>
              <w:left w:val="nil"/>
              <w:right w:val="nil"/>
            </w:tcBorders>
          </w:tcPr>
          <w:p>
            <w:pPr>
              <w:pStyle w:val="TableParagraph"/>
              <w:spacing w:line="174" w:lineRule="exact"/>
              <w:ind w:left="230"/>
              <w:jc w:val="left"/>
              <w:rPr>
                <w:sz w:val="16"/>
              </w:rPr>
            </w:pPr>
            <w:r>
              <w:rPr>
                <w:sz w:val="16"/>
              </w:rPr>
              <w:t>(0.01)</w:t>
            </w:r>
          </w:p>
        </w:tc>
        <w:tc>
          <w:tcPr>
            <w:tcW w:w="684" w:type="dxa"/>
            <w:tcBorders>
              <w:top w:val="nil"/>
              <w:left w:val="nil"/>
              <w:right w:val="nil"/>
            </w:tcBorders>
          </w:tcPr>
          <w:p>
            <w:pPr>
              <w:pStyle w:val="TableParagraph"/>
              <w:spacing w:line="174" w:lineRule="exact"/>
              <w:ind w:right="117"/>
              <w:jc w:val="right"/>
              <w:rPr>
                <w:sz w:val="16"/>
              </w:rPr>
            </w:pPr>
            <w:r>
              <w:rPr>
                <w:sz w:val="16"/>
              </w:rPr>
              <w:t>(-0.60)</w:t>
            </w:r>
          </w:p>
        </w:tc>
        <w:tc>
          <w:tcPr>
            <w:tcW w:w="850" w:type="dxa"/>
            <w:tcBorders>
              <w:top w:val="nil"/>
              <w:left w:val="nil"/>
              <w:right w:val="nil"/>
            </w:tcBorders>
          </w:tcPr>
          <w:p>
            <w:pPr>
              <w:pStyle w:val="TableParagraph"/>
              <w:spacing w:line="174" w:lineRule="exact"/>
              <w:ind w:left="123" w:right="123"/>
              <w:rPr>
                <w:sz w:val="16"/>
              </w:rPr>
            </w:pPr>
            <w:r>
              <w:rPr>
                <w:sz w:val="16"/>
              </w:rPr>
              <w:t>(0.00)</w:t>
            </w:r>
          </w:p>
        </w:tc>
        <w:tc>
          <w:tcPr>
            <w:tcW w:w="776" w:type="dxa"/>
            <w:tcBorders>
              <w:top w:val="nil"/>
              <w:left w:val="nil"/>
              <w:right w:val="nil"/>
            </w:tcBorders>
          </w:tcPr>
          <w:p>
            <w:pPr>
              <w:pStyle w:val="TableParagraph"/>
              <w:spacing w:line="174" w:lineRule="exact"/>
              <w:ind w:left="87" w:right="84"/>
              <w:rPr>
                <w:sz w:val="16"/>
              </w:rPr>
            </w:pPr>
            <w:r>
              <w:rPr>
                <w:sz w:val="16"/>
              </w:rPr>
              <w:t>(0.00)</w:t>
            </w:r>
          </w:p>
        </w:tc>
        <w:tc>
          <w:tcPr>
            <w:tcW w:w="773" w:type="dxa"/>
            <w:tcBorders>
              <w:top w:val="nil"/>
              <w:left w:val="nil"/>
              <w:right w:val="nil"/>
            </w:tcBorders>
          </w:tcPr>
          <w:p>
            <w:pPr>
              <w:pStyle w:val="TableParagraph"/>
              <w:spacing w:line="174" w:lineRule="exact"/>
              <w:ind w:left="84" w:right="84"/>
              <w:rPr>
                <w:sz w:val="16"/>
              </w:rPr>
            </w:pPr>
            <w:r>
              <w:rPr>
                <w:sz w:val="16"/>
              </w:rPr>
              <w:t>(0.00)</w:t>
            </w:r>
          </w:p>
        </w:tc>
        <w:tc>
          <w:tcPr>
            <w:tcW w:w="686" w:type="dxa"/>
            <w:tcBorders>
              <w:top w:val="nil"/>
              <w:left w:val="nil"/>
              <w:right w:val="nil"/>
            </w:tcBorders>
          </w:tcPr>
          <w:p>
            <w:pPr>
              <w:pStyle w:val="TableParagraph"/>
              <w:spacing w:line="174" w:lineRule="exact"/>
              <w:ind w:left="148"/>
              <w:jc w:val="left"/>
              <w:rPr>
                <w:sz w:val="16"/>
              </w:rPr>
            </w:pPr>
            <w:r>
              <w:rPr>
                <w:sz w:val="16"/>
              </w:rPr>
              <w:t>(0.00)</w:t>
            </w:r>
          </w:p>
        </w:tc>
        <w:tc>
          <w:tcPr>
            <w:tcW w:w="821" w:type="dxa"/>
            <w:tcBorders>
              <w:top w:val="nil"/>
              <w:left w:val="nil"/>
              <w:right w:val="nil"/>
            </w:tcBorders>
          </w:tcPr>
          <w:p>
            <w:pPr>
              <w:pStyle w:val="TableParagraph"/>
              <w:spacing w:line="174" w:lineRule="exact"/>
              <w:ind w:left="109" w:right="109"/>
              <w:rPr>
                <w:sz w:val="16"/>
              </w:rPr>
            </w:pPr>
            <w:r>
              <w:rPr>
                <w:sz w:val="16"/>
              </w:rPr>
              <w:t>(0.00)</w:t>
            </w:r>
          </w:p>
        </w:tc>
        <w:tc>
          <w:tcPr>
            <w:tcW w:w="936" w:type="dxa"/>
            <w:tcBorders>
              <w:top w:val="nil"/>
              <w:left w:val="nil"/>
              <w:right w:val="nil"/>
            </w:tcBorders>
          </w:tcPr>
          <w:p>
            <w:pPr>
              <w:pStyle w:val="TableParagraph"/>
              <w:spacing w:line="174" w:lineRule="exact"/>
              <w:ind w:left="206" w:right="206"/>
              <w:rPr>
                <w:sz w:val="16"/>
              </w:rPr>
            </w:pPr>
            <w:r>
              <w:rPr>
                <w:sz w:val="16"/>
              </w:rPr>
              <w:t>(-0.06)</w:t>
            </w:r>
          </w:p>
        </w:tc>
        <w:tc>
          <w:tcPr>
            <w:tcW w:w="1274" w:type="dxa"/>
            <w:tcBorders>
              <w:top w:val="nil"/>
              <w:left w:val="nil"/>
              <w:right w:val="nil"/>
            </w:tcBorders>
          </w:tcPr>
          <w:p>
            <w:pPr>
              <w:pStyle w:val="TableParagraph"/>
              <w:spacing w:line="174" w:lineRule="exact"/>
              <w:ind w:left="350" w:right="350"/>
              <w:rPr>
                <w:sz w:val="16"/>
              </w:rPr>
            </w:pPr>
            <w:r>
              <w:rPr>
                <w:sz w:val="16"/>
              </w:rPr>
              <w:t>(0.00)</w:t>
            </w:r>
          </w:p>
        </w:tc>
      </w:tr>
      <w:tr>
        <w:trPr>
          <w:trHeight w:val="222" w:hRule="exact"/>
        </w:trPr>
        <w:tc>
          <w:tcPr>
            <w:tcW w:w="1103" w:type="dxa"/>
            <w:tcBorders>
              <w:left w:val="nil"/>
              <w:bottom w:val="nil"/>
              <w:right w:val="nil"/>
            </w:tcBorders>
          </w:tcPr>
          <w:p>
            <w:pPr>
              <w:pStyle w:val="TableParagraph"/>
              <w:spacing w:line="181" w:lineRule="exact"/>
              <w:ind w:left="70"/>
              <w:jc w:val="left"/>
              <w:rPr>
                <w:b/>
                <w:sz w:val="16"/>
              </w:rPr>
            </w:pPr>
            <w:r>
              <w:rPr>
                <w:b/>
                <w:sz w:val="16"/>
              </w:rPr>
              <w:t>ADF</w:t>
            </w:r>
          </w:p>
        </w:tc>
        <w:tc>
          <w:tcPr>
            <w:tcW w:w="689" w:type="dxa"/>
            <w:tcBorders>
              <w:left w:val="nil"/>
              <w:bottom w:val="nil"/>
              <w:right w:val="nil"/>
            </w:tcBorders>
          </w:tcPr>
          <w:p>
            <w:pPr>
              <w:pStyle w:val="TableParagraph"/>
              <w:spacing w:line="179" w:lineRule="exact"/>
              <w:ind w:left="82" w:right="82"/>
              <w:rPr>
                <w:sz w:val="10"/>
              </w:rPr>
            </w:pPr>
            <w:r>
              <w:rPr>
                <w:sz w:val="16"/>
              </w:rPr>
              <w:t>-6.37</w:t>
            </w:r>
            <w:r>
              <w:rPr>
                <w:position w:val="6"/>
                <w:sz w:val="10"/>
              </w:rPr>
              <w:t>1</w:t>
            </w:r>
          </w:p>
        </w:tc>
        <w:tc>
          <w:tcPr>
            <w:tcW w:w="850" w:type="dxa"/>
            <w:tcBorders>
              <w:left w:val="nil"/>
              <w:bottom w:val="nil"/>
              <w:right w:val="nil"/>
            </w:tcBorders>
          </w:tcPr>
          <w:p>
            <w:pPr>
              <w:pStyle w:val="TableParagraph"/>
              <w:spacing w:line="179" w:lineRule="exact"/>
              <w:ind w:left="233"/>
              <w:jc w:val="left"/>
              <w:rPr>
                <w:sz w:val="10"/>
              </w:rPr>
            </w:pPr>
            <w:r>
              <w:rPr>
                <w:sz w:val="16"/>
              </w:rPr>
              <w:t>-8.51</w:t>
            </w:r>
            <w:r>
              <w:rPr>
                <w:position w:val="6"/>
                <w:sz w:val="10"/>
              </w:rPr>
              <w:t>6</w:t>
            </w:r>
          </w:p>
        </w:tc>
        <w:tc>
          <w:tcPr>
            <w:tcW w:w="684" w:type="dxa"/>
            <w:tcBorders>
              <w:left w:val="nil"/>
              <w:bottom w:val="nil"/>
              <w:right w:val="nil"/>
            </w:tcBorders>
          </w:tcPr>
          <w:p>
            <w:pPr>
              <w:pStyle w:val="TableParagraph"/>
              <w:spacing w:line="179" w:lineRule="exact"/>
              <w:ind w:right="146"/>
              <w:jc w:val="right"/>
              <w:rPr>
                <w:sz w:val="10"/>
              </w:rPr>
            </w:pPr>
            <w:r>
              <w:rPr>
                <w:sz w:val="16"/>
              </w:rPr>
              <w:t>-6.83</w:t>
            </w:r>
            <w:r>
              <w:rPr>
                <w:position w:val="6"/>
                <w:sz w:val="10"/>
              </w:rPr>
              <w:t>2</w:t>
            </w:r>
          </w:p>
        </w:tc>
        <w:tc>
          <w:tcPr>
            <w:tcW w:w="850" w:type="dxa"/>
            <w:tcBorders>
              <w:left w:val="nil"/>
              <w:bottom w:val="nil"/>
              <w:right w:val="nil"/>
            </w:tcBorders>
          </w:tcPr>
          <w:p>
            <w:pPr>
              <w:pStyle w:val="TableParagraph"/>
              <w:spacing w:line="179" w:lineRule="exact"/>
              <w:ind w:left="123" w:right="123"/>
              <w:rPr>
                <w:sz w:val="10"/>
              </w:rPr>
            </w:pPr>
            <w:r>
              <w:rPr>
                <w:sz w:val="16"/>
              </w:rPr>
              <w:t>-10.42</w:t>
            </w:r>
            <w:r>
              <w:rPr>
                <w:position w:val="6"/>
                <w:sz w:val="10"/>
              </w:rPr>
              <w:t>7</w:t>
            </w:r>
          </w:p>
        </w:tc>
        <w:tc>
          <w:tcPr>
            <w:tcW w:w="776" w:type="dxa"/>
            <w:tcBorders>
              <w:left w:val="nil"/>
              <w:bottom w:val="nil"/>
              <w:right w:val="nil"/>
            </w:tcBorders>
          </w:tcPr>
          <w:p>
            <w:pPr>
              <w:pStyle w:val="TableParagraph"/>
              <w:spacing w:line="179" w:lineRule="exact"/>
              <w:ind w:left="87" w:right="82"/>
              <w:rPr>
                <w:sz w:val="10"/>
              </w:rPr>
            </w:pPr>
            <w:r>
              <w:rPr>
                <w:sz w:val="16"/>
              </w:rPr>
              <w:t>-8.26</w:t>
            </w:r>
            <w:r>
              <w:rPr>
                <w:position w:val="6"/>
                <w:sz w:val="10"/>
              </w:rPr>
              <w:t>3</w:t>
            </w:r>
          </w:p>
        </w:tc>
        <w:tc>
          <w:tcPr>
            <w:tcW w:w="773" w:type="dxa"/>
            <w:tcBorders>
              <w:left w:val="nil"/>
              <w:bottom w:val="nil"/>
              <w:right w:val="nil"/>
            </w:tcBorders>
          </w:tcPr>
          <w:p>
            <w:pPr>
              <w:pStyle w:val="TableParagraph"/>
              <w:spacing w:line="179" w:lineRule="exact"/>
              <w:ind w:left="84" w:right="84"/>
              <w:rPr>
                <w:sz w:val="10"/>
              </w:rPr>
            </w:pPr>
            <w:r>
              <w:rPr>
                <w:sz w:val="16"/>
              </w:rPr>
              <w:t>-10.00</w:t>
            </w:r>
            <w:r>
              <w:rPr>
                <w:position w:val="6"/>
                <w:sz w:val="10"/>
              </w:rPr>
              <w:t>8</w:t>
            </w:r>
          </w:p>
        </w:tc>
        <w:tc>
          <w:tcPr>
            <w:tcW w:w="686" w:type="dxa"/>
            <w:tcBorders>
              <w:left w:val="nil"/>
              <w:bottom w:val="nil"/>
              <w:right w:val="nil"/>
            </w:tcBorders>
          </w:tcPr>
          <w:p>
            <w:pPr>
              <w:pStyle w:val="TableParagraph"/>
              <w:spacing w:line="179" w:lineRule="exact"/>
              <w:ind w:left="148"/>
              <w:jc w:val="left"/>
              <w:rPr>
                <w:sz w:val="10"/>
              </w:rPr>
            </w:pPr>
            <w:r>
              <w:rPr>
                <w:sz w:val="16"/>
              </w:rPr>
              <w:t>-4.36</w:t>
            </w:r>
            <w:r>
              <w:rPr>
                <w:position w:val="6"/>
                <w:sz w:val="10"/>
              </w:rPr>
              <w:t>4</w:t>
            </w:r>
          </w:p>
        </w:tc>
        <w:tc>
          <w:tcPr>
            <w:tcW w:w="821" w:type="dxa"/>
            <w:tcBorders>
              <w:left w:val="nil"/>
              <w:bottom w:val="nil"/>
              <w:right w:val="nil"/>
            </w:tcBorders>
          </w:tcPr>
          <w:p>
            <w:pPr>
              <w:pStyle w:val="TableParagraph"/>
              <w:spacing w:line="179" w:lineRule="exact"/>
              <w:ind w:left="109" w:right="107"/>
              <w:rPr>
                <w:sz w:val="10"/>
              </w:rPr>
            </w:pPr>
            <w:r>
              <w:rPr>
                <w:sz w:val="16"/>
              </w:rPr>
              <w:t>-8.18</w:t>
            </w:r>
            <w:r>
              <w:rPr>
                <w:position w:val="6"/>
                <w:sz w:val="10"/>
              </w:rPr>
              <w:t>9</w:t>
            </w:r>
          </w:p>
        </w:tc>
        <w:tc>
          <w:tcPr>
            <w:tcW w:w="936" w:type="dxa"/>
            <w:tcBorders>
              <w:left w:val="nil"/>
              <w:bottom w:val="nil"/>
              <w:right w:val="nil"/>
            </w:tcBorders>
          </w:tcPr>
          <w:p>
            <w:pPr>
              <w:pStyle w:val="TableParagraph"/>
              <w:spacing w:line="179" w:lineRule="exact"/>
              <w:ind w:left="206" w:right="204"/>
              <w:rPr>
                <w:sz w:val="10"/>
              </w:rPr>
            </w:pPr>
            <w:r>
              <w:rPr>
                <w:sz w:val="16"/>
              </w:rPr>
              <w:t>-3.67</w:t>
            </w:r>
            <w:r>
              <w:rPr>
                <w:position w:val="6"/>
                <w:sz w:val="10"/>
              </w:rPr>
              <w:t>5</w:t>
            </w:r>
          </w:p>
        </w:tc>
        <w:tc>
          <w:tcPr>
            <w:tcW w:w="1274" w:type="dxa"/>
            <w:tcBorders>
              <w:left w:val="nil"/>
              <w:bottom w:val="nil"/>
              <w:right w:val="nil"/>
            </w:tcBorders>
          </w:tcPr>
          <w:p>
            <w:pPr>
              <w:pStyle w:val="TableParagraph"/>
              <w:spacing w:line="179" w:lineRule="exact"/>
              <w:ind w:left="349" w:right="350"/>
              <w:rPr>
                <w:sz w:val="10"/>
              </w:rPr>
            </w:pPr>
            <w:r>
              <w:rPr>
                <w:sz w:val="16"/>
              </w:rPr>
              <w:t>-5.70</w:t>
            </w:r>
            <w:r>
              <w:rPr>
                <w:position w:val="6"/>
                <w:sz w:val="10"/>
              </w:rPr>
              <w:t>10</w:t>
            </w:r>
          </w:p>
        </w:tc>
      </w:tr>
      <w:tr>
        <w:trPr>
          <w:trHeight w:val="238" w:hRule="exact"/>
        </w:trPr>
        <w:tc>
          <w:tcPr>
            <w:tcW w:w="1103" w:type="dxa"/>
            <w:tcBorders>
              <w:top w:val="nil"/>
              <w:left w:val="nil"/>
              <w:bottom w:val="nil"/>
              <w:right w:val="nil"/>
            </w:tcBorders>
          </w:tcPr>
          <w:p>
            <w:pPr>
              <w:pStyle w:val="TableParagraph"/>
              <w:spacing w:before="24"/>
              <w:ind w:left="70"/>
              <w:jc w:val="left"/>
              <w:rPr>
                <w:b/>
                <w:sz w:val="16"/>
              </w:rPr>
            </w:pPr>
            <w:r>
              <w:rPr>
                <w:b/>
                <w:sz w:val="16"/>
              </w:rPr>
              <w:t>DF-GLS</w:t>
            </w:r>
          </w:p>
        </w:tc>
        <w:tc>
          <w:tcPr>
            <w:tcW w:w="689" w:type="dxa"/>
            <w:tcBorders>
              <w:top w:val="nil"/>
              <w:left w:val="nil"/>
              <w:bottom w:val="nil"/>
              <w:right w:val="nil"/>
            </w:tcBorders>
          </w:tcPr>
          <w:p>
            <w:pPr>
              <w:pStyle w:val="TableParagraph"/>
              <w:spacing w:before="18"/>
              <w:ind w:left="82" w:right="82"/>
              <w:rPr>
                <w:sz w:val="10"/>
              </w:rPr>
            </w:pPr>
            <w:r>
              <w:rPr>
                <w:sz w:val="16"/>
              </w:rPr>
              <w:t>-5.65</w:t>
            </w:r>
            <w:r>
              <w:rPr>
                <w:position w:val="6"/>
                <w:sz w:val="10"/>
              </w:rPr>
              <w:t>1*</w:t>
            </w:r>
          </w:p>
        </w:tc>
        <w:tc>
          <w:tcPr>
            <w:tcW w:w="850" w:type="dxa"/>
            <w:tcBorders>
              <w:top w:val="nil"/>
              <w:left w:val="nil"/>
              <w:bottom w:val="nil"/>
              <w:right w:val="nil"/>
            </w:tcBorders>
          </w:tcPr>
          <w:p>
            <w:pPr>
              <w:pStyle w:val="TableParagraph"/>
              <w:spacing w:before="18"/>
              <w:ind w:left="206"/>
              <w:jc w:val="left"/>
              <w:rPr>
                <w:sz w:val="10"/>
              </w:rPr>
            </w:pPr>
            <w:r>
              <w:rPr>
                <w:sz w:val="16"/>
              </w:rPr>
              <w:t>-4.40</w:t>
            </w:r>
            <w:r>
              <w:rPr>
                <w:position w:val="6"/>
                <w:sz w:val="10"/>
              </w:rPr>
              <w:t>6*</w:t>
            </w:r>
          </w:p>
        </w:tc>
        <w:tc>
          <w:tcPr>
            <w:tcW w:w="684" w:type="dxa"/>
            <w:tcBorders>
              <w:top w:val="nil"/>
              <w:left w:val="nil"/>
              <w:bottom w:val="nil"/>
              <w:right w:val="nil"/>
            </w:tcBorders>
          </w:tcPr>
          <w:p>
            <w:pPr>
              <w:pStyle w:val="TableParagraph"/>
              <w:spacing w:before="18"/>
              <w:ind w:right="120"/>
              <w:jc w:val="right"/>
              <w:rPr>
                <w:sz w:val="10"/>
              </w:rPr>
            </w:pPr>
            <w:r>
              <w:rPr>
                <w:sz w:val="16"/>
              </w:rPr>
              <w:t>-7.00</w:t>
            </w:r>
            <w:r>
              <w:rPr>
                <w:position w:val="6"/>
                <w:sz w:val="10"/>
              </w:rPr>
              <w:t>2*</w:t>
            </w:r>
          </w:p>
        </w:tc>
        <w:tc>
          <w:tcPr>
            <w:tcW w:w="850" w:type="dxa"/>
            <w:tcBorders>
              <w:top w:val="nil"/>
              <w:left w:val="nil"/>
              <w:bottom w:val="nil"/>
              <w:right w:val="nil"/>
            </w:tcBorders>
          </w:tcPr>
          <w:p>
            <w:pPr>
              <w:pStyle w:val="TableParagraph"/>
              <w:spacing w:before="18"/>
              <w:ind w:left="123" w:right="123"/>
              <w:rPr>
                <w:sz w:val="10"/>
              </w:rPr>
            </w:pPr>
            <w:r>
              <w:rPr>
                <w:sz w:val="16"/>
              </w:rPr>
              <w:t>-4.26</w:t>
            </w:r>
            <w:r>
              <w:rPr>
                <w:position w:val="6"/>
                <w:sz w:val="10"/>
              </w:rPr>
              <w:t>7*</w:t>
            </w:r>
          </w:p>
        </w:tc>
        <w:tc>
          <w:tcPr>
            <w:tcW w:w="776" w:type="dxa"/>
            <w:tcBorders>
              <w:top w:val="nil"/>
              <w:left w:val="nil"/>
              <w:bottom w:val="nil"/>
              <w:right w:val="nil"/>
            </w:tcBorders>
          </w:tcPr>
          <w:p>
            <w:pPr>
              <w:pStyle w:val="TableParagraph"/>
              <w:spacing w:before="18"/>
              <w:ind w:left="87" w:right="85"/>
              <w:rPr>
                <w:sz w:val="10"/>
              </w:rPr>
            </w:pPr>
            <w:r>
              <w:rPr>
                <w:sz w:val="16"/>
              </w:rPr>
              <w:t>-3.98</w:t>
            </w:r>
            <w:r>
              <w:rPr>
                <w:position w:val="6"/>
                <w:sz w:val="10"/>
              </w:rPr>
              <w:t>3*</w:t>
            </w:r>
          </w:p>
        </w:tc>
        <w:tc>
          <w:tcPr>
            <w:tcW w:w="773" w:type="dxa"/>
            <w:tcBorders>
              <w:top w:val="nil"/>
              <w:left w:val="nil"/>
              <w:bottom w:val="nil"/>
              <w:right w:val="nil"/>
            </w:tcBorders>
          </w:tcPr>
          <w:p>
            <w:pPr>
              <w:pStyle w:val="TableParagraph"/>
              <w:spacing w:before="18"/>
              <w:ind w:left="84" w:right="84"/>
              <w:rPr>
                <w:sz w:val="10"/>
              </w:rPr>
            </w:pPr>
            <w:r>
              <w:rPr>
                <w:sz w:val="16"/>
              </w:rPr>
              <w:t>-7.38</w:t>
            </w:r>
            <w:r>
              <w:rPr>
                <w:position w:val="6"/>
                <w:sz w:val="10"/>
              </w:rPr>
              <w:t>8*</w:t>
            </w:r>
          </w:p>
        </w:tc>
        <w:tc>
          <w:tcPr>
            <w:tcW w:w="686" w:type="dxa"/>
            <w:tcBorders>
              <w:top w:val="nil"/>
              <w:left w:val="nil"/>
              <w:bottom w:val="nil"/>
              <w:right w:val="nil"/>
            </w:tcBorders>
          </w:tcPr>
          <w:p>
            <w:pPr>
              <w:pStyle w:val="TableParagraph"/>
              <w:spacing w:before="18"/>
              <w:ind w:left="124"/>
              <w:jc w:val="left"/>
              <w:rPr>
                <w:sz w:val="10"/>
              </w:rPr>
            </w:pPr>
            <w:r>
              <w:rPr>
                <w:sz w:val="16"/>
              </w:rPr>
              <w:t>-3.95</w:t>
            </w:r>
            <w:r>
              <w:rPr>
                <w:position w:val="6"/>
                <w:sz w:val="10"/>
              </w:rPr>
              <w:t>4*</w:t>
            </w:r>
          </w:p>
        </w:tc>
        <w:tc>
          <w:tcPr>
            <w:tcW w:w="821" w:type="dxa"/>
            <w:tcBorders>
              <w:top w:val="nil"/>
              <w:left w:val="nil"/>
              <w:bottom w:val="nil"/>
              <w:right w:val="nil"/>
            </w:tcBorders>
          </w:tcPr>
          <w:p>
            <w:pPr>
              <w:pStyle w:val="TableParagraph"/>
              <w:spacing w:before="18"/>
              <w:ind w:left="109" w:right="109"/>
              <w:rPr>
                <w:sz w:val="10"/>
              </w:rPr>
            </w:pPr>
            <w:r>
              <w:rPr>
                <w:sz w:val="16"/>
              </w:rPr>
              <w:t>-3.37</w:t>
            </w:r>
            <w:r>
              <w:rPr>
                <w:position w:val="6"/>
                <w:sz w:val="10"/>
              </w:rPr>
              <w:t>9*</w:t>
            </w:r>
          </w:p>
        </w:tc>
        <w:tc>
          <w:tcPr>
            <w:tcW w:w="936" w:type="dxa"/>
            <w:tcBorders>
              <w:top w:val="nil"/>
              <w:left w:val="nil"/>
              <w:bottom w:val="nil"/>
              <w:right w:val="nil"/>
            </w:tcBorders>
          </w:tcPr>
          <w:p>
            <w:pPr>
              <w:pStyle w:val="TableParagraph"/>
              <w:spacing w:before="18"/>
              <w:ind w:left="206" w:right="206"/>
              <w:rPr>
                <w:sz w:val="10"/>
              </w:rPr>
            </w:pPr>
            <w:r>
              <w:rPr>
                <w:sz w:val="16"/>
              </w:rPr>
              <w:t>-3.43</w:t>
            </w:r>
            <w:r>
              <w:rPr>
                <w:position w:val="6"/>
                <w:sz w:val="10"/>
              </w:rPr>
              <w:t>5*</w:t>
            </w:r>
          </w:p>
        </w:tc>
        <w:tc>
          <w:tcPr>
            <w:tcW w:w="1274" w:type="dxa"/>
            <w:tcBorders>
              <w:top w:val="nil"/>
              <w:left w:val="nil"/>
              <w:bottom w:val="nil"/>
              <w:right w:val="nil"/>
            </w:tcBorders>
          </w:tcPr>
          <w:p>
            <w:pPr>
              <w:pStyle w:val="TableParagraph"/>
              <w:spacing w:before="18"/>
              <w:ind w:left="349" w:right="350"/>
              <w:rPr>
                <w:sz w:val="10"/>
              </w:rPr>
            </w:pPr>
            <w:r>
              <w:rPr>
                <w:sz w:val="16"/>
              </w:rPr>
              <w:t>-4.36</w:t>
            </w:r>
            <w:r>
              <w:rPr>
                <w:position w:val="6"/>
                <w:sz w:val="10"/>
              </w:rPr>
              <w:t>10*</w:t>
            </w:r>
          </w:p>
        </w:tc>
      </w:tr>
      <w:tr>
        <w:trPr>
          <w:trHeight w:val="214" w:hRule="exact"/>
        </w:trPr>
        <w:tc>
          <w:tcPr>
            <w:tcW w:w="1103" w:type="dxa"/>
            <w:tcBorders>
              <w:top w:val="nil"/>
              <w:left w:val="nil"/>
              <w:bottom w:val="nil"/>
              <w:right w:val="nil"/>
            </w:tcBorders>
          </w:tcPr>
          <w:p>
            <w:pPr>
              <w:pStyle w:val="TableParagraph"/>
              <w:spacing w:before="26"/>
              <w:ind w:left="70"/>
              <w:jc w:val="left"/>
              <w:rPr>
                <w:b/>
                <w:sz w:val="16"/>
              </w:rPr>
            </w:pPr>
            <w:r>
              <w:rPr>
                <w:b/>
                <w:sz w:val="16"/>
              </w:rPr>
              <w:t>PP</w:t>
            </w:r>
          </w:p>
        </w:tc>
        <w:tc>
          <w:tcPr>
            <w:tcW w:w="689" w:type="dxa"/>
            <w:tcBorders>
              <w:top w:val="nil"/>
              <w:left w:val="nil"/>
              <w:bottom w:val="nil"/>
              <w:right w:val="nil"/>
            </w:tcBorders>
          </w:tcPr>
          <w:p>
            <w:pPr>
              <w:pStyle w:val="TableParagraph"/>
              <w:spacing w:before="20"/>
              <w:ind w:left="82" w:right="82"/>
              <w:rPr>
                <w:sz w:val="10"/>
              </w:rPr>
            </w:pPr>
            <w:r>
              <w:rPr>
                <w:sz w:val="16"/>
              </w:rPr>
              <w:t>-9.49</w:t>
            </w:r>
            <w:r>
              <w:rPr>
                <w:position w:val="6"/>
                <w:sz w:val="10"/>
              </w:rPr>
              <w:t>1**</w:t>
            </w:r>
          </w:p>
        </w:tc>
        <w:tc>
          <w:tcPr>
            <w:tcW w:w="850" w:type="dxa"/>
            <w:tcBorders>
              <w:top w:val="nil"/>
              <w:left w:val="nil"/>
              <w:bottom w:val="nil"/>
              <w:right w:val="nil"/>
            </w:tcBorders>
          </w:tcPr>
          <w:p>
            <w:pPr>
              <w:pStyle w:val="TableParagraph"/>
              <w:spacing w:before="20"/>
              <w:ind w:right="139"/>
              <w:jc w:val="right"/>
              <w:rPr>
                <w:sz w:val="10"/>
              </w:rPr>
            </w:pPr>
            <w:r>
              <w:rPr>
                <w:sz w:val="16"/>
              </w:rPr>
              <w:t>-19.38</w:t>
            </w:r>
            <w:r>
              <w:rPr>
                <w:position w:val="6"/>
                <w:sz w:val="10"/>
              </w:rPr>
              <w:t>6**</w:t>
            </w:r>
          </w:p>
        </w:tc>
        <w:tc>
          <w:tcPr>
            <w:tcW w:w="684" w:type="dxa"/>
            <w:tcBorders>
              <w:top w:val="nil"/>
              <w:left w:val="nil"/>
              <w:bottom w:val="nil"/>
              <w:right w:val="nil"/>
            </w:tcBorders>
          </w:tcPr>
          <w:p>
            <w:pPr>
              <w:pStyle w:val="TableParagraph"/>
              <w:spacing w:before="20"/>
              <w:ind w:right="96"/>
              <w:jc w:val="right"/>
              <w:rPr>
                <w:sz w:val="10"/>
              </w:rPr>
            </w:pPr>
            <w:r>
              <w:rPr>
                <w:sz w:val="16"/>
              </w:rPr>
              <w:t>-8.29</w:t>
            </w:r>
            <w:r>
              <w:rPr>
                <w:position w:val="6"/>
                <w:sz w:val="10"/>
              </w:rPr>
              <w:t>2**</w:t>
            </w:r>
          </w:p>
        </w:tc>
        <w:tc>
          <w:tcPr>
            <w:tcW w:w="850" w:type="dxa"/>
            <w:tcBorders>
              <w:top w:val="nil"/>
              <w:left w:val="nil"/>
              <w:bottom w:val="nil"/>
              <w:right w:val="nil"/>
            </w:tcBorders>
          </w:tcPr>
          <w:p>
            <w:pPr>
              <w:pStyle w:val="TableParagraph"/>
              <w:spacing w:before="20"/>
              <w:ind w:left="123" w:right="123"/>
              <w:rPr>
                <w:sz w:val="10"/>
              </w:rPr>
            </w:pPr>
            <w:r>
              <w:rPr>
                <w:sz w:val="16"/>
              </w:rPr>
              <w:t>-15.17</w:t>
            </w:r>
            <w:r>
              <w:rPr>
                <w:position w:val="6"/>
                <w:sz w:val="10"/>
              </w:rPr>
              <w:t>7**</w:t>
            </w:r>
          </w:p>
        </w:tc>
        <w:tc>
          <w:tcPr>
            <w:tcW w:w="776" w:type="dxa"/>
            <w:tcBorders>
              <w:top w:val="nil"/>
              <w:left w:val="nil"/>
              <w:bottom w:val="nil"/>
              <w:right w:val="nil"/>
            </w:tcBorders>
          </w:tcPr>
          <w:p>
            <w:pPr>
              <w:pStyle w:val="TableParagraph"/>
              <w:spacing w:before="20"/>
              <w:ind w:left="87" w:right="85"/>
              <w:rPr>
                <w:sz w:val="10"/>
              </w:rPr>
            </w:pPr>
            <w:r>
              <w:rPr>
                <w:sz w:val="16"/>
              </w:rPr>
              <w:t>-10.09</w:t>
            </w:r>
            <w:r>
              <w:rPr>
                <w:position w:val="6"/>
                <w:sz w:val="10"/>
              </w:rPr>
              <w:t>3**</w:t>
            </w:r>
          </w:p>
        </w:tc>
        <w:tc>
          <w:tcPr>
            <w:tcW w:w="773" w:type="dxa"/>
            <w:tcBorders>
              <w:top w:val="nil"/>
              <w:left w:val="nil"/>
              <w:bottom w:val="nil"/>
              <w:right w:val="nil"/>
            </w:tcBorders>
          </w:tcPr>
          <w:p>
            <w:pPr>
              <w:pStyle w:val="TableParagraph"/>
              <w:spacing w:before="20"/>
              <w:ind w:left="84" w:right="84"/>
              <w:rPr>
                <w:sz w:val="10"/>
              </w:rPr>
            </w:pPr>
            <w:r>
              <w:rPr>
                <w:sz w:val="16"/>
              </w:rPr>
              <w:t>-17.46</w:t>
            </w:r>
            <w:r>
              <w:rPr>
                <w:position w:val="6"/>
                <w:sz w:val="10"/>
              </w:rPr>
              <w:t>8**</w:t>
            </w:r>
          </w:p>
        </w:tc>
        <w:tc>
          <w:tcPr>
            <w:tcW w:w="686" w:type="dxa"/>
            <w:tcBorders>
              <w:top w:val="nil"/>
              <w:left w:val="nil"/>
              <w:bottom w:val="nil"/>
              <w:right w:val="nil"/>
            </w:tcBorders>
          </w:tcPr>
          <w:p>
            <w:pPr>
              <w:pStyle w:val="TableParagraph"/>
              <w:spacing w:before="20"/>
              <w:ind w:left="100"/>
              <w:jc w:val="left"/>
              <w:rPr>
                <w:sz w:val="10"/>
              </w:rPr>
            </w:pPr>
            <w:r>
              <w:rPr>
                <w:sz w:val="16"/>
              </w:rPr>
              <w:t>-9.58</w:t>
            </w:r>
            <w:r>
              <w:rPr>
                <w:position w:val="6"/>
                <w:sz w:val="10"/>
              </w:rPr>
              <w:t>4**</w:t>
            </w:r>
          </w:p>
        </w:tc>
        <w:tc>
          <w:tcPr>
            <w:tcW w:w="821" w:type="dxa"/>
            <w:tcBorders>
              <w:top w:val="nil"/>
              <w:left w:val="nil"/>
              <w:bottom w:val="nil"/>
              <w:right w:val="nil"/>
            </w:tcBorders>
          </w:tcPr>
          <w:p>
            <w:pPr>
              <w:pStyle w:val="TableParagraph"/>
              <w:spacing w:before="20"/>
              <w:ind w:left="109" w:right="109"/>
              <w:rPr>
                <w:sz w:val="10"/>
              </w:rPr>
            </w:pPr>
            <w:r>
              <w:rPr>
                <w:sz w:val="16"/>
              </w:rPr>
              <w:t>-18.89</w:t>
            </w:r>
            <w:r>
              <w:rPr>
                <w:position w:val="6"/>
                <w:sz w:val="10"/>
              </w:rPr>
              <w:t>9**</w:t>
            </w:r>
          </w:p>
        </w:tc>
        <w:tc>
          <w:tcPr>
            <w:tcW w:w="936" w:type="dxa"/>
            <w:tcBorders>
              <w:top w:val="nil"/>
              <w:left w:val="nil"/>
              <w:bottom w:val="nil"/>
              <w:right w:val="nil"/>
            </w:tcBorders>
          </w:tcPr>
          <w:p>
            <w:pPr>
              <w:pStyle w:val="TableParagraph"/>
              <w:spacing w:before="20"/>
              <w:ind w:left="206" w:right="206"/>
              <w:rPr>
                <w:sz w:val="10"/>
              </w:rPr>
            </w:pPr>
            <w:r>
              <w:rPr>
                <w:sz w:val="16"/>
              </w:rPr>
              <w:t>-3.28</w:t>
            </w:r>
            <w:r>
              <w:rPr>
                <w:position w:val="6"/>
                <w:sz w:val="10"/>
              </w:rPr>
              <w:t>5**</w:t>
            </w:r>
          </w:p>
        </w:tc>
        <w:tc>
          <w:tcPr>
            <w:tcW w:w="1274" w:type="dxa"/>
            <w:tcBorders>
              <w:top w:val="nil"/>
              <w:left w:val="nil"/>
              <w:bottom w:val="nil"/>
              <w:right w:val="nil"/>
            </w:tcBorders>
          </w:tcPr>
          <w:p>
            <w:pPr>
              <w:pStyle w:val="TableParagraph"/>
              <w:spacing w:before="20"/>
              <w:ind w:left="350" w:right="350"/>
              <w:rPr>
                <w:sz w:val="10"/>
              </w:rPr>
            </w:pPr>
            <w:r>
              <w:rPr>
                <w:sz w:val="16"/>
              </w:rPr>
              <w:t>-7.77</w:t>
            </w:r>
            <w:r>
              <w:rPr>
                <w:position w:val="6"/>
                <w:sz w:val="10"/>
              </w:rPr>
              <w:t>10**</w:t>
            </w:r>
          </w:p>
        </w:tc>
      </w:tr>
      <w:tr>
        <w:trPr>
          <w:trHeight w:val="202" w:hRule="exact"/>
        </w:trPr>
        <w:tc>
          <w:tcPr>
            <w:tcW w:w="1103" w:type="dxa"/>
            <w:tcBorders>
              <w:top w:val="nil"/>
              <w:left w:val="nil"/>
              <w:right w:val="nil"/>
            </w:tcBorders>
          </w:tcPr>
          <w:p>
            <w:pPr>
              <w:pStyle w:val="TableParagraph"/>
              <w:ind w:left="70"/>
              <w:jc w:val="left"/>
              <w:rPr>
                <w:b/>
                <w:sz w:val="16"/>
              </w:rPr>
            </w:pPr>
            <w:r>
              <w:rPr>
                <w:b/>
                <w:sz w:val="16"/>
              </w:rPr>
              <w:t>KPSS</w:t>
            </w:r>
          </w:p>
        </w:tc>
        <w:tc>
          <w:tcPr>
            <w:tcW w:w="689" w:type="dxa"/>
            <w:tcBorders>
              <w:top w:val="nil"/>
              <w:left w:val="nil"/>
              <w:right w:val="nil"/>
            </w:tcBorders>
          </w:tcPr>
          <w:p>
            <w:pPr>
              <w:pStyle w:val="TableParagraph"/>
              <w:spacing w:line="182" w:lineRule="exact"/>
              <w:ind w:left="82" w:right="82"/>
              <w:rPr>
                <w:sz w:val="10"/>
              </w:rPr>
            </w:pPr>
            <w:r>
              <w:rPr>
                <w:position w:val="-5"/>
                <w:sz w:val="16"/>
              </w:rPr>
              <w:t>0.05</w:t>
            </w:r>
            <w:r>
              <w:rPr>
                <w:sz w:val="10"/>
              </w:rPr>
              <w:t>1***</w:t>
            </w:r>
          </w:p>
        </w:tc>
        <w:tc>
          <w:tcPr>
            <w:tcW w:w="850" w:type="dxa"/>
            <w:tcBorders>
              <w:top w:val="nil"/>
              <w:left w:val="nil"/>
              <w:right w:val="nil"/>
            </w:tcBorders>
          </w:tcPr>
          <w:p>
            <w:pPr>
              <w:pStyle w:val="TableParagraph"/>
              <w:spacing w:line="182" w:lineRule="exact"/>
              <w:ind w:left="184"/>
              <w:jc w:val="left"/>
              <w:rPr>
                <w:sz w:val="10"/>
              </w:rPr>
            </w:pPr>
            <w:r>
              <w:rPr>
                <w:position w:val="-5"/>
                <w:sz w:val="16"/>
              </w:rPr>
              <w:t>0.20</w:t>
            </w:r>
            <w:r>
              <w:rPr>
                <w:sz w:val="10"/>
              </w:rPr>
              <w:t>6***</w:t>
            </w:r>
          </w:p>
        </w:tc>
        <w:tc>
          <w:tcPr>
            <w:tcW w:w="684" w:type="dxa"/>
            <w:tcBorders>
              <w:top w:val="nil"/>
              <w:left w:val="nil"/>
              <w:right w:val="nil"/>
            </w:tcBorders>
          </w:tcPr>
          <w:p>
            <w:pPr>
              <w:pStyle w:val="TableParagraph"/>
              <w:spacing w:line="182" w:lineRule="exact"/>
              <w:ind w:right="98"/>
              <w:jc w:val="right"/>
              <w:rPr>
                <w:sz w:val="10"/>
              </w:rPr>
            </w:pPr>
            <w:r>
              <w:rPr>
                <w:position w:val="-5"/>
                <w:sz w:val="16"/>
              </w:rPr>
              <w:t>0.15</w:t>
            </w:r>
            <w:r>
              <w:rPr>
                <w:sz w:val="10"/>
              </w:rPr>
              <w:t>2***</w:t>
            </w:r>
          </w:p>
        </w:tc>
        <w:tc>
          <w:tcPr>
            <w:tcW w:w="850" w:type="dxa"/>
            <w:tcBorders>
              <w:top w:val="nil"/>
              <w:left w:val="nil"/>
              <w:right w:val="nil"/>
            </w:tcBorders>
          </w:tcPr>
          <w:p>
            <w:pPr>
              <w:pStyle w:val="TableParagraph"/>
              <w:spacing w:line="182" w:lineRule="exact"/>
              <w:ind w:left="123" w:right="121"/>
              <w:rPr>
                <w:sz w:val="10"/>
              </w:rPr>
            </w:pPr>
            <w:r>
              <w:rPr>
                <w:position w:val="-5"/>
                <w:sz w:val="16"/>
              </w:rPr>
              <w:t>0.01</w:t>
            </w:r>
            <w:r>
              <w:rPr>
                <w:sz w:val="10"/>
              </w:rPr>
              <w:t>7***</w:t>
            </w:r>
          </w:p>
        </w:tc>
        <w:tc>
          <w:tcPr>
            <w:tcW w:w="776" w:type="dxa"/>
            <w:tcBorders>
              <w:top w:val="nil"/>
              <w:left w:val="nil"/>
              <w:right w:val="nil"/>
            </w:tcBorders>
          </w:tcPr>
          <w:p>
            <w:pPr>
              <w:pStyle w:val="TableParagraph"/>
              <w:spacing w:line="182" w:lineRule="exact"/>
              <w:ind w:left="87" w:right="82"/>
              <w:rPr>
                <w:sz w:val="10"/>
              </w:rPr>
            </w:pPr>
            <w:r>
              <w:rPr>
                <w:position w:val="-5"/>
                <w:sz w:val="16"/>
              </w:rPr>
              <w:t>0.01</w:t>
            </w:r>
            <w:r>
              <w:rPr>
                <w:sz w:val="10"/>
              </w:rPr>
              <w:t>3***</w:t>
            </w:r>
          </w:p>
        </w:tc>
        <w:tc>
          <w:tcPr>
            <w:tcW w:w="773" w:type="dxa"/>
            <w:tcBorders>
              <w:top w:val="nil"/>
              <w:left w:val="nil"/>
              <w:right w:val="nil"/>
            </w:tcBorders>
          </w:tcPr>
          <w:p>
            <w:pPr>
              <w:pStyle w:val="TableParagraph"/>
              <w:spacing w:line="182" w:lineRule="exact"/>
              <w:ind w:left="84" w:right="82"/>
              <w:rPr>
                <w:sz w:val="10"/>
              </w:rPr>
            </w:pPr>
            <w:r>
              <w:rPr>
                <w:position w:val="-5"/>
                <w:sz w:val="16"/>
              </w:rPr>
              <w:t>0.02</w:t>
            </w:r>
            <w:r>
              <w:rPr>
                <w:sz w:val="10"/>
              </w:rPr>
              <w:t>8***</w:t>
            </w:r>
          </w:p>
        </w:tc>
        <w:tc>
          <w:tcPr>
            <w:tcW w:w="686" w:type="dxa"/>
            <w:tcBorders>
              <w:top w:val="nil"/>
              <w:left w:val="nil"/>
              <w:right w:val="nil"/>
            </w:tcBorders>
          </w:tcPr>
          <w:p>
            <w:pPr>
              <w:pStyle w:val="TableParagraph"/>
              <w:spacing w:line="182" w:lineRule="exact"/>
              <w:ind w:left="100"/>
              <w:jc w:val="left"/>
              <w:rPr>
                <w:sz w:val="10"/>
              </w:rPr>
            </w:pPr>
            <w:r>
              <w:rPr>
                <w:position w:val="-5"/>
                <w:sz w:val="16"/>
              </w:rPr>
              <w:t>0.04</w:t>
            </w:r>
            <w:r>
              <w:rPr>
                <w:sz w:val="10"/>
              </w:rPr>
              <w:t>4***</w:t>
            </w:r>
          </w:p>
        </w:tc>
        <w:tc>
          <w:tcPr>
            <w:tcW w:w="821" w:type="dxa"/>
            <w:tcBorders>
              <w:top w:val="nil"/>
              <w:left w:val="nil"/>
              <w:right w:val="nil"/>
            </w:tcBorders>
          </w:tcPr>
          <w:p>
            <w:pPr>
              <w:pStyle w:val="TableParagraph"/>
              <w:spacing w:line="182" w:lineRule="exact"/>
              <w:ind w:left="109" w:right="107"/>
              <w:rPr>
                <w:sz w:val="10"/>
              </w:rPr>
            </w:pPr>
            <w:r>
              <w:rPr>
                <w:position w:val="-5"/>
                <w:sz w:val="16"/>
              </w:rPr>
              <w:t>0.02</w:t>
            </w:r>
            <w:r>
              <w:rPr>
                <w:sz w:val="10"/>
              </w:rPr>
              <w:t>9***</w:t>
            </w:r>
          </w:p>
        </w:tc>
        <w:tc>
          <w:tcPr>
            <w:tcW w:w="936" w:type="dxa"/>
            <w:tcBorders>
              <w:top w:val="nil"/>
              <w:left w:val="nil"/>
              <w:right w:val="nil"/>
            </w:tcBorders>
          </w:tcPr>
          <w:p>
            <w:pPr>
              <w:pStyle w:val="TableParagraph"/>
              <w:spacing w:line="182" w:lineRule="exact"/>
              <w:ind w:left="206" w:right="204"/>
              <w:rPr>
                <w:sz w:val="10"/>
              </w:rPr>
            </w:pPr>
            <w:r>
              <w:rPr>
                <w:position w:val="-5"/>
                <w:sz w:val="16"/>
              </w:rPr>
              <w:t>0.21</w:t>
            </w:r>
            <w:r>
              <w:rPr>
                <w:sz w:val="10"/>
              </w:rPr>
              <w:t>5***</w:t>
            </w:r>
          </w:p>
        </w:tc>
        <w:tc>
          <w:tcPr>
            <w:tcW w:w="1274" w:type="dxa"/>
            <w:tcBorders>
              <w:top w:val="nil"/>
              <w:left w:val="nil"/>
              <w:right w:val="nil"/>
            </w:tcBorders>
          </w:tcPr>
          <w:p>
            <w:pPr>
              <w:pStyle w:val="TableParagraph"/>
              <w:spacing w:line="182" w:lineRule="exact"/>
              <w:ind w:left="349" w:right="350"/>
              <w:rPr>
                <w:sz w:val="10"/>
              </w:rPr>
            </w:pPr>
            <w:r>
              <w:rPr>
                <w:position w:val="-5"/>
                <w:sz w:val="16"/>
              </w:rPr>
              <w:t>0.02</w:t>
            </w:r>
            <w:r>
              <w:rPr>
                <w:sz w:val="10"/>
              </w:rPr>
              <w:t>10***</w:t>
            </w:r>
          </w:p>
        </w:tc>
      </w:tr>
    </w:tbl>
    <w:p>
      <w:pPr>
        <w:pStyle w:val="BodyText"/>
        <w:spacing w:before="7"/>
        <w:rPr>
          <w:b/>
          <w:sz w:val="22"/>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636"/>
        <w:gridCol w:w="4988"/>
      </w:tblGrid>
      <w:tr>
        <w:trPr>
          <w:trHeight w:val="363" w:hRule="exact"/>
        </w:trPr>
        <w:tc>
          <w:tcPr>
            <w:tcW w:w="4636" w:type="dxa"/>
          </w:tcPr>
          <w:p>
            <w:pPr>
              <w:pStyle w:val="TableParagraph"/>
              <w:spacing w:line="163" w:lineRule="exact"/>
              <w:ind w:left="200"/>
              <w:jc w:val="left"/>
              <w:rPr>
                <w:sz w:val="16"/>
              </w:rPr>
            </w:pPr>
            <w:r>
              <w:rPr>
                <w:sz w:val="16"/>
              </w:rPr>
              <w:t>Las pruebas de raíces unitarias en logaritmos son significativas al</w:t>
            </w:r>
          </w:p>
          <w:p>
            <w:pPr>
              <w:pStyle w:val="TableParagraph"/>
              <w:spacing w:line="183" w:lineRule="exact"/>
              <w:ind w:left="200"/>
              <w:jc w:val="left"/>
              <w:rPr>
                <w:sz w:val="16"/>
              </w:rPr>
            </w:pPr>
            <w:r>
              <w:rPr>
                <w:sz w:val="16"/>
              </w:rPr>
              <w:t>95% de confianza.</w:t>
            </w:r>
          </w:p>
        </w:tc>
        <w:tc>
          <w:tcPr>
            <w:tcW w:w="4988" w:type="dxa"/>
          </w:tcPr>
          <w:p>
            <w:pPr>
              <w:pStyle w:val="TableParagraph"/>
              <w:spacing w:line="163" w:lineRule="exact"/>
              <w:ind w:left="245"/>
              <w:jc w:val="left"/>
              <w:rPr>
                <w:sz w:val="16"/>
              </w:rPr>
            </w:pPr>
            <w:r>
              <w:rPr>
                <w:sz w:val="16"/>
              </w:rPr>
              <w:t>Las pruebas de raíz unitaria en primeras diferencias son válidas al 99%</w:t>
            </w:r>
          </w:p>
          <w:p>
            <w:pPr>
              <w:pStyle w:val="TableParagraph"/>
              <w:spacing w:line="183" w:lineRule="exact"/>
              <w:ind w:left="245"/>
              <w:jc w:val="left"/>
              <w:rPr>
                <w:sz w:val="16"/>
              </w:rPr>
            </w:pPr>
            <w:r>
              <w:rPr>
                <w:sz w:val="16"/>
              </w:rPr>
              <w:t>de confianza.</w:t>
            </w:r>
          </w:p>
        </w:tc>
      </w:tr>
      <w:tr>
        <w:trPr>
          <w:trHeight w:val="211" w:hRule="exact"/>
        </w:trPr>
        <w:tc>
          <w:tcPr>
            <w:tcW w:w="4636" w:type="dxa"/>
          </w:tcPr>
          <w:p>
            <w:pPr>
              <w:pStyle w:val="TableParagraph"/>
              <w:spacing w:before="7"/>
              <w:ind w:left="226"/>
              <w:jc w:val="left"/>
              <w:rPr>
                <w:sz w:val="16"/>
              </w:rPr>
            </w:pPr>
            <w:r>
              <w:rPr>
                <w:position w:val="6"/>
                <w:sz w:val="10"/>
              </w:rPr>
              <w:t>1 </w:t>
            </w:r>
            <w:r>
              <w:rPr>
                <w:sz w:val="16"/>
              </w:rPr>
              <w:t>Con dos rezagos e intercepto</w:t>
            </w:r>
          </w:p>
        </w:tc>
        <w:tc>
          <w:tcPr>
            <w:tcW w:w="4988" w:type="dxa"/>
          </w:tcPr>
          <w:p>
            <w:pPr>
              <w:pStyle w:val="TableParagraph"/>
              <w:spacing w:before="7"/>
              <w:ind w:left="245"/>
              <w:jc w:val="left"/>
              <w:rPr>
                <w:sz w:val="16"/>
              </w:rPr>
            </w:pPr>
            <w:r>
              <w:rPr>
                <w:position w:val="6"/>
                <w:sz w:val="10"/>
              </w:rPr>
              <w:t>6 </w:t>
            </w:r>
            <w:r>
              <w:rPr>
                <w:sz w:val="16"/>
              </w:rPr>
              <w:t>Con tres rezagos con tendencia e intercepto</w:t>
            </w:r>
          </w:p>
        </w:tc>
      </w:tr>
      <w:tr>
        <w:trPr>
          <w:trHeight w:val="205" w:hRule="exact"/>
        </w:trPr>
        <w:tc>
          <w:tcPr>
            <w:tcW w:w="4636" w:type="dxa"/>
          </w:tcPr>
          <w:p>
            <w:pPr>
              <w:pStyle w:val="TableParagraph"/>
              <w:spacing w:before="7"/>
              <w:ind w:left="200"/>
              <w:jc w:val="left"/>
              <w:rPr>
                <w:sz w:val="16"/>
              </w:rPr>
            </w:pPr>
            <w:r>
              <w:rPr>
                <w:position w:val="6"/>
                <w:sz w:val="10"/>
              </w:rPr>
              <w:t>2 </w:t>
            </w:r>
            <w:r>
              <w:rPr>
                <w:sz w:val="16"/>
              </w:rPr>
              <w:t>Con dos rezagos e intercepto</w:t>
            </w:r>
          </w:p>
        </w:tc>
        <w:tc>
          <w:tcPr>
            <w:tcW w:w="4988" w:type="dxa"/>
          </w:tcPr>
          <w:p>
            <w:pPr>
              <w:pStyle w:val="TableParagraph"/>
              <w:spacing w:before="7"/>
              <w:ind w:left="245"/>
              <w:jc w:val="left"/>
              <w:rPr>
                <w:sz w:val="16"/>
              </w:rPr>
            </w:pPr>
            <w:r>
              <w:rPr>
                <w:position w:val="6"/>
                <w:sz w:val="10"/>
              </w:rPr>
              <w:t>6*</w:t>
            </w:r>
            <w:r>
              <w:rPr>
                <w:sz w:val="16"/>
              </w:rPr>
              <w:t>Con dos rezagos con tendencia e intercepto</w:t>
            </w:r>
          </w:p>
        </w:tc>
      </w:tr>
      <w:tr>
        <w:trPr>
          <w:trHeight w:val="199" w:hRule="exact"/>
        </w:trPr>
        <w:tc>
          <w:tcPr>
            <w:tcW w:w="4636" w:type="dxa"/>
          </w:tcPr>
          <w:p>
            <w:pPr>
              <w:pStyle w:val="TableParagraph"/>
              <w:spacing w:before="1"/>
              <w:ind w:left="200"/>
              <w:jc w:val="left"/>
              <w:rPr>
                <w:sz w:val="16"/>
              </w:rPr>
            </w:pPr>
            <w:r>
              <w:rPr>
                <w:position w:val="6"/>
                <w:sz w:val="10"/>
              </w:rPr>
              <w:t>3 </w:t>
            </w:r>
            <w:r>
              <w:rPr>
                <w:sz w:val="16"/>
              </w:rPr>
              <w:t>Con dos rezagos, sin intercepto ni tendencia</w:t>
            </w:r>
          </w:p>
        </w:tc>
        <w:tc>
          <w:tcPr>
            <w:tcW w:w="4988" w:type="dxa"/>
          </w:tcPr>
          <w:p>
            <w:pPr>
              <w:pStyle w:val="TableParagraph"/>
              <w:spacing w:before="1"/>
              <w:ind w:left="245"/>
              <w:jc w:val="left"/>
              <w:rPr>
                <w:sz w:val="16"/>
              </w:rPr>
            </w:pPr>
            <w:r>
              <w:rPr>
                <w:position w:val="6"/>
                <w:sz w:val="10"/>
              </w:rPr>
              <w:t>6**</w:t>
            </w:r>
            <w:r>
              <w:rPr>
                <w:sz w:val="16"/>
              </w:rPr>
              <w:t>Con dos rezagos con tendencia e intercepto</w:t>
            </w:r>
          </w:p>
        </w:tc>
      </w:tr>
      <w:tr>
        <w:trPr>
          <w:trHeight w:val="192" w:hRule="exact"/>
        </w:trPr>
        <w:tc>
          <w:tcPr>
            <w:tcW w:w="4636" w:type="dxa"/>
          </w:tcPr>
          <w:p>
            <w:pPr>
              <w:pStyle w:val="TableParagraph"/>
              <w:spacing w:before="1"/>
              <w:ind w:left="200"/>
              <w:jc w:val="left"/>
              <w:rPr>
                <w:sz w:val="16"/>
              </w:rPr>
            </w:pPr>
            <w:r>
              <w:rPr>
                <w:position w:val="6"/>
                <w:sz w:val="10"/>
              </w:rPr>
              <w:t>4 </w:t>
            </w:r>
            <w:r>
              <w:rPr>
                <w:sz w:val="16"/>
              </w:rPr>
              <w:t>Con dos rezagos, sin intercepto ni tendencia</w:t>
            </w:r>
          </w:p>
        </w:tc>
        <w:tc>
          <w:tcPr>
            <w:tcW w:w="4988" w:type="dxa"/>
          </w:tcPr>
          <w:p>
            <w:pPr>
              <w:pStyle w:val="TableParagraph"/>
              <w:spacing w:before="1"/>
              <w:ind w:left="245"/>
              <w:jc w:val="left"/>
              <w:rPr>
                <w:sz w:val="16"/>
              </w:rPr>
            </w:pPr>
            <w:r>
              <w:rPr>
                <w:position w:val="6"/>
                <w:sz w:val="10"/>
              </w:rPr>
              <w:t>7</w:t>
            </w:r>
            <w:r>
              <w:rPr>
                <w:sz w:val="16"/>
              </w:rPr>
              <w:t>Con  dos rezagos con tendencia e intercepto</w:t>
            </w:r>
          </w:p>
        </w:tc>
      </w:tr>
      <w:tr>
        <w:trPr>
          <w:trHeight w:val="184" w:hRule="exact"/>
        </w:trPr>
        <w:tc>
          <w:tcPr>
            <w:tcW w:w="4636" w:type="dxa"/>
          </w:tcPr>
          <w:p>
            <w:pPr>
              <w:pStyle w:val="TableParagraph"/>
              <w:spacing w:line="182" w:lineRule="exact"/>
              <w:ind w:left="200"/>
              <w:jc w:val="left"/>
              <w:rPr>
                <w:sz w:val="16"/>
              </w:rPr>
            </w:pPr>
            <w:r>
              <w:rPr>
                <w:position w:val="6"/>
                <w:sz w:val="10"/>
              </w:rPr>
              <w:t>5 </w:t>
            </w:r>
            <w:r>
              <w:rPr>
                <w:sz w:val="16"/>
              </w:rPr>
              <w:t>Con dos rezagos, sin tendencia ni intercepto</w:t>
            </w:r>
          </w:p>
        </w:tc>
        <w:tc>
          <w:tcPr>
            <w:tcW w:w="4988" w:type="dxa"/>
          </w:tcPr>
          <w:p>
            <w:pPr>
              <w:pStyle w:val="TableParagraph"/>
              <w:spacing w:line="182" w:lineRule="exact"/>
              <w:ind w:left="245"/>
              <w:jc w:val="left"/>
              <w:rPr>
                <w:sz w:val="16"/>
              </w:rPr>
            </w:pPr>
            <w:r>
              <w:rPr>
                <w:position w:val="6"/>
                <w:sz w:val="10"/>
              </w:rPr>
              <w:t>7*</w:t>
            </w:r>
            <w:r>
              <w:rPr>
                <w:sz w:val="16"/>
              </w:rPr>
              <w:t>Con dos rezagos e intercepto</w:t>
            </w:r>
          </w:p>
        </w:tc>
      </w:tr>
      <w:tr>
        <w:trPr>
          <w:trHeight w:val="184" w:hRule="exact"/>
        </w:trPr>
        <w:tc>
          <w:tcPr>
            <w:tcW w:w="4636" w:type="dxa"/>
          </w:tcPr>
          <w:p>
            <w:pPr>
              <w:pStyle w:val="TableParagraph"/>
              <w:spacing w:line="181" w:lineRule="exact"/>
              <w:ind w:left="200"/>
              <w:jc w:val="left"/>
              <w:rPr>
                <w:sz w:val="16"/>
              </w:rPr>
            </w:pPr>
            <w:r>
              <w:rPr>
                <w:position w:val="6"/>
                <w:sz w:val="10"/>
              </w:rPr>
              <w:t>1* </w:t>
            </w:r>
            <w:r>
              <w:rPr>
                <w:sz w:val="16"/>
              </w:rPr>
              <w:t>Con dos rezagos con tendencia e intercepto</w:t>
            </w:r>
          </w:p>
        </w:tc>
        <w:tc>
          <w:tcPr>
            <w:tcW w:w="4988" w:type="dxa"/>
          </w:tcPr>
          <w:p>
            <w:pPr>
              <w:pStyle w:val="TableParagraph"/>
              <w:spacing w:line="181" w:lineRule="exact"/>
              <w:ind w:left="245"/>
              <w:jc w:val="left"/>
              <w:rPr>
                <w:sz w:val="16"/>
              </w:rPr>
            </w:pPr>
            <w:r>
              <w:rPr>
                <w:position w:val="6"/>
                <w:sz w:val="10"/>
              </w:rPr>
              <w:t>7**</w:t>
            </w:r>
            <w:r>
              <w:rPr>
                <w:sz w:val="16"/>
              </w:rPr>
              <w:t>Con dos rezagos con tendencia e intercepto</w:t>
            </w:r>
          </w:p>
        </w:tc>
      </w:tr>
      <w:tr>
        <w:trPr>
          <w:trHeight w:val="185" w:hRule="exact"/>
        </w:trPr>
        <w:tc>
          <w:tcPr>
            <w:tcW w:w="4636" w:type="dxa"/>
          </w:tcPr>
          <w:p>
            <w:pPr>
              <w:pStyle w:val="TableParagraph"/>
              <w:spacing w:line="182" w:lineRule="exact"/>
              <w:ind w:left="200"/>
              <w:jc w:val="left"/>
              <w:rPr>
                <w:sz w:val="16"/>
              </w:rPr>
            </w:pPr>
            <w:r>
              <w:rPr>
                <w:position w:val="6"/>
                <w:sz w:val="10"/>
              </w:rPr>
              <w:t>2* </w:t>
            </w:r>
            <w:r>
              <w:rPr>
                <w:sz w:val="16"/>
              </w:rPr>
              <w:t>Con dos rezagos con tendencia e intercepto</w:t>
            </w:r>
          </w:p>
        </w:tc>
        <w:tc>
          <w:tcPr>
            <w:tcW w:w="4988" w:type="dxa"/>
          </w:tcPr>
          <w:p>
            <w:pPr>
              <w:pStyle w:val="TableParagraph"/>
              <w:spacing w:line="182" w:lineRule="exact"/>
              <w:ind w:left="245"/>
              <w:jc w:val="left"/>
              <w:rPr>
                <w:sz w:val="16"/>
              </w:rPr>
            </w:pPr>
            <w:r>
              <w:rPr>
                <w:position w:val="6"/>
                <w:sz w:val="10"/>
              </w:rPr>
              <w:t>7***</w:t>
            </w:r>
            <w:r>
              <w:rPr>
                <w:sz w:val="16"/>
              </w:rPr>
              <w:t>Con dos rezagos con tendencia e intercepto</w:t>
            </w:r>
          </w:p>
        </w:tc>
      </w:tr>
      <w:tr>
        <w:trPr>
          <w:trHeight w:val="184" w:hRule="exact"/>
        </w:trPr>
        <w:tc>
          <w:tcPr>
            <w:tcW w:w="4636" w:type="dxa"/>
          </w:tcPr>
          <w:p>
            <w:pPr>
              <w:pStyle w:val="TableParagraph"/>
              <w:spacing w:line="182" w:lineRule="exact"/>
              <w:ind w:left="200"/>
              <w:jc w:val="left"/>
              <w:rPr>
                <w:sz w:val="16"/>
              </w:rPr>
            </w:pPr>
            <w:r>
              <w:rPr>
                <w:position w:val="6"/>
                <w:sz w:val="10"/>
              </w:rPr>
              <w:t>3* </w:t>
            </w:r>
            <w:r>
              <w:rPr>
                <w:sz w:val="16"/>
              </w:rPr>
              <w:t>Con dos rezagos e intercepto</w:t>
            </w:r>
          </w:p>
        </w:tc>
        <w:tc>
          <w:tcPr>
            <w:tcW w:w="4988" w:type="dxa"/>
          </w:tcPr>
          <w:p>
            <w:pPr>
              <w:pStyle w:val="TableParagraph"/>
              <w:spacing w:line="182" w:lineRule="exact"/>
              <w:ind w:left="245"/>
              <w:jc w:val="left"/>
              <w:rPr>
                <w:sz w:val="16"/>
              </w:rPr>
            </w:pPr>
            <w:r>
              <w:rPr>
                <w:position w:val="6"/>
                <w:sz w:val="10"/>
              </w:rPr>
              <w:t>8</w:t>
            </w:r>
            <w:r>
              <w:rPr>
                <w:sz w:val="16"/>
              </w:rPr>
              <w:t>Con dos rezagos sin intercepto ni tendencia</w:t>
            </w:r>
          </w:p>
        </w:tc>
      </w:tr>
      <w:tr>
        <w:trPr>
          <w:trHeight w:val="184" w:hRule="exact"/>
        </w:trPr>
        <w:tc>
          <w:tcPr>
            <w:tcW w:w="4636" w:type="dxa"/>
          </w:tcPr>
          <w:p>
            <w:pPr>
              <w:pStyle w:val="TableParagraph"/>
              <w:spacing w:line="181" w:lineRule="exact"/>
              <w:ind w:left="200"/>
              <w:jc w:val="left"/>
              <w:rPr>
                <w:sz w:val="16"/>
              </w:rPr>
            </w:pPr>
            <w:r>
              <w:rPr>
                <w:position w:val="6"/>
                <w:sz w:val="10"/>
              </w:rPr>
              <w:t>4* </w:t>
            </w:r>
            <w:r>
              <w:rPr>
                <w:sz w:val="16"/>
              </w:rPr>
              <w:t>Con dos rezagos con tendencia e intercepto</w:t>
            </w:r>
          </w:p>
        </w:tc>
        <w:tc>
          <w:tcPr>
            <w:tcW w:w="4988" w:type="dxa"/>
          </w:tcPr>
          <w:p>
            <w:pPr>
              <w:pStyle w:val="TableParagraph"/>
              <w:spacing w:line="181" w:lineRule="exact"/>
              <w:ind w:left="245"/>
              <w:jc w:val="left"/>
              <w:rPr>
                <w:sz w:val="16"/>
              </w:rPr>
            </w:pPr>
            <w:r>
              <w:rPr>
                <w:position w:val="6"/>
                <w:sz w:val="10"/>
              </w:rPr>
              <w:t>8*</w:t>
            </w:r>
            <w:r>
              <w:rPr>
                <w:sz w:val="16"/>
              </w:rPr>
              <w:t>Con dos rezagos e intercepto</w:t>
            </w:r>
          </w:p>
        </w:tc>
      </w:tr>
      <w:tr>
        <w:trPr>
          <w:trHeight w:val="184" w:hRule="exact"/>
        </w:trPr>
        <w:tc>
          <w:tcPr>
            <w:tcW w:w="4636" w:type="dxa"/>
          </w:tcPr>
          <w:p>
            <w:pPr>
              <w:pStyle w:val="TableParagraph"/>
              <w:spacing w:line="182" w:lineRule="exact"/>
              <w:ind w:left="200"/>
              <w:jc w:val="left"/>
              <w:rPr>
                <w:sz w:val="16"/>
              </w:rPr>
            </w:pPr>
            <w:r>
              <w:rPr>
                <w:position w:val="6"/>
                <w:sz w:val="10"/>
              </w:rPr>
              <w:t>5* </w:t>
            </w:r>
            <w:r>
              <w:rPr>
                <w:sz w:val="16"/>
              </w:rPr>
              <w:t>Con cuatro rezagos e intercepto</w:t>
            </w:r>
          </w:p>
        </w:tc>
        <w:tc>
          <w:tcPr>
            <w:tcW w:w="4988" w:type="dxa"/>
          </w:tcPr>
          <w:p>
            <w:pPr>
              <w:pStyle w:val="TableParagraph"/>
              <w:spacing w:line="182" w:lineRule="exact"/>
              <w:ind w:left="245"/>
              <w:jc w:val="left"/>
              <w:rPr>
                <w:sz w:val="16"/>
              </w:rPr>
            </w:pPr>
            <w:r>
              <w:rPr>
                <w:position w:val="6"/>
                <w:sz w:val="10"/>
              </w:rPr>
              <w:t>8**</w:t>
            </w:r>
            <w:r>
              <w:rPr>
                <w:sz w:val="16"/>
              </w:rPr>
              <w:t>Con dos rezagos con tendencia e intercepto</w:t>
            </w:r>
          </w:p>
        </w:tc>
      </w:tr>
      <w:tr>
        <w:trPr>
          <w:trHeight w:val="184" w:hRule="exact"/>
        </w:trPr>
        <w:tc>
          <w:tcPr>
            <w:tcW w:w="4636" w:type="dxa"/>
          </w:tcPr>
          <w:p>
            <w:pPr>
              <w:pStyle w:val="TableParagraph"/>
              <w:spacing w:line="181" w:lineRule="exact"/>
              <w:ind w:left="200"/>
              <w:jc w:val="left"/>
              <w:rPr>
                <w:sz w:val="16"/>
              </w:rPr>
            </w:pPr>
            <w:r>
              <w:rPr>
                <w:position w:val="6"/>
                <w:sz w:val="10"/>
              </w:rPr>
              <w:t>1** </w:t>
            </w:r>
            <w:r>
              <w:rPr>
                <w:sz w:val="16"/>
              </w:rPr>
              <w:t>Con cuatro rezagos e intercepto</w:t>
            </w:r>
          </w:p>
        </w:tc>
        <w:tc>
          <w:tcPr>
            <w:tcW w:w="4988" w:type="dxa"/>
          </w:tcPr>
          <w:p>
            <w:pPr>
              <w:pStyle w:val="TableParagraph"/>
              <w:spacing w:line="181" w:lineRule="exact"/>
              <w:ind w:left="245"/>
              <w:jc w:val="left"/>
              <w:rPr>
                <w:sz w:val="16"/>
              </w:rPr>
            </w:pPr>
            <w:r>
              <w:rPr>
                <w:position w:val="6"/>
                <w:sz w:val="10"/>
              </w:rPr>
              <w:t>8***</w:t>
            </w:r>
            <w:r>
              <w:rPr>
                <w:sz w:val="16"/>
              </w:rPr>
              <w:t>Con dos rezagos  con tendencia e intercepto</w:t>
            </w:r>
          </w:p>
        </w:tc>
      </w:tr>
      <w:tr>
        <w:trPr>
          <w:trHeight w:val="185" w:hRule="exact"/>
        </w:trPr>
        <w:tc>
          <w:tcPr>
            <w:tcW w:w="4636" w:type="dxa"/>
          </w:tcPr>
          <w:p>
            <w:pPr>
              <w:pStyle w:val="TableParagraph"/>
              <w:spacing w:line="182" w:lineRule="exact"/>
              <w:ind w:left="200"/>
              <w:jc w:val="left"/>
              <w:rPr>
                <w:sz w:val="16"/>
              </w:rPr>
            </w:pPr>
            <w:r>
              <w:rPr>
                <w:position w:val="6"/>
                <w:sz w:val="10"/>
              </w:rPr>
              <w:t>2** </w:t>
            </w:r>
            <w:r>
              <w:rPr>
                <w:sz w:val="16"/>
              </w:rPr>
              <w:t>Con dos rezagos, sin tendencia ni intercepto</w:t>
            </w:r>
          </w:p>
        </w:tc>
        <w:tc>
          <w:tcPr>
            <w:tcW w:w="4988" w:type="dxa"/>
          </w:tcPr>
          <w:p>
            <w:pPr>
              <w:pStyle w:val="TableParagraph"/>
              <w:spacing w:line="182" w:lineRule="exact"/>
              <w:ind w:left="245"/>
              <w:jc w:val="left"/>
              <w:rPr>
                <w:sz w:val="16"/>
              </w:rPr>
            </w:pPr>
            <w:r>
              <w:rPr>
                <w:position w:val="6"/>
                <w:sz w:val="10"/>
              </w:rPr>
              <w:t>9</w:t>
            </w:r>
            <w:r>
              <w:rPr>
                <w:sz w:val="16"/>
              </w:rPr>
              <w:t>Con dos rezagos con tendencia e intercepto</w:t>
            </w:r>
          </w:p>
        </w:tc>
      </w:tr>
      <w:tr>
        <w:trPr>
          <w:trHeight w:val="184" w:hRule="exact"/>
        </w:trPr>
        <w:tc>
          <w:tcPr>
            <w:tcW w:w="4636" w:type="dxa"/>
          </w:tcPr>
          <w:p>
            <w:pPr>
              <w:pStyle w:val="TableParagraph"/>
              <w:spacing w:line="182" w:lineRule="exact"/>
              <w:ind w:left="200"/>
              <w:jc w:val="left"/>
              <w:rPr>
                <w:sz w:val="16"/>
              </w:rPr>
            </w:pPr>
            <w:r>
              <w:rPr>
                <w:position w:val="6"/>
                <w:sz w:val="10"/>
              </w:rPr>
              <w:t>3** </w:t>
            </w:r>
            <w:r>
              <w:rPr>
                <w:sz w:val="16"/>
              </w:rPr>
              <w:t>Con dos rezagos con tendencia e intercepto</w:t>
            </w:r>
          </w:p>
        </w:tc>
        <w:tc>
          <w:tcPr>
            <w:tcW w:w="4988" w:type="dxa"/>
          </w:tcPr>
          <w:p>
            <w:pPr>
              <w:pStyle w:val="TableParagraph"/>
              <w:spacing w:line="182" w:lineRule="exact"/>
              <w:ind w:left="245"/>
              <w:jc w:val="left"/>
              <w:rPr>
                <w:sz w:val="16"/>
              </w:rPr>
            </w:pPr>
            <w:r>
              <w:rPr>
                <w:position w:val="6"/>
                <w:sz w:val="10"/>
              </w:rPr>
              <w:t>9*</w:t>
            </w:r>
            <w:r>
              <w:rPr>
                <w:sz w:val="16"/>
              </w:rPr>
              <w:t>Con dos rezagos e intercepto</w:t>
            </w:r>
          </w:p>
        </w:tc>
      </w:tr>
      <w:tr>
        <w:trPr>
          <w:trHeight w:val="193" w:hRule="exact"/>
        </w:trPr>
        <w:tc>
          <w:tcPr>
            <w:tcW w:w="4636" w:type="dxa"/>
          </w:tcPr>
          <w:p>
            <w:pPr>
              <w:pStyle w:val="TableParagraph"/>
              <w:spacing w:line="181" w:lineRule="exact"/>
              <w:ind w:left="200"/>
              <w:jc w:val="left"/>
              <w:rPr>
                <w:sz w:val="16"/>
              </w:rPr>
            </w:pPr>
            <w:r>
              <w:rPr>
                <w:position w:val="6"/>
                <w:sz w:val="10"/>
              </w:rPr>
              <w:t>4** </w:t>
            </w:r>
            <w:r>
              <w:rPr>
                <w:sz w:val="16"/>
              </w:rPr>
              <w:t>Con tres rezagos con intercepto</w:t>
            </w:r>
          </w:p>
        </w:tc>
        <w:tc>
          <w:tcPr>
            <w:tcW w:w="4988" w:type="dxa"/>
          </w:tcPr>
          <w:p>
            <w:pPr>
              <w:pStyle w:val="TableParagraph"/>
              <w:spacing w:line="181" w:lineRule="exact"/>
              <w:ind w:left="245"/>
              <w:jc w:val="left"/>
              <w:rPr>
                <w:sz w:val="16"/>
              </w:rPr>
            </w:pPr>
            <w:r>
              <w:rPr>
                <w:position w:val="6"/>
                <w:sz w:val="10"/>
              </w:rPr>
              <w:t>9**</w:t>
            </w:r>
            <w:r>
              <w:rPr>
                <w:sz w:val="16"/>
              </w:rPr>
              <w:t>Con dos rezagos con tendencia e intercepto</w:t>
            </w:r>
          </w:p>
        </w:tc>
      </w:tr>
      <w:tr>
        <w:trPr>
          <w:trHeight w:val="204" w:hRule="exact"/>
        </w:trPr>
        <w:tc>
          <w:tcPr>
            <w:tcW w:w="4636" w:type="dxa"/>
          </w:tcPr>
          <w:p>
            <w:pPr>
              <w:pStyle w:val="TableParagraph"/>
              <w:spacing w:before="3"/>
              <w:ind w:left="200"/>
              <w:jc w:val="left"/>
              <w:rPr>
                <w:sz w:val="16"/>
              </w:rPr>
            </w:pPr>
            <w:r>
              <w:rPr>
                <w:position w:val="6"/>
                <w:sz w:val="10"/>
              </w:rPr>
              <w:t>5**  </w:t>
            </w:r>
            <w:r>
              <w:rPr>
                <w:sz w:val="16"/>
              </w:rPr>
              <w:t>Con dos rezagos sin tendencia ni intercepto</w:t>
            </w:r>
          </w:p>
        </w:tc>
        <w:tc>
          <w:tcPr>
            <w:tcW w:w="4988" w:type="dxa"/>
          </w:tcPr>
          <w:p>
            <w:pPr>
              <w:pStyle w:val="TableParagraph"/>
              <w:spacing w:before="3"/>
              <w:ind w:left="245"/>
              <w:jc w:val="left"/>
              <w:rPr>
                <w:sz w:val="16"/>
              </w:rPr>
            </w:pPr>
            <w:r>
              <w:rPr>
                <w:position w:val="6"/>
                <w:sz w:val="10"/>
              </w:rPr>
              <w:t>9***</w:t>
            </w:r>
            <w:r>
              <w:rPr>
                <w:sz w:val="16"/>
              </w:rPr>
              <w:t>Con dos rezagos con tendencia e intercepto</w:t>
            </w:r>
          </w:p>
        </w:tc>
      </w:tr>
      <w:tr>
        <w:trPr>
          <w:trHeight w:val="194" w:hRule="exact"/>
        </w:trPr>
        <w:tc>
          <w:tcPr>
            <w:tcW w:w="4636" w:type="dxa"/>
          </w:tcPr>
          <w:p>
            <w:pPr>
              <w:pStyle w:val="TableParagraph"/>
              <w:spacing w:before="3"/>
              <w:ind w:left="200"/>
              <w:jc w:val="left"/>
              <w:rPr>
                <w:sz w:val="16"/>
              </w:rPr>
            </w:pPr>
            <w:r>
              <w:rPr>
                <w:position w:val="6"/>
                <w:sz w:val="10"/>
              </w:rPr>
              <w:t>1*** </w:t>
            </w:r>
            <w:r>
              <w:rPr>
                <w:sz w:val="16"/>
              </w:rPr>
              <w:t>Con dos rezagos e intercepto</w:t>
            </w:r>
          </w:p>
        </w:tc>
        <w:tc>
          <w:tcPr>
            <w:tcW w:w="4988" w:type="dxa"/>
          </w:tcPr>
          <w:p>
            <w:pPr>
              <w:pStyle w:val="TableParagraph"/>
              <w:spacing w:before="3"/>
              <w:ind w:left="245"/>
              <w:jc w:val="left"/>
              <w:rPr>
                <w:sz w:val="16"/>
              </w:rPr>
            </w:pPr>
            <w:r>
              <w:rPr>
                <w:position w:val="6"/>
                <w:sz w:val="10"/>
              </w:rPr>
              <w:t>10</w:t>
            </w:r>
            <w:r>
              <w:rPr>
                <w:sz w:val="16"/>
              </w:rPr>
              <w:t>Con dos rezagos con tendencia e intercepto</w:t>
            </w:r>
          </w:p>
        </w:tc>
      </w:tr>
      <w:tr>
        <w:trPr>
          <w:trHeight w:val="184" w:hRule="exact"/>
        </w:trPr>
        <w:tc>
          <w:tcPr>
            <w:tcW w:w="4636" w:type="dxa"/>
          </w:tcPr>
          <w:p>
            <w:pPr>
              <w:pStyle w:val="TableParagraph"/>
              <w:spacing w:line="182" w:lineRule="exact"/>
              <w:ind w:left="200"/>
              <w:jc w:val="left"/>
              <w:rPr>
                <w:sz w:val="16"/>
              </w:rPr>
            </w:pPr>
            <w:r>
              <w:rPr>
                <w:position w:val="6"/>
                <w:sz w:val="10"/>
              </w:rPr>
              <w:t>2*** </w:t>
            </w:r>
            <w:r>
              <w:rPr>
                <w:sz w:val="16"/>
              </w:rPr>
              <w:t>Con dos rezagos e intercepto</w:t>
            </w:r>
          </w:p>
        </w:tc>
        <w:tc>
          <w:tcPr>
            <w:tcW w:w="4988" w:type="dxa"/>
          </w:tcPr>
          <w:p>
            <w:pPr>
              <w:pStyle w:val="TableParagraph"/>
              <w:spacing w:line="182" w:lineRule="exact"/>
              <w:ind w:left="245"/>
              <w:jc w:val="left"/>
              <w:rPr>
                <w:sz w:val="16"/>
              </w:rPr>
            </w:pPr>
            <w:r>
              <w:rPr>
                <w:position w:val="6"/>
                <w:sz w:val="10"/>
              </w:rPr>
              <w:t>10*</w:t>
            </w:r>
            <w:r>
              <w:rPr>
                <w:sz w:val="16"/>
              </w:rPr>
              <w:t>Con tres rezagos e intercepto</w:t>
            </w:r>
          </w:p>
        </w:tc>
      </w:tr>
      <w:tr>
        <w:trPr>
          <w:trHeight w:val="184" w:hRule="exact"/>
        </w:trPr>
        <w:tc>
          <w:tcPr>
            <w:tcW w:w="4636" w:type="dxa"/>
          </w:tcPr>
          <w:p>
            <w:pPr>
              <w:pStyle w:val="TableParagraph"/>
              <w:spacing w:line="181" w:lineRule="exact"/>
              <w:ind w:left="200"/>
              <w:jc w:val="left"/>
              <w:rPr>
                <w:sz w:val="16"/>
              </w:rPr>
            </w:pPr>
            <w:r>
              <w:rPr>
                <w:position w:val="6"/>
                <w:sz w:val="10"/>
              </w:rPr>
              <w:t>3*** </w:t>
            </w:r>
            <w:r>
              <w:rPr>
                <w:sz w:val="16"/>
              </w:rPr>
              <w:t>Con dos rezagos con tendencia e intercepto</w:t>
            </w:r>
          </w:p>
        </w:tc>
        <w:tc>
          <w:tcPr>
            <w:tcW w:w="4988" w:type="dxa"/>
          </w:tcPr>
          <w:p>
            <w:pPr>
              <w:pStyle w:val="TableParagraph"/>
              <w:spacing w:line="181" w:lineRule="exact"/>
              <w:ind w:left="245"/>
              <w:jc w:val="left"/>
              <w:rPr>
                <w:sz w:val="16"/>
              </w:rPr>
            </w:pPr>
            <w:r>
              <w:rPr>
                <w:position w:val="6"/>
                <w:sz w:val="10"/>
              </w:rPr>
              <w:t>10**</w:t>
            </w:r>
            <w:r>
              <w:rPr>
                <w:sz w:val="16"/>
              </w:rPr>
              <w:t>Con dos rezagos con tendencia e intercepto</w:t>
            </w:r>
          </w:p>
        </w:tc>
      </w:tr>
      <w:tr>
        <w:trPr>
          <w:trHeight w:val="303" w:hRule="exact"/>
        </w:trPr>
        <w:tc>
          <w:tcPr>
            <w:tcW w:w="4636" w:type="dxa"/>
          </w:tcPr>
          <w:p>
            <w:pPr>
              <w:pStyle w:val="TableParagraph"/>
              <w:spacing w:line="182" w:lineRule="exact"/>
              <w:ind w:left="200"/>
              <w:jc w:val="left"/>
              <w:rPr>
                <w:sz w:val="16"/>
              </w:rPr>
            </w:pPr>
            <w:r>
              <w:rPr>
                <w:position w:val="6"/>
                <w:sz w:val="10"/>
              </w:rPr>
              <w:t>4*** </w:t>
            </w:r>
            <w:r>
              <w:rPr>
                <w:sz w:val="16"/>
              </w:rPr>
              <w:t>Con tres rezagos con intercepto</w:t>
            </w:r>
          </w:p>
        </w:tc>
        <w:tc>
          <w:tcPr>
            <w:tcW w:w="4988" w:type="dxa"/>
          </w:tcPr>
          <w:p>
            <w:pPr>
              <w:pStyle w:val="TableParagraph"/>
              <w:spacing w:line="182" w:lineRule="exact"/>
              <w:ind w:left="245"/>
              <w:jc w:val="left"/>
              <w:rPr>
                <w:sz w:val="16"/>
              </w:rPr>
            </w:pPr>
            <w:r>
              <w:rPr>
                <w:position w:val="6"/>
                <w:sz w:val="10"/>
              </w:rPr>
              <w:t>10*** </w:t>
            </w:r>
            <w:r>
              <w:rPr>
                <w:sz w:val="16"/>
              </w:rPr>
              <w:t>Con dos rezagos con tendencia e intercepto</w:t>
            </w:r>
          </w:p>
        </w:tc>
      </w:tr>
      <w:tr>
        <w:trPr>
          <w:trHeight w:val="285" w:hRule="exact"/>
        </w:trPr>
        <w:tc>
          <w:tcPr>
            <w:tcW w:w="9624" w:type="dxa"/>
            <w:gridSpan w:val="2"/>
          </w:tcPr>
          <w:p>
            <w:pPr>
              <w:pStyle w:val="TableParagraph"/>
              <w:spacing w:before="104"/>
              <w:ind w:left="200"/>
              <w:jc w:val="left"/>
              <w:rPr>
                <w:sz w:val="16"/>
              </w:rPr>
            </w:pPr>
            <w:r>
              <w:rPr>
                <w:sz w:val="16"/>
              </w:rPr>
              <w:t>Todas la especificaciones contienen los rezagos y variables necesarias que evitan problemas de correlación serial y heteroscedasticidad.</w:t>
            </w:r>
          </w:p>
        </w:tc>
      </w:tr>
    </w:tbl>
    <w:p>
      <w:pPr>
        <w:pStyle w:val="BodyText"/>
        <w:rPr>
          <w:b/>
          <w:sz w:val="20"/>
        </w:rPr>
      </w:pPr>
    </w:p>
    <w:p>
      <w:pPr>
        <w:pStyle w:val="BodyText"/>
        <w:spacing w:before="4"/>
        <w:rPr>
          <w:b/>
          <w:sz w:val="20"/>
        </w:rPr>
      </w:pPr>
    </w:p>
    <w:p>
      <w:pPr>
        <w:pStyle w:val="BodyText"/>
        <w:spacing w:line="360" w:lineRule="auto"/>
        <w:ind w:left="542" w:right="468"/>
        <w:jc w:val="both"/>
      </w:pPr>
      <w:r>
        <w:rPr/>
        <w:t>Una vez que se conocen las características estadísticas de las series, se puede comenzar con el análisis de causalidad en sentido de Granger y con la estimación del modelo VAR.</w:t>
      </w:r>
    </w:p>
    <w:p>
      <w:pPr>
        <w:pStyle w:val="BodyText"/>
        <w:spacing w:before="7"/>
        <w:rPr>
          <w:sz w:val="21"/>
        </w:rPr>
      </w:pPr>
    </w:p>
    <w:p>
      <w:pPr>
        <w:pStyle w:val="Heading1"/>
        <w:numPr>
          <w:ilvl w:val="1"/>
          <w:numId w:val="31"/>
        </w:numPr>
        <w:tabs>
          <w:tab w:pos="963" w:val="left" w:leader="none"/>
        </w:tabs>
        <w:spacing w:line="240" w:lineRule="auto" w:before="0" w:after="0"/>
        <w:ind w:left="962" w:right="0" w:hanging="420"/>
        <w:jc w:val="both"/>
      </w:pPr>
      <w:bookmarkStart w:name="_TOC_250007" w:id="28"/>
      <w:r>
        <w:rPr/>
        <w:t>La noción de causalidad en el sentido de</w:t>
      </w:r>
      <w:r>
        <w:rPr>
          <w:spacing w:val="-9"/>
        </w:rPr>
        <w:t> </w:t>
      </w:r>
      <w:bookmarkEnd w:id="28"/>
      <w:r>
        <w:rPr/>
        <w:t>Granger</w:t>
      </w:r>
    </w:p>
    <w:p>
      <w:pPr>
        <w:pStyle w:val="BodyText"/>
        <w:spacing w:before="6"/>
        <w:rPr>
          <w:b/>
          <w:sz w:val="32"/>
        </w:rPr>
      </w:pPr>
    </w:p>
    <w:p>
      <w:pPr>
        <w:pStyle w:val="BodyText"/>
        <w:spacing w:line="360" w:lineRule="auto"/>
        <w:ind w:left="542" w:right="455"/>
        <w:jc w:val="both"/>
      </w:pPr>
      <w:r>
        <w:rPr/>
        <w:t>El enfoque más comúnmente usado para describir e inferir la dinámica o relación causal en series de tiempo está basado en el concepto de causalidad de Granger, que es una formalización</w:t>
      </w:r>
      <w:r>
        <w:rPr>
          <w:spacing w:val="-12"/>
        </w:rPr>
        <w:t> </w:t>
      </w:r>
      <w:r>
        <w:rPr/>
        <w:t>de</w:t>
      </w:r>
      <w:r>
        <w:rPr>
          <w:spacing w:val="-13"/>
        </w:rPr>
        <w:t> </w:t>
      </w:r>
      <w:r>
        <w:rPr/>
        <w:t>la</w:t>
      </w:r>
      <w:r>
        <w:rPr>
          <w:spacing w:val="-13"/>
        </w:rPr>
        <w:t> </w:t>
      </w:r>
      <w:r>
        <w:rPr/>
        <w:t>idea</w:t>
      </w:r>
      <w:r>
        <w:rPr>
          <w:spacing w:val="-13"/>
        </w:rPr>
        <w:t> </w:t>
      </w:r>
      <w:r>
        <w:rPr/>
        <w:t>de</w:t>
      </w:r>
      <w:r>
        <w:rPr>
          <w:spacing w:val="-13"/>
        </w:rPr>
        <w:t> </w:t>
      </w:r>
      <w:r>
        <w:rPr/>
        <w:t>que</w:t>
      </w:r>
      <w:r>
        <w:rPr>
          <w:spacing w:val="-10"/>
        </w:rPr>
        <w:t> </w:t>
      </w:r>
      <w:r>
        <w:rPr/>
        <w:t>el</w:t>
      </w:r>
      <w:r>
        <w:rPr>
          <w:spacing w:val="-12"/>
        </w:rPr>
        <w:t> </w:t>
      </w:r>
      <w:r>
        <w:rPr/>
        <w:t>futuro</w:t>
      </w:r>
      <w:r>
        <w:rPr>
          <w:spacing w:val="-10"/>
        </w:rPr>
        <w:t> </w:t>
      </w:r>
      <w:r>
        <w:rPr/>
        <w:t>no</w:t>
      </w:r>
      <w:r>
        <w:rPr>
          <w:spacing w:val="-12"/>
        </w:rPr>
        <w:t> </w:t>
      </w:r>
      <w:r>
        <w:rPr/>
        <w:t>puede</w:t>
      </w:r>
      <w:r>
        <w:rPr>
          <w:spacing w:val="-11"/>
        </w:rPr>
        <w:t> </w:t>
      </w:r>
      <w:r>
        <w:rPr/>
        <w:t>causar</w:t>
      </w:r>
      <w:r>
        <w:rPr>
          <w:spacing w:val="-11"/>
        </w:rPr>
        <w:t> </w:t>
      </w:r>
      <w:r>
        <w:rPr/>
        <w:t>el</w:t>
      </w:r>
      <w:r>
        <w:rPr>
          <w:spacing w:val="-12"/>
        </w:rPr>
        <w:t> </w:t>
      </w:r>
      <w:r>
        <w:rPr/>
        <w:t>pasado.</w:t>
      </w:r>
      <w:r>
        <w:rPr>
          <w:spacing w:val="-12"/>
        </w:rPr>
        <w:t> </w:t>
      </w:r>
      <w:r>
        <w:rPr/>
        <w:t>Está</w:t>
      </w:r>
      <w:r>
        <w:rPr>
          <w:spacing w:val="-13"/>
        </w:rPr>
        <w:t> </w:t>
      </w:r>
      <w:r>
        <w:rPr/>
        <w:t>definida</w:t>
      </w:r>
      <w:r>
        <w:rPr>
          <w:spacing w:val="-13"/>
        </w:rPr>
        <w:t> </w:t>
      </w:r>
      <w:r>
        <w:rPr/>
        <w:t>en</w:t>
      </w:r>
      <w:r>
        <w:rPr>
          <w:spacing w:val="-12"/>
        </w:rPr>
        <w:t> </w:t>
      </w:r>
      <w:r>
        <w:rPr/>
        <w:t>términos de</w:t>
      </w:r>
      <w:r>
        <w:rPr>
          <w:spacing w:val="-5"/>
        </w:rPr>
        <w:t> </w:t>
      </w:r>
      <w:r>
        <w:rPr/>
        <w:t>poder</w:t>
      </w:r>
      <w:r>
        <w:rPr>
          <w:spacing w:val="-5"/>
        </w:rPr>
        <w:t> </w:t>
      </w:r>
      <w:r>
        <w:rPr/>
        <w:t>predictivo;</w:t>
      </w:r>
      <w:r>
        <w:rPr>
          <w:spacing w:val="-3"/>
        </w:rPr>
        <w:t> </w:t>
      </w:r>
      <w:r>
        <w:rPr/>
        <w:t>es</w:t>
      </w:r>
      <w:r>
        <w:rPr>
          <w:spacing w:val="-4"/>
        </w:rPr>
        <w:t> </w:t>
      </w:r>
      <w:r>
        <w:rPr/>
        <w:t>decir,</w:t>
      </w:r>
      <w:r>
        <w:rPr>
          <w:spacing w:val="-4"/>
        </w:rPr>
        <w:t> </w:t>
      </w:r>
      <w:r>
        <w:rPr/>
        <w:t>una</w:t>
      </w:r>
      <w:r>
        <w:rPr>
          <w:spacing w:val="-5"/>
        </w:rPr>
        <w:t> </w:t>
      </w:r>
      <w:r>
        <w:rPr/>
        <w:t>variable</w:t>
      </w:r>
      <w:r>
        <w:rPr>
          <w:spacing w:val="-4"/>
        </w:rPr>
        <w:t> </w:t>
      </w:r>
      <w:r>
        <w:rPr/>
        <w:t>X</w:t>
      </w:r>
      <w:r>
        <w:rPr>
          <w:spacing w:val="-3"/>
        </w:rPr>
        <w:t> </w:t>
      </w:r>
      <w:r>
        <w:rPr/>
        <w:t>causa</w:t>
      </w:r>
      <w:r>
        <w:rPr>
          <w:spacing w:val="-5"/>
        </w:rPr>
        <w:t> </w:t>
      </w:r>
      <w:r>
        <w:rPr/>
        <w:t>una</w:t>
      </w:r>
      <w:r>
        <w:rPr>
          <w:spacing w:val="-5"/>
        </w:rPr>
        <w:t> </w:t>
      </w:r>
      <w:r>
        <w:rPr/>
        <w:t>variable</w:t>
      </w:r>
      <w:r>
        <w:rPr>
          <w:spacing w:val="-1"/>
        </w:rPr>
        <w:t> </w:t>
      </w:r>
      <w:r>
        <w:rPr/>
        <w:t>Y</w:t>
      </w:r>
      <w:r>
        <w:rPr>
          <w:spacing w:val="-5"/>
        </w:rPr>
        <w:t> </w:t>
      </w:r>
      <w:r>
        <w:rPr/>
        <w:t>si</w:t>
      </w:r>
      <w:r>
        <w:rPr>
          <w:spacing w:val="-3"/>
        </w:rPr>
        <w:t> </w:t>
      </w:r>
      <w:r>
        <w:rPr/>
        <w:t>los</w:t>
      </w:r>
      <w:r>
        <w:rPr>
          <w:spacing w:val="-3"/>
        </w:rPr>
        <w:t> </w:t>
      </w:r>
      <w:r>
        <w:rPr/>
        <w:t>valores</w:t>
      </w:r>
      <w:r>
        <w:rPr>
          <w:spacing w:val="-4"/>
        </w:rPr>
        <w:t> </w:t>
      </w:r>
      <w:r>
        <w:rPr/>
        <w:t>presentes</w:t>
      </w:r>
      <w:r>
        <w:rPr>
          <w:spacing w:val="-4"/>
        </w:rPr>
        <w:t> </w:t>
      </w:r>
      <w:r>
        <w:rPr/>
        <w:t>de</w:t>
      </w:r>
    </w:p>
    <w:p>
      <w:pPr>
        <w:spacing w:after="0" w:line="360" w:lineRule="auto"/>
        <w:jc w:val="both"/>
        <w:sectPr>
          <w:pgSz w:w="12240" w:h="15840"/>
          <w:pgMar w:header="0" w:footer="1035" w:top="1360" w:bottom="1220" w:left="1160" w:right="1240"/>
        </w:sectPr>
      </w:pPr>
    </w:p>
    <w:p>
      <w:pPr>
        <w:pStyle w:val="BodyText"/>
        <w:spacing w:line="360" w:lineRule="auto" w:before="50"/>
        <w:ind w:left="102" w:right="116"/>
        <w:jc w:val="both"/>
      </w:pPr>
      <w:r>
        <w:rPr/>
        <w:t>Y se pueden predecir mejor con los valores pasados de X que sin usar estos últimos (Muñoz y Vindas, 1995).</w:t>
      </w:r>
    </w:p>
    <w:p>
      <w:pPr>
        <w:pStyle w:val="BodyText"/>
        <w:spacing w:before="2"/>
        <w:rPr>
          <w:sz w:val="21"/>
        </w:rPr>
      </w:pPr>
    </w:p>
    <w:p>
      <w:pPr>
        <w:pStyle w:val="BodyText"/>
        <w:spacing w:line="360" w:lineRule="auto"/>
        <w:ind w:left="102" w:right="117"/>
        <w:jc w:val="both"/>
      </w:pPr>
      <w:r>
        <w:rPr/>
        <w:t>El hecho de que exista cointegración entre series I(1), sólo indica asociación de largo plazo entre ellas, pero no refiere a la relación de causalidad. Por ello, la prueba de causalidad de Granger busca determinar estadísticamente si el pasado de la variable </w:t>
      </w:r>
      <w:r>
        <w:rPr>
          <w:rFonts w:ascii="Cambria Math" w:hAnsi="Cambria Math" w:eastAsia="Cambria Math"/>
        </w:rPr>
        <w:t>� </w:t>
      </w:r>
      <w:r>
        <w:rPr/>
        <w:t>contiene información que preceda al comportamiento de la variable </w:t>
      </w:r>
      <w:r>
        <w:rPr>
          <w:rFonts w:ascii="Cambria Math" w:hAnsi="Cambria Math" w:eastAsia="Cambria Math"/>
        </w:rPr>
        <w:t>� </w:t>
      </w:r>
      <w:r>
        <w:rPr/>
        <w:t>y que, por tanto, contribuya a explicarla. Para tal efecto se utiliza el siguiente modelo (Loría, 2007):</w:t>
      </w:r>
    </w:p>
    <w:p>
      <w:pPr>
        <w:spacing w:after="0" w:line="360" w:lineRule="auto"/>
        <w:jc w:val="both"/>
        <w:sectPr>
          <w:pgSz w:w="12240" w:h="15840"/>
          <w:pgMar w:header="0" w:footer="1035" w:top="1360" w:bottom="1220" w:left="1600" w:right="1580"/>
        </w:sectPr>
      </w:pPr>
    </w:p>
    <w:p>
      <w:pPr>
        <w:spacing w:line="194" w:lineRule="exact" w:before="0"/>
        <w:ind w:left="0" w:right="444" w:firstLine="0"/>
        <w:jc w:val="right"/>
        <w:rPr>
          <w:rFonts w:ascii="Cambria Math" w:eastAsia="Cambria Math"/>
          <w:sz w:val="17"/>
        </w:rPr>
      </w:pPr>
      <w:r>
        <w:rPr>
          <w:rFonts w:ascii="Cambria Math" w:eastAsia="Cambria Math"/>
          <w:w w:val="92"/>
          <w:sz w:val="17"/>
        </w:rPr>
        <w:t>�</w:t>
      </w:r>
    </w:p>
    <w:p>
      <w:pPr>
        <w:spacing w:before="91"/>
        <w:ind w:left="831" w:right="0" w:firstLine="0"/>
        <w:jc w:val="left"/>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𝑡 </w:t>
      </w:r>
      <w:r>
        <w:rPr>
          <w:rFonts w:ascii="Cambria Math" w:hAnsi="Cambria Math" w:eastAsia="Cambria Math"/>
          <w:sz w:val="24"/>
        </w:rPr>
        <w:t>= �</w:t>
      </w:r>
      <w:r>
        <w:rPr>
          <w:rFonts w:ascii="Cambria Math" w:hAnsi="Cambria Math" w:eastAsia="Cambria Math"/>
          <w:position w:val="-4"/>
          <w:sz w:val="17"/>
        </w:rPr>
        <w:t>0 </w:t>
      </w:r>
      <w:r>
        <w:rPr>
          <w:rFonts w:ascii="Cambria Math" w:hAnsi="Cambria Math" w:eastAsia="Cambria Math"/>
          <w:sz w:val="24"/>
        </w:rPr>
        <w:t>+ </w:t>
      </w:r>
      <w:r>
        <w:rPr>
          <w:rFonts w:ascii="Cambria Math" w:hAnsi="Cambria Math" w:eastAsia="Cambria Math"/>
          <w:w w:val="165"/>
          <w:sz w:val="24"/>
        </w:rPr>
        <w:t>∑ </w:t>
      </w:r>
      <w:r>
        <w:rPr>
          <w:rFonts w:ascii="Cambria Math" w:hAnsi="Cambria Math" w:eastAsia="Cambria Math"/>
          <w:sz w:val="24"/>
        </w:rPr>
        <w:t>�</w:t>
      </w:r>
      <w:r>
        <w:rPr>
          <w:rFonts w:ascii="Cambria Math" w:hAnsi="Cambria Math" w:eastAsia="Cambria Math"/>
          <w:position w:val="-4"/>
          <w:sz w:val="17"/>
        </w:rPr>
        <w:t>1�</w:t>
      </w:r>
    </w:p>
    <w:p>
      <w:pPr>
        <w:spacing w:before="58"/>
        <w:ind w:left="0" w:right="350" w:firstLine="0"/>
        <w:jc w:val="right"/>
        <w:rPr>
          <w:rFonts w:ascii="Cambria Math" w:eastAsia="Cambria Math"/>
          <w:sz w:val="17"/>
        </w:rPr>
      </w:pPr>
      <w:r>
        <w:rPr>
          <w:rFonts w:ascii="Cambria Math" w:eastAsia="Cambria Math"/>
          <w:w w:val="85"/>
          <w:sz w:val="17"/>
        </w:rPr>
        <w:t>�=1</w:t>
      </w:r>
    </w:p>
    <w:p>
      <w:pPr>
        <w:spacing w:line="194" w:lineRule="exact" w:before="0"/>
        <w:ind w:left="889" w:right="1523" w:firstLine="0"/>
        <w:jc w:val="center"/>
        <w:rPr>
          <w:rFonts w:ascii="Cambria Math" w:eastAsia="Cambria Math"/>
          <w:sz w:val="17"/>
        </w:rPr>
      </w:pPr>
      <w:r>
        <w:rPr/>
        <w:br w:type="column"/>
      </w:r>
      <w:r>
        <w:rPr>
          <w:rFonts w:ascii="Cambria Math" w:eastAsia="Cambria Math"/>
          <w:sz w:val="17"/>
        </w:rPr>
        <w:t>�</w:t>
      </w:r>
    </w:p>
    <w:p>
      <w:pPr>
        <w:spacing w:before="89"/>
        <w:ind w:left="68" w:right="0" w:firstLine="0"/>
        <w:jc w:val="left"/>
        <w:rPr>
          <w:rFonts w:ascii="Cambria Math" w:hAnsi="Cambria Math" w:eastAsia="Cambria Math"/>
          <w:sz w:val="17"/>
        </w:rPr>
      </w:pPr>
      <w:r>
        <w:rPr>
          <w:rFonts w:ascii="Cambria Math" w:hAnsi="Cambria Math" w:eastAsia="Cambria Math"/>
          <w:w w:val="100"/>
          <w:position w:val="5"/>
          <w:sz w:val="24"/>
        </w:rPr>
        <w:t>Δ</w:t>
      </w:r>
      <w:r>
        <w:rPr>
          <w:rFonts w:ascii="Cambria Math" w:hAnsi="Cambria Math" w:eastAsia="Cambria Math"/>
          <w:w w:val="85"/>
          <w:position w:val="5"/>
          <w:sz w:val="24"/>
        </w:rPr>
        <w:t>�</w:t>
      </w:r>
      <w:r>
        <w:rPr>
          <w:rFonts w:ascii="Cambria Math" w:hAnsi="Cambria Math" w:eastAsia="Cambria Math"/>
          <w:w w:val="111"/>
          <w:sz w:val="17"/>
        </w:rPr>
        <w:t>𝑡</w:t>
      </w:r>
      <w:r>
        <w:rPr>
          <w:rFonts w:ascii="Cambria Math" w:hAnsi="Cambria Math" w:eastAsia="Cambria Math"/>
          <w:w w:val="97"/>
          <w:sz w:val="17"/>
        </w:rPr>
        <w:t>−</w:t>
      </w:r>
      <w:r>
        <w:rPr>
          <w:rFonts w:ascii="Cambria Math" w:hAnsi="Cambria Math" w:eastAsia="Cambria Math"/>
          <w:w w:val="53"/>
          <w:sz w:val="17"/>
        </w:rPr>
        <w:t>�</w:t>
      </w:r>
      <w:r>
        <w:rPr>
          <w:rFonts w:ascii="Cambria Math" w:hAnsi="Cambria Math" w:eastAsia="Cambria Math"/>
          <w:sz w:val="17"/>
        </w:rPr>
        <w:t>   </w:t>
      </w:r>
      <w:r>
        <w:rPr>
          <w:rFonts w:ascii="Cambria Math" w:hAnsi="Cambria Math" w:eastAsia="Cambria Math"/>
          <w:position w:val="5"/>
          <w:sz w:val="24"/>
        </w:rPr>
        <w:t>+ </w:t>
      </w:r>
      <w:r>
        <w:rPr>
          <w:rFonts w:ascii="Cambria Math" w:hAnsi="Cambria Math" w:eastAsia="Cambria Math"/>
          <w:w w:val="187"/>
          <w:position w:val="5"/>
          <w:sz w:val="24"/>
        </w:rPr>
        <w:t>∑</w:t>
      </w:r>
      <w:r>
        <w:rPr>
          <w:rFonts w:ascii="Cambria Math" w:hAnsi="Cambria Math" w:eastAsia="Cambria Math"/>
          <w:position w:val="5"/>
          <w:sz w:val="24"/>
        </w:rPr>
        <w:t> </w:t>
      </w:r>
      <w:r>
        <w:rPr>
          <w:rFonts w:ascii="Cambria Math" w:hAnsi="Cambria Math" w:eastAsia="Cambria Math"/>
          <w:w w:val="91"/>
          <w:position w:val="5"/>
          <w:sz w:val="24"/>
        </w:rPr>
        <w:t>�</w:t>
      </w:r>
      <w:r>
        <w:rPr>
          <w:rFonts w:ascii="Cambria Math" w:hAnsi="Cambria Math" w:eastAsia="Cambria Math"/>
          <w:w w:val="104"/>
          <w:sz w:val="17"/>
        </w:rPr>
        <w:t>2</w:t>
      </w:r>
      <w:r>
        <w:rPr>
          <w:rFonts w:ascii="Cambria Math" w:hAnsi="Cambria Math" w:eastAsia="Cambria Math"/>
          <w:w w:val="53"/>
          <w:sz w:val="17"/>
        </w:rPr>
        <w:t>�</w:t>
      </w:r>
      <w:r>
        <w:rPr>
          <w:rFonts w:ascii="Cambria Math" w:hAnsi="Cambria Math" w:eastAsia="Cambria Math"/>
          <w:sz w:val="17"/>
        </w:rPr>
        <w:t> </w:t>
      </w:r>
      <w:r>
        <w:rPr>
          <w:rFonts w:ascii="Cambria Math" w:hAnsi="Cambria Math" w:eastAsia="Cambria Math"/>
          <w:w w:val="100"/>
          <w:position w:val="5"/>
          <w:sz w:val="24"/>
        </w:rPr>
        <w:t>Δ</w:t>
      </w:r>
      <w:r>
        <w:rPr>
          <w:rFonts w:ascii="Cambria Math" w:hAnsi="Cambria Math" w:eastAsia="Cambria Math"/>
          <w:w w:val="85"/>
          <w:position w:val="5"/>
          <w:sz w:val="24"/>
        </w:rPr>
        <w:t>�</w:t>
      </w:r>
      <w:r>
        <w:rPr>
          <w:rFonts w:ascii="Cambria Math" w:hAnsi="Cambria Math" w:eastAsia="Cambria Math"/>
          <w:w w:val="111"/>
          <w:sz w:val="17"/>
        </w:rPr>
        <w:t>𝑡</w:t>
      </w:r>
      <w:r>
        <w:rPr>
          <w:rFonts w:ascii="Cambria Math" w:hAnsi="Cambria Math" w:eastAsia="Cambria Math"/>
          <w:w w:val="97"/>
          <w:sz w:val="17"/>
        </w:rPr>
        <w:t>−</w:t>
      </w:r>
      <w:r>
        <w:rPr>
          <w:rFonts w:ascii="Cambria Math" w:hAnsi="Cambria Math" w:eastAsia="Cambria Math"/>
          <w:w w:val="53"/>
          <w:sz w:val="17"/>
        </w:rPr>
        <w:t>�</w:t>
      </w:r>
      <w:r>
        <w:rPr>
          <w:rFonts w:ascii="Cambria Math" w:hAnsi="Cambria Math" w:eastAsia="Cambria Math"/>
          <w:sz w:val="17"/>
        </w:rPr>
        <w:t>   </w:t>
      </w:r>
      <w:r>
        <w:rPr>
          <w:rFonts w:ascii="Cambria Math" w:hAnsi="Cambria Math" w:eastAsia="Cambria Math"/>
          <w:position w:val="5"/>
          <w:sz w:val="24"/>
        </w:rPr>
        <w:t>+ �</w:t>
      </w:r>
      <w:r>
        <w:rPr>
          <w:rFonts w:ascii="Cambria Math" w:hAnsi="Cambria Math" w:eastAsia="Cambria Math"/>
          <w:sz w:val="17"/>
        </w:rPr>
        <w:t>1𝑡</w:t>
      </w:r>
    </w:p>
    <w:p>
      <w:pPr>
        <w:spacing w:before="60"/>
        <w:ind w:left="895" w:right="1523" w:firstLine="0"/>
        <w:jc w:val="center"/>
        <w:rPr>
          <w:rFonts w:ascii="Cambria Math" w:eastAsia="Cambria Math"/>
          <w:sz w:val="17"/>
        </w:rPr>
      </w:pPr>
      <w:r>
        <w:rPr>
          <w:rFonts w:ascii="Cambria Math" w:eastAsia="Cambria Math"/>
          <w:w w:val="95"/>
          <w:sz w:val="17"/>
        </w:rPr>
        <w:t>�=1</w:t>
      </w:r>
    </w:p>
    <w:p>
      <w:pPr>
        <w:pStyle w:val="BodyText"/>
        <w:spacing w:before="4"/>
        <w:rPr>
          <w:rFonts w:ascii="Cambria Math"/>
        </w:rPr>
      </w:pPr>
      <w:r>
        <w:rPr/>
        <w:br w:type="column"/>
      </w:r>
      <w:r>
        <w:rPr>
          <w:rFonts w:ascii="Cambria Math"/>
        </w:rPr>
      </w:r>
    </w:p>
    <w:p>
      <w:pPr>
        <w:pStyle w:val="BodyText"/>
        <w:ind w:left="812" w:right="826"/>
        <w:jc w:val="center"/>
        <w:rPr>
          <w:rFonts w:ascii="Cambria Math"/>
        </w:rPr>
      </w:pPr>
      <w:r>
        <w:rPr>
          <w:rFonts w:ascii="Cambria Math"/>
        </w:rPr>
        <w:t>(1)</w:t>
      </w:r>
    </w:p>
    <w:p>
      <w:pPr>
        <w:spacing w:after="0"/>
        <w:jc w:val="center"/>
        <w:rPr>
          <w:rFonts w:ascii="Cambria Math"/>
        </w:rPr>
        <w:sectPr>
          <w:type w:val="continuous"/>
          <w:pgSz w:w="12240" w:h="15840"/>
          <w:pgMar w:top="1060" w:bottom="280" w:left="1600" w:right="1580"/>
          <w:cols w:num="3" w:equalWidth="0">
            <w:col w:w="2789" w:space="40"/>
            <w:col w:w="2830" w:space="1390"/>
            <w:col w:w="2011"/>
          </w:cols>
        </w:sectPr>
      </w:pPr>
    </w:p>
    <w:p>
      <w:pPr>
        <w:pStyle w:val="BodyText"/>
        <w:rPr>
          <w:rFonts w:ascii="Cambria Math"/>
          <w:sz w:val="20"/>
        </w:rPr>
      </w:pPr>
    </w:p>
    <w:p>
      <w:pPr>
        <w:pStyle w:val="BodyText"/>
        <w:spacing w:before="10"/>
        <w:rPr>
          <w:rFonts w:ascii="Cambria Math"/>
          <w:sz w:val="16"/>
        </w:rPr>
      </w:pPr>
    </w:p>
    <w:p>
      <w:pPr>
        <w:tabs>
          <w:tab w:pos="3702" w:val="left" w:leader="none"/>
        </w:tabs>
        <w:spacing w:before="72"/>
        <w:ind w:left="2108" w:right="119" w:firstLine="0"/>
        <w:jc w:val="left"/>
        <w:rPr>
          <w:rFonts w:ascii="Cambria Math" w:eastAsia="Cambria Math"/>
          <w:sz w:val="17"/>
        </w:rPr>
      </w:pPr>
      <w:r>
        <w:rPr>
          <w:rFonts w:ascii="Cambria Math" w:eastAsia="Cambria Math"/>
          <w:sz w:val="17"/>
        </w:rPr>
        <w:t>�</w:t>
        <w:tab/>
        <w:t>�</w:t>
      </w:r>
    </w:p>
    <w:p>
      <w:pPr>
        <w:tabs>
          <w:tab w:pos="7877" w:val="left" w:leader="none"/>
        </w:tabs>
        <w:spacing w:before="91"/>
        <w:ind w:left="622" w:right="119" w:firstLine="0"/>
        <w:jc w:val="left"/>
        <w:rPr>
          <w:rFonts w:ascii="Cambria Math" w:hAnsi="Cambria Math" w:eastAsia="Cambria Math"/>
          <w:sz w:val="24"/>
        </w:rPr>
      </w:pPr>
      <w:r>
        <w:rPr>
          <w:rFonts w:ascii="Cambria Math" w:hAnsi="Cambria Math" w:eastAsia="Cambria Math"/>
          <w:w w:val="105"/>
          <w:sz w:val="24"/>
        </w:rPr>
        <w:t>Δ�</w:t>
      </w:r>
      <w:r>
        <w:rPr>
          <w:rFonts w:ascii="Cambria Math" w:hAnsi="Cambria Math" w:eastAsia="Cambria Math"/>
          <w:w w:val="105"/>
          <w:position w:val="-4"/>
          <w:sz w:val="17"/>
        </w:rPr>
        <w:t>𝑡</w:t>
      </w:r>
      <w:r>
        <w:rPr>
          <w:rFonts w:ascii="Cambria Math" w:hAnsi="Cambria Math" w:eastAsia="Cambria Math"/>
          <w:spacing w:val="4"/>
          <w:w w:val="105"/>
          <w:position w:val="-4"/>
          <w:sz w:val="17"/>
        </w:rPr>
        <w:t> </w:t>
      </w:r>
      <w:r>
        <w:rPr>
          <w:rFonts w:ascii="Cambria Math" w:hAnsi="Cambria Math" w:eastAsia="Cambria Math"/>
          <w:w w:val="105"/>
          <w:sz w:val="24"/>
        </w:rPr>
        <w:t>=</w:t>
      </w:r>
      <w:r>
        <w:rPr>
          <w:rFonts w:ascii="Cambria Math" w:hAnsi="Cambria Math" w:eastAsia="Cambria Math"/>
          <w:spacing w:val="-12"/>
          <w:w w:val="105"/>
          <w:sz w:val="24"/>
        </w:rPr>
        <w:t> </w:t>
      </w:r>
      <w:r>
        <w:rPr>
          <w:rFonts w:ascii="Cambria Math" w:hAnsi="Cambria Math" w:eastAsia="Cambria Math"/>
          <w:spacing w:val="-7"/>
          <w:w w:val="105"/>
          <w:sz w:val="24"/>
        </w:rPr>
        <w:t>�</w:t>
      </w:r>
      <w:r>
        <w:rPr>
          <w:rFonts w:ascii="Cambria Math" w:hAnsi="Cambria Math" w:eastAsia="Cambria Math"/>
          <w:spacing w:val="-7"/>
          <w:w w:val="105"/>
          <w:position w:val="-4"/>
          <w:sz w:val="17"/>
        </w:rPr>
        <w:t>�</w:t>
      </w:r>
      <w:r>
        <w:rPr>
          <w:rFonts w:ascii="Cambria Math" w:hAnsi="Cambria Math" w:eastAsia="Cambria Math"/>
          <w:spacing w:val="-1"/>
          <w:w w:val="105"/>
          <w:position w:val="-4"/>
          <w:sz w:val="17"/>
        </w:rPr>
        <w:t> </w:t>
      </w:r>
      <w:r>
        <w:rPr>
          <w:rFonts w:ascii="Cambria Math" w:hAnsi="Cambria Math" w:eastAsia="Cambria Math"/>
          <w:w w:val="105"/>
          <w:sz w:val="24"/>
        </w:rPr>
        <w:t>+</w:t>
      </w:r>
      <w:r>
        <w:rPr>
          <w:rFonts w:ascii="Cambria Math" w:hAnsi="Cambria Math" w:eastAsia="Cambria Math"/>
          <w:spacing w:val="-16"/>
          <w:w w:val="105"/>
          <w:sz w:val="24"/>
        </w:rPr>
        <w:t> </w:t>
      </w:r>
      <w:r>
        <w:rPr>
          <w:rFonts w:ascii="Cambria Math" w:hAnsi="Cambria Math" w:eastAsia="Cambria Math"/>
          <w:w w:val="160"/>
          <w:sz w:val="24"/>
        </w:rPr>
        <w:t>∑</w:t>
      </w:r>
      <w:r>
        <w:rPr>
          <w:rFonts w:ascii="Cambria Math" w:hAnsi="Cambria Math" w:eastAsia="Cambria Math"/>
          <w:spacing w:val="-70"/>
          <w:w w:val="160"/>
          <w:sz w:val="24"/>
        </w:rPr>
        <w:t> </w:t>
      </w:r>
      <w:r>
        <w:rPr>
          <w:rFonts w:ascii="Cambria Math" w:hAnsi="Cambria Math" w:eastAsia="Cambria Math"/>
          <w:spacing w:val="-7"/>
          <w:w w:val="105"/>
          <w:sz w:val="24"/>
        </w:rPr>
        <w:t>�</w:t>
      </w:r>
      <w:r>
        <w:rPr>
          <w:rFonts w:ascii="Cambria Math" w:hAnsi="Cambria Math" w:eastAsia="Cambria Math"/>
          <w:spacing w:val="-7"/>
          <w:w w:val="105"/>
          <w:position w:val="-4"/>
          <w:sz w:val="17"/>
        </w:rPr>
        <w:t>1�</w:t>
      </w:r>
      <w:r>
        <w:rPr>
          <w:rFonts w:ascii="Cambria Math" w:hAnsi="Cambria Math" w:eastAsia="Cambria Math"/>
          <w:spacing w:val="-21"/>
          <w:w w:val="105"/>
          <w:position w:val="-4"/>
          <w:sz w:val="17"/>
        </w:rPr>
        <w:t> </w:t>
      </w:r>
      <w:r>
        <w:rPr>
          <w:rFonts w:ascii="Cambria Math" w:hAnsi="Cambria Math" w:eastAsia="Cambria Math"/>
          <w:w w:val="105"/>
          <w:sz w:val="24"/>
        </w:rPr>
        <w:t>Δy</w:t>
      </w:r>
      <w:r>
        <w:rPr>
          <w:rFonts w:ascii="Cambria Math" w:hAnsi="Cambria Math" w:eastAsia="Cambria Math"/>
          <w:w w:val="105"/>
          <w:position w:val="-4"/>
          <w:sz w:val="17"/>
        </w:rPr>
        <w:t>𝑡−1</w:t>
      </w:r>
      <w:r>
        <w:rPr>
          <w:rFonts w:ascii="Cambria Math" w:hAnsi="Cambria Math" w:eastAsia="Cambria Math"/>
          <w:spacing w:val="-2"/>
          <w:w w:val="105"/>
          <w:position w:val="-4"/>
          <w:sz w:val="17"/>
        </w:rPr>
        <w:t> </w:t>
      </w:r>
      <w:r>
        <w:rPr>
          <w:rFonts w:ascii="Cambria Math" w:hAnsi="Cambria Math" w:eastAsia="Cambria Math"/>
          <w:w w:val="105"/>
          <w:sz w:val="24"/>
        </w:rPr>
        <w:t>+</w:t>
      </w:r>
      <w:r>
        <w:rPr>
          <w:rFonts w:ascii="Cambria Math" w:hAnsi="Cambria Math" w:eastAsia="Cambria Math"/>
          <w:spacing w:val="-36"/>
          <w:w w:val="105"/>
          <w:sz w:val="24"/>
        </w:rPr>
        <w:t> </w:t>
      </w:r>
      <w:r>
        <w:rPr>
          <w:rFonts w:ascii="Cambria Math" w:hAnsi="Cambria Math" w:eastAsia="Cambria Math"/>
          <w:w w:val="160"/>
          <w:sz w:val="24"/>
        </w:rPr>
        <w:t>∑</w:t>
      </w:r>
      <w:r>
        <w:rPr>
          <w:rFonts w:ascii="Cambria Math" w:hAnsi="Cambria Math" w:eastAsia="Cambria Math"/>
          <w:spacing w:val="-70"/>
          <w:w w:val="160"/>
          <w:sz w:val="24"/>
        </w:rPr>
        <w:t> </w:t>
      </w:r>
      <w:r>
        <w:rPr>
          <w:rFonts w:ascii="Cambria Math" w:hAnsi="Cambria Math" w:eastAsia="Cambria Math"/>
          <w:spacing w:val="-5"/>
          <w:w w:val="105"/>
          <w:sz w:val="24"/>
        </w:rPr>
        <w:t>�</w:t>
      </w:r>
      <w:r>
        <w:rPr>
          <w:rFonts w:ascii="Cambria Math" w:hAnsi="Cambria Math" w:eastAsia="Cambria Math"/>
          <w:spacing w:val="-5"/>
          <w:w w:val="105"/>
          <w:position w:val="-4"/>
          <w:sz w:val="17"/>
        </w:rPr>
        <w:t>2�</w:t>
      </w:r>
      <w:r>
        <w:rPr>
          <w:rFonts w:ascii="Cambria Math" w:hAnsi="Cambria Math" w:eastAsia="Cambria Math"/>
          <w:w w:val="105"/>
          <w:position w:val="-4"/>
          <w:sz w:val="17"/>
        </w:rPr>
        <w:t> </w:t>
      </w:r>
      <w:r>
        <w:rPr>
          <w:rFonts w:ascii="Cambria Math" w:hAnsi="Cambria Math" w:eastAsia="Cambria Math"/>
          <w:w w:val="105"/>
          <w:sz w:val="24"/>
        </w:rPr>
        <w:t>Δ�</w:t>
      </w:r>
      <w:r>
        <w:rPr>
          <w:rFonts w:ascii="Cambria Math" w:hAnsi="Cambria Math" w:eastAsia="Cambria Math"/>
          <w:spacing w:val="-34"/>
          <w:w w:val="105"/>
          <w:sz w:val="24"/>
        </w:rPr>
        <w:t> </w:t>
      </w:r>
      <w:r>
        <w:rPr>
          <w:rFonts w:ascii="Cambria Math" w:hAnsi="Cambria Math" w:eastAsia="Cambria Math"/>
          <w:w w:val="105"/>
          <w:position w:val="-4"/>
          <w:sz w:val="17"/>
        </w:rPr>
        <w:t>𝑡−1</w:t>
      </w:r>
      <w:r>
        <w:rPr>
          <w:rFonts w:ascii="Cambria Math" w:hAnsi="Cambria Math" w:eastAsia="Cambria Math"/>
          <w:spacing w:val="3"/>
          <w:w w:val="105"/>
          <w:position w:val="-4"/>
          <w:sz w:val="17"/>
        </w:rPr>
        <w:t> </w:t>
      </w:r>
      <w:r>
        <w:rPr>
          <w:rFonts w:ascii="Cambria Math" w:hAnsi="Cambria Math" w:eastAsia="Cambria Math"/>
          <w:w w:val="105"/>
          <w:sz w:val="24"/>
        </w:rPr>
        <w:t>+</w:t>
      </w:r>
      <w:r>
        <w:rPr>
          <w:rFonts w:ascii="Cambria Math" w:hAnsi="Cambria Math" w:eastAsia="Cambria Math"/>
          <w:spacing w:val="-36"/>
          <w:w w:val="105"/>
          <w:sz w:val="24"/>
        </w:rPr>
        <w:t> </w:t>
      </w:r>
      <w:r>
        <w:rPr>
          <w:rFonts w:ascii="Cambria Math" w:hAnsi="Cambria Math" w:eastAsia="Cambria Math"/>
          <w:w w:val="105"/>
          <w:sz w:val="24"/>
        </w:rPr>
        <w:t>�</w:t>
      </w:r>
      <w:r>
        <w:rPr>
          <w:rFonts w:ascii="Cambria Math" w:hAnsi="Cambria Math" w:eastAsia="Cambria Math"/>
          <w:w w:val="105"/>
          <w:position w:val="-4"/>
          <w:sz w:val="17"/>
        </w:rPr>
        <w:t>2𝑡</w:t>
        <w:tab/>
      </w:r>
      <w:r>
        <w:rPr>
          <w:rFonts w:ascii="Cambria Math" w:hAnsi="Cambria Math" w:eastAsia="Cambria Math"/>
          <w:w w:val="105"/>
          <w:sz w:val="24"/>
        </w:rPr>
        <w:t>(2)</w:t>
      </w:r>
    </w:p>
    <w:p>
      <w:pPr>
        <w:tabs>
          <w:tab w:pos="3611" w:val="left" w:leader="none"/>
        </w:tabs>
        <w:spacing w:before="58"/>
        <w:ind w:left="2017" w:right="119" w:firstLine="0"/>
        <w:jc w:val="left"/>
        <w:rPr>
          <w:rFonts w:ascii="Cambria Math" w:eastAsia="Cambria Math"/>
          <w:sz w:val="17"/>
        </w:rPr>
      </w:pPr>
      <w:r>
        <w:rPr>
          <w:rFonts w:ascii="Cambria Math" w:eastAsia="Cambria Math"/>
          <w:spacing w:val="2"/>
          <w:w w:val="95"/>
          <w:sz w:val="17"/>
        </w:rPr>
        <w:t>�=1</w:t>
        <w:tab/>
      </w:r>
      <w:r>
        <w:rPr>
          <w:rFonts w:ascii="Cambria Math" w:eastAsia="Cambria Math"/>
          <w:w w:val="95"/>
          <w:sz w:val="17"/>
        </w:rPr>
        <w:t>�=1</w:t>
      </w:r>
    </w:p>
    <w:p>
      <w:pPr>
        <w:pStyle w:val="BodyText"/>
        <w:rPr>
          <w:rFonts w:ascii="Cambria Math"/>
          <w:sz w:val="20"/>
        </w:rPr>
      </w:pPr>
    </w:p>
    <w:p>
      <w:pPr>
        <w:pStyle w:val="BodyText"/>
        <w:spacing w:before="4"/>
        <w:rPr>
          <w:rFonts w:ascii="Cambria Math"/>
          <w:sz w:val="18"/>
        </w:rPr>
      </w:pPr>
    </w:p>
    <w:p>
      <w:pPr>
        <w:pStyle w:val="BodyText"/>
        <w:spacing w:line="331" w:lineRule="auto" w:before="65"/>
        <w:ind w:left="102" w:right="120"/>
        <w:jc w:val="both"/>
      </w:pPr>
      <w:r>
        <w:rPr/>
        <w:t>En (1) se busca probar la significancia estadística de las </w:t>
      </w:r>
      <w:r>
        <w:rPr>
          <w:rFonts w:ascii="Cambria Math" w:hAnsi="Cambria Math" w:eastAsia="Cambria Math"/>
        </w:rPr>
        <w:t>�</w:t>
      </w:r>
      <w:r>
        <w:rPr>
          <w:rFonts w:ascii="Cambria Math" w:hAnsi="Cambria Math" w:eastAsia="Cambria Math"/>
          <w:position w:val="-4"/>
          <w:sz w:val="17"/>
        </w:rPr>
        <w:t>2�  </w:t>
      </w:r>
      <w:r>
        <w:rPr/>
        <w:t>a través de una prueba F.   Las hipótesis</w:t>
      </w:r>
      <w:r>
        <w:rPr>
          <w:spacing w:val="-6"/>
        </w:rPr>
        <w:t> </w:t>
      </w:r>
      <w:r>
        <w:rPr/>
        <w:t>son:</w:t>
      </w:r>
    </w:p>
    <w:p>
      <w:pPr>
        <w:pStyle w:val="BodyText"/>
        <w:spacing w:before="9"/>
        <w:rPr>
          <w:sz w:val="23"/>
        </w:rPr>
      </w:pPr>
    </w:p>
    <w:p>
      <w:pPr>
        <w:pStyle w:val="BodyText"/>
        <w:spacing w:line="331" w:lineRule="auto"/>
        <w:ind w:left="102" w:right="122"/>
        <w:jc w:val="both"/>
      </w:pPr>
      <w:r>
        <w:rPr>
          <w:rFonts w:ascii="Cambria Math" w:hAnsi="Cambria Math" w:eastAsia="Cambria Math"/>
        </w:rPr>
        <w:t>�</w:t>
      </w:r>
      <w:r>
        <w:rPr>
          <w:rFonts w:ascii="Cambria Math" w:hAnsi="Cambria Math" w:eastAsia="Cambria Math"/>
          <w:position w:val="-4"/>
          <w:sz w:val="17"/>
        </w:rPr>
        <w:t>0 </w:t>
      </w:r>
      <w:r>
        <w:rPr>
          <w:rFonts w:ascii="Cambria Math" w:hAnsi="Cambria Math" w:eastAsia="Cambria Math"/>
        </w:rPr>
        <w:t>: �</w:t>
      </w:r>
      <w:r>
        <w:rPr>
          <w:rFonts w:ascii="Cambria Math" w:hAnsi="Cambria Math" w:eastAsia="Cambria Math"/>
          <w:position w:val="-4"/>
          <w:sz w:val="17"/>
        </w:rPr>
        <w:t>21   </w:t>
      </w:r>
      <w:r>
        <w:rPr>
          <w:rFonts w:ascii="Cambria Math" w:hAnsi="Cambria Math" w:eastAsia="Cambria Math"/>
        </w:rPr>
        <w:t>=  �</w:t>
      </w:r>
      <w:r>
        <w:rPr>
          <w:rFonts w:ascii="Cambria Math" w:hAnsi="Cambria Math" w:eastAsia="Cambria Math"/>
          <w:position w:val="-4"/>
          <w:sz w:val="17"/>
        </w:rPr>
        <w:t>22   </w:t>
      </w:r>
      <w:r>
        <w:rPr>
          <w:rFonts w:ascii="Cambria Math" w:hAnsi="Cambria Math" w:eastAsia="Cambria Math"/>
        </w:rPr>
        <w:t>=  �</w:t>
      </w:r>
      <w:r>
        <w:rPr>
          <w:rFonts w:ascii="Cambria Math" w:hAnsi="Cambria Math" w:eastAsia="Cambria Math"/>
          <w:position w:val="-4"/>
          <w:sz w:val="17"/>
        </w:rPr>
        <w:t>23   </w:t>
      </w:r>
      <w:r>
        <w:rPr>
          <w:rFonts w:ascii="Cambria Math" w:hAnsi="Cambria Math" w:eastAsia="Cambria Math"/>
        </w:rPr>
        <w:t>= ⋯  =  �</w:t>
      </w:r>
      <w:r>
        <w:rPr>
          <w:rFonts w:ascii="Cambria Math" w:hAnsi="Cambria Math" w:eastAsia="Cambria Math"/>
          <w:position w:val="-4"/>
          <w:sz w:val="17"/>
        </w:rPr>
        <w:t>2�   </w:t>
      </w:r>
      <w:r>
        <w:rPr>
          <w:rFonts w:ascii="Cambria Math" w:hAnsi="Cambria Math" w:eastAsia="Cambria Math"/>
        </w:rPr>
        <w:t>= 0</w:t>
      </w:r>
      <w:r>
        <w:rPr/>
        <w:t>,  que  rechaza  la  existencia  de  causalidad en  el sentido de Granger.</w:t>
      </w:r>
    </w:p>
    <w:p>
      <w:pPr>
        <w:pStyle w:val="BodyText"/>
        <w:spacing w:before="9"/>
        <w:rPr>
          <w:sz w:val="23"/>
        </w:rPr>
      </w:pPr>
    </w:p>
    <w:p>
      <w:pPr>
        <w:pStyle w:val="BodyText"/>
        <w:spacing w:line="331" w:lineRule="auto"/>
        <w:ind w:left="102" w:right="115"/>
        <w:jc w:val="both"/>
      </w:pPr>
      <w:r>
        <w:rPr>
          <w:rFonts w:ascii="Cambria Math" w:hAnsi="Cambria Math" w:eastAsia="Cambria Math"/>
          <w:spacing w:val="-10"/>
        </w:rPr>
        <w:t>�</w:t>
      </w:r>
      <w:r>
        <w:rPr>
          <w:rFonts w:ascii="Cambria Math" w:hAnsi="Cambria Math" w:eastAsia="Cambria Math"/>
          <w:spacing w:val="-10"/>
          <w:position w:val="-4"/>
          <w:sz w:val="17"/>
        </w:rPr>
        <w:t>1 </w:t>
      </w:r>
      <w:r>
        <w:rPr>
          <w:rFonts w:ascii="Cambria Math" w:hAnsi="Cambria Math" w:eastAsia="Cambria Math"/>
        </w:rPr>
        <w:t>: �</w:t>
      </w:r>
      <w:r>
        <w:rPr>
          <w:rFonts w:ascii="Cambria Math" w:hAnsi="Cambria Math" w:eastAsia="Cambria Math"/>
          <w:position w:val="-4"/>
          <w:sz w:val="17"/>
        </w:rPr>
        <w:t>21 </w:t>
      </w:r>
      <w:r>
        <w:rPr>
          <w:rFonts w:ascii="Cambria Math" w:hAnsi="Cambria Math" w:eastAsia="Cambria Math"/>
        </w:rPr>
        <w:t>= �</w:t>
      </w:r>
      <w:r>
        <w:rPr>
          <w:rFonts w:ascii="Cambria Math" w:hAnsi="Cambria Math" w:eastAsia="Cambria Math"/>
          <w:position w:val="-4"/>
          <w:sz w:val="17"/>
        </w:rPr>
        <w:t>22 </w:t>
      </w:r>
      <w:r>
        <w:rPr>
          <w:rFonts w:ascii="Cambria Math" w:hAnsi="Cambria Math" w:eastAsia="Cambria Math"/>
        </w:rPr>
        <w:t>= �</w:t>
      </w:r>
      <w:r>
        <w:rPr>
          <w:rFonts w:ascii="Cambria Math" w:hAnsi="Cambria Math" w:eastAsia="Cambria Math"/>
          <w:position w:val="-4"/>
          <w:sz w:val="17"/>
        </w:rPr>
        <w:t>23 </w:t>
      </w:r>
      <w:r>
        <w:rPr>
          <w:rFonts w:ascii="Cambria Math" w:hAnsi="Cambria Math" w:eastAsia="Cambria Math"/>
        </w:rPr>
        <w:t>= �</w:t>
      </w:r>
      <w:r>
        <w:rPr>
          <w:rFonts w:ascii="Cambria Math" w:hAnsi="Cambria Math" w:eastAsia="Cambria Math"/>
          <w:position w:val="-4"/>
          <w:sz w:val="17"/>
        </w:rPr>
        <w:t>2𝐼 </w:t>
      </w:r>
      <w:r>
        <w:rPr>
          <w:rFonts w:ascii="Cambria Math" w:hAnsi="Cambria Math" w:eastAsia="Cambria Math"/>
        </w:rPr>
        <w:t>≠ 0</w:t>
      </w:r>
      <w:r>
        <w:rPr/>
        <w:t>,  es  decir,  que  al  menos  una  </w:t>
      </w:r>
      <w:r>
        <w:rPr>
          <w:rFonts w:ascii="Cambria Math" w:hAnsi="Cambria Math" w:eastAsia="Cambria Math"/>
        </w:rPr>
        <w:t>�</w:t>
      </w:r>
      <w:r>
        <w:rPr>
          <w:rFonts w:ascii="Cambria Math" w:hAnsi="Cambria Math" w:eastAsia="Cambria Math"/>
          <w:position w:val="-4"/>
          <w:sz w:val="17"/>
        </w:rPr>
        <w:t>2�  </w:t>
      </w:r>
      <w:r>
        <w:rPr/>
        <w:t>es estadísticamente</w:t>
      </w:r>
      <w:r>
        <w:rPr>
          <w:spacing w:val="-1"/>
        </w:rPr>
        <w:t> </w:t>
      </w:r>
      <w:r>
        <w:rPr/>
        <w:t>significativo</w:t>
      </w:r>
      <w:r>
        <w:rPr>
          <w:spacing w:val="-16"/>
        </w:rPr>
        <w:t> </w:t>
      </w:r>
      <w:r>
        <w:rPr/>
        <w:t>al</w:t>
      </w:r>
      <w:r>
        <w:rPr>
          <w:spacing w:val="-15"/>
        </w:rPr>
        <w:t> </w:t>
      </w:r>
      <w:r>
        <w:rPr/>
        <w:t>95%</w:t>
      </w:r>
      <w:r>
        <w:rPr>
          <w:spacing w:val="-17"/>
        </w:rPr>
        <w:t> </w:t>
      </w:r>
      <w:r>
        <w:rPr/>
        <w:t>de</w:t>
      </w:r>
      <w:r>
        <w:rPr>
          <w:spacing w:val="-14"/>
        </w:rPr>
        <w:t> </w:t>
      </w:r>
      <w:r>
        <w:rPr/>
        <w:t>confianza,</w:t>
      </w:r>
      <w:r>
        <w:rPr>
          <w:spacing w:val="-16"/>
        </w:rPr>
        <w:t> </w:t>
      </w:r>
      <w:r>
        <w:rPr/>
        <w:t>por</w:t>
      </w:r>
      <w:r>
        <w:rPr>
          <w:spacing w:val="-17"/>
        </w:rPr>
        <w:t> </w:t>
      </w:r>
      <w:r>
        <w:rPr/>
        <w:t>lo</w:t>
      </w:r>
      <w:r>
        <w:rPr>
          <w:spacing w:val="-15"/>
        </w:rPr>
        <w:t> </w:t>
      </w:r>
      <w:r>
        <w:rPr/>
        <w:t>que</w:t>
      </w:r>
      <w:r>
        <w:rPr>
          <w:spacing w:val="-17"/>
        </w:rPr>
        <w:t> </w:t>
      </w:r>
      <w:r>
        <w:rPr/>
        <w:t>se</w:t>
      </w:r>
      <w:r>
        <w:rPr>
          <w:spacing w:val="-17"/>
        </w:rPr>
        <w:t> </w:t>
      </w:r>
      <w:r>
        <w:rPr/>
        <w:t>acepta</w:t>
      </w:r>
      <w:r>
        <w:rPr>
          <w:spacing w:val="-16"/>
        </w:rPr>
        <w:t> </w:t>
      </w:r>
      <w:r>
        <w:rPr/>
        <w:t>la</w:t>
      </w:r>
      <w:r>
        <w:rPr>
          <w:spacing w:val="-16"/>
        </w:rPr>
        <w:t> </w:t>
      </w:r>
      <w:r>
        <w:rPr/>
        <w:t>existencia</w:t>
      </w:r>
      <w:r>
        <w:rPr>
          <w:spacing w:val="-14"/>
        </w:rPr>
        <w:t> </w:t>
      </w:r>
      <w:r>
        <w:rPr/>
        <w:t>de</w:t>
      </w:r>
      <w:r>
        <w:rPr>
          <w:spacing w:val="-14"/>
        </w:rPr>
        <w:t> </w:t>
      </w:r>
      <w:r>
        <w:rPr/>
        <w:t>este tipo de</w:t>
      </w:r>
      <w:r>
        <w:rPr>
          <w:spacing w:val="-34"/>
        </w:rPr>
        <w:t> </w:t>
      </w:r>
      <w:r>
        <w:rPr/>
        <w:t>causalidad.</w:t>
      </w:r>
    </w:p>
    <w:p>
      <w:pPr>
        <w:pStyle w:val="BodyText"/>
        <w:spacing w:before="1"/>
      </w:pPr>
    </w:p>
    <w:p>
      <w:pPr>
        <w:pStyle w:val="BodyText"/>
        <w:ind w:left="102"/>
        <w:jc w:val="both"/>
        <w:rPr>
          <w:rFonts w:ascii="Cambria Math" w:eastAsia="Cambria Math"/>
          <w:sz w:val="17"/>
        </w:rPr>
      </w:pPr>
      <w:r>
        <w:rPr/>
        <w:t>El mismo procedimiento de contraste se aplica en (2) para los </w:t>
      </w:r>
      <w:r>
        <w:rPr>
          <w:rFonts w:ascii="Cambria Math" w:eastAsia="Cambria Math"/>
        </w:rPr>
        <w:t>�</w:t>
      </w:r>
      <w:r>
        <w:rPr>
          <w:rFonts w:ascii="Cambria Math" w:eastAsia="Cambria Math"/>
          <w:position w:val="-4"/>
          <w:sz w:val="17"/>
        </w:rPr>
        <w:t>1�</w:t>
      </w:r>
      <w:r>
        <w:rPr/>
        <w:t>. Se asume que </w:t>
      </w:r>
      <w:r>
        <w:rPr>
          <w:rFonts w:ascii="Cambria Math" w:eastAsia="Cambria Math"/>
        </w:rPr>
        <w:t>�</w:t>
      </w:r>
      <w:r>
        <w:rPr>
          <w:rFonts w:ascii="Cambria Math" w:eastAsia="Cambria Math"/>
          <w:position w:val="-4"/>
          <w:sz w:val="17"/>
        </w:rPr>
        <w:t>1𝑡 </w:t>
      </w:r>
      <w:r>
        <w:rPr/>
        <w:t>y </w:t>
      </w:r>
      <w:r>
        <w:rPr>
          <w:rFonts w:ascii="Cambria Math" w:eastAsia="Cambria Math"/>
        </w:rPr>
        <w:t>�</w:t>
      </w:r>
      <w:r>
        <w:rPr>
          <w:rFonts w:ascii="Cambria Math" w:eastAsia="Cambria Math"/>
          <w:position w:val="-4"/>
          <w:sz w:val="17"/>
        </w:rPr>
        <w:t>2𝑡</w:t>
      </w:r>
    </w:p>
    <w:p>
      <w:pPr>
        <w:pStyle w:val="BodyText"/>
        <w:spacing w:before="108"/>
        <w:ind w:left="102"/>
        <w:jc w:val="both"/>
      </w:pPr>
      <w:r>
        <w:rPr/>
        <w:t>no están correlacionados.</w:t>
      </w:r>
    </w:p>
    <w:p>
      <w:pPr>
        <w:pStyle w:val="BodyText"/>
        <w:spacing w:before="8"/>
        <w:rPr>
          <w:sz w:val="32"/>
        </w:rPr>
      </w:pPr>
    </w:p>
    <w:p>
      <w:pPr>
        <w:pStyle w:val="BodyText"/>
        <w:spacing w:line="360" w:lineRule="auto" w:before="1"/>
        <w:ind w:left="102" w:right="119"/>
        <w:jc w:val="both"/>
      </w:pPr>
      <w:r>
        <w:rPr/>
        <w:t>Esta</w:t>
      </w:r>
      <w:r>
        <w:rPr>
          <w:spacing w:val="-4"/>
        </w:rPr>
        <w:t> </w:t>
      </w:r>
      <w:r>
        <w:rPr/>
        <w:t>prueba</w:t>
      </w:r>
      <w:r>
        <w:rPr>
          <w:spacing w:val="-5"/>
        </w:rPr>
        <w:t> </w:t>
      </w:r>
      <w:r>
        <w:rPr/>
        <w:t>permitirá</w:t>
      </w:r>
      <w:r>
        <w:rPr>
          <w:spacing w:val="-6"/>
        </w:rPr>
        <w:t> </w:t>
      </w:r>
      <w:r>
        <w:rPr/>
        <w:t>determinar</w:t>
      </w:r>
      <w:r>
        <w:rPr>
          <w:spacing w:val="-5"/>
        </w:rPr>
        <w:t> </w:t>
      </w:r>
      <w:r>
        <w:rPr/>
        <w:t>el</w:t>
      </w:r>
      <w:r>
        <w:rPr>
          <w:spacing w:val="-3"/>
        </w:rPr>
        <w:t> </w:t>
      </w:r>
      <w:r>
        <w:rPr/>
        <w:t>sentido</w:t>
      </w:r>
      <w:r>
        <w:rPr>
          <w:spacing w:val="-1"/>
        </w:rPr>
        <w:t> </w:t>
      </w:r>
      <w:r>
        <w:rPr/>
        <w:t>y</w:t>
      </w:r>
      <w:r>
        <w:rPr>
          <w:spacing w:val="-9"/>
        </w:rPr>
        <w:t> </w:t>
      </w:r>
      <w:r>
        <w:rPr/>
        <w:t>causalidad</w:t>
      </w:r>
      <w:r>
        <w:rPr>
          <w:spacing w:val="-4"/>
        </w:rPr>
        <w:t> </w:t>
      </w:r>
      <w:r>
        <w:rPr/>
        <w:t>entre</w:t>
      </w:r>
      <w:r>
        <w:rPr>
          <w:spacing w:val="-5"/>
        </w:rPr>
        <w:t> </w:t>
      </w:r>
      <w:r>
        <w:rPr/>
        <w:t>las</w:t>
      </w:r>
      <w:r>
        <w:rPr>
          <w:spacing w:val="-4"/>
        </w:rPr>
        <w:t> </w:t>
      </w:r>
      <w:r>
        <w:rPr/>
        <w:t>variables</w:t>
      </w:r>
      <w:r>
        <w:rPr>
          <w:spacing w:val="-4"/>
        </w:rPr>
        <w:t> </w:t>
      </w:r>
      <w:r>
        <w:rPr/>
        <w:t>de</w:t>
      </w:r>
      <w:r>
        <w:rPr>
          <w:spacing w:val="-5"/>
        </w:rPr>
        <w:t> </w:t>
      </w:r>
      <w:r>
        <w:rPr/>
        <w:t>estudio,</w:t>
      </w:r>
      <w:r>
        <w:rPr>
          <w:spacing w:val="-4"/>
        </w:rPr>
        <w:t> </w:t>
      </w:r>
      <w:r>
        <w:rPr/>
        <w:t>sobre todo permitirá conocer si el producto automotriz de México puede predecir el comportamiento del producto manufacturero nacional. En este sentido se puede encontrar evidencia de causalidad unidireccional, bidireccional o no</w:t>
      </w:r>
      <w:r>
        <w:rPr>
          <w:spacing w:val="-14"/>
        </w:rPr>
        <w:t> </w:t>
      </w:r>
      <w:r>
        <w:rPr/>
        <w:t>causalidad.</w:t>
      </w:r>
    </w:p>
    <w:p>
      <w:pPr>
        <w:pStyle w:val="BodyText"/>
        <w:spacing w:before="2"/>
        <w:rPr>
          <w:sz w:val="21"/>
        </w:rPr>
      </w:pPr>
    </w:p>
    <w:p>
      <w:pPr>
        <w:pStyle w:val="BodyText"/>
        <w:spacing w:line="360" w:lineRule="auto" w:before="1"/>
        <w:ind w:left="102" w:right="117"/>
        <w:jc w:val="both"/>
      </w:pPr>
      <w:r>
        <w:rPr/>
        <w:t>Es</w:t>
      </w:r>
      <w:r>
        <w:rPr>
          <w:spacing w:val="-11"/>
        </w:rPr>
        <w:t> </w:t>
      </w:r>
      <w:r>
        <w:rPr/>
        <w:t>importante</w:t>
      </w:r>
      <w:r>
        <w:rPr>
          <w:spacing w:val="-11"/>
        </w:rPr>
        <w:t> </w:t>
      </w:r>
      <w:r>
        <w:rPr/>
        <w:t>mencionar</w:t>
      </w:r>
      <w:r>
        <w:rPr>
          <w:spacing w:val="-7"/>
        </w:rPr>
        <w:t> </w:t>
      </w:r>
      <w:r>
        <w:rPr/>
        <w:t>que</w:t>
      </w:r>
      <w:r>
        <w:rPr>
          <w:spacing w:val="-12"/>
        </w:rPr>
        <w:t> </w:t>
      </w:r>
      <w:r>
        <w:rPr/>
        <w:t>la</w:t>
      </w:r>
      <w:r>
        <w:rPr>
          <w:spacing w:val="-12"/>
        </w:rPr>
        <w:t> </w:t>
      </w:r>
      <w:r>
        <w:rPr/>
        <w:t>prueba</w:t>
      </w:r>
      <w:r>
        <w:rPr>
          <w:spacing w:val="-12"/>
        </w:rPr>
        <w:t> </w:t>
      </w:r>
      <w:r>
        <w:rPr/>
        <w:t>se</w:t>
      </w:r>
      <w:r>
        <w:rPr>
          <w:spacing w:val="-9"/>
        </w:rPr>
        <w:t> </w:t>
      </w:r>
      <w:r>
        <w:rPr/>
        <w:t>aplicó</w:t>
      </w:r>
      <w:r>
        <w:rPr>
          <w:spacing w:val="-11"/>
        </w:rPr>
        <w:t> </w:t>
      </w:r>
      <w:r>
        <w:rPr/>
        <w:t>para</w:t>
      </w:r>
      <w:r>
        <w:rPr>
          <w:spacing w:val="-13"/>
        </w:rPr>
        <w:t> </w:t>
      </w:r>
      <w:r>
        <w:rPr/>
        <w:t>el</w:t>
      </w:r>
      <w:r>
        <w:rPr>
          <w:spacing w:val="-9"/>
        </w:rPr>
        <w:t> </w:t>
      </w:r>
      <w:r>
        <w:rPr/>
        <w:t>periodo</w:t>
      </w:r>
      <w:r>
        <w:rPr>
          <w:spacing w:val="-11"/>
        </w:rPr>
        <w:t> </w:t>
      </w:r>
      <w:r>
        <w:rPr/>
        <w:t>comprendido</w:t>
      </w:r>
      <w:r>
        <w:rPr>
          <w:spacing w:val="-11"/>
        </w:rPr>
        <w:t> </w:t>
      </w:r>
      <w:r>
        <w:rPr/>
        <w:t>entre</w:t>
      </w:r>
      <w:r>
        <w:rPr>
          <w:spacing w:val="-12"/>
        </w:rPr>
        <w:t> </w:t>
      </w:r>
      <w:r>
        <w:rPr/>
        <w:t>el</w:t>
      </w:r>
      <w:r>
        <w:rPr>
          <w:spacing w:val="-10"/>
        </w:rPr>
        <w:t> </w:t>
      </w:r>
      <w:r>
        <w:rPr/>
        <w:t>primer trimestre</w:t>
      </w:r>
      <w:r>
        <w:rPr>
          <w:spacing w:val="36"/>
        </w:rPr>
        <w:t> </w:t>
      </w:r>
      <w:r>
        <w:rPr/>
        <w:t>de</w:t>
      </w:r>
      <w:r>
        <w:rPr>
          <w:spacing w:val="36"/>
        </w:rPr>
        <w:t> </w:t>
      </w:r>
      <w:r>
        <w:rPr/>
        <w:t>1994</w:t>
      </w:r>
      <w:r>
        <w:rPr>
          <w:spacing w:val="39"/>
        </w:rPr>
        <w:t> </w:t>
      </w:r>
      <w:r>
        <w:rPr/>
        <w:t>al</w:t>
      </w:r>
      <w:r>
        <w:rPr>
          <w:spacing w:val="40"/>
        </w:rPr>
        <w:t> </w:t>
      </w:r>
      <w:r>
        <w:rPr/>
        <w:t>cuarto</w:t>
      </w:r>
      <w:r>
        <w:rPr>
          <w:spacing w:val="37"/>
        </w:rPr>
        <w:t> </w:t>
      </w:r>
      <w:r>
        <w:rPr/>
        <w:t>trimestre</w:t>
      </w:r>
      <w:r>
        <w:rPr>
          <w:spacing w:val="38"/>
        </w:rPr>
        <w:t> </w:t>
      </w:r>
      <w:r>
        <w:rPr/>
        <w:t>de</w:t>
      </w:r>
      <w:r>
        <w:rPr>
          <w:spacing w:val="36"/>
        </w:rPr>
        <w:t> </w:t>
      </w:r>
      <w:r>
        <w:rPr/>
        <w:t>2014,</w:t>
      </w:r>
      <w:r>
        <w:rPr>
          <w:spacing w:val="43"/>
        </w:rPr>
        <w:t> </w:t>
      </w:r>
      <w:r>
        <w:rPr/>
        <w:t>en</w:t>
      </w:r>
      <w:r>
        <w:rPr>
          <w:spacing w:val="37"/>
        </w:rPr>
        <w:t> </w:t>
      </w:r>
      <w:r>
        <w:rPr/>
        <w:t>virtud</w:t>
      </w:r>
      <w:r>
        <w:rPr>
          <w:spacing w:val="37"/>
        </w:rPr>
        <w:t> </w:t>
      </w:r>
      <w:r>
        <w:rPr/>
        <w:t>de</w:t>
      </w:r>
      <w:r>
        <w:rPr>
          <w:spacing w:val="38"/>
        </w:rPr>
        <w:t> </w:t>
      </w:r>
      <w:r>
        <w:rPr/>
        <w:t>que</w:t>
      </w:r>
      <w:r>
        <w:rPr>
          <w:spacing w:val="38"/>
        </w:rPr>
        <w:t> </w:t>
      </w:r>
      <w:r>
        <w:rPr/>
        <w:t>al</w:t>
      </w:r>
      <w:r>
        <w:rPr>
          <w:spacing w:val="37"/>
        </w:rPr>
        <w:t> </w:t>
      </w:r>
      <w:r>
        <w:rPr/>
        <w:t>incluir</w:t>
      </w:r>
      <w:r>
        <w:rPr>
          <w:spacing w:val="36"/>
        </w:rPr>
        <w:t> </w:t>
      </w:r>
      <w:r>
        <w:rPr/>
        <w:t>los</w:t>
      </w:r>
      <w:r>
        <w:rPr>
          <w:spacing w:val="37"/>
        </w:rPr>
        <w:t> </w:t>
      </w:r>
      <w:r>
        <w:rPr/>
        <w:t>trimestres</w:t>
      </w:r>
    </w:p>
    <w:p>
      <w:pPr>
        <w:spacing w:after="0" w:line="360" w:lineRule="auto"/>
        <w:jc w:val="both"/>
        <w:sectPr>
          <w:type w:val="continuous"/>
          <w:pgSz w:w="12240" w:h="15840"/>
          <w:pgMar w:top="1060" w:bottom="280" w:left="1600" w:right="1580"/>
        </w:sectPr>
      </w:pPr>
    </w:p>
    <w:p>
      <w:pPr>
        <w:pStyle w:val="BodyText"/>
        <w:spacing w:line="360" w:lineRule="auto" w:before="50"/>
        <w:ind w:left="102" w:right="116"/>
        <w:jc w:val="both"/>
      </w:pPr>
      <w:r>
        <w:rPr/>
        <w:t>correspondientes</w:t>
      </w:r>
      <w:r>
        <w:rPr>
          <w:spacing w:val="-8"/>
        </w:rPr>
        <w:t> </w:t>
      </w:r>
      <w:r>
        <w:rPr/>
        <w:t>a</w:t>
      </w:r>
      <w:r>
        <w:rPr>
          <w:spacing w:val="-10"/>
        </w:rPr>
        <w:t> </w:t>
      </w:r>
      <w:r>
        <w:rPr/>
        <w:t>1993</w:t>
      </w:r>
      <w:r>
        <w:rPr>
          <w:spacing w:val="-6"/>
        </w:rPr>
        <w:t> </w:t>
      </w:r>
      <w:r>
        <w:rPr/>
        <w:t>no</w:t>
      </w:r>
      <w:r>
        <w:rPr>
          <w:spacing w:val="-9"/>
        </w:rPr>
        <w:t> </w:t>
      </w:r>
      <w:r>
        <w:rPr/>
        <w:t>se</w:t>
      </w:r>
      <w:r>
        <w:rPr>
          <w:spacing w:val="-9"/>
        </w:rPr>
        <w:t> </w:t>
      </w:r>
      <w:r>
        <w:rPr/>
        <w:t>encontró</w:t>
      </w:r>
      <w:r>
        <w:rPr>
          <w:spacing w:val="-9"/>
        </w:rPr>
        <w:t> </w:t>
      </w:r>
      <w:r>
        <w:rPr/>
        <w:t>evidencia</w:t>
      </w:r>
      <w:r>
        <w:rPr>
          <w:spacing w:val="-7"/>
        </w:rPr>
        <w:t> </w:t>
      </w:r>
      <w:r>
        <w:rPr/>
        <w:t>de</w:t>
      </w:r>
      <w:r>
        <w:rPr>
          <w:spacing w:val="-10"/>
        </w:rPr>
        <w:t> </w:t>
      </w:r>
      <w:r>
        <w:rPr/>
        <w:t>causalidad</w:t>
      </w:r>
      <w:r>
        <w:rPr>
          <w:spacing w:val="-9"/>
        </w:rPr>
        <w:t> </w:t>
      </w:r>
      <w:r>
        <w:rPr/>
        <w:t>de</w:t>
      </w:r>
      <w:r>
        <w:rPr>
          <w:spacing w:val="-10"/>
        </w:rPr>
        <w:t> </w:t>
      </w:r>
      <w:r>
        <w:rPr/>
        <w:t>Granger</w:t>
      </w:r>
      <w:r>
        <w:rPr>
          <w:spacing w:val="-7"/>
        </w:rPr>
        <w:t> </w:t>
      </w:r>
      <w:r>
        <w:rPr/>
        <w:t>entre</w:t>
      </w:r>
      <w:r>
        <w:rPr>
          <w:spacing w:val="-10"/>
        </w:rPr>
        <w:t> </w:t>
      </w:r>
      <w:r>
        <w:rPr/>
        <w:t>la</w:t>
      </w:r>
      <w:r>
        <w:rPr>
          <w:spacing w:val="-9"/>
        </w:rPr>
        <w:t> </w:t>
      </w:r>
      <w:r>
        <w:rPr/>
        <w:t>industria automotriz y manufacturera, lo que puede explicarse porque a partir de esta fecha se da un cambio importante en la estructura productiva en la manufactura de México, por el proceso de apertura económica que marca el inicio del</w:t>
      </w:r>
      <w:r>
        <w:rPr>
          <w:spacing w:val="-7"/>
        </w:rPr>
        <w:t> </w:t>
      </w:r>
      <w:r>
        <w:rPr/>
        <w:t>TLCAN.</w:t>
      </w:r>
    </w:p>
    <w:p>
      <w:pPr>
        <w:pStyle w:val="BodyText"/>
        <w:spacing w:before="2"/>
        <w:rPr>
          <w:sz w:val="21"/>
        </w:rPr>
      </w:pPr>
    </w:p>
    <w:p>
      <w:pPr>
        <w:pStyle w:val="BodyText"/>
        <w:spacing w:line="360" w:lineRule="auto"/>
        <w:ind w:left="102" w:right="115"/>
        <w:jc w:val="both"/>
      </w:pPr>
      <w:r>
        <w:rPr/>
        <w:t>Los resultados que se reportan en el cuadro 5.2 muestran evidencia de causalidad en sentido de</w:t>
      </w:r>
      <w:r>
        <w:rPr>
          <w:spacing w:val="-6"/>
        </w:rPr>
        <w:t> </w:t>
      </w:r>
      <w:r>
        <w:rPr/>
        <w:t>Granger</w:t>
      </w:r>
      <w:r>
        <w:rPr>
          <w:spacing w:val="-6"/>
        </w:rPr>
        <w:t> </w:t>
      </w:r>
      <w:r>
        <w:rPr/>
        <w:t>entre</w:t>
      </w:r>
      <w:r>
        <w:rPr>
          <w:spacing w:val="-6"/>
        </w:rPr>
        <w:t> </w:t>
      </w:r>
      <w:r>
        <w:rPr/>
        <w:t>el</w:t>
      </w:r>
      <w:r>
        <w:rPr>
          <w:spacing w:val="-4"/>
        </w:rPr>
        <w:t> </w:t>
      </w:r>
      <w:r>
        <w:rPr/>
        <w:t>producto</w:t>
      </w:r>
      <w:r>
        <w:rPr>
          <w:spacing w:val="-4"/>
        </w:rPr>
        <w:t> </w:t>
      </w:r>
      <w:r>
        <w:rPr/>
        <w:t>de</w:t>
      </w:r>
      <w:r>
        <w:rPr>
          <w:spacing w:val="-6"/>
        </w:rPr>
        <w:t> </w:t>
      </w:r>
      <w:r>
        <w:rPr/>
        <w:t>la</w:t>
      </w:r>
      <w:r>
        <w:rPr>
          <w:spacing w:val="-5"/>
        </w:rPr>
        <w:t> </w:t>
      </w:r>
      <w:r>
        <w:rPr/>
        <w:t>industria</w:t>
      </w:r>
      <w:r>
        <w:rPr>
          <w:spacing w:val="-6"/>
        </w:rPr>
        <w:t> </w:t>
      </w:r>
      <w:r>
        <w:rPr/>
        <w:t>automotriz</w:t>
      </w:r>
      <w:r>
        <w:rPr>
          <w:spacing w:val="-1"/>
        </w:rPr>
        <w:t> </w:t>
      </w:r>
      <w:r>
        <w:rPr/>
        <w:t>(lyauto) y</w:t>
      </w:r>
      <w:r>
        <w:rPr>
          <w:spacing w:val="-10"/>
        </w:rPr>
        <w:t> </w:t>
      </w:r>
      <w:r>
        <w:rPr/>
        <w:t>el</w:t>
      </w:r>
      <w:r>
        <w:rPr>
          <w:spacing w:val="-4"/>
        </w:rPr>
        <w:t> </w:t>
      </w:r>
      <w:r>
        <w:rPr/>
        <w:t>producto</w:t>
      </w:r>
      <w:r>
        <w:rPr>
          <w:spacing w:val="-5"/>
        </w:rPr>
        <w:t> </w:t>
      </w:r>
      <w:r>
        <w:rPr/>
        <w:t>manufacturero (lyman) de México con dos trimestres de rezago; se trata de una relación unidireccional en el sentido de que la producción de la industria automotriz causa al sector</w:t>
      </w:r>
      <w:r>
        <w:rPr>
          <w:spacing w:val="-14"/>
        </w:rPr>
        <w:t> </w:t>
      </w:r>
      <w:r>
        <w:rPr/>
        <w:t>manufacturero.</w:t>
      </w:r>
    </w:p>
    <w:p>
      <w:pPr>
        <w:pStyle w:val="BodyText"/>
        <w:spacing w:before="2"/>
        <w:rPr>
          <w:sz w:val="21"/>
        </w:rPr>
      </w:pPr>
    </w:p>
    <w:p>
      <w:pPr>
        <w:pStyle w:val="BodyText"/>
        <w:spacing w:line="360" w:lineRule="auto"/>
        <w:ind w:left="102" w:right="116"/>
        <w:jc w:val="both"/>
      </w:pPr>
      <w:r>
        <w:rPr/>
        <w:t>Asimismo,</w:t>
      </w:r>
      <w:r>
        <w:rPr>
          <w:spacing w:val="-10"/>
        </w:rPr>
        <w:t> </w:t>
      </w:r>
      <w:r>
        <w:rPr/>
        <w:t>se</w:t>
      </w:r>
      <w:r>
        <w:rPr>
          <w:spacing w:val="-12"/>
        </w:rPr>
        <w:t> </w:t>
      </w:r>
      <w:r>
        <w:rPr/>
        <w:t>encontró</w:t>
      </w:r>
      <w:r>
        <w:rPr>
          <w:spacing w:val="-11"/>
        </w:rPr>
        <w:t> </w:t>
      </w:r>
      <w:r>
        <w:rPr/>
        <w:t>que</w:t>
      </w:r>
      <w:r>
        <w:rPr>
          <w:spacing w:val="-12"/>
        </w:rPr>
        <w:t> </w:t>
      </w:r>
      <w:r>
        <w:rPr/>
        <w:t>existe</w:t>
      </w:r>
      <w:r>
        <w:rPr>
          <w:spacing w:val="-10"/>
        </w:rPr>
        <w:t> </w:t>
      </w:r>
      <w:r>
        <w:rPr/>
        <w:t>causalidad</w:t>
      </w:r>
      <w:r>
        <w:rPr>
          <w:spacing w:val="-9"/>
        </w:rPr>
        <w:t> </w:t>
      </w:r>
      <w:r>
        <w:rPr/>
        <w:t>en</w:t>
      </w:r>
      <w:r>
        <w:rPr>
          <w:spacing w:val="-9"/>
        </w:rPr>
        <w:t> </w:t>
      </w:r>
      <w:r>
        <w:rPr/>
        <w:t>el</w:t>
      </w:r>
      <w:r>
        <w:rPr>
          <w:spacing w:val="-8"/>
        </w:rPr>
        <w:t> </w:t>
      </w:r>
      <w:r>
        <w:rPr/>
        <w:t>sentido</w:t>
      </w:r>
      <w:r>
        <w:rPr>
          <w:spacing w:val="-11"/>
        </w:rPr>
        <w:t> </w:t>
      </w:r>
      <w:r>
        <w:rPr/>
        <w:t>de</w:t>
      </w:r>
      <w:r>
        <w:rPr>
          <w:spacing w:val="-12"/>
        </w:rPr>
        <w:t> </w:t>
      </w:r>
      <w:r>
        <w:rPr/>
        <w:t>Granger</w:t>
      </w:r>
      <w:r>
        <w:rPr>
          <w:spacing w:val="-12"/>
        </w:rPr>
        <w:t> </w:t>
      </w:r>
      <w:r>
        <w:rPr/>
        <w:t>entre</w:t>
      </w:r>
      <w:r>
        <w:rPr>
          <w:spacing w:val="-6"/>
        </w:rPr>
        <w:t> </w:t>
      </w:r>
      <w:r>
        <w:rPr/>
        <w:t>el</w:t>
      </w:r>
      <w:r>
        <w:rPr>
          <w:spacing w:val="-11"/>
        </w:rPr>
        <w:t> </w:t>
      </w:r>
      <w:r>
        <w:rPr/>
        <w:t>tipo</w:t>
      </w:r>
      <w:r>
        <w:rPr>
          <w:spacing w:val="-11"/>
        </w:rPr>
        <w:t> </w:t>
      </w:r>
      <w:r>
        <w:rPr/>
        <w:t>de</w:t>
      </w:r>
      <w:r>
        <w:rPr>
          <w:spacing w:val="-12"/>
        </w:rPr>
        <w:t> </w:t>
      </w:r>
      <w:r>
        <w:rPr/>
        <w:t>cambio real y el producto de la industria manufacturera, así como con la producción de la industria automotriz e incluso en la productividad media del trabajo; es decir, que el tipo de cambio influye en el comportamiento futuro de las variables mencionadas (véase cuadro</w:t>
      </w:r>
      <w:r>
        <w:rPr>
          <w:spacing w:val="-11"/>
        </w:rPr>
        <w:t> </w:t>
      </w:r>
      <w:r>
        <w:rPr/>
        <w:t>5.2)</w:t>
      </w:r>
    </w:p>
    <w:p>
      <w:pPr>
        <w:pStyle w:val="BodyText"/>
        <w:spacing w:before="2"/>
        <w:rPr>
          <w:sz w:val="21"/>
        </w:rPr>
      </w:pPr>
    </w:p>
    <w:p>
      <w:pPr>
        <w:pStyle w:val="BodyText"/>
        <w:spacing w:line="360" w:lineRule="auto" w:before="1"/>
        <w:ind w:left="102" w:right="116"/>
        <w:jc w:val="both"/>
      </w:pPr>
      <w:r>
        <w:rPr/>
        <w:t>Además, se reportó que el producto industrial de Estados Unidos tiene influencia en el PIB manufacturero</w:t>
      </w:r>
      <w:r>
        <w:rPr>
          <w:spacing w:val="-1"/>
        </w:rPr>
        <w:t> </w:t>
      </w:r>
      <w:r>
        <w:rPr/>
        <w:t>y</w:t>
      </w:r>
      <w:r>
        <w:rPr>
          <w:spacing w:val="-9"/>
        </w:rPr>
        <w:t> </w:t>
      </w:r>
      <w:r>
        <w:rPr/>
        <w:t>en</w:t>
      </w:r>
      <w:r>
        <w:rPr>
          <w:spacing w:val="-6"/>
        </w:rPr>
        <w:t> </w:t>
      </w:r>
      <w:r>
        <w:rPr/>
        <w:t>el</w:t>
      </w:r>
      <w:r>
        <w:rPr>
          <w:spacing w:val="-6"/>
        </w:rPr>
        <w:t> </w:t>
      </w:r>
      <w:r>
        <w:rPr/>
        <w:t>PIB</w:t>
      </w:r>
      <w:r>
        <w:rPr>
          <w:spacing w:val="-6"/>
        </w:rPr>
        <w:t> </w:t>
      </w:r>
      <w:r>
        <w:rPr/>
        <w:t>del</w:t>
      </w:r>
      <w:r>
        <w:rPr>
          <w:spacing w:val="-6"/>
        </w:rPr>
        <w:t> </w:t>
      </w:r>
      <w:r>
        <w:rPr/>
        <w:t>sector</w:t>
      </w:r>
      <w:r>
        <w:rPr>
          <w:spacing w:val="-4"/>
        </w:rPr>
        <w:t> </w:t>
      </w:r>
      <w:r>
        <w:rPr/>
        <w:t>automotriz,</w:t>
      </w:r>
      <w:r>
        <w:rPr>
          <w:spacing w:val="-6"/>
        </w:rPr>
        <w:t> </w:t>
      </w:r>
      <w:r>
        <w:rPr/>
        <w:t>lo</w:t>
      </w:r>
      <w:r>
        <w:rPr>
          <w:spacing w:val="-6"/>
        </w:rPr>
        <w:t> </w:t>
      </w:r>
      <w:r>
        <w:rPr/>
        <w:t>cual</w:t>
      </w:r>
      <w:r>
        <w:rPr>
          <w:spacing w:val="-6"/>
        </w:rPr>
        <w:t> </w:t>
      </w:r>
      <w:r>
        <w:rPr/>
        <w:t>es</w:t>
      </w:r>
      <w:r>
        <w:rPr>
          <w:spacing w:val="-4"/>
        </w:rPr>
        <w:t> </w:t>
      </w:r>
      <w:r>
        <w:rPr/>
        <w:t>congruente</w:t>
      </w:r>
      <w:r>
        <w:rPr>
          <w:spacing w:val="-7"/>
        </w:rPr>
        <w:t> </w:t>
      </w:r>
      <w:r>
        <w:rPr/>
        <w:t>si</w:t>
      </w:r>
      <w:r>
        <w:rPr>
          <w:spacing w:val="-6"/>
        </w:rPr>
        <w:t> </w:t>
      </w:r>
      <w:r>
        <w:rPr/>
        <w:t>tomamos</w:t>
      </w:r>
      <w:r>
        <w:rPr>
          <w:spacing w:val="-3"/>
        </w:rPr>
        <w:t> </w:t>
      </w:r>
      <w:r>
        <w:rPr/>
        <w:t>en</w:t>
      </w:r>
      <w:r>
        <w:rPr>
          <w:spacing w:val="-6"/>
        </w:rPr>
        <w:t> </w:t>
      </w:r>
      <w:r>
        <w:rPr/>
        <w:t>cuenta que Estados Unidos es nuestro principal socio comercial y más del 70% de los vehículos México que comercializan en el exterior, son enviados a dicho país (AMIA,</w:t>
      </w:r>
      <w:r>
        <w:rPr>
          <w:spacing w:val="-10"/>
        </w:rPr>
        <w:t> </w:t>
      </w:r>
      <w:r>
        <w:rPr/>
        <w:t>2015).</w:t>
      </w:r>
    </w:p>
    <w:p>
      <w:pPr>
        <w:pStyle w:val="BodyText"/>
        <w:spacing w:before="2"/>
        <w:rPr>
          <w:sz w:val="21"/>
        </w:rPr>
      </w:pPr>
    </w:p>
    <w:p>
      <w:pPr>
        <w:pStyle w:val="BodyText"/>
        <w:spacing w:line="360" w:lineRule="auto"/>
        <w:ind w:left="102" w:right="119"/>
        <w:jc w:val="both"/>
      </w:pPr>
      <w:r>
        <w:rPr/>
        <w:t>No obstante, se esperaba encontrar causalidad entre la productividad media del trabajo en el sector automotriz y el producto manufacturero, sin embargo los resultados arrojaron una relación de no causalidad (véase cuadro 5.2).</w:t>
      </w:r>
    </w:p>
    <w:p>
      <w:pPr>
        <w:spacing w:after="0" w:line="360" w:lineRule="auto"/>
        <w:jc w:val="both"/>
        <w:sectPr>
          <w:pgSz w:w="12240" w:h="15840"/>
          <w:pgMar w:header="0" w:footer="1035" w:top="1360" w:bottom="1220" w:left="1600" w:right="1580"/>
        </w:sectPr>
      </w:pPr>
    </w:p>
    <w:p>
      <w:pPr>
        <w:pStyle w:val="Heading1"/>
        <w:spacing w:before="55"/>
        <w:ind w:left="1309" w:right="119"/>
      </w:pPr>
      <w:r>
        <w:rPr/>
        <w:t>Cuadro 5.2. Resultados de la prueba de causalidad de Granger</w:t>
      </w:r>
    </w:p>
    <w:p>
      <w:pPr>
        <w:pStyle w:val="BodyText"/>
        <w:spacing w:before="2"/>
        <w:rPr>
          <w:b/>
          <w:sz w:val="12"/>
        </w:rPr>
      </w:pPr>
    </w:p>
    <w:tbl>
      <w:tblPr>
        <w:tblW w:w="0" w:type="auto"/>
        <w:jc w:val="left"/>
        <w:tblInd w:w="596"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1808"/>
        <w:gridCol w:w="919"/>
        <w:gridCol w:w="1321"/>
        <w:gridCol w:w="1340"/>
        <w:gridCol w:w="2460"/>
      </w:tblGrid>
      <w:tr>
        <w:trPr>
          <w:trHeight w:val="367" w:hRule="exact"/>
        </w:trPr>
        <w:tc>
          <w:tcPr>
            <w:tcW w:w="1808" w:type="dxa"/>
            <w:tcBorders>
              <w:left w:val="nil"/>
              <w:right w:val="nil"/>
            </w:tcBorders>
          </w:tcPr>
          <w:p>
            <w:pPr>
              <w:pStyle w:val="TableParagraph"/>
              <w:spacing w:before="53"/>
              <w:ind w:left="122"/>
              <w:jc w:val="left"/>
              <w:rPr>
                <w:b/>
                <w:sz w:val="20"/>
              </w:rPr>
            </w:pPr>
            <w:r>
              <w:rPr>
                <w:b/>
                <w:sz w:val="20"/>
              </w:rPr>
              <w:t>Ho: No causalidad</w:t>
            </w:r>
          </w:p>
        </w:tc>
        <w:tc>
          <w:tcPr>
            <w:tcW w:w="919" w:type="dxa"/>
            <w:tcBorders>
              <w:left w:val="nil"/>
              <w:right w:val="nil"/>
            </w:tcBorders>
          </w:tcPr>
          <w:p>
            <w:pPr>
              <w:pStyle w:val="TableParagraph"/>
              <w:spacing w:before="53"/>
              <w:ind w:left="90" w:right="88"/>
              <w:rPr>
                <w:b/>
                <w:sz w:val="20"/>
              </w:rPr>
            </w:pPr>
            <w:r>
              <w:rPr>
                <w:b/>
                <w:sz w:val="20"/>
              </w:rPr>
              <w:t>Rezagos</w:t>
            </w:r>
          </w:p>
        </w:tc>
        <w:tc>
          <w:tcPr>
            <w:tcW w:w="1321" w:type="dxa"/>
            <w:tcBorders>
              <w:left w:val="nil"/>
              <w:right w:val="nil"/>
            </w:tcBorders>
          </w:tcPr>
          <w:p>
            <w:pPr>
              <w:pStyle w:val="TableParagraph"/>
              <w:spacing w:before="53"/>
              <w:ind w:left="108"/>
              <w:jc w:val="left"/>
              <w:rPr>
                <w:b/>
                <w:sz w:val="20"/>
              </w:rPr>
            </w:pPr>
            <w:r>
              <w:rPr>
                <w:b/>
                <w:sz w:val="20"/>
              </w:rPr>
              <w:t>Estadístico F</w:t>
            </w:r>
          </w:p>
        </w:tc>
        <w:tc>
          <w:tcPr>
            <w:tcW w:w="1340" w:type="dxa"/>
            <w:tcBorders>
              <w:left w:val="nil"/>
              <w:right w:val="nil"/>
            </w:tcBorders>
          </w:tcPr>
          <w:p>
            <w:pPr>
              <w:pStyle w:val="TableParagraph"/>
              <w:spacing w:before="53"/>
              <w:ind w:left="110"/>
              <w:jc w:val="left"/>
              <w:rPr>
                <w:b/>
                <w:sz w:val="20"/>
              </w:rPr>
            </w:pPr>
            <w:r>
              <w:rPr>
                <w:b/>
                <w:sz w:val="20"/>
              </w:rPr>
              <w:t>Probabilidad</w:t>
            </w:r>
          </w:p>
        </w:tc>
        <w:tc>
          <w:tcPr>
            <w:tcW w:w="2460" w:type="dxa"/>
            <w:tcBorders>
              <w:left w:val="nil"/>
              <w:right w:val="nil"/>
            </w:tcBorders>
          </w:tcPr>
          <w:p>
            <w:pPr>
              <w:pStyle w:val="TableParagraph"/>
              <w:spacing w:before="53"/>
              <w:ind w:left="109"/>
              <w:jc w:val="left"/>
              <w:rPr>
                <w:b/>
                <w:sz w:val="20"/>
              </w:rPr>
            </w:pPr>
            <w:r>
              <w:rPr>
                <w:b/>
                <w:sz w:val="20"/>
              </w:rPr>
              <w:t>Causalidad/No causalidad</w:t>
            </w:r>
          </w:p>
        </w:tc>
      </w:tr>
      <w:tr>
        <w:trPr>
          <w:trHeight w:val="490" w:hRule="exact"/>
        </w:trPr>
        <w:tc>
          <w:tcPr>
            <w:tcW w:w="1808" w:type="dxa"/>
            <w:tcBorders>
              <w:left w:val="nil"/>
              <w:right w:val="nil"/>
            </w:tcBorders>
          </w:tcPr>
          <w:p>
            <w:pPr>
              <w:pStyle w:val="TableParagraph"/>
              <w:ind w:left="122" w:right="549"/>
              <w:jc w:val="left"/>
              <w:rPr>
                <w:sz w:val="20"/>
              </w:rPr>
            </w:pPr>
            <w:r>
              <w:rPr>
                <w:sz w:val="20"/>
              </w:rPr>
              <w:t>lyauto-lyman lyman- lyauto</w:t>
            </w:r>
          </w:p>
        </w:tc>
        <w:tc>
          <w:tcPr>
            <w:tcW w:w="919" w:type="dxa"/>
            <w:tcBorders>
              <w:left w:val="nil"/>
              <w:right w:val="nil"/>
            </w:tcBorders>
          </w:tcPr>
          <w:p>
            <w:pPr>
              <w:pStyle w:val="TableParagraph"/>
              <w:spacing w:before="108"/>
              <w:ind w:left="1"/>
              <w:rPr>
                <w:sz w:val="20"/>
              </w:rPr>
            </w:pPr>
            <w:r>
              <w:rPr>
                <w:w w:val="99"/>
                <w:sz w:val="20"/>
              </w:rPr>
              <w:t>2</w:t>
            </w:r>
          </w:p>
        </w:tc>
        <w:tc>
          <w:tcPr>
            <w:tcW w:w="1321" w:type="dxa"/>
            <w:tcBorders>
              <w:left w:val="nil"/>
              <w:right w:val="nil"/>
            </w:tcBorders>
          </w:tcPr>
          <w:p>
            <w:pPr>
              <w:pStyle w:val="TableParagraph"/>
              <w:spacing w:line="223" w:lineRule="exact"/>
              <w:ind w:left="336"/>
              <w:jc w:val="left"/>
              <w:rPr>
                <w:sz w:val="20"/>
              </w:rPr>
            </w:pPr>
            <w:r>
              <w:rPr>
                <w:sz w:val="20"/>
              </w:rPr>
              <w:t>3.44078</w:t>
            </w:r>
          </w:p>
          <w:p>
            <w:pPr>
              <w:pStyle w:val="TableParagraph"/>
              <w:ind w:left="336"/>
              <w:jc w:val="left"/>
              <w:rPr>
                <w:sz w:val="20"/>
              </w:rPr>
            </w:pPr>
            <w:r>
              <w:rPr>
                <w:sz w:val="20"/>
              </w:rPr>
              <w:t>0.64309</w:t>
            </w:r>
          </w:p>
        </w:tc>
        <w:tc>
          <w:tcPr>
            <w:tcW w:w="1340" w:type="dxa"/>
            <w:tcBorders>
              <w:left w:val="nil"/>
              <w:right w:val="nil"/>
            </w:tcBorders>
          </w:tcPr>
          <w:p>
            <w:pPr>
              <w:pStyle w:val="TableParagraph"/>
              <w:spacing w:line="223" w:lineRule="exact"/>
              <w:ind w:left="395"/>
              <w:jc w:val="left"/>
              <w:rPr>
                <w:sz w:val="20"/>
              </w:rPr>
            </w:pPr>
            <w:r>
              <w:rPr>
                <w:sz w:val="20"/>
              </w:rPr>
              <w:t>0.0369</w:t>
            </w:r>
          </w:p>
          <w:p>
            <w:pPr>
              <w:pStyle w:val="TableParagraph"/>
              <w:ind w:left="395"/>
              <w:jc w:val="left"/>
              <w:rPr>
                <w:sz w:val="20"/>
              </w:rPr>
            </w:pPr>
            <w:r>
              <w:rPr>
                <w:sz w:val="20"/>
              </w:rPr>
              <w:t>0.5284</w:t>
            </w:r>
          </w:p>
        </w:tc>
        <w:tc>
          <w:tcPr>
            <w:tcW w:w="2460" w:type="dxa"/>
            <w:tcBorders>
              <w:left w:val="nil"/>
              <w:right w:val="nil"/>
            </w:tcBorders>
          </w:tcPr>
          <w:p>
            <w:pPr>
              <w:pStyle w:val="TableParagraph"/>
              <w:spacing w:line="226" w:lineRule="exact"/>
              <w:ind w:left="741"/>
              <w:jc w:val="left"/>
              <w:rPr>
                <w:b/>
                <w:sz w:val="20"/>
              </w:rPr>
            </w:pPr>
            <w:r>
              <w:rPr>
                <w:b/>
                <w:sz w:val="20"/>
              </w:rPr>
              <w:t>Causalidad</w:t>
            </w:r>
          </w:p>
          <w:p>
            <w:pPr>
              <w:pStyle w:val="TableParagraph"/>
              <w:spacing w:line="228" w:lineRule="exact"/>
              <w:ind w:left="654"/>
              <w:jc w:val="left"/>
              <w:rPr>
                <w:sz w:val="20"/>
              </w:rPr>
            </w:pPr>
            <w:r>
              <w:rPr>
                <w:sz w:val="20"/>
              </w:rPr>
              <w:t>No causalidad</w:t>
            </w:r>
          </w:p>
        </w:tc>
      </w:tr>
      <w:tr>
        <w:trPr>
          <w:trHeight w:val="490" w:hRule="exact"/>
        </w:trPr>
        <w:tc>
          <w:tcPr>
            <w:tcW w:w="1808" w:type="dxa"/>
            <w:tcBorders>
              <w:left w:val="nil"/>
              <w:right w:val="nil"/>
            </w:tcBorders>
          </w:tcPr>
          <w:p>
            <w:pPr>
              <w:pStyle w:val="TableParagraph"/>
              <w:ind w:left="122" w:right="662"/>
              <w:jc w:val="left"/>
              <w:rPr>
                <w:sz w:val="20"/>
              </w:rPr>
            </w:pPr>
            <w:r>
              <w:rPr>
                <w:w w:val="95"/>
                <w:sz w:val="20"/>
              </w:rPr>
              <w:t>lqreal-lyman lyman-lqreal</w:t>
            </w:r>
          </w:p>
        </w:tc>
        <w:tc>
          <w:tcPr>
            <w:tcW w:w="919" w:type="dxa"/>
            <w:tcBorders>
              <w:left w:val="nil"/>
              <w:right w:val="nil"/>
            </w:tcBorders>
          </w:tcPr>
          <w:p>
            <w:pPr>
              <w:pStyle w:val="TableParagraph"/>
              <w:spacing w:before="108"/>
              <w:ind w:left="1"/>
              <w:rPr>
                <w:sz w:val="20"/>
              </w:rPr>
            </w:pPr>
            <w:r>
              <w:rPr>
                <w:w w:val="99"/>
                <w:sz w:val="20"/>
              </w:rPr>
              <w:t>2</w:t>
            </w:r>
          </w:p>
        </w:tc>
        <w:tc>
          <w:tcPr>
            <w:tcW w:w="1321" w:type="dxa"/>
            <w:tcBorders>
              <w:left w:val="nil"/>
              <w:right w:val="nil"/>
            </w:tcBorders>
          </w:tcPr>
          <w:p>
            <w:pPr>
              <w:pStyle w:val="TableParagraph"/>
              <w:spacing w:line="223" w:lineRule="exact"/>
              <w:ind w:left="336"/>
              <w:jc w:val="left"/>
              <w:rPr>
                <w:sz w:val="20"/>
              </w:rPr>
            </w:pPr>
            <w:r>
              <w:rPr>
                <w:sz w:val="20"/>
              </w:rPr>
              <w:t>13.3642</w:t>
            </w:r>
          </w:p>
          <w:p>
            <w:pPr>
              <w:pStyle w:val="TableParagraph"/>
              <w:ind w:left="336"/>
              <w:jc w:val="left"/>
              <w:rPr>
                <w:sz w:val="20"/>
              </w:rPr>
            </w:pPr>
            <w:r>
              <w:rPr>
                <w:sz w:val="20"/>
              </w:rPr>
              <w:t>1.82704</w:t>
            </w:r>
          </w:p>
        </w:tc>
        <w:tc>
          <w:tcPr>
            <w:tcW w:w="1340" w:type="dxa"/>
            <w:tcBorders>
              <w:left w:val="nil"/>
              <w:right w:val="nil"/>
            </w:tcBorders>
          </w:tcPr>
          <w:p>
            <w:pPr>
              <w:pStyle w:val="TableParagraph"/>
              <w:spacing w:line="223" w:lineRule="exact"/>
              <w:ind w:left="302"/>
              <w:jc w:val="left"/>
              <w:rPr>
                <w:sz w:val="20"/>
              </w:rPr>
            </w:pPr>
            <w:r>
              <w:rPr>
                <w:sz w:val="20"/>
              </w:rPr>
              <w:t>1.00E-05</w:t>
            </w:r>
          </w:p>
          <w:p>
            <w:pPr>
              <w:pStyle w:val="TableParagraph"/>
              <w:ind w:left="395"/>
              <w:jc w:val="left"/>
              <w:rPr>
                <w:sz w:val="20"/>
              </w:rPr>
            </w:pPr>
            <w:r>
              <w:rPr>
                <w:sz w:val="20"/>
              </w:rPr>
              <w:t>0.1676</w:t>
            </w:r>
          </w:p>
        </w:tc>
        <w:tc>
          <w:tcPr>
            <w:tcW w:w="2460" w:type="dxa"/>
            <w:tcBorders>
              <w:left w:val="nil"/>
              <w:right w:val="nil"/>
            </w:tcBorders>
          </w:tcPr>
          <w:p>
            <w:pPr>
              <w:pStyle w:val="TableParagraph"/>
              <w:spacing w:line="226" w:lineRule="exact"/>
              <w:ind w:left="741"/>
              <w:jc w:val="left"/>
              <w:rPr>
                <w:b/>
                <w:sz w:val="20"/>
              </w:rPr>
            </w:pPr>
            <w:r>
              <w:rPr>
                <w:b/>
                <w:sz w:val="20"/>
              </w:rPr>
              <w:t>Causalidad</w:t>
            </w:r>
          </w:p>
          <w:p>
            <w:pPr>
              <w:pStyle w:val="TableParagraph"/>
              <w:spacing w:line="228" w:lineRule="exact"/>
              <w:ind w:left="654"/>
              <w:jc w:val="left"/>
              <w:rPr>
                <w:sz w:val="20"/>
              </w:rPr>
            </w:pPr>
            <w:r>
              <w:rPr>
                <w:sz w:val="20"/>
              </w:rPr>
              <w:t>No causalidad</w:t>
            </w:r>
          </w:p>
        </w:tc>
      </w:tr>
      <w:tr>
        <w:trPr>
          <w:trHeight w:val="490" w:hRule="exact"/>
        </w:trPr>
        <w:tc>
          <w:tcPr>
            <w:tcW w:w="1808" w:type="dxa"/>
            <w:tcBorders>
              <w:left w:val="nil"/>
              <w:right w:val="nil"/>
            </w:tcBorders>
          </w:tcPr>
          <w:p>
            <w:pPr>
              <w:pStyle w:val="TableParagraph"/>
              <w:spacing w:line="228" w:lineRule="exact"/>
              <w:ind w:left="122" w:right="286"/>
              <w:jc w:val="left"/>
              <w:rPr>
                <w:sz w:val="20"/>
              </w:rPr>
            </w:pPr>
            <w:r>
              <w:rPr>
                <w:w w:val="95"/>
                <w:sz w:val="20"/>
              </w:rPr>
              <w:t>lyindusteu-lyman lyman-lyindusteu</w:t>
            </w:r>
          </w:p>
        </w:tc>
        <w:tc>
          <w:tcPr>
            <w:tcW w:w="919" w:type="dxa"/>
            <w:tcBorders>
              <w:left w:val="nil"/>
              <w:right w:val="nil"/>
            </w:tcBorders>
          </w:tcPr>
          <w:p>
            <w:pPr>
              <w:pStyle w:val="TableParagraph"/>
              <w:spacing w:before="111"/>
              <w:ind w:left="1"/>
              <w:rPr>
                <w:sz w:val="20"/>
              </w:rPr>
            </w:pPr>
            <w:r>
              <w:rPr>
                <w:w w:val="99"/>
                <w:sz w:val="20"/>
              </w:rPr>
              <w:t>2</w:t>
            </w:r>
          </w:p>
        </w:tc>
        <w:tc>
          <w:tcPr>
            <w:tcW w:w="1321" w:type="dxa"/>
            <w:tcBorders>
              <w:left w:val="nil"/>
              <w:right w:val="nil"/>
            </w:tcBorders>
          </w:tcPr>
          <w:p>
            <w:pPr>
              <w:pStyle w:val="TableParagraph"/>
              <w:spacing w:line="225" w:lineRule="exact"/>
              <w:ind w:left="336"/>
              <w:jc w:val="left"/>
              <w:rPr>
                <w:sz w:val="20"/>
              </w:rPr>
            </w:pPr>
            <w:r>
              <w:rPr>
                <w:sz w:val="20"/>
              </w:rPr>
              <w:t>8.46298</w:t>
            </w:r>
          </w:p>
          <w:p>
            <w:pPr>
              <w:pStyle w:val="TableParagraph"/>
              <w:spacing w:line="229" w:lineRule="exact"/>
              <w:ind w:left="336"/>
              <w:jc w:val="left"/>
              <w:rPr>
                <w:sz w:val="20"/>
              </w:rPr>
            </w:pPr>
            <w:r>
              <w:rPr>
                <w:sz w:val="20"/>
              </w:rPr>
              <w:t>1.12764</w:t>
            </w:r>
          </w:p>
        </w:tc>
        <w:tc>
          <w:tcPr>
            <w:tcW w:w="1340" w:type="dxa"/>
            <w:tcBorders>
              <w:left w:val="nil"/>
              <w:right w:val="nil"/>
            </w:tcBorders>
          </w:tcPr>
          <w:p>
            <w:pPr>
              <w:pStyle w:val="TableParagraph"/>
              <w:spacing w:line="225" w:lineRule="exact"/>
              <w:ind w:left="395"/>
              <w:jc w:val="left"/>
              <w:rPr>
                <w:sz w:val="20"/>
              </w:rPr>
            </w:pPr>
            <w:r>
              <w:rPr>
                <w:sz w:val="20"/>
              </w:rPr>
              <w:t>0.0005</w:t>
            </w:r>
          </w:p>
          <w:p>
            <w:pPr>
              <w:pStyle w:val="TableParagraph"/>
              <w:spacing w:line="229" w:lineRule="exact"/>
              <w:ind w:left="446"/>
              <w:jc w:val="left"/>
              <w:rPr>
                <w:sz w:val="20"/>
              </w:rPr>
            </w:pPr>
            <w:r>
              <w:rPr>
                <w:sz w:val="20"/>
              </w:rPr>
              <w:t>0.329</w:t>
            </w:r>
          </w:p>
        </w:tc>
        <w:tc>
          <w:tcPr>
            <w:tcW w:w="2460" w:type="dxa"/>
            <w:tcBorders>
              <w:left w:val="nil"/>
              <w:right w:val="nil"/>
            </w:tcBorders>
          </w:tcPr>
          <w:p>
            <w:pPr>
              <w:pStyle w:val="TableParagraph"/>
              <w:spacing w:line="227" w:lineRule="exact"/>
              <w:ind w:left="741"/>
              <w:jc w:val="left"/>
              <w:rPr>
                <w:b/>
                <w:sz w:val="20"/>
              </w:rPr>
            </w:pPr>
            <w:r>
              <w:rPr>
                <w:b/>
                <w:sz w:val="20"/>
              </w:rPr>
              <w:t>Causalidad</w:t>
            </w:r>
          </w:p>
          <w:p>
            <w:pPr>
              <w:pStyle w:val="TableParagraph"/>
              <w:spacing w:line="227" w:lineRule="exact"/>
              <w:ind w:left="654"/>
              <w:jc w:val="left"/>
              <w:rPr>
                <w:sz w:val="20"/>
              </w:rPr>
            </w:pPr>
            <w:r>
              <w:rPr>
                <w:sz w:val="20"/>
              </w:rPr>
              <w:t>No causalidad</w:t>
            </w:r>
          </w:p>
        </w:tc>
      </w:tr>
      <w:tr>
        <w:trPr>
          <w:trHeight w:val="490" w:hRule="exact"/>
        </w:trPr>
        <w:tc>
          <w:tcPr>
            <w:tcW w:w="1808" w:type="dxa"/>
            <w:tcBorders>
              <w:left w:val="nil"/>
              <w:right w:val="nil"/>
            </w:tcBorders>
          </w:tcPr>
          <w:p>
            <w:pPr>
              <w:pStyle w:val="TableParagraph"/>
              <w:ind w:left="122" w:right="751"/>
              <w:jc w:val="left"/>
              <w:rPr>
                <w:sz w:val="20"/>
              </w:rPr>
            </w:pPr>
            <w:r>
              <w:rPr>
                <w:w w:val="95"/>
                <w:sz w:val="20"/>
              </w:rPr>
              <w:t>lpmt-lyman lyman-lpmt</w:t>
            </w:r>
          </w:p>
        </w:tc>
        <w:tc>
          <w:tcPr>
            <w:tcW w:w="919" w:type="dxa"/>
            <w:tcBorders>
              <w:left w:val="nil"/>
              <w:right w:val="nil"/>
            </w:tcBorders>
          </w:tcPr>
          <w:p>
            <w:pPr>
              <w:pStyle w:val="TableParagraph"/>
              <w:spacing w:before="111"/>
              <w:ind w:left="1"/>
              <w:rPr>
                <w:sz w:val="20"/>
              </w:rPr>
            </w:pPr>
            <w:r>
              <w:rPr>
                <w:w w:val="99"/>
                <w:sz w:val="20"/>
              </w:rPr>
              <w:t>2</w:t>
            </w:r>
          </w:p>
        </w:tc>
        <w:tc>
          <w:tcPr>
            <w:tcW w:w="1321" w:type="dxa"/>
            <w:tcBorders>
              <w:left w:val="nil"/>
              <w:right w:val="nil"/>
            </w:tcBorders>
          </w:tcPr>
          <w:p>
            <w:pPr>
              <w:pStyle w:val="TableParagraph"/>
              <w:spacing w:line="226" w:lineRule="exact"/>
              <w:ind w:left="336"/>
              <w:jc w:val="left"/>
              <w:rPr>
                <w:sz w:val="20"/>
              </w:rPr>
            </w:pPr>
            <w:r>
              <w:rPr>
                <w:sz w:val="20"/>
              </w:rPr>
              <w:t>2.19412</w:t>
            </w:r>
          </w:p>
          <w:p>
            <w:pPr>
              <w:pStyle w:val="TableParagraph"/>
              <w:ind w:left="336"/>
              <w:jc w:val="left"/>
              <w:rPr>
                <w:sz w:val="20"/>
              </w:rPr>
            </w:pPr>
            <w:r>
              <w:rPr>
                <w:sz w:val="20"/>
              </w:rPr>
              <w:t>0.38952</w:t>
            </w:r>
          </w:p>
        </w:tc>
        <w:tc>
          <w:tcPr>
            <w:tcW w:w="1340" w:type="dxa"/>
            <w:tcBorders>
              <w:left w:val="nil"/>
              <w:right w:val="nil"/>
            </w:tcBorders>
          </w:tcPr>
          <w:p>
            <w:pPr>
              <w:pStyle w:val="TableParagraph"/>
              <w:spacing w:line="226" w:lineRule="exact"/>
              <w:ind w:left="395"/>
              <w:jc w:val="left"/>
              <w:rPr>
                <w:sz w:val="20"/>
              </w:rPr>
            </w:pPr>
            <w:r>
              <w:rPr>
                <w:sz w:val="20"/>
              </w:rPr>
              <w:t>0.1182</w:t>
            </w:r>
          </w:p>
          <w:p>
            <w:pPr>
              <w:pStyle w:val="TableParagraph"/>
              <w:ind w:left="395"/>
              <w:jc w:val="left"/>
              <w:rPr>
                <w:sz w:val="20"/>
              </w:rPr>
            </w:pPr>
            <w:r>
              <w:rPr>
                <w:sz w:val="20"/>
              </w:rPr>
              <w:t>0.6787</w:t>
            </w:r>
          </w:p>
        </w:tc>
        <w:tc>
          <w:tcPr>
            <w:tcW w:w="2460" w:type="dxa"/>
            <w:tcBorders>
              <w:left w:val="nil"/>
              <w:right w:val="nil"/>
            </w:tcBorders>
          </w:tcPr>
          <w:p>
            <w:pPr>
              <w:pStyle w:val="TableParagraph"/>
              <w:ind w:left="654" w:right="647"/>
              <w:jc w:val="left"/>
              <w:rPr>
                <w:sz w:val="20"/>
              </w:rPr>
            </w:pPr>
            <w:r>
              <w:rPr>
                <w:sz w:val="20"/>
              </w:rPr>
              <w:t>No causalidad No causalidad</w:t>
            </w:r>
          </w:p>
        </w:tc>
      </w:tr>
      <w:tr>
        <w:trPr>
          <w:trHeight w:val="493" w:hRule="exact"/>
        </w:trPr>
        <w:tc>
          <w:tcPr>
            <w:tcW w:w="1808" w:type="dxa"/>
            <w:tcBorders>
              <w:left w:val="nil"/>
              <w:right w:val="nil"/>
            </w:tcBorders>
          </w:tcPr>
          <w:p>
            <w:pPr>
              <w:pStyle w:val="TableParagraph"/>
              <w:ind w:left="122" w:right="665"/>
              <w:jc w:val="left"/>
              <w:rPr>
                <w:sz w:val="20"/>
              </w:rPr>
            </w:pPr>
            <w:r>
              <w:rPr>
                <w:w w:val="95"/>
                <w:sz w:val="20"/>
              </w:rPr>
              <w:t>lqreal-lyauto lyauto-lqreal</w:t>
            </w:r>
          </w:p>
        </w:tc>
        <w:tc>
          <w:tcPr>
            <w:tcW w:w="919" w:type="dxa"/>
            <w:tcBorders>
              <w:left w:val="nil"/>
              <w:right w:val="nil"/>
            </w:tcBorders>
          </w:tcPr>
          <w:p>
            <w:pPr>
              <w:pStyle w:val="TableParagraph"/>
              <w:spacing w:before="111"/>
              <w:ind w:left="1"/>
              <w:rPr>
                <w:sz w:val="20"/>
              </w:rPr>
            </w:pPr>
            <w:r>
              <w:rPr>
                <w:w w:val="99"/>
                <w:sz w:val="20"/>
              </w:rPr>
              <w:t>2</w:t>
            </w:r>
          </w:p>
        </w:tc>
        <w:tc>
          <w:tcPr>
            <w:tcW w:w="1321" w:type="dxa"/>
            <w:tcBorders>
              <w:left w:val="nil"/>
              <w:right w:val="nil"/>
            </w:tcBorders>
          </w:tcPr>
          <w:p>
            <w:pPr>
              <w:pStyle w:val="TableParagraph"/>
              <w:spacing w:line="226" w:lineRule="exact"/>
              <w:ind w:left="336"/>
              <w:jc w:val="left"/>
              <w:rPr>
                <w:sz w:val="20"/>
              </w:rPr>
            </w:pPr>
            <w:r>
              <w:rPr>
                <w:sz w:val="20"/>
              </w:rPr>
              <w:t>9.23792</w:t>
            </w:r>
          </w:p>
          <w:p>
            <w:pPr>
              <w:pStyle w:val="TableParagraph"/>
              <w:ind w:left="336"/>
              <w:jc w:val="left"/>
              <w:rPr>
                <w:sz w:val="20"/>
              </w:rPr>
            </w:pPr>
            <w:r>
              <w:rPr>
                <w:sz w:val="20"/>
              </w:rPr>
              <w:t>1.32451</w:t>
            </w:r>
          </w:p>
        </w:tc>
        <w:tc>
          <w:tcPr>
            <w:tcW w:w="1340" w:type="dxa"/>
            <w:tcBorders>
              <w:left w:val="nil"/>
              <w:right w:val="nil"/>
            </w:tcBorders>
          </w:tcPr>
          <w:p>
            <w:pPr>
              <w:pStyle w:val="TableParagraph"/>
              <w:spacing w:line="226" w:lineRule="exact"/>
              <w:ind w:left="395"/>
              <w:jc w:val="left"/>
              <w:rPr>
                <w:sz w:val="20"/>
              </w:rPr>
            </w:pPr>
            <w:r>
              <w:rPr>
                <w:sz w:val="20"/>
              </w:rPr>
              <w:t>0.0002</w:t>
            </w:r>
          </w:p>
          <w:p>
            <w:pPr>
              <w:pStyle w:val="TableParagraph"/>
              <w:ind w:left="395"/>
              <w:jc w:val="left"/>
              <w:rPr>
                <w:sz w:val="20"/>
              </w:rPr>
            </w:pPr>
            <w:r>
              <w:rPr>
                <w:sz w:val="20"/>
              </w:rPr>
              <w:t>0.2718</w:t>
            </w:r>
          </w:p>
        </w:tc>
        <w:tc>
          <w:tcPr>
            <w:tcW w:w="2460" w:type="dxa"/>
            <w:tcBorders>
              <w:left w:val="nil"/>
              <w:right w:val="nil"/>
            </w:tcBorders>
          </w:tcPr>
          <w:p>
            <w:pPr>
              <w:pStyle w:val="TableParagraph"/>
              <w:spacing w:line="228" w:lineRule="exact" w:before="1"/>
              <w:ind w:left="741"/>
              <w:jc w:val="left"/>
              <w:rPr>
                <w:b/>
                <w:sz w:val="20"/>
              </w:rPr>
            </w:pPr>
            <w:r>
              <w:rPr>
                <w:b/>
                <w:sz w:val="20"/>
              </w:rPr>
              <w:t>Causalidad</w:t>
            </w:r>
          </w:p>
          <w:p>
            <w:pPr>
              <w:pStyle w:val="TableParagraph"/>
              <w:spacing w:line="228" w:lineRule="exact"/>
              <w:ind w:left="654"/>
              <w:jc w:val="left"/>
              <w:rPr>
                <w:sz w:val="20"/>
              </w:rPr>
            </w:pPr>
            <w:r>
              <w:rPr>
                <w:sz w:val="20"/>
              </w:rPr>
              <w:t>No causalidad</w:t>
            </w:r>
          </w:p>
        </w:tc>
      </w:tr>
      <w:tr>
        <w:trPr>
          <w:trHeight w:val="490" w:hRule="exact"/>
        </w:trPr>
        <w:tc>
          <w:tcPr>
            <w:tcW w:w="1808" w:type="dxa"/>
            <w:tcBorders>
              <w:left w:val="nil"/>
              <w:right w:val="nil"/>
            </w:tcBorders>
          </w:tcPr>
          <w:p>
            <w:pPr>
              <w:pStyle w:val="TableParagraph"/>
              <w:ind w:left="122" w:right="285"/>
              <w:jc w:val="left"/>
              <w:rPr>
                <w:sz w:val="20"/>
              </w:rPr>
            </w:pPr>
            <w:r>
              <w:rPr>
                <w:w w:val="95"/>
                <w:sz w:val="20"/>
              </w:rPr>
              <w:t>lyindusteu-lyauto lyauto-lyindusteu</w:t>
            </w:r>
          </w:p>
        </w:tc>
        <w:tc>
          <w:tcPr>
            <w:tcW w:w="919" w:type="dxa"/>
            <w:tcBorders>
              <w:left w:val="nil"/>
              <w:right w:val="nil"/>
            </w:tcBorders>
          </w:tcPr>
          <w:p>
            <w:pPr>
              <w:pStyle w:val="TableParagraph"/>
              <w:spacing w:before="108"/>
              <w:ind w:left="1"/>
              <w:rPr>
                <w:sz w:val="20"/>
              </w:rPr>
            </w:pPr>
            <w:r>
              <w:rPr>
                <w:w w:val="99"/>
                <w:sz w:val="20"/>
              </w:rPr>
              <w:t>2</w:t>
            </w:r>
          </w:p>
        </w:tc>
        <w:tc>
          <w:tcPr>
            <w:tcW w:w="1321" w:type="dxa"/>
            <w:tcBorders>
              <w:left w:val="nil"/>
              <w:right w:val="nil"/>
            </w:tcBorders>
          </w:tcPr>
          <w:p>
            <w:pPr>
              <w:pStyle w:val="TableParagraph"/>
              <w:spacing w:line="223" w:lineRule="exact"/>
              <w:ind w:left="336"/>
              <w:jc w:val="left"/>
              <w:rPr>
                <w:sz w:val="20"/>
              </w:rPr>
            </w:pPr>
            <w:r>
              <w:rPr>
                <w:sz w:val="20"/>
              </w:rPr>
              <w:t>4.32257</w:t>
            </w:r>
          </w:p>
          <w:p>
            <w:pPr>
              <w:pStyle w:val="TableParagraph"/>
              <w:ind w:left="336"/>
              <w:jc w:val="left"/>
              <w:rPr>
                <w:sz w:val="20"/>
              </w:rPr>
            </w:pPr>
            <w:r>
              <w:rPr>
                <w:sz w:val="20"/>
              </w:rPr>
              <w:t>0.17489</w:t>
            </w:r>
          </w:p>
        </w:tc>
        <w:tc>
          <w:tcPr>
            <w:tcW w:w="1340" w:type="dxa"/>
            <w:tcBorders>
              <w:left w:val="nil"/>
              <w:right w:val="nil"/>
            </w:tcBorders>
          </w:tcPr>
          <w:p>
            <w:pPr>
              <w:pStyle w:val="TableParagraph"/>
              <w:spacing w:line="223" w:lineRule="exact"/>
              <w:ind w:left="395"/>
              <w:jc w:val="left"/>
              <w:rPr>
                <w:sz w:val="20"/>
              </w:rPr>
            </w:pPr>
            <w:r>
              <w:rPr>
                <w:sz w:val="20"/>
              </w:rPr>
              <w:t>0.0165</w:t>
            </w:r>
          </w:p>
          <w:p>
            <w:pPr>
              <w:pStyle w:val="TableParagraph"/>
              <w:ind w:left="395"/>
              <w:jc w:val="left"/>
              <w:rPr>
                <w:sz w:val="20"/>
              </w:rPr>
            </w:pPr>
            <w:r>
              <w:rPr>
                <w:sz w:val="20"/>
              </w:rPr>
              <w:t>0.8399</w:t>
            </w:r>
          </w:p>
        </w:tc>
        <w:tc>
          <w:tcPr>
            <w:tcW w:w="2460" w:type="dxa"/>
            <w:tcBorders>
              <w:left w:val="nil"/>
              <w:right w:val="nil"/>
            </w:tcBorders>
          </w:tcPr>
          <w:p>
            <w:pPr>
              <w:pStyle w:val="TableParagraph"/>
              <w:spacing w:line="226" w:lineRule="exact"/>
              <w:ind w:left="741"/>
              <w:jc w:val="left"/>
              <w:rPr>
                <w:b/>
                <w:sz w:val="20"/>
              </w:rPr>
            </w:pPr>
            <w:r>
              <w:rPr>
                <w:b/>
                <w:sz w:val="20"/>
              </w:rPr>
              <w:t>Causalidad</w:t>
            </w:r>
          </w:p>
          <w:p>
            <w:pPr>
              <w:pStyle w:val="TableParagraph"/>
              <w:spacing w:line="228" w:lineRule="exact"/>
              <w:ind w:left="654"/>
              <w:jc w:val="left"/>
              <w:rPr>
                <w:sz w:val="20"/>
              </w:rPr>
            </w:pPr>
            <w:r>
              <w:rPr>
                <w:sz w:val="20"/>
              </w:rPr>
              <w:t>No causalidad</w:t>
            </w:r>
          </w:p>
        </w:tc>
      </w:tr>
      <w:tr>
        <w:trPr>
          <w:trHeight w:val="490" w:hRule="exact"/>
        </w:trPr>
        <w:tc>
          <w:tcPr>
            <w:tcW w:w="1808" w:type="dxa"/>
            <w:tcBorders>
              <w:left w:val="nil"/>
              <w:right w:val="nil"/>
            </w:tcBorders>
          </w:tcPr>
          <w:p>
            <w:pPr>
              <w:pStyle w:val="TableParagraph"/>
              <w:ind w:left="122" w:right="752"/>
              <w:jc w:val="left"/>
              <w:rPr>
                <w:sz w:val="20"/>
              </w:rPr>
            </w:pPr>
            <w:r>
              <w:rPr>
                <w:w w:val="95"/>
                <w:sz w:val="20"/>
              </w:rPr>
              <w:t>lpmt-lyauto lyauto-lpmt</w:t>
            </w:r>
          </w:p>
        </w:tc>
        <w:tc>
          <w:tcPr>
            <w:tcW w:w="919" w:type="dxa"/>
            <w:tcBorders>
              <w:left w:val="nil"/>
              <w:right w:val="nil"/>
            </w:tcBorders>
          </w:tcPr>
          <w:p>
            <w:pPr>
              <w:pStyle w:val="TableParagraph"/>
              <w:spacing w:before="108"/>
              <w:ind w:left="1"/>
              <w:rPr>
                <w:sz w:val="20"/>
              </w:rPr>
            </w:pPr>
            <w:r>
              <w:rPr>
                <w:w w:val="99"/>
                <w:sz w:val="20"/>
              </w:rPr>
              <w:t>2</w:t>
            </w:r>
          </w:p>
        </w:tc>
        <w:tc>
          <w:tcPr>
            <w:tcW w:w="1321" w:type="dxa"/>
            <w:tcBorders>
              <w:left w:val="nil"/>
              <w:right w:val="nil"/>
            </w:tcBorders>
          </w:tcPr>
          <w:p>
            <w:pPr>
              <w:pStyle w:val="TableParagraph"/>
              <w:spacing w:line="223" w:lineRule="exact"/>
              <w:ind w:left="336"/>
              <w:jc w:val="left"/>
              <w:rPr>
                <w:sz w:val="20"/>
              </w:rPr>
            </w:pPr>
            <w:r>
              <w:rPr>
                <w:sz w:val="20"/>
              </w:rPr>
              <w:t>1.68148</w:t>
            </w:r>
          </w:p>
          <w:p>
            <w:pPr>
              <w:pStyle w:val="TableParagraph"/>
              <w:ind w:left="336"/>
              <w:jc w:val="left"/>
              <w:rPr>
                <w:sz w:val="20"/>
              </w:rPr>
            </w:pPr>
            <w:r>
              <w:rPr>
                <w:sz w:val="20"/>
              </w:rPr>
              <w:t>0.63154</w:t>
            </w:r>
          </w:p>
        </w:tc>
        <w:tc>
          <w:tcPr>
            <w:tcW w:w="1340" w:type="dxa"/>
            <w:tcBorders>
              <w:left w:val="nil"/>
              <w:right w:val="nil"/>
            </w:tcBorders>
          </w:tcPr>
          <w:p>
            <w:pPr>
              <w:pStyle w:val="TableParagraph"/>
              <w:spacing w:line="223" w:lineRule="exact"/>
              <w:ind w:left="395"/>
              <w:jc w:val="left"/>
              <w:rPr>
                <w:sz w:val="20"/>
              </w:rPr>
            </w:pPr>
            <w:r>
              <w:rPr>
                <w:sz w:val="20"/>
              </w:rPr>
              <w:t>0.1927</w:t>
            </w:r>
          </w:p>
          <w:p>
            <w:pPr>
              <w:pStyle w:val="TableParagraph"/>
              <w:ind w:left="395"/>
              <w:jc w:val="left"/>
              <w:rPr>
                <w:sz w:val="20"/>
              </w:rPr>
            </w:pPr>
            <w:r>
              <w:rPr>
                <w:sz w:val="20"/>
              </w:rPr>
              <w:t>0.5344</w:t>
            </w:r>
          </w:p>
        </w:tc>
        <w:tc>
          <w:tcPr>
            <w:tcW w:w="2460" w:type="dxa"/>
            <w:tcBorders>
              <w:left w:val="nil"/>
              <w:right w:val="nil"/>
            </w:tcBorders>
          </w:tcPr>
          <w:p>
            <w:pPr>
              <w:pStyle w:val="TableParagraph"/>
              <w:ind w:left="654" w:right="647"/>
              <w:jc w:val="left"/>
              <w:rPr>
                <w:sz w:val="20"/>
              </w:rPr>
            </w:pPr>
            <w:r>
              <w:rPr>
                <w:sz w:val="20"/>
              </w:rPr>
              <w:t>No causalidad No causalidad</w:t>
            </w:r>
          </w:p>
        </w:tc>
      </w:tr>
      <w:tr>
        <w:trPr>
          <w:trHeight w:val="521" w:hRule="exact"/>
        </w:trPr>
        <w:tc>
          <w:tcPr>
            <w:tcW w:w="1808" w:type="dxa"/>
            <w:tcBorders>
              <w:left w:val="nil"/>
              <w:right w:val="nil"/>
            </w:tcBorders>
          </w:tcPr>
          <w:p>
            <w:pPr>
              <w:pStyle w:val="TableParagraph"/>
              <w:ind w:left="122" w:right="329"/>
              <w:jc w:val="left"/>
              <w:rPr>
                <w:sz w:val="20"/>
              </w:rPr>
            </w:pPr>
            <w:r>
              <w:rPr>
                <w:w w:val="95"/>
                <w:sz w:val="20"/>
              </w:rPr>
              <w:t>lyindusteu-lqreal lqreal-lyindusteu</w:t>
            </w:r>
          </w:p>
        </w:tc>
        <w:tc>
          <w:tcPr>
            <w:tcW w:w="919" w:type="dxa"/>
            <w:tcBorders>
              <w:left w:val="nil"/>
              <w:right w:val="nil"/>
            </w:tcBorders>
          </w:tcPr>
          <w:p>
            <w:pPr>
              <w:pStyle w:val="TableParagraph"/>
              <w:spacing w:before="125"/>
              <w:ind w:left="1"/>
              <w:rPr>
                <w:sz w:val="20"/>
              </w:rPr>
            </w:pPr>
            <w:r>
              <w:rPr>
                <w:w w:val="99"/>
                <w:sz w:val="20"/>
              </w:rPr>
              <w:t>2</w:t>
            </w:r>
          </w:p>
        </w:tc>
        <w:tc>
          <w:tcPr>
            <w:tcW w:w="1321" w:type="dxa"/>
            <w:tcBorders>
              <w:left w:val="nil"/>
              <w:right w:val="nil"/>
            </w:tcBorders>
          </w:tcPr>
          <w:p>
            <w:pPr>
              <w:pStyle w:val="TableParagraph"/>
              <w:spacing w:line="229" w:lineRule="exact" w:before="10"/>
              <w:ind w:left="336"/>
              <w:jc w:val="left"/>
              <w:rPr>
                <w:sz w:val="20"/>
              </w:rPr>
            </w:pPr>
            <w:r>
              <w:rPr>
                <w:sz w:val="20"/>
              </w:rPr>
              <w:t>2.28637</w:t>
            </w:r>
          </w:p>
          <w:p>
            <w:pPr>
              <w:pStyle w:val="TableParagraph"/>
              <w:spacing w:line="229" w:lineRule="exact"/>
              <w:ind w:left="336"/>
              <w:jc w:val="left"/>
              <w:rPr>
                <w:sz w:val="20"/>
              </w:rPr>
            </w:pPr>
            <w:r>
              <w:rPr>
                <w:sz w:val="20"/>
              </w:rPr>
              <w:t>3.05810</w:t>
            </w:r>
          </w:p>
        </w:tc>
        <w:tc>
          <w:tcPr>
            <w:tcW w:w="1340" w:type="dxa"/>
            <w:tcBorders>
              <w:left w:val="nil"/>
              <w:right w:val="nil"/>
            </w:tcBorders>
          </w:tcPr>
          <w:p>
            <w:pPr>
              <w:pStyle w:val="TableParagraph"/>
              <w:spacing w:line="229" w:lineRule="exact" w:before="10"/>
              <w:ind w:left="395"/>
              <w:jc w:val="left"/>
              <w:rPr>
                <w:sz w:val="20"/>
              </w:rPr>
            </w:pPr>
            <w:r>
              <w:rPr>
                <w:sz w:val="20"/>
              </w:rPr>
              <w:t>0.1083</w:t>
            </w:r>
          </w:p>
          <w:p>
            <w:pPr>
              <w:pStyle w:val="TableParagraph"/>
              <w:spacing w:line="229" w:lineRule="exact"/>
              <w:ind w:left="395"/>
              <w:jc w:val="left"/>
              <w:rPr>
                <w:sz w:val="20"/>
              </w:rPr>
            </w:pPr>
            <w:r>
              <w:rPr>
                <w:sz w:val="20"/>
              </w:rPr>
              <w:t>0.0526</w:t>
            </w:r>
          </w:p>
        </w:tc>
        <w:tc>
          <w:tcPr>
            <w:tcW w:w="2460" w:type="dxa"/>
            <w:tcBorders>
              <w:left w:val="nil"/>
              <w:right w:val="nil"/>
            </w:tcBorders>
          </w:tcPr>
          <w:p>
            <w:pPr>
              <w:pStyle w:val="TableParagraph"/>
              <w:spacing w:before="10"/>
              <w:ind w:left="654" w:right="647"/>
              <w:jc w:val="left"/>
              <w:rPr>
                <w:sz w:val="20"/>
              </w:rPr>
            </w:pPr>
            <w:r>
              <w:rPr>
                <w:sz w:val="20"/>
              </w:rPr>
              <w:t>No causalidad No causalidad</w:t>
            </w:r>
          </w:p>
        </w:tc>
      </w:tr>
      <w:tr>
        <w:trPr>
          <w:trHeight w:val="490" w:hRule="exact"/>
        </w:trPr>
        <w:tc>
          <w:tcPr>
            <w:tcW w:w="1808" w:type="dxa"/>
            <w:tcBorders>
              <w:left w:val="nil"/>
              <w:right w:val="nil"/>
            </w:tcBorders>
          </w:tcPr>
          <w:p>
            <w:pPr>
              <w:pStyle w:val="TableParagraph"/>
              <w:ind w:left="122" w:right="797"/>
              <w:jc w:val="left"/>
              <w:rPr>
                <w:sz w:val="20"/>
              </w:rPr>
            </w:pPr>
            <w:r>
              <w:rPr>
                <w:w w:val="95"/>
                <w:sz w:val="20"/>
              </w:rPr>
              <w:t>lpmt-lqreal lqreal-lpmt</w:t>
            </w:r>
          </w:p>
        </w:tc>
        <w:tc>
          <w:tcPr>
            <w:tcW w:w="919" w:type="dxa"/>
            <w:tcBorders>
              <w:left w:val="nil"/>
              <w:right w:val="nil"/>
            </w:tcBorders>
          </w:tcPr>
          <w:p>
            <w:pPr>
              <w:pStyle w:val="TableParagraph"/>
              <w:spacing w:before="108"/>
              <w:ind w:left="1"/>
              <w:rPr>
                <w:sz w:val="20"/>
              </w:rPr>
            </w:pPr>
            <w:r>
              <w:rPr>
                <w:w w:val="99"/>
                <w:sz w:val="20"/>
              </w:rPr>
              <w:t>2</w:t>
            </w:r>
          </w:p>
        </w:tc>
        <w:tc>
          <w:tcPr>
            <w:tcW w:w="1321" w:type="dxa"/>
            <w:tcBorders>
              <w:left w:val="nil"/>
              <w:right w:val="nil"/>
            </w:tcBorders>
          </w:tcPr>
          <w:p>
            <w:pPr>
              <w:pStyle w:val="TableParagraph"/>
              <w:spacing w:line="223" w:lineRule="exact"/>
              <w:ind w:left="336"/>
              <w:jc w:val="left"/>
              <w:rPr>
                <w:sz w:val="20"/>
              </w:rPr>
            </w:pPr>
            <w:r>
              <w:rPr>
                <w:sz w:val="20"/>
              </w:rPr>
              <w:t>1.28520</w:t>
            </w:r>
          </w:p>
          <w:p>
            <w:pPr>
              <w:pStyle w:val="TableParagraph"/>
              <w:ind w:left="336"/>
              <w:jc w:val="left"/>
              <w:rPr>
                <w:sz w:val="20"/>
              </w:rPr>
            </w:pPr>
            <w:r>
              <w:rPr>
                <w:sz w:val="20"/>
              </w:rPr>
              <w:t>5.08905</w:t>
            </w:r>
          </w:p>
        </w:tc>
        <w:tc>
          <w:tcPr>
            <w:tcW w:w="1340" w:type="dxa"/>
            <w:tcBorders>
              <w:left w:val="nil"/>
              <w:right w:val="nil"/>
            </w:tcBorders>
          </w:tcPr>
          <w:p>
            <w:pPr>
              <w:pStyle w:val="TableParagraph"/>
              <w:spacing w:line="223" w:lineRule="exact"/>
              <w:ind w:left="395"/>
              <w:jc w:val="left"/>
              <w:rPr>
                <w:sz w:val="20"/>
              </w:rPr>
            </w:pPr>
            <w:r>
              <w:rPr>
                <w:sz w:val="20"/>
              </w:rPr>
              <w:t>0.2823</w:t>
            </w:r>
          </w:p>
          <w:p>
            <w:pPr>
              <w:pStyle w:val="TableParagraph"/>
              <w:ind w:left="395"/>
              <w:jc w:val="left"/>
              <w:rPr>
                <w:sz w:val="20"/>
              </w:rPr>
            </w:pPr>
            <w:r>
              <w:rPr>
                <w:sz w:val="20"/>
              </w:rPr>
              <w:t>0.0083</w:t>
            </w:r>
          </w:p>
        </w:tc>
        <w:tc>
          <w:tcPr>
            <w:tcW w:w="2460" w:type="dxa"/>
            <w:tcBorders>
              <w:left w:val="nil"/>
              <w:right w:val="nil"/>
            </w:tcBorders>
          </w:tcPr>
          <w:p>
            <w:pPr>
              <w:pStyle w:val="TableParagraph"/>
              <w:spacing w:line="223" w:lineRule="exact"/>
              <w:ind w:left="654"/>
              <w:jc w:val="left"/>
              <w:rPr>
                <w:sz w:val="20"/>
              </w:rPr>
            </w:pPr>
            <w:r>
              <w:rPr>
                <w:sz w:val="20"/>
              </w:rPr>
              <w:t>No causalidad</w:t>
            </w:r>
          </w:p>
          <w:p>
            <w:pPr>
              <w:pStyle w:val="TableParagraph"/>
              <w:spacing w:before="5"/>
              <w:ind w:left="741"/>
              <w:jc w:val="left"/>
              <w:rPr>
                <w:b/>
                <w:sz w:val="20"/>
              </w:rPr>
            </w:pPr>
            <w:r>
              <w:rPr>
                <w:b/>
                <w:sz w:val="20"/>
              </w:rPr>
              <w:t>Causalidad</w:t>
            </w:r>
          </w:p>
        </w:tc>
      </w:tr>
      <w:tr>
        <w:trPr>
          <w:trHeight w:val="490" w:hRule="exact"/>
        </w:trPr>
        <w:tc>
          <w:tcPr>
            <w:tcW w:w="1808" w:type="dxa"/>
            <w:tcBorders>
              <w:left w:val="nil"/>
              <w:right w:val="nil"/>
            </w:tcBorders>
          </w:tcPr>
          <w:p>
            <w:pPr>
              <w:pStyle w:val="TableParagraph"/>
              <w:ind w:left="122" w:right="418"/>
              <w:jc w:val="left"/>
              <w:rPr>
                <w:sz w:val="20"/>
              </w:rPr>
            </w:pPr>
            <w:r>
              <w:rPr>
                <w:w w:val="95"/>
                <w:sz w:val="20"/>
              </w:rPr>
              <w:t>lpmt-lyindusteu lyindusteu-lpmt</w:t>
            </w:r>
          </w:p>
        </w:tc>
        <w:tc>
          <w:tcPr>
            <w:tcW w:w="919" w:type="dxa"/>
            <w:tcBorders>
              <w:left w:val="nil"/>
              <w:right w:val="nil"/>
            </w:tcBorders>
          </w:tcPr>
          <w:p>
            <w:pPr>
              <w:pStyle w:val="TableParagraph"/>
              <w:spacing w:before="108"/>
              <w:ind w:left="1"/>
              <w:rPr>
                <w:sz w:val="20"/>
              </w:rPr>
            </w:pPr>
            <w:r>
              <w:rPr>
                <w:w w:val="99"/>
                <w:sz w:val="20"/>
              </w:rPr>
              <w:t>2</w:t>
            </w:r>
          </w:p>
        </w:tc>
        <w:tc>
          <w:tcPr>
            <w:tcW w:w="1321" w:type="dxa"/>
            <w:tcBorders>
              <w:left w:val="nil"/>
              <w:right w:val="nil"/>
            </w:tcBorders>
          </w:tcPr>
          <w:p>
            <w:pPr>
              <w:pStyle w:val="TableParagraph"/>
              <w:spacing w:line="223" w:lineRule="exact"/>
              <w:ind w:left="336"/>
              <w:jc w:val="left"/>
              <w:rPr>
                <w:sz w:val="20"/>
              </w:rPr>
            </w:pPr>
            <w:r>
              <w:rPr>
                <w:sz w:val="20"/>
              </w:rPr>
              <w:t>0.84160</w:t>
            </w:r>
          </w:p>
          <w:p>
            <w:pPr>
              <w:pStyle w:val="TableParagraph"/>
              <w:ind w:left="336"/>
              <w:jc w:val="left"/>
              <w:rPr>
                <w:sz w:val="20"/>
              </w:rPr>
            </w:pPr>
            <w:r>
              <w:rPr>
                <w:sz w:val="20"/>
              </w:rPr>
              <w:t>0.27073</w:t>
            </w:r>
          </w:p>
        </w:tc>
        <w:tc>
          <w:tcPr>
            <w:tcW w:w="1340" w:type="dxa"/>
            <w:tcBorders>
              <w:left w:val="nil"/>
              <w:right w:val="nil"/>
            </w:tcBorders>
          </w:tcPr>
          <w:p>
            <w:pPr>
              <w:pStyle w:val="TableParagraph"/>
              <w:spacing w:line="223" w:lineRule="exact"/>
              <w:ind w:left="395"/>
              <w:jc w:val="left"/>
              <w:rPr>
                <w:sz w:val="20"/>
              </w:rPr>
            </w:pPr>
            <w:r>
              <w:rPr>
                <w:sz w:val="20"/>
              </w:rPr>
              <w:t>0.4348</w:t>
            </w:r>
          </w:p>
          <w:p>
            <w:pPr>
              <w:pStyle w:val="TableParagraph"/>
              <w:ind w:left="395"/>
              <w:jc w:val="left"/>
              <w:rPr>
                <w:sz w:val="20"/>
              </w:rPr>
            </w:pPr>
            <w:r>
              <w:rPr>
                <w:sz w:val="20"/>
              </w:rPr>
              <w:t>0.7635</w:t>
            </w:r>
          </w:p>
        </w:tc>
        <w:tc>
          <w:tcPr>
            <w:tcW w:w="2460" w:type="dxa"/>
            <w:tcBorders>
              <w:left w:val="nil"/>
              <w:right w:val="nil"/>
            </w:tcBorders>
          </w:tcPr>
          <w:p>
            <w:pPr>
              <w:pStyle w:val="TableParagraph"/>
              <w:ind w:left="654" w:right="647"/>
              <w:jc w:val="left"/>
              <w:rPr>
                <w:sz w:val="20"/>
              </w:rPr>
            </w:pPr>
            <w:r>
              <w:rPr>
                <w:sz w:val="20"/>
              </w:rPr>
              <w:t>No causalidad No causalidad</w:t>
            </w:r>
          </w:p>
        </w:tc>
      </w:tr>
    </w:tbl>
    <w:p>
      <w:pPr>
        <w:spacing w:before="115"/>
        <w:ind w:left="810" w:right="119" w:firstLine="0"/>
        <w:jc w:val="left"/>
        <w:rPr>
          <w:sz w:val="18"/>
        </w:rPr>
      </w:pPr>
      <w:r>
        <w:rPr>
          <w:sz w:val="18"/>
        </w:rPr>
        <w:t>Fuente: Elaboración propia.</w:t>
      </w:r>
    </w:p>
    <w:p>
      <w:pPr>
        <w:pStyle w:val="BodyText"/>
        <w:rPr>
          <w:sz w:val="18"/>
        </w:rPr>
      </w:pPr>
    </w:p>
    <w:p>
      <w:pPr>
        <w:pStyle w:val="BodyText"/>
        <w:spacing w:line="360" w:lineRule="auto" w:before="137"/>
        <w:ind w:left="102" w:right="118"/>
        <w:jc w:val="both"/>
      </w:pPr>
      <w:r>
        <w:rPr/>
        <w:t>La presencia de causalidad en sentido de Granger, entre la industria automotriz y el sector manufacturero implica que se tiene evidencia de que el comportamiento de la industria automotriz tiene precedencia estadística sobre el futuro del producto del sector manufacturero.</w:t>
      </w:r>
    </w:p>
    <w:p>
      <w:pPr>
        <w:pStyle w:val="BodyText"/>
        <w:spacing w:before="9"/>
        <w:rPr>
          <w:sz w:val="21"/>
        </w:rPr>
      </w:pPr>
    </w:p>
    <w:p>
      <w:pPr>
        <w:pStyle w:val="Heading1"/>
        <w:numPr>
          <w:ilvl w:val="1"/>
          <w:numId w:val="31"/>
        </w:numPr>
        <w:tabs>
          <w:tab w:pos="522" w:val="left" w:leader="none"/>
        </w:tabs>
        <w:spacing w:line="240" w:lineRule="auto" w:before="0" w:after="0"/>
        <w:ind w:left="522" w:right="0" w:hanging="420"/>
        <w:jc w:val="both"/>
      </w:pPr>
      <w:bookmarkStart w:name="_TOC_250006" w:id="29"/>
      <w:r>
        <w:rPr/>
        <w:t>Metodología de los modelos de vectores autorregresivos</w:t>
      </w:r>
      <w:r>
        <w:rPr>
          <w:spacing w:val="-13"/>
        </w:rPr>
        <w:t> </w:t>
      </w:r>
      <w:bookmarkEnd w:id="29"/>
      <w:r>
        <w:rPr/>
        <w:t>(VAR)</w:t>
      </w:r>
    </w:p>
    <w:p>
      <w:pPr>
        <w:pStyle w:val="BodyText"/>
        <w:spacing w:before="4"/>
        <w:rPr>
          <w:b/>
          <w:sz w:val="32"/>
        </w:rPr>
      </w:pPr>
    </w:p>
    <w:p>
      <w:pPr>
        <w:pStyle w:val="BodyText"/>
        <w:spacing w:line="360" w:lineRule="auto"/>
        <w:ind w:left="102" w:right="111"/>
        <w:jc w:val="both"/>
      </w:pPr>
      <w:r>
        <w:rPr/>
        <w:t>C. Sims en los años ochenta publicó un artículo en </w:t>
      </w:r>
      <w:r>
        <w:rPr>
          <w:i/>
        </w:rPr>
        <w:t>Econometrica </w:t>
      </w:r>
      <w:r>
        <w:rPr/>
        <w:t>“Macroeconometría y realidad” que puede considerarse el origen de los modelos VAR. Sims se plantea la importancia de las relaciones dinámicas en los fenómenos económicos y la escasa información de la teoría económica, en la que habitualmente se basan los modelos estructurales, aporta sobre estas relaciones dinámicas. Sims desarrolló un marco alternativo de elaboración y análisis con modelos econométricos multivariantes dinámicos que trataba de solventar los problemas que, a su juicio, presentaban las aproximaciones estructurales clásicas (Citado por Pérez, 2008).</w:t>
      </w:r>
    </w:p>
    <w:p>
      <w:pPr>
        <w:spacing w:after="0" w:line="360" w:lineRule="auto"/>
        <w:jc w:val="both"/>
        <w:sectPr>
          <w:pgSz w:w="12240" w:h="15840"/>
          <w:pgMar w:header="0" w:footer="1035" w:top="1360" w:bottom="1220" w:left="1600" w:right="1580"/>
        </w:sectPr>
      </w:pPr>
    </w:p>
    <w:p>
      <w:pPr>
        <w:pStyle w:val="BodyText"/>
        <w:spacing w:line="360" w:lineRule="auto" w:before="50"/>
        <w:ind w:left="102" w:right="121"/>
        <w:jc w:val="both"/>
      </w:pPr>
      <w:r>
        <w:rPr/>
        <w:t>El</w:t>
      </w:r>
      <w:r>
        <w:rPr>
          <w:spacing w:val="-13"/>
        </w:rPr>
        <w:t> </w:t>
      </w:r>
      <w:r>
        <w:rPr/>
        <w:t>planteamiento</w:t>
      </w:r>
      <w:r>
        <w:rPr>
          <w:spacing w:val="-13"/>
        </w:rPr>
        <w:t> </w:t>
      </w:r>
      <w:r>
        <w:rPr/>
        <w:t>original</w:t>
      </w:r>
      <w:r>
        <w:rPr>
          <w:spacing w:val="-11"/>
        </w:rPr>
        <w:t> </w:t>
      </w:r>
      <w:r>
        <w:rPr/>
        <w:t>de</w:t>
      </w:r>
      <w:r>
        <w:rPr>
          <w:spacing w:val="-14"/>
        </w:rPr>
        <w:t> </w:t>
      </w:r>
      <w:r>
        <w:rPr/>
        <w:t>un</w:t>
      </w:r>
      <w:r>
        <w:rPr>
          <w:spacing w:val="-13"/>
        </w:rPr>
        <w:t> </w:t>
      </w:r>
      <w:r>
        <w:rPr/>
        <w:t>modelo</w:t>
      </w:r>
      <w:r>
        <w:rPr>
          <w:spacing w:val="-11"/>
        </w:rPr>
        <w:t> </w:t>
      </w:r>
      <w:r>
        <w:rPr/>
        <w:t>VAR</w:t>
      </w:r>
      <w:r>
        <w:rPr>
          <w:spacing w:val="-13"/>
        </w:rPr>
        <w:t> </w:t>
      </w:r>
      <w:r>
        <w:rPr/>
        <w:t>parte</w:t>
      </w:r>
      <w:r>
        <w:rPr>
          <w:spacing w:val="-12"/>
        </w:rPr>
        <w:t> </w:t>
      </w:r>
      <w:r>
        <w:rPr/>
        <w:t>de</w:t>
      </w:r>
      <w:r>
        <w:rPr>
          <w:spacing w:val="-14"/>
        </w:rPr>
        <w:t> </w:t>
      </w:r>
      <w:r>
        <w:rPr/>
        <w:t>la</w:t>
      </w:r>
      <w:r>
        <w:rPr>
          <w:spacing w:val="-12"/>
        </w:rPr>
        <w:t> </w:t>
      </w:r>
      <w:r>
        <w:rPr/>
        <w:t>especificación</w:t>
      </w:r>
      <w:r>
        <w:rPr>
          <w:spacing w:val="-13"/>
        </w:rPr>
        <w:t> </w:t>
      </w:r>
      <w:r>
        <w:rPr/>
        <w:t>general</w:t>
      </w:r>
      <w:r>
        <w:rPr>
          <w:spacing w:val="-13"/>
        </w:rPr>
        <w:t> </w:t>
      </w:r>
      <w:r>
        <w:rPr/>
        <w:t>de</w:t>
      </w:r>
      <w:r>
        <w:rPr>
          <w:spacing w:val="-14"/>
        </w:rPr>
        <w:t> </w:t>
      </w:r>
      <w:r>
        <w:rPr/>
        <w:t>un</w:t>
      </w:r>
      <w:r>
        <w:rPr>
          <w:spacing w:val="-11"/>
        </w:rPr>
        <w:t> </w:t>
      </w:r>
      <w:r>
        <w:rPr/>
        <w:t>modelo multiecuacional sobre la forma reducida (Pérez,</w:t>
      </w:r>
      <w:r>
        <w:rPr>
          <w:spacing w:val="-13"/>
        </w:rPr>
        <w:t> </w:t>
      </w:r>
      <w:r>
        <w:rPr/>
        <w:t>2008):</w:t>
      </w:r>
    </w:p>
    <w:p>
      <w:pPr>
        <w:pStyle w:val="BodyText"/>
        <w:spacing w:before="5"/>
        <w:rPr>
          <w:sz w:val="21"/>
        </w:rPr>
      </w:pPr>
    </w:p>
    <w:p>
      <w:pPr>
        <w:spacing w:before="0"/>
        <w:ind w:left="383" w:right="410" w:firstLine="0"/>
        <w:jc w:val="center"/>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𝑡  </w:t>
      </w:r>
      <w:r>
        <w:rPr>
          <w:rFonts w:ascii="Cambria Math" w:hAnsi="Cambria Math" w:eastAsia="Cambria Math"/>
          <w:sz w:val="24"/>
        </w:rPr>
        <w:t>= �</w:t>
      </w:r>
      <w:r>
        <w:rPr>
          <w:rFonts w:ascii="Cambria Math" w:hAnsi="Cambria Math" w:eastAsia="Cambria Math"/>
          <w:position w:val="-4"/>
          <w:sz w:val="17"/>
        </w:rPr>
        <w:t>𝑡</w:t>
      </w:r>
      <w:r>
        <w:rPr>
          <w:rFonts w:ascii="Cambria Math" w:hAnsi="Cambria Math" w:eastAsia="Cambria Math"/>
          <w:sz w:val="24"/>
        </w:rPr>
        <w:t>Π + �</w:t>
      </w:r>
      <w:r>
        <w:rPr>
          <w:rFonts w:ascii="Cambria Math" w:hAnsi="Cambria Math" w:eastAsia="Cambria Math"/>
          <w:position w:val="-4"/>
          <w:sz w:val="17"/>
        </w:rPr>
        <w:t>𝑡</w:t>
      </w:r>
    </w:p>
    <w:p>
      <w:pPr>
        <w:pStyle w:val="BodyText"/>
        <w:spacing w:before="1"/>
        <w:rPr>
          <w:rFonts w:ascii="Cambria Math"/>
          <w:sz w:val="29"/>
        </w:rPr>
      </w:pPr>
    </w:p>
    <w:p>
      <w:pPr>
        <w:pStyle w:val="BodyText"/>
        <w:spacing w:line="331" w:lineRule="auto"/>
        <w:ind w:left="102" w:right="118"/>
        <w:jc w:val="both"/>
      </w:pPr>
      <w:r>
        <w:rPr/>
        <w:t>A  partir  del  cual  se  construye  un  nuevo  vector  </w:t>
      </w:r>
      <w:r>
        <w:rPr>
          <w:rFonts w:ascii="Cambria Math" w:hAnsi="Cambria Math" w:eastAsia="Cambria Math"/>
        </w:rPr>
        <w:t>�</w:t>
      </w:r>
      <w:r>
        <w:rPr>
          <w:rFonts w:ascii="Cambria Math" w:hAnsi="Cambria Math" w:eastAsia="Cambria Math"/>
          <w:position w:val="-4"/>
          <w:sz w:val="17"/>
        </w:rPr>
        <w:t>𝑡  </w:t>
      </w:r>
      <w:r>
        <w:rPr/>
        <w:t>que  agrupa  todas  las  variables, tanto endógenas como exógenas:</w:t>
      </w:r>
    </w:p>
    <w:p>
      <w:pPr>
        <w:pStyle w:val="BodyText"/>
        <w:spacing w:before="3"/>
      </w:pPr>
    </w:p>
    <w:p>
      <w:pPr>
        <w:pStyle w:val="BodyText"/>
        <w:ind w:left="383" w:right="397"/>
        <w:jc w:val="center"/>
        <w:rPr>
          <w:rFonts w:ascii="Cambria Math" w:eastAsia="Cambria Math"/>
        </w:rPr>
      </w:pPr>
      <w:r>
        <w:rPr>
          <w:rFonts w:ascii="Cambria Math" w:eastAsia="Cambria Math"/>
        </w:rPr>
        <w:t>�</w:t>
      </w:r>
      <w:r>
        <w:rPr>
          <w:rFonts w:ascii="Cambria Math" w:eastAsia="Cambria Math"/>
          <w:position w:val="-4"/>
          <w:sz w:val="17"/>
        </w:rPr>
        <w:t>𝑡</w:t>
      </w:r>
      <w:r>
        <w:rPr>
          <w:rFonts w:ascii="Cambria Math" w:eastAsia="Cambria Math"/>
        </w:rPr>
        <w:t>(�</w:t>
      </w:r>
      <w:r>
        <w:rPr>
          <w:rFonts w:ascii="Cambria Math" w:eastAsia="Cambria Math"/>
          <w:position w:val="-4"/>
          <w:sz w:val="17"/>
        </w:rPr>
        <w:t>𝑡</w:t>
      </w:r>
      <w:r>
        <w:rPr>
          <w:rFonts w:ascii="Cambria Math" w:eastAsia="Cambria Math"/>
        </w:rPr>
        <w:t>,                   �</w:t>
      </w:r>
      <w:r>
        <w:rPr>
          <w:rFonts w:ascii="Cambria Math" w:eastAsia="Cambria Math"/>
          <w:position w:val="-4"/>
          <w:sz w:val="17"/>
        </w:rPr>
        <w:t>𝑡</w:t>
      </w:r>
      <w:r>
        <w:rPr>
          <w:rFonts w:ascii="Cambria Math" w:eastAsia="Cambria Math"/>
        </w:rPr>
        <w:t>)</w:t>
      </w:r>
    </w:p>
    <w:p>
      <w:pPr>
        <w:pStyle w:val="BodyText"/>
        <w:spacing w:before="1"/>
        <w:rPr>
          <w:rFonts w:ascii="Cambria Math"/>
          <w:sz w:val="29"/>
        </w:rPr>
      </w:pPr>
    </w:p>
    <w:p>
      <w:pPr>
        <w:pStyle w:val="BodyText"/>
        <w:spacing w:line="350" w:lineRule="auto"/>
        <w:ind w:left="102" w:right="118"/>
        <w:jc w:val="both"/>
      </w:pPr>
      <w:r>
        <w:rPr/>
        <w:t>Tomando este nuevo vector como </w:t>
      </w:r>
      <w:r>
        <w:rPr>
          <w:rFonts w:ascii="Cambria Math" w:hAnsi="Cambria Math" w:eastAsia="Cambria Math"/>
          <w:spacing w:val="-4"/>
        </w:rPr>
        <w:t>�</w:t>
      </w:r>
      <w:r>
        <w:rPr>
          <w:rFonts w:ascii="Cambria Math" w:hAnsi="Cambria Math" w:eastAsia="Cambria Math"/>
          <w:spacing w:val="-4"/>
          <w:position w:val="-4"/>
          <w:sz w:val="17"/>
        </w:rPr>
        <w:t>𝑡  </w:t>
      </w:r>
      <w:r>
        <w:rPr/>
        <w:t>como una variable aleatoria multivariante,   podemos utilizar el teorema de descomposición de Wold (1938), según el cual toda  variable aleatoria puede descomponerse en un componente determinista y un componente aleatorio en el que</w:t>
      </w:r>
      <w:r>
        <w:rPr>
          <w:spacing w:val="24"/>
        </w:rPr>
        <w:t> </w:t>
      </w:r>
      <w:r>
        <w:rPr/>
        <w:t>tenemos:</w:t>
      </w:r>
    </w:p>
    <w:p>
      <w:pPr>
        <w:pStyle w:val="BodyText"/>
        <w:spacing w:before="6"/>
        <w:rPr>
          <w:sz w:val="21"/>
        </w:rPr>
      </w:pPr>
    </w:p>
    <w:p>
      <w:pPr>
        <w:tabs>
          <w:tab w:pos="2133" w:val="left" w:leader="none"/>
        </w:tabs>
        <w:spacing w:before="0"/>
        <w:ind w:left="0" w:right="27" w:firstLine="0"/>
        <w:jc w:val="center"/>
        <w:rPr>
          <w:rFonts w:ascii="Cambria Math" w:eastAsia="Cambria Math"/>
          <w:sz w:val="17"/>
        </w:rPr>
      </w:pPr>
      <w:r>
        <w:rPr>
          <w:rFonts w:ascii="Cambria Math" w:eastAsia="Cambria Math"/>
          <w:spacing w:val="-29"/>
          <w:w w:val="95"/>
          <w:sz w:val="24"/>
        </w:rPr>
        <w:t>�</w:t>
      </w:r>
      <w:r>
        <w:rPr>
          <w:rFonts w:ascii="Cambria Math" w:eastAsia="Cambria Math"/>
          <w:spacing w:val="-29"/>
          <w:w w:val="95"/>
          <w:position w:val="-4"/>
          <w:sz w:val="17"/>
        </w:rPr>
        <w:t>𝑡          </w:t>
      </w:r>
      <w:r>
        <w:rPr>
          <w:rFonts w:ascii="Cambria Math" w:eastAsia="Cambria Math"/>
          <w:spacing w:val="-29"/>
          <w:w w:val="95"/>
          <w:sz w:val="24"/>
        </w:rPr>
        <w:t>=     </w:t>
      </w:r>
      <w:r>
        <w:rPr>
          <w:rFonts w:ascii="Cambria Math" w:eastAsia="Cambria Math"/>
          <w:spacing w:val="-28"/>
          <w:w w:val="95"/>
          <w:sz w:val="24"/>
        </w:rPr>
        <w:t>�</w:t>
      </w:r>
      <w:r>
        <w:rPr>
          <w:rFonts w:ascii="Cambria Math" w:eastAsia="Cambria Math"/>
          <w:spacing w:val="-28"/>
          <w:w w:val="95"/>
          <w:position w:val="-4"/>
          <w:sz w:val="17"/>
        </w:rPr>
        <w:t>𝑡    </w:t>
      </w:r>
      <w:r>
        <w:rPr>
          <w:rFonts w:ascii="Cambria Math" w:eastAsia="Cambria Math"/>
          <w:spacing w:val="-23"/>
          <w:w w:val="95"/>
          <w:position w:val="-4"/>
          <w:sz w:val="17"/>
        </w:rPr>
        <w:t> </w:t>
      </w:r>
      <w:r>
        <w:rPr>
          <w:rFonts w:ascii="Cambria Math" w:eastAsia="Cambria Math"/>
          <w:spacing w:val="-29"/>
          <w:w w:val="95"/>
          <w:sz w:val="24"/>
        </w:rPr>
        <w:t>+</w:t>
      </w:r>
      <w:r>
        <w:rPr>
          <w:rFonts w:ascii="Cambria Math" w:eastAsia="Cambria Math"/>
          <w:spacing w:val="-9"/>
          <w:w w:val="95"/>
          <w:sz w:val="24"/>
        </w:rPr>
        <w:t> </w:t>
      </w:r>
      <w:r>
        <w:rPr>
          <w:rFonts w:ascii="Cambria Math" w:eastAsia="Cambria Math"/>
          <w:spacing w:val="-29"/>
          <w:w w:val="95"/>
          <w:sz w:val="24"/>
        </w:rPr>
        <w:t>�</w:t>
      </w:r>
      <w:r>
        <w:rPr>
          <w:rFonts w:ascii="Cambria Math" w:eastAsia="Cambria Math"/>
          <w:spacing w:val="-29"/>
          <w:w w:val="95"/>
          <w:position w:val="1"/>
          <w:sz w:val="24"/>
        </w:rPr>
        <w:t>(</w:t>
      </w:r>
      <w:r>
        <w:rPr>
          <w:rFonts w:ascii="Cambria Math" w:eastAsia="Cambria Math"/>
          <w:spacing w:val="-29"/>
          <w:w w:val="95"/>
          <w:sz w:val="24"/>
        </w:rPr>
        <w:t>𝐿</w:t>
      </w:r>
      <w:r>
        <w:rPr>
          <w:rFonts w:ascii="Cambria Math" w:eastAsia="Cambria Math"/>
          <w:spacing w:val="-29"/>
          <w:w w:val="95"/>
          <w:position w:val="1"/>
          <w:sz w:val="24"/>
        </w:rPr>
        <w:t>)</w:t>
      </w:r>
      <w:r>
        <w:rPr>
          <w:rFonts w:ascii="Cambria Math" w:eastAsia="Cambria Math"/>
          <w:spacing w:val="-29"/>
          <w:w w:val="95"/>
          <w:sz w:val="24"/>
        </w:rPr>
        <w:t>𝜀</w:t>
      </w:r>
      <w:r>
        <w:rPr>
          <w:rFonts w:ascii="Cambria Math" w:eastAsia="Cambria Math"/>
          <w:spacing w:val="-29"/>
          <w:w w:val="95"/>
          <w:position w:val="-4"/>
          <w:sz w:val="17"/>
        </w:rPr>
        <w:t>𝑡</w:t>
        <w:tab/>
      </w:r>
      <w:r>
        <w:rPr>
          <w:rFonts w:ascii="Cambria Math" w:eastAsia="Cambria Math"/>
          <w:spacing w:val="-28"/>
          <w:w w:val="95"/>
          <w:sz w:val="24"/>
        </w:rPr>
        <w:t>�</w:t>
      </w:r>
      <w:r>
        <w:rPr>
          <w:rFonts w:ascii="Cambria Math" w:eastAsia="Cambria Math"/>
          <w:spacing w:val="-28"/>
          <w:w w:val="95"/>
          <w:position w:val="-4"/>
          <w:sz w:val="17"/>
        </w:rPr>
        <w:t>𝑡         </w:t>
      </w:r>
      <w:r>
        <w:rPr>
          <w:rFonts w:ascii="Cambria Math" w:eastAsia="Cambria Math"/>
          <w:spacing w:val="-28"/>
          <w:w w:val="95"/>
          <w:sz w:val="24"/>
        </w:rPr>
        <w:t>= </w:t>
      </w:r>
      <w:r>
        <w:rPr>
          <w:rFonts w:ascii="Cambria Math" w:eastAsia="Cambria Math"/>
          <w:spacing w:val="-25"/>
          <w:w w:val="95"/>
          <w:sz w:val="24"/>
        </w:rPr>
        <w:t> </w:t>
      </w:r>
      <w:r>
        <w:rPr>
          <w:rFonts w:ascii="Cambria Math" w:eastAsia="Cambria Math"/>
          <w:spacing w:val="-28"/>
          <w:w w:val="95"/>
          <w:sz w:val="24"/>
        </w:rPr>
        <w:t>�(𝐿)𝜀</w:t>
      </w:r>
      <w:r>
        <w:rPr>
          <w:rFonts w:ascii="Cambria Math" w:eastAsia="Cambria Math"/>
          <w:spacing w:val="-28"/>
          <w:w w:val="95"/>
          <w:position w:val="-4"/>
          <w:sz w:val="17"/>
        </w:rPr>
        <w:t>𝑡</w:t>
      </w:r>
    </w:p>
    <w:p>
      <w:pPr>
        <w:pStyle w:val="BodyText"/>
        <w:spacing w:before="4"/>
        <w:rPr>
          <w:rFonts w:ascii="Cambria Math"/>
          <w:sz w:val="29"/>
        </w:rPr>
      </w:pPr>
    </w:p>
    <w:p>
      <w:pPr>
        <w:pStyle w:val="BodyText"/>
        <w:spacing w:line="331" w:lineRule="auto"/>
        <w:ind w:left="102" w:right="120"/>
        <w:jc w:val="both"/>
      </w:pPr>
      <w:r>
        <w:rPr/>
        <w:t>donde la matriz multivariante de </w:t>
      </w:r>
      <w:r>
        <w:rPr>
          <w:rFonts w:ascii="Cambria Math" w:eastAsia="Cambria Math"/>
        </w:rPr>
        <w:t>�</w:t>
      </w:r>
      <w:r>
        <w:rPr>
          <w:rFonts w:ascii="Cambria Math" w:eastAsia="Cambria Math"/>
          <w:position w:val="-4"/>
          <w:sz w:val="17"/>
        </w:rPr>
        <w:t>𝑡 </w:t>
      </w:r>
      <w:r>
        <w:rPr/>
        <w:t>queda especificada como una matriz de retardos aplicada sobre una matriz de componentes aleatorios multivariante.</w:t>
      </w:r>
    </w:p>
    <w:p>
      <w:pPr>
        <w:pStyle w:val="BodyText"/>
      </w:pPr>
    </w:p>
    <w:p>
      <w:pPr>
        <w:pStyle w:val="BodyText"/>
        <w:spacing w:line="360" w:lineRule="auto"/>
        <w:ind w:left="102" w:right="119"/>
        <w:jc w:val="both"/>
      </w:pPr>
      <w:r>
        <w:rPr/>
        <w:t>Descomponiendo  ahora  la  matriz  de  retardos  en  dos  componentes  </w:t>
      </w:r>
      <w:r>
        <w:rPr>
          <w:rFonts w:ascii="Cambria Math" w:eastAsia="Cambria Math"/>
        </w:rPr>
        <w:t>�  </w:t>
      </w:r>
      <w:r>
        <w:rPr/>
        <w:t>y  </w:t>
      </w:r>
      <w:r>
        <w:rPr>
          <w:rFonts w:ascii="Cambria Math" w:eastAsia="Cambria Math"/>
        </w:rPr>
        <w:t>�</w:t>
      </w:r>
      <w:r>
        <w:rPr/>
        <w:t>, recogiendo respectivamente los retardos aplicados a las variables y los aplicados a las componentes aleatorias, podemos reescribir la anterior identidad como:</w:t>
      </w:r>
    </w:p>
    <w:p>
      <w:pPr>
        <w:pStyle w:val="BodyText"/>
        <w:spacing w:before="10"/>
        <w:rPr>
          <w:sz w:val="19"/>
        </w:rPr>
      </w:pPr>
    </w:p>
    <w:p>
      <w:pPr>
        <w:spacing w:before="0"/>
        <w:ind w:left="383" w:right="412" w:firstLine="0"/>
        <w:jc w:val="center"/>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4"/>
          <w:sz w:val="17"/>
        </w:rPr>
        <w:t>𝑡      </w:t>
      </w:r>
      <w:r>
        <w:rPr>
          <w:rFonts w:ascii="Cambria Math" w:hAnsi="Cambria Math" w:eastAsia="Cambria Math"/>
          <w:w w:val="95"/>
          <w:sz w:val="24"/>
        </w:rPr>
        <w:t>=  �</w:t>
      </w:r>
      <w:r>
        <w:rPr>
          <w:rFonts w:ascii="Cambria Math" w:hAnsi="Cambria Math" w:eastAsia="Cambria Math"/>
          <w:w w:val="95"/>
          <w:position w:val="9"/>
          <w:sz w:val="17"/>
        </w:rPr>
        <w:t>−1</w:t>
      </w:r>
      <w:r>
        <w:rPr>
          <w:rFonts w:ascii="Cambria Math" w:hAnsi="Cambria Math" w:eastAsia="Cambria Math"/>
          <w:w w:val="95"/>
          <w:position w:val="1"/>
          <w:sz w:val="24"/>
        </w:rPr>
        <w:t>(</w:t>
      </w:r>
      <w:r>
        <w:rPr>
          <w:rFonts w:ascii="Cambria Math" w:hAnsi="Cambria Math" w:eastAsia="Cambria Math"/>
          <w:w w:val="95"/>
          <w:sz w:val="24"/>
        </w:rPr>
        <w:t>𝐿</w:t>
      </w:r>
      <w:r>
        <w:rPr>
          <w:rFonts w:ascii="Cambria Math" w:hAnsi="Cambria Math" w:eastAsia="Cambria Math"/>
          <w:w w:val="95"/>
          <w:position w:val="1"/>
          <w:sz w:val="24"/>
        </w:rPr>
        <w:t>) </w:t>
      </w:r>
      <w:r>
        <w:rPr>
          <w:rFonts w:ascii="Cambria Math" w:hAnsi="Cambria Math" w:eastAsia="Cambria Math"/>
          <w:w w:val="95"/>
          <w:sz w:val="24"/>
        </w:rPr>
        <w:t>∗  �</w:t>
      </w:r>
      <w:r>
        <w:rPr>
          <w:rFonts w:ascii="Cambria Math" w:hAnsi="Cambria Math" w:eastAsia="Cambria Math"/>
          <w:w w:val="95"/>
          <w:position w:val="1"/>
          <w:sz w:val="24"/>
        </w:rPr>
        <w:t>(</w:t>
      </w:r>
      <w:r>
        <w:rPr>
          <w:rFonts w:ascii="Cambria Math" w:hAnsi="Cambria Math" w:eastAsia="Cambria Math"/>
          <w:w w:val="95"/>
          <w:sz w:val="24"/>
        </w:rPr>
        <w:t>𝐿</w:t>
      </w:r>
      <w:r>
        <w:rPr>
          <w:rFonts w:ascii="Cambria Math" w:hAnsi="Cambria Math" w:eastAsia="Cambria Math"/>
          <w:w w:val="95"/>
          <w:position w:val="1"/>
          <w:sz w:val="24"/>
        </w:rPr>
        <w:t>)  </w:t>
      </w:r>
      <w:r>
        <w:rPr>
          <w:rFonts w:ascii="Cambria Math" w:hAnsi="Cambria Math" w:eastAsia="Cambria Math"/>
          <w:w w:val="95"/>
          <w:sz w:val="24"/>
        </w:rPr>
        <w:t>∗ 𝜀</w:t>
      </w:r>
      <w:r>
        <w:rPr>
          <w:rFonts w:ascii="Cambria Math" w:hAnsi="Cambria Math" w:eastAsia="Cambria Math"/>
          <w:w w:val="95"/>
          <w:position w:val="-4"/>
          <w:sz w:val="17"/>
        </w:rPr>
        <w:t>𝑡</w:t>
      </w:r>
    </w:p>
    <w:p>
      <w:pPr>
        <w:pStyle w:val="BodyText"/>
        <w:spacing w:before="1"/>
        <w:rPr>
          <w:rFonts w:ascii="Cambria Math"/>
          <w:sz w:val="28"/>
        </w:rPr>
      </w:pPr>
    </w:p>
    <w:p>
      <w:pPr>
        <w:pStyle w:val="BodyText"/>
        <w:ind w:left="102"/>
        <w:jc w:val="both"/>
      </w:pPr>
      <w:r>
        <w:rPr>
          <w:w w:val="95"/>
        </w:rPr>
        <w:t>y premultiplicando por la matriz </w:t>
      </w:r>
      <w:r>
        <w:rPr>
          <w:rFonts w:ascii="Cambria Math" w:eastAsia="Cambria Math"/>
          <w:w w:val="95"/>
        </w:rPr>
        <w:t>�</w:t>
      </w:r>
      <w:r>
        <w:rPr>
          <w:rFonts w:ascii="Cambria Math" w:eastAsia="Cambria Math"/>
          <w:w w:val="95"/>
          <w:position w:val="1"/>
        </w:rPr>
        <w:t>(</w:t>
      </w:r>
      <w:r>
        <w:rPr>
          <w:rFonts w:ascii="Cambria Math" w:eastAsia="Cambria Math"/>
          <w:w w:val="95"/>
        </w:rPr>
        <w:t>𝐿</w:t>
      </w:r>
      <w:r>
        <w:rPr>
          <w:rFonts w:ascii="Cambria Math" w:eastAsia="Cambria Math"/>
          <w:w w:val="95"/>
          <w:position w:val="1"/>
        </w:rPr>
        <w:t>)</w:t>
      </w:r>
      <w:r>
        <w:rPr>
          <w:w w:val="95"/>
        </w:rPr>
        <w:t>tenemos:</w:t>
      </w:r>
    </w:p>
    <w:p>
      <w:pPr>
        <w:pStyle w:val="BodyText"/>
        <w:spacing w:before="7"/>
        <w:rPr>
          <w:sz w:val="32"/>
        </w:rPr>
      </w:pPr>
    </w:p>
    <w:p>
      <w:pPr>
        <w:spacing w:before="1"/>
        <w:ind w:left="383" w:right="412" w:firstLine="0"/>
        <w:jc w:val="center"/>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1"/>
          <w:sz w:val="24"/>
        </w:rPr>
        <w:t>(</w:t>
      </w:r>
      <w:r>
        <w:rPr>
          <w:rFonts w:ascii="Cambria Math" w:hAnsi="Cambria Math" w:eastAsia="Cambria Math"/>
          <w:w w:val="95"/>
          <w:sz w:val="24"/>
        </w:rPr>
        <w:t>𝐿</w:t>
      </w:r>
      <w:r>
        <w:rPr>
          <w:rFonts w:ascii="Cambria Math" w:hAnsi="Cambria Math" w:eastAsia="Cambria Math"/>
          <w:w w:val="95"/>
          <w:position w:val="1"/>
          <w:sz w:val="24"/>
        </w:rPr>
        <w:t>)</w:t>
      </w:r>
      <w:r>
        <w:rPr>
          <w:rFonts w:ascii="Cambria Math" w:hAnsi="Cambria Math" w:eastAsia="Cambria Math"/>
          <w:w w:val="95"/>
          <w:sz w:val="24"/>
        </w:rPr>
        <w:t>�</w:t>
      </w:r>
      <w:r>
        <w:rPr>
          <w:rFonts w:ascii="Cambria Math" w:hAnsi="Cambria Math" w:eastAsia="Cambria Math"/>
          <w:w w:val="95"/>
          <w:position w:val="-4"/>
          <w:sz w:val="17"/>
        </w:rPr>
        <w:t>𝑡                                           </w:t>
      </w:r>
      <w:r>
        <w:rPr>
          <w:rFonts w:ascii="Cambria Math" w:hAnsi="Cambria Math" w:eastAsia="Cambria Math"/>
          <w:w w:val="95"/>
          <w:sz w:val="24"/>
        </w:rPr>
        <w:t>=  �</w:t>
      </w:r>
      <w:r>
        <w:rPr>
          <w:rFonts w:ascii="Cambria Math" w:hAnsi="Cambria Math" w:eastAsia="Cambria Math"/>
          <w:w w:val="95"/>
          <w:position w:val="1"/>
          <w:sz w:val="24"/>
        </w:rPr>
        <w:t>(</w:t>
      </w:r>
      <w:r>
        <w:rPr>
          <w:rFonts w:ascii="Cambria Math" w:hAnsi="Cambria Math" w:eastAsia="Cambria Math"/>
          <w:w w:val="95"/>
          <w:sz w:val="24"/>
        </w:rPr>
        <w:t>𝐿</w:t>
      </w:r>
      <w:r>
        <w:rPr>
          <w:rFonts w:ascii="Cambria Math" w:hAnsi="Cambria Math" w:eastAsia="Cambria Math"/>
          <w:w w:val="95"/>
          <w:position w:val="1"/>
          <w:sz w:val="24"/>
        </w:rPr>
        <w:t>)  </w:t>
      </w:r>
      <w:r>
        <w:rPr>
          <w:rFonts w:ascii="Cambria Math" w:hAnsi="Cambria Math" w:eastAsia="Cambria Math"/>
          <w:w w:val="95"/>
          <w:sz w:val="24"/>
        </w:rPr>
        <w:t>∗  𝜀</w:t>
      </w:r>
      <w:r>
        <w:rPr>
          <w:rFonts w:ascii="Cambria Math" w:hAnsi="Cambria Math" w:eastAsia="Cambria Math"/>
          <w:w w:val="95"/>
          <w:position w:val="-4"/>
          <w:sz w:val="17"/>
        </w:rPr>
        <w:t>𝑡</w:t>
      </w:r>
    </w:p>
    <w:p>
      <w:pPr>
        <w:pStyle w:val="BodyText"/>
        <w:spacing w:before="3"/>
        <w:rPr>
          <w:rFonts w:ascii="Cambria Math"/>
          <w:sz w:val="28"/>
        </w:rPr>
      </w:pPr>
    </w:p>
    <w:p>
      <w:pPr>
        <w:pStyle w:val="BodyText"/>
        <w:spacing w:line="345" w:lineRule="auto"/>
        <w:ind w:left="102" w:right="114"/>
        <w:jc w:val="both"/>
      </w:pPr>
      <w:r>
        <w:rPr/>
        <w:t>Si inicialmente suponemos la matriz de retardos </w:t>
      </w:r>
      <w:r>
        <w:rPr>
          <w:rFonts w:ascii="Cambria Math" w:hAnsi="Cambria Math" w:eastAsia="Cambria Math"/>
        </w:rPr>
        <w:t>�</w:t>
      </w:r>
      <w:r>
        <w:rPr>
          <w:rFonts w:ascii="Cambria Math" w:hAnsi="Cambria Math" w:eastAsia="Cambria Math"/>
          <w:position w:val="1"/>
        </w:rPr>
        <w:t>(</w:t>
      </w:r>
      <w:r>
        <w:rPr>
          <w:rFonts w:ascii="Cambria Math" w:hAnsi="Cambria Math" w:eastAsia="Cambria Math"/>
        </w:rPr>
        <w:t>𝐿</w:t>
      </w:r>
      <w:r>
        <w:rPr>
          <w:rFonts w:ascii="Cambria Math" w:hAnsi="Cambria Math" w:eastAsia="Cambria Math"/>
          <w:position w:val="1"/>
        </w:rPr>
        <w:t>) </w:t>
      </w:r>
      <w:r>
        <w:rPr/>
        <w:t>como constante </w:t>
      </w:r>
      <w:r>
        <w:rPr>
          <w:rFonts w:ascii="Cambria Math" w:hAnsi="Cambria Math" w:eastAsia="Cambria Math"/>
        </w:rPr>
        <w:t>�</w:t>
      </w:r>
      <w:r>
        <w:rPr>
          <w:rFonts w:ascii="Cambria Math" w:hAnsi="Cambria Math" w:eastAsia="Cambria Math"/>
          <w:position w:val="1"/>
        </w:rPr>
        <w:t>(</w:t>
      </w:r>
      <w:r>
        <w:rPr>
          <w:rFonts w:ascii="Cambria Math" w:hAnsi="Cambria Math" w:eastAsia="Cambria Math"/>
        </w:rPr>
        <w:t>𝐿</w:t>
      </w: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4"/>
          <w:sz w:val="17"/>
        </w:rPr>
        <w:t>𝑡 </w:t>
      </w:r>
      <w:r>
        <w:rPr>
          <w:rFonts w:ascii="Cambria Math" w:hAnsi="Cambria Math" w:eastAsia="Cambria Math"/>
        </w:rPr>
        <w:t>= �𝜀</w:t>
      </w:r>
      <w:r>
        <w:rPr>
          <w:rFonts w:ascii="Cambria Math" w:hAnsi="Cambria Math" w:eastAsia="Cambria Math"/>
          <w:position w:val="-4"/>
          <w:sz w:val="17"/>
        </w:rPr>
        <w:t>𝑡 </w:t>
      </w:r>
      <w:r>
        <w:rPr/>
        <w:t>y separando los componentes contemporáneos de </w:t>
      </w:r>
      <w:r>
        <w:rPr>
          <w:rFonts w:ascii="Cambria Math" w:hAnsi="Cambria Math" w:eastAsia="Cambria Math"/>
        </w:rPr>
        <w:t>�</w:t>
      </w:r>
      <w:r>
        <w:rPr/>
        <w:t>, obtendríamos una representación autorregresiva pura del modelo multiecuacional:</w:t>
      </w:r>
    </w:p>
    <w:p>
      <w:pPr>
        <w:pStyle w:val="BodyText"/>
        <w:spacing w:before="9"/>
        <w:rPr>
          <w:sz w:val="14"/>
        </w:rPr>
      </w:pPr>
    </w:p>
    <w:p>
      <w:pPr>
        <w:spacing w:after="0"/>
        <w:rPr>
          <w:sz w:val="14"/>
        </w:rPr>
        <w:sectPr>
          <w:pgSz w:w="12240" w:h="15840"/>
          <w:pgMar w:header="0" w:footer="1035" w:top="1360" w:bottom="1220" w:left="1600" w:right="1580"/>
        </w:sectPr>
      </w:pPr>
    </w:p>
    <w:p>
      <w:pPr>
        <w:spacing w:before="72"/>
        <w:ind w:left="1604" w:right="0" w:firstLine="0"/>
        <w:jc w:val="left"/>
        <w:rPr>
          <w:rFonts w:ascii="Cambria Math" w:hAnsi="Cambria Math" w:eastAsia="Cambria Math"/>
          <w:sz w:val="17"/>
        </w:rPr>
      </w:pPr>
      <w:r>
        <w:rPr/>
        <w:pict>
          <v:shape style="position:absolute;margin-left:193.850006pt;margin-top:12.187685pt;width:4.95pt;height:8.550pt;mso-position-horizontal-relative:page;mso-position-vertical-relative:paragraph;z-index:-488368" type="#_x0000_t202" filled="false" stroked="false">
            <v:textbox inset="0,0,0,0">
              <w:txbxContent>
                <w:p>
                  <w:pPr>
                    <w:spacing w:line="170" w:lineRule="exact" w:before="0"/>
                    <w:ind w:left="0" w:right="0" w:firstLine="0"/>
                    <w:jc w:val="left"/>
                    <w:rPr>
                      <w:rFonts w:ascii="Cambria Math"/>
                      <w:sz w:val="17"/>
                    </w:rPr>
                  </w:pPr>
                  <w:r>
                    <w:rPr>
                      <w:rFonts w:ascii="Cambria Math"/>
                      <w:w w:val="104"/>
                      <w:sz w:val="17"/>
                    </w:rPr>
                    <w:t>0</w:t>
                  </w:r>
                </w:p>
              </w:txbxContent>
            </v:textbox>
            <w10:wrap type="none"/>
          </v:shape>
        </w:pict>
      </w:r>
      <w:r>
        <w:rPr>
          <w:rFonts w:ascii="Cambria Math" w:hAnsi="Cambria Math" w:eastAsia="Cambria Math"/>
          <w:sz w:val="24"/>
        </w:rPr>
        <w:t>�</w:t>
      </w:r>
      <w:r>
        <w:rPr>
          <w:rFonts w:ascii="Cambria Math" w:hAnsi="Cambria Math" w:eastAsia="Cambria Math"/>
          <w:position w:val="-4"/>
          <w:sz w:val="17"/>
        </w:rPr>
        <w:t>𝑡 </w:t>
      </w:r>
      <w:r>
        <w:rPr>
          <w:rFonts w:ascii="Cambria Math" w:hAnsi="Cambria Math" w:eastAsia="Cambria Math"/>
          <w:sz w:val="24"/>
        </w:rPr>
        <w:t>= �</w:t>
      </w:r>
      <w:r>
        <w:rPr>
          <w:rFonts w:ascii="Cambria Math" w:hAnsi="Cambria Math" w:eastAsia="Cambria Math"/>
          <w:position w:val="9"/>
          <w:sz w:val="17"/>
        </w:rPr>
        <w:t>−1</w:t>
      </w:r>
    </w:p>
    <w:p>
      <w:pPr>
        <w:spacing w:before="96"/>
        <w:ind w:left="-31" w:right="0" w:firstLine="0"/>
        <w:jc w:val="left"/>
        <w:rPr>
          <w:rFonts w:ascii="Cambria Math" w:hAnsi="Cambria Math" w:eastAsia="Cambria Math"/>
          <w:sz w:val="24"/>
        </w:rPr>
      </w:pPr>
      <w:r>
        <w:rPr/>
        <w:br w:type="column"/>
      </w:r>
      <w:r>
        <w:rPr>
          <w:rFonts w:ascii="Cambria Math" w:hAnsi="Cambria Math" w:eastAsia="Cambria Math"/>
          <w:spacing w:val="-26"/>
          <w:sz w:val="24"/>
        </w:rPr>
        <w:t>(�</w:t>
      </w:r>
      <w:r>
        <w:rPr>
          <w:rFonts w:ascii="Cambria Math" w:hAnsi="Cambria Math" w:eastAsia="Cambria Math"/>
          <w:spacing w:val="-26"/>
          <w:position w:val="-4"/>
          <w:sz w:val="17"/>
        </w:rPr>
        <w:t>1</w:t>
      </w:r>
      <w:r>
        <w:rPr>
          <w:rFonts w:ascii="Cambria Math" w:hAnsi="Cambria Math" w:eastAsia="Cambria Math"/>
          <w:spacing w:val="-26"/>
          <w:sz w:val="24"/>
        </w:rPr>
        <w:t>�</w:t>
      </w:r>
      <w:r>
        <w:rPr>
          <w:rFonts w:ascii="Cambria Math" w:hAnsi="Cambria Math" w:eastAsia="Cambria Math"/>
          <w:spacing w:val="-26"/>
          <w:position w:val="-4"/>
          <w:sz w:val="17"/>
        </w:rPr>
        <w:t>𝑡−1   </w:t>
      </w:r>
      <w:r>
        <w:rPr>
          <w:rFonts w:ascii="Cambria Math" w:hAnsi="Cambria Math" w:eastAsia="Cambria Math"/>
          <w:spacing w:val="-26"/>
          <w:sz w:val="24"/>
        </w:rPr>
        <w:t>+ �</w:t>
      </w:r>
      <w:r>
        <w:rPr>
          <w:rFonts w:ascii="Cambria Math" w:hAnsi="Cambria Math" w:eastAsia="Cambria Math"/>
          <w:spacing w:val="-26"/>
          <w:position w:val="-4"/>
          <w:sz w:val="17"/>
        </w:rPr>
        <w:t>2</w:t>
      </w:r>
      <w:r>
        <w:rPr>
          <w:rFonts w:ascii="Cambria Math" w:hAnsi="Cambria Math" w:eastAsia="Cambria Math"/>
          <w:spacing w:val="-26"/>
          <w:sz w:val="24"/>
        </w:rPr>
        <w:t>�</w:t>
      </w:r>
      <w:r>
        <w:rPr>
          <w:rFonts w:ascii="Cambria Math" w:hAnsi="Cambria Math" w:eastAsia="Cambria Math"/>
          <w:spacing w:val="-26"/>
          <w:position w:val="-4"/>
          <w:sz w:val="17"/>
        </w:rPr>
        <w:t>𝑡−2   </w:t>
      </w:r>
      <w:r>
        <w:rPr>
          <w:rFonts w:ascii="Cambria Math" w:hAnsi="Cambria Math" w:eastAsia="Cambria Math"/>
          <w:spacing w:val="-26"/>
          <w:sz w:val="24"/>
        </w:rPr>
        <w:t>+ </w:t>
      </w:r>
      <w:r>
        <w:rPr>
          <w:rFonts w:ascii="Cambria Math" w:hAnsi="Cambria Math" w:eastAsia="Cambria Math"/>
          <w:spacing w:val="-25"/>
          <w:sz w:val="24"/>
        </w:rPr>
        <w:t>�</w:t>
      </w:r>
      <w:r>
        <w:rPr>
          <w:rFonts w:ascii="Cambria Math" w:hAnsi="Cambria Math" w:eastAsia="Cambria Math"/>
          <w:spacing w:val="-25"/>
          <w:position w:val="-4"/>
          <w:sz w:val="17"/>
        </w:rPr>
        <w:t>3</w:t>
      </w:r>
      <w:r>
        <w:rPr>
          <w:rFonts w:ascii="Cambria Math" w:hAnsi="Cambria Math" w:eastAsia="Cambria Math"/>
          <w:spacing w:val="-25"/>
          <w:sz w:val="24"/>
        </w:rPr>
        <w:t>�</w:t>
      </w:r>
      <w:r>
        <w:rPr>
          <w:rFonts w:ascii="Cambria Math" w:hAnsi="Cambria Math" w:eastAsia="Cambria Math"/>
          <w:spacing w:val="-25"/>
          <w:position w:val="-4"/>
          <w:sz w:val="17"/>
        </w:rPr>
        <w:t>𝑡−3   </w:t>
      </w:r>
      <w:r>
        <w:rPr>
          <w:rFonts w:ascii="Cambria Math" w:hAnsi="Cambria Math" w:eastAsia="Cambria Math"/>
          <w:spacing w:val="-25"/>
          <w:sz w:val="24"/>
        </w:rPr>
        <w:t>+ ⋯ + �</w:t>
      </w:r>
      <w:r>
        <w:rPr>
          <w:rFonts w:ascii="Cambria Math" w:hAnsi="Cambria Math" w:eastAsia="Cambria Math"/>
          <w:spacing w:val="-25"/>
          <w:position w:val="-4"/>
          <w:sz w:val="17"/>
        </w:rPr>
        <w:t>𝑟</w:t>
      </w:r>
      <w:r>
        <w:rPr>
          <w:rFonts w:ascii="Cambria Math" w:hAnsi="Cambria Math" w:eastAsia="Cambria Math"/>
          <w:spacing w:val="-25"/>
          <w:sz w:val="24"/>
        </w:rPr>
        <w:t>�</w:t>
      </w:r>
      <w:r>
        <w:rPr>
          <w:rFonts w:ascii="Cambria Math" w:hAnsi="Cambria Math" w:eastAsia="Cambria Math"/>
          <w:spacing w:val="-25"/>
          <w:position w:val="-4"/>
          <w:sz w:val="17"/>
        </w:rPr>
        <w:t>𝑡−𝑟   </w:t>
      </w:r>
      <w:r>
        <w:rPr>
          <w:rFonts w:ascii="Cambria Math" w:hAnsi="Cambria Math" w:eastAsia="Cambria Math"/>
          <w:spacing w:val="-25"/>
          <w:sz w:val="24"/>
        </w:rPr>
        <w:t>+ �𝜀</w:t>
      </w:r>
      <w:r>
        <w:rPr>
          <w:rFonts w:ascii="Cambria Math" w:hAnsi="Cambria Math" w:eastAsia="Cambria Math"/>
          <w:spacing w:val="-25"/>
          <w:position w:val="-4"/>
          <w:sz w:val="17"/>
        </w:rPr>
        <w:t>𝑡</w:t>
      </w:r>
      <w:r>
        <w:rPr>
          <w:rFonts w:ascii="Cambria Math" w:hAnsi="Cambria Math" w:eastAsia="Cambria Math"/>
          <w:spacing w:val="-25"/>
          <w:sz w:val="24"/>
        </w:rPr>
        <w:t>)</w:t>
      </w:r>
    </w:p>
    <w:p>
      <w:pPr>
        <w:spacing w:after="0"/>
        <w:jc w:val="left"/>
        <w:rPr>
          <w:rFonts w:ascii="Cambria Math" w:hAnsi="Cambria Math" w:eastAsia="Cambria Math"/>
          <w:sz w:val="24"/>
        </w:rPr>
        <w:sectPr>
          <w:type w:val="continuous"/>
          <w:pgSz w:w="12240" w:h="15840"/>
          <w:pgMar w:top="1060" w:bottom="280" w:left="1600" w:right="1580"/>
          <w:cols w:num="2" w:equalWidth="0">
            <w:col w:w="2506" w:space="40"/>
            <w:col w:w="6514"/>
          </w:cols>
        </w:sectPr>
      </w:pPr>
    </w:p>
    <w:p>
      <w:pPr>
        <w:pStyle w:val="BodyText"/>
        <w:spacing w:line="360" w:lineRule="auto" w:before="50"/>
        <w:ind w:left="102" w:right="117"/>
        <w:jc w:val="both"/>
      </w:pPr>
      <w:r>
        <w:rPr/>
        <w:t>Esta fórmula autorregresiva puede estimarse sin problemas por MCO, ya que todas las variables que aparecen a la derecha de la identidad son predeterminadas y aun siendo aleatorias, presentan independencia contemporánea con las perturbaciones aleatorias.</w:t>
      </w:r>
    </w:p>
    <w:p>
      <w:pPr>
        <w:pStyle w:val="BodyText"/>
        <w:spacing w:before="4"/>
        <w:rPr>
          <w:sz w:val="21"/>
        </w:rPr>
      </w:pPr>
    </w:p>
    <w:p>
      <w:pPr>
        <w:pStyle w:val="BodyText"/>
        <w:spacing w:line="360" w:lineRule="auto" w:before="1"/>
        <w:ind w:left="102" w:right="118"/>
        <w:jc w:val="both"/>
      </w:pPr>
      <w:r>
        <w:rPr/>
        <w:t>Por</w:t>
      </w:r>
      <w:r>
        <w:rPr>
          <w:spacing w:val="-10"/>
        </w:rPr>
        <w:t> </w:t>
      </w:r>
      <w:r>
        <w:rPr/>
        <w:t>tanto,</w:t>
      </w:r>
      <w:r>
        <w:rPr>
          <w:spacing w:val="-10"/>
        </w:rPr>
        <w:t> </w:t>
      </w:r>
      <w:r>
        <w:rPr/>
        <w:t>podríamos</w:t>
      </w:r>
      <w:r>
        <w:rPr>
          <w:spacing w:val="-9"/>
        </w:rPr>
        <w:t> </w:t>
      </w:r>
      <w:r>
        <w:rPr/>
        <w:t>afirmar</w:t>
      </w:r>
      <w:r>
        <w:rPr>
          <w:spacing w:val="-11"/>
        </w:rPr>
        <w:t> </w:t>
      </w:r>
      <w:r>
        <w:rPr/>
        <w:t>que</w:t>
      </w:r>
      <w:r>
        <w:rPr>
          <w:spacing w:val="-11"/>
        </w:rPr>
        <w:t> </w:t>
      </w:r>
      <w:r>
        <w:rPr/>
        <w:t>el</w:t>
      </w:r>
      <w:r>
        <w:rPr>
          <w:spacing w:val="-12"/>
        </w:rPr>
        <w:t> </w:t>
      </w:r>
      <w:r>
        <w:rPr/>
        <w:t>planteamiento</w:t>
      </w:r>
      <w:r>
        <w:rPr>
          <w:spacing w:val="-7"/>
        </w:rPr>
        <w:t> </w:t>
      </w:r>
      <w:r>
        <w:rPr/>
        <w:t>de</w:t>
      </w:r>
      <w:r>
        <w:rPr>
          <w:spacing w:val="-11"/>
        </w:rPr>
        <w:t> </w:t>
      </w:r>
      <w:r>
        <w:rPr/>
        <w:t>vectores</w:t>
      </w:r>
      <w:r>
        <w:rPr>
          <w:spacing w:val="-9"/>
        </w:rPr>
        <w:t> </w:t>
      </w:r>
      <w:r>
        <w:rPr/>
        <w:t>autorrregresivos</w:t>
      </w:r>
      <w:r>
        <w:rPr>
          <w:spacing w:val="-9"/>
        </w:rPr>
        <w:t> </w:t>
      </w:r>
      <w:r>
        <w:rPr/>
        <w:t>consistiría</w:t>
      </w:r>
      <w:r>
        <w:rPr>
          <w:spacing w:val="-13"/>
        </w:rPr>
        <w:t> </w:t>
      </w:r>
      <w:r>
        <w:rPr/>
        <w:t>en la estimación por MCO de la transformación de Wold aplicada a la forma reducida de un modelo</w:t>
      </w:r>
      <w:r>
        <w:rPr>
          <w:spacing w:val="-5"/>
        </w:rPr>
        <w:t> </w:t>
      </w:r>
      <w:r>
        <w:rPr/>
        <w:t>multiecuacional.</w:t>
      </w:r>
    </w:p>
    <w:p>
      <w:pPr>
        <w:pStyle w:val="BodyText"/>
        <w:spacing w:before="3"/>
        <w:rPr>
          <w:sz w:val="21"/>
        </w:rPr>
      </w:pPr>
    </w:p>
    <w:p>
      <w:pPr>
        <w:pStyle w:val="BodyText"/>
        <w:spacing w:line="360" w:lineRule="auto"/>
        <w:ind w:left="102" w:right="117"/>
        <w:jc w:val="both"/>
      </w:pPr>
      <w:r>
        <w:rPr/>
        <w:t>No obstante, para la especificación concreta de un modelo VAR, bastará con definir a priori el número total de variables que componen el sistema </w:t>
      </w:r>
      <w:r>
        <w:rPr>
          <w:i/>
        </w:rPr>
        <w:t>m</w:t>
      </w:r>
      <w:r>
        <w:rPr/>
        <w:t>, y el número máximo de retardos a incluir r, incluyendo, si es necesario, una matriz adicional con términos deterministas </w:t>
      </w:r>
      <w:r>
        <w:rPr>
          <w:rFonts w:ascii="Cambria Math" w:hAnsi="Cambria Math" w:eastAsia="Cambria Math"/>
        </w:rPr>
        <w:t>�</w:t>
      </w:r>
      <w:r>
        <w:rPr>
          <w:rFonts w:ascii="Cambria Math" w:hAnsi="Cambria Math" w:eastAsia="Cambria Math"/>
          <w:position w:val="-4"/>
          <w:sz w:val="17"/>
        </w:rPr>
        <w:t>𝑡</w:t>
      </w:r>
      <w:r>
        <w:rPr/>
        <w:t>.</w:t>
      </w:r>
    </w:p>
    <w:p>
      <w:pPr>
        <w:pStyle w:val="BodyText"/>
        <w:spacing w:before="195"/>
        <w:ind w:left="102"/>
        <w:jc w:val="both"/>
      </w:pPr>
      <w:r>
        <w:rPr/>
        <w:t>Así, para cada variable </w:t>
      </w:r>
      <w:r>
        <w:rPr>
          <w:rFonts w:ascii="Cambria Math" w:hAnsi="Cambria Math" w:eastAsia="Cambria Math"/>
        </w:rPr>
        <w:t>�</w:t>
      </w:r>
      <w:r>
        <w:rPr>
          <w:rFonts w:ascii="Cambria Math" w:hAnsi="Cambria Math" w:eastAsia="Cambria Math"/>
          <w:position w:val="-4"/>
          <w:sz w:val="17"/>
        </w:rPr>
        <w:t>�   </w:t>
      </w:r>
      <w:r>
        <w:rPr/>
        <w:t>se plantearía una ecuación del tipo:</w:t>
      </w:r>
    </w:p>
    <w:p>
      <w:pPr>
        <w:pStyle w:val="BodyText"/>
        <w:spacing w:before="6"/>
        <w:rPr>
          <w:sz w:val="20"/>
        </w:rPr>
      </w:pPr>
    </w:p>
    <w:p>
      <w:pPr>
        <w:tabs>
          <w:tab w:pos="388" w:val="left" w:leader="none"/>
        </w:tabs>
        <w:spacing w:before="74"/>
        <w:ind w:left="0" w:right="97" w:firstLine="0"/>
        <w:jc w:val="center"/>
        <w:rPr>
          <w:rFonts w:ascii="Cambria Math" w:eastAsia="Cambria Math"/>
          <w:sz w:val="17"/>
        </w:rPr>
      </w:pPr>
      <w:r>
        <w:rPr>
          <w:rFonts w:ascii="Cambria Math" w:eastAsia="Cambria Math"/>
          <w:w w:val="130"/>
          <w:sz w:val="17"/>
        </w:rPr>
        <w:t>�</w:t>
        <w:tab/>
        <w:t>𝑟</w:t>
      </w:r>
    </w:p>
    <w:p>
      <w:pPr>
        <w:spacing w:before="87"/>
        <w:ind w:left="383" w:right="412" w:firstLine="0"/>
        <w:jc w:val="center"/>
        <w:rPr>
          <w:rFonts w:ascii="Cambria Math" w:hAnsi="Cambria Math" w:eastAsia="Cambria Math"/>
          <w:sz w:val="17"/>
        </w:rPr>
      </w:pPr>
      <w:r>
        <w:rPr>
          <w:rFonts w:ascii="Cambria Math" w:hAnsi="Cambria Math" w:eastAsia="Cambria Math"/>
          <w:spacing w:val="-40"/>
          <w:w w:val="91"/>
          <w:position w:val="5"/>
          <w:sz w:val="24"/>
        </w:rPr>
        <w:t>�</w:t>
      </w:r>
      <w:r>
        <w:rPr>
          <w:rFonts w:ascii="Cambria Math" w:hAnsi="Cambria Math" w:eastAsia="Cambria Math"/>
          <w:spacing w:val="5"/>
          <w:w w:val="53"/>
          <w:sz w:val="17"/>
        </w:rPr>
        <w:t>�</w:t>
      </w:r>
      <w:r>
        <w:rPr>
          <w:rFonts w:ascii="Cambria Math" w:hAnsi="Cambria Math" w:eastAsia="Cambria Math"/>
          <w:spacing w:val="1"/>
          <w:w w:val="100"/>
          <w:sz w:val="17"/>
        </w:rPr>
        <w:t>,</w:t>
      </w:r>
      <w:r>
        <w:rPr>
          <w:rFonts w:ascii="Cambria Math" w:hAnsi="Cambria Math" w:eastAsia="Cambria Math"/>
          <w:w w:val="111"/>
          <w:sz w:val="17"/>
        </w:rPr>
        <w:t>𝑡</w:t>
      </w:r>
      <w:r>
        <w:rPr>
          <w:rFonts w:ascii="Cambria Math" w:hAnsi="Cambria Math" w:eastAsia="Cambria Math"/>
          <w:sz w:val="17"/>
        </w:rPr>
        <w:t> </w:t>
      </w:r>
      <w:r>
        <w:rPr>
          <w:rFonts w:ascii="Cambria Math" w:hAnsi="Cambria Math" w:eastAsia="Cambria Math"/>
          <w:spacing w:val="6"/>
          <w:sz w:val="17"/>
        </w:rPr>
        <w:t> </w:t>
      </w:r>
      <w:r>
        <w:rPr>
          <w:rFonts w:ascii="Cambria Math" w:hAnsi="Cambria Math" w:eastAsia="Cambria Math"/>
          <w:position w:val="5"/>
          <w:sz w:val="24"/>
        </w:rPr>
        <w:t>=</w:t>
      </w:r>
      <w:r>
        <w:rPr>
          <w:rFonts w:ascii="Cambria Math" w:hAnsi="Cambria Math" w:eastAsia="Cambria Math"/>
          <w:spacing w:val="15"/>
          <w:position w:val="5"/>
          <w:sz w:val="24"/>
        </w:rPr>
        <w:t> </w:t>
      </w:r>
      <w:r>
        <w:rPr>
          <w:rFonts w:ascii="Cambria Math" w:hAnsi="Cambria Math" w:eastAsia="Cambria Math"/>
          <w:spacing w:val="-15"/>
          <w:w w:val="105"/>
          <w:position w:val="5"/>
          <w:sz w:val="24"/>
        </w:rPr>
        <w:t>�</w:t>
      </w:r>
      <w:r>
        <w:rPr>
          <w:rFonts w:ascii="Cambria Math" w:hAnsi="Cambria Math" w:eastAsia="Cambria Math"/>
          <w:spacing w:val="5"/>
          <w:w w:val="53"/>
          <w:sz w:val="17"/>
        </w:rPr>
        <w:t>�</w:t>
      </w:r>
      <w:r>
        <w:rPr>
          <w:rFonts w:ascii="Cambria Math" w:hAnsi="Cambria Math" w:eastAsia="Cambria Math"/>
          <w:spacing w:val="1"/>
          <w:w w:val="100"/>
          <w:sz w:val="17"/>
        </w:rPr>
        <w:t>,</w:t>
      </w:r>
      <w:r>
        <w:rPr>
          <w:rFonts w:ascii="Cambria Math" w:hAnsi="Cambria Math" w:eastAsia="Cambria Math"/>
          <w:w w:val="111"/>
          <w:sz w:val="17"/>
        </w:rPr>
        <w:t>𝑡</w:t>
      </w:r>
      <w:r>
        <w:rPr>
          <w:rFonts w:ascii="Cambria Math" w:hAnsi="Cambria Math" w:eastAsia="Cambria Math"/>
          <w:sz w:val="17"/>
        </w:rPr>
        <w:t> </w:t>
      </w:r>
      <w:r>
        <w:rPr>
          <w:rFonts w:ascii="Cambria Math" w:hAnsi="Cambria Math" w:eastAsia="Cambria Math"/>
          <w:spacing w:val="-9"/>
          <w:sz w:val="17"/>
        </w:rPr>
        <w:t> </w:t>
      </w:r>
      <w:r>
        <w:rPr>
          <w:rFonts w:ascii="Cambria Math" w:hAnsi="Cambria Math" w:eastAsia="Cambria Math"/>
          <w:position w:val="5"/>
          <w:sz w:val="24"/>
        </w:rPr>
        <w:t>+</w:t>
      </w:r>
      <w:r>
        <w:rPr>
          <w:rFonts w:ascii="Cambria Math" w:hAnsi="Cambria Math" w:eastAsia="Cambria Math"/>
          <w:spacing w:val="1"/>
          <w:position w:val="5"/>
          <w:sz w:val="24"/>
        </w:rPr>
        <w:t> </w:t>
      </w:r>
      <w:r>
        <w:rPr>
          <w:rFonts w:ascii="Cambria Math" w:hAnsi="Cambria Math" w:eastAsia="Cambria Math"/>
          <w:w w:val="187"/>
          <w:position w:val="5"/>
          <w:sz w:val="24"/>
        </w:rPr>
        <w:t>∑</w:t>
      </w:r>
      <w:r>
        <w:rPr>
          <w:rFonts w:ascii="Cambria Math" w:hAnsi="Cambria Math" w:eastAsia="Cambria Math"/>
          <w:spacing w:val="-14"/>
          <w:position w:val="5"/>
          <w:sz w:val="24"/>
        </w:rPr>
        <w:t> </w:t>
      </w:r>
      <w:r>
        <w:rPr>
          <w:rFonts w:ascii="Cambria Math" w:hAnsi="Cambria Math" w:eastAsia="Cambria Math"/>
          <w:w w:val="187"/>
          <w:position w:val="5"/>
          <w:sz w:val="24"/>
        </w:rPr>
        <w:t>∑</w:t>
      </w:r>
      <w:r>
        <w:rPr>
          <w:rFonts w:ascii="Cambria Math" w:hAnsi="Cambria Math" w:eastAsia="Cambria Math"/>
          <w:spacing w:val="-12"/>
          <w:position w:val="5"/>
          <w:sz w:val="24"/>
        </w:rPr>
        <w:t> </w:t>
      </w:r>
      <w:r>
        <w:rPr>
          <w:rFonts w:ascii="Cambria Math" w:hAnsi="Cambria Math" w:eastAsia="Cambria Math"/>
          <w:spacing w:val="-14"/>
          <w:w w:val="92"/>
          <w:position w:val="5"/>
          <w:sz w:val="24"/>
        </w:rPr>
        <w:t>�</w:t>
      </w:r>
      <w:r>
        <w:rPr>
          <w:rFonts w:ascii="Cambria Math" w:hAnsi="Cambria Math" w:eastAsia="Cambria Math"/>
          <w:w w:val="62"/>
          <w:sz w:val="17"/>
        </w:rPr>
        <w:t>��</w:t>
      </w:r>
      <w:r>
        <w:rPr>
          <w:rFonts w:ascii="Cambria Math" w:hAnsi="Cambria Math" w:eastAsia="Cambria Math"/>
          <w:spacing w:val="14"/>
          <w:sz w:val="17"/>
        </w:rPr>
        <w:t> </w:t>
      </w:r>
      <w:r>
        <w:rPr>
          <w:rFonts w:ascii="Cambria Math" w:hAnsi="Cambria Math" w:eastAsia="Cambria Math"/>
          <w:spacing w:val="-40"/>
          <w:w w:val="91"/>
          <w:position w:val="5"/>
          <w:sz w:val="24"/>
        </w:rPr>
        <w:t>�</w:t>
      </w:r>
      <w:r>
        <w:rPr>
          <w:rFonts w:ascii="Cambria Math" w:hAnsi="Cambria Math" w:eastAsia="Cambria Math"/>
          <w:spacing w:val="5"/>
          <w:w w:val="53"/>
          <w:sz w:val="17"/>
        </w:rPr>
        <w:t>�</w:t>
      </w:r>
      <w:r>
        <w:rPr>
          <w:rFonts w:ascii="Cambria Math" w:hAnsi="Cambria Math" w:eastAsia="Cambria Math"/>
          <w:spacing w:val="1"/>
          <w:w w:val="100"/>
          <w:sz w:val="17"/>
        </w:rPr>
        <w:t>,</w:t>
      </w:r>
      <w:r>
        <w:rPr>
          <w:rFonts w:ascii="Cambria Math" w:hAnsi="Cambria Math" w:eastAsia="Cambria Math"/>
          <w:w w:val="111"/>
          <w:sz w:val="17"/>
        </w:rPr>
        <w:t>𝑡</w:t>
      </w:r>
      <w:r>
        <w:rPr>
          <w:rFonts w:ascii="Cambria Math" w:hAnsi="Cambria Math" w:eastAsia="Cambria Math"/>
          <w:sz w:val="17"/>
        </w:rPr>
        <w:t> </w:t>
      </w:r>
      <w:r>
        <w:rPr>
          <w:rFonts w:ascii="Cambria Math" w:hAnsi="Cambria Math" w:eastAsia="Cambria Math"/>
          <w:spacing w:val="-9"/>
          <w:sz w:val="17"/>
        </w:rPr>
        <w:t> </w:t>
      </w:r>
      <w:r>
        <w:rPr>
          <w:rFonts w:ascii="Cambria Math" w:hAnsi="Cambria Math" w:eastAsia="Cambria Math"/>
          <w:position w:val="5"/>
          <w:sz w:val="24"/>
        </w:rPr>
        <w:t>+ </w:t>
      </w:r>
      <w:r>
        <w:rPr>
          <w:rFonts w:ascii="Cambria Math" w:hAnsi="Cambria Math" w:eastAsia="Cambria Math"/>
          <w:spacing w:val="-1"/>
          <w:w w:val="87"/>
          <w:position w:val="5"/>
          <w:sz w:val="24"/>
        </w:rPr>
        <w:t>�</w:t>
      </w:r>
      <w:r>
        <w:rPr>
          <w:rFonts w:ascii="Cambria Math" w:hAnsi="Cambria Math" w:eastAsia="Cambria Math"/>
          <w:spacing w:val="7"/>
          <w:w w:val="53"/>
          <w:sz w:val="17"/>
        </w:rPr>
        <w:t>�</w:t>
      </w:r>
      <w:r>
        <w:rPr>
          <w:rFonts w:ascii="Cambria Math" w:hAnsi="Cambria Math" w:eastAsia="Cambria Math"/>
          <w:spacing w:val="1"/>
          <w:w w:val="100"/>
          <w:sz w:val="17"/>
        </w:rPr>
        <w:t>,</w:t>
      </w:r>
      <w:r>
        <w:rPr>
          <w:rFonts w:ascii="Cambria Math" w:hAnsi="Cambria Math" w:eastAsia="Cambria Math"/>
          <w:w w:val="71"/>
          <w:sz w:val="17"/>
        </w:rPr>
        <w:t>�</w:t>
      </w:r>
    </w:p>
    <w:p>
      <w:pPr>
        <w:spacing w:before="60"/>
        <w:ind w:left="383" w:right="431" w:firstLine="0"/>
        <w:jc w:val="center"/>
        <w:rPr>
          <w:rFonts w:ascii="Cambria Math" w:eastAsia="Cambria Math"/>
          <w:sz w:val="17"/>
        </w:rPr>
      </w:pPr>
      <w:r>
        <w:rPr>
          <w:rFonts w:ascii="Cambria Math" w:eastAsia="Cambria Math"/>
          <w:w w:val="85"/>
          <w:sz w:val="17"/>
        </w:rPr>
        <w:t>�=1 �=1</w:t>
      </w:r>
    </w:p>
    <w:p>
      <w:pPr>
        <w:pStyle w:val="BodyText"/>
        <w:rPr>
          <w:rFonts w:ascii="Cambria Math"/>
          <w:sz w:val="26"/>
        </w:rPr>
      </w:pPr>
    </w:p>
    <w:p>
      <w:pPr>
        <w:pStyle w:val="BodyText"/>
        <w:spacing w:before="69"/>
        <w:ind w:left="102" w:right="119"/>
      </w:pPr>
      <w:r>
        <w:rPr/>
        <w:t>que en su forma escalar, quedaría como:</w:t>
      </w:r>
    </w:p>
    <w:p>
      <w:pPr>
        <w:pStyle w:val="BodyText"/>
        <w:spacing w:before="10"/>
        <w:rPr>
          <w:sz w:val="32"/>
        </w:rPr>
      </w:pPr>
    </w:p>
    <w:p>
      <w:pPr>
        <w:spacing w:before="0"/>
        <w:ind w:left="383" w:right="399" w:firstLine="0"/>
        <w:jc w:val="center"/>
        <w:rPr>
          <w:rFonts w:ascii="Cambria Math" w:hAnsi="Cambria Math" w:eastAsia="Cambria Math"/>
          <w:sz w:val="24"/>
        </w:rPr>
      </w:pPr>
      <w:r>
        <w:rPr>
          <w:rFonts w:ascii="Cambria Math" w:hAnsi="Cambria Math" w:eastAsia="Cambria Math"/>
          <w:spacing w:val="-40"/>
          <w:w w:val="91"/>
          <w:position w:val="5"/>
          <w:sz w:val="24"/>
        </w:rPr>
        <w:t>�</w:t>
      </w:r>
      <w:r>
        <w:rPr>
          <w:rFonts w:ascii="Cambria Math" w:hAnsi="Cambria Math" w:eastAsia="Cambria Math"/>
          <w:spacing w:val="-1"/>
          <w:w w:val="111"/>
          <w:sz w:val="17"/>
        </w:rPr>
        <w:t>𝑡</w:t>
      </w:r>
      <w:r>
        <w:rPr>
          <w:rFonts w:ascii="Cambria Math" w:hAnsi="Cambria Math" w:eastAsia="Cambria Math"/>
          <w:w w:val="53"/>
          <w:sz w:val="17"/>
        </w:rPr>
        <w:t>�</w:t>
      </w:r>
      <w:r>
        <w:rPr>
          <w:rFonts w:ascii="Cambria Math" w:hAnsi="Cambria Math" w:eastAsia="Cambria Math"/>
          <w:sz w:val="17"/>
        </w:rPr>
        <w:t> </w:t>
      </w:r>
      <w:r>
        <w:rPr>
          <w:rFonts w:ascii="Cambria Math" w:hAnsi="Cambria Math" w:eastAsia="Cambria Math"/>
          <w:spacing w:val="9"/>
          <w:sz w:val="17"/>
        </w:rPr>
        <w:t> </w:t>
      </w:r>
      <w:r>
        <w:rPr>
          <w:rFonts w:ascii="Cambria Math" w:hAnsi="Cambria Math" w:eastAsia="Cambria Math"/>
          <w:position w:val="5"/>
          <w:sz w:val="24"/>
        </w:rPr>
        <w:t>=</w:t>
      </w:r>
      <w:r>
        <w:rPr>
          <w:rFonts w:ascii="Cambria Math" w:hAnsi="Cambria Math" w:eastAsia="Cambria Math"/>
          <w:spacing w:val="12"/>
          <w:position w:val="5"/>
          <w:sz w:val="24"/>
        </w:rPr>
        <w:t> </w:t>
      </w:r>
      <w:r>
        <w:rPr>
          <w:rFonts w:ascii="Cambria Math" w:hAnsi="Cambria Math" w:eastAsia="Cambria Math"/>
          <w:spacing w:val="-15"/>
          <w:w w:val="105"/>
          <w:position w:val="5"/>
          <w:sz w:val="24"/>
        </w:rPr>
        <w:t>�</w:t>
      </w:r>
      <w:r>
        <w:rPr>
          <w:rFonts w:ascii="Cambria Math" w:hAnsi="Cambria Math" w:eastAsia="Cambria Math"/>
          <w:spacing w:val="7"/>
          <w:w w:val="53"/>
          <w:sz w:val="17"/>
        </w:rPr>
        <w:t>�</w:t>
      </w:r>
      <w:r>
        <w:rPr>
          <w:rFonts w:ascii="Cambria Math" w:hAnsi="Cambria Math" w:eastAsia="Cambria Math"/>
          <w:spacing w:val="1"/>
          <w:w w:val="100"/>
          <w:sz w:val="17"/>
        </w:rPr>
        <w:t>,</w:t>
      </w:r>
      <w:r>
        <w:rPr>
          <w:rFonts w:ascii="Cambria Math" w:hAnsi="Cambria Math" w:eastAsia="Cambria Math"/>
          <w:w w:val="111"/>
          <w:sz w:val="17"/>
        </w:rPr>
        <w:t>𝑡</w:t>
      </w:r>
      <w:r>
        <w:rPr>
          <w:rFonts w:ascii="Cambria Math" w:hAnsi="Cambria Math" w:eastAsia="Cambria Math"/>
          <w:sz w:val="17"/>
        </w:rPr>
        <w:t> </w:t>
      </w:r>
      <w:r>
        <w:rPr>
          <w:rFonts w:ascii="Cambria Math" w:hAnsi="Cambria Math" w:eastAsia="Cambria Math"/>
          <w:spacing w:val="-9"/>
          <w:sz w:val="17"/>
        </w:rPr>
        <w:t> </w:t>
      </w:r>
      <w:r>
        <w:rPr>
          <w:rFonts w:ascii="Cambria Math" w:hAnsi="Cambria Math" w:eastAsia="Cambria Math"/>
          <w:position w:val="5"/>
          <w:sz w:val="24"/>
        </w:rPr>
        <w:t>+ </w:t>
      </w:r>
      <w:r>
        <w:rPr>
          <w:rFonts w:ascii="Cambria Math" w:hAnsi="Cambria Math" w:eastAsia="Cambria Math"/>
          <w:spacing w:val="-19"/>
          <w:w w:val="92"/>
          <w:position w:val="5"/>
          <w:sz w:val="24"/>
        </w:rPr>
        <w:t>�</w:t>
      </w:r>
      <w:r>
        <w:rPr>
          <w:rFonts w:ascii="Cambria Math" w:hAnsi="Cambria Math" w:eastAsia="Cambria Math"/>
          <w:spacing w:val="-1"/>
          <w:w w:val="104"/>
          <w:sz w:val="17"/>
        </w:rPr>
        <w:t>11</w:t>
      </w:r>
      <w:r>
        <w:rPr>
          <w:rFonts w:ascii="Cambria Math" w:hAnsi="Cambria Math" w:eastAsia="Cambria Math"/>
          <w:spacing w:val="-2"/>
          <w:w w:val="100"/>
          <w:sz w:val="17"/>
        </w:rPr>
        <w:t>,</w:t>
      </w:r>
      <w:r>
        <w:rPr>
          <w:rFonts w:ascii="Cambria Math" w:hAnsi="Cambria Math" w:eastAsia="Cambria Math"/>
          <w:w w:val="53"/>
          <w:sz w:val="17"/>
        </w:rPr>
        <w:t>�</w:t>
      </w:r>
      <w:r>
        <w:rPr>
          <w:rFonts w:ascii="Cambria Math" w:hAnsi="Cambria Math" w:eastAsia="Cambria Math"/>
          <w:spacing w:val="-23"/>
          <w:sz w:val="17"/>
        </w:rPr>
        <w:t> </w:t>
      </w:r>
      <w:r>
        <w:rPr>
          <w:rFonts w:ascii="Cambria Math" w:hAnsi="Cambria Math" w:eastAsia="Cambria Math"/>
          <w:spacing w:val="-44"/>
          <w:w w:val="91"/>
          <w:position w:val="5"/>
          <w:sz w:val="24"/>
        </w:rPr>
        <w:t>�</w:t>
      </w:r>
      <w:r>
        <w:rPr>
          <w:rFonts w:ascii="Cambria Math" w:hAnsi="Cambria Math" w:eastAsia="Cambria Math"/>
          <w:spacing w:val="-1"/>
          <w:w w:val="104"/>
          <w:sz w:val="17"/>
        </w:rPr>
        <w:t>1</w:t>
      </w:r>
      <w:r>
        <w:rPr>
          <w:rFonts w:ascii="Cambria Math" w:hAnsi="Cambria Math" w:eastAsia="Cambria Math"/>
          <w:spacing w:val="1"/>
          <w:w w:val="100"/>
          <w:sz w:val="17"/>
        </w:rPr>
        <w:t>,</w:t>
      </w:r>
      <w:r>
        <w:rPr>
          <w:rFonts w:ascii="Cambria Math" w:hAnsi="Cambria Math" w:eastAsia="Cambria Math"/>
          <w:spacing w:val="1"/>
          <w:w w:val="111"/>
          <w:sz w:val="17"/>
        </w:rPr>
        <w:t>𝑡</w:t>
      </w:r>
      <w:r>
        <w:rPr>
          <w:rFonts w:ascii="Cambria Math" w:hAnsi="Cambria Math" w:eastAsia="Cambria Math"/>
          <w:w w:val="97"/>
          <w:sz w:val="17"/>
        </w:rPr>
        <w:t>−</w:t>
      </w:r>
      <w:r>
        <w:rPr>
          <w:rFonts w:ascii="Cambria Math" w:hAnsi="Cambria Math" w:eastAsia="Cambria Math"/>
          <w:w w:val="104"/>
          <w:sz w:val="17"/>
        </w:rPr>
        <w:t>1</w:t>
      </w:r>
      <w:r>
        <w:rPr>
          <w:rFonts w:ascii="Cambria Math" w:hAnsi="Cambria Math" w:eastAsia="Cambria Math"/>
          <w:sz w:val="17"/>
        </w:rPr>
        <w:t> </w:t>
      </w:r>
      <w:r>
        <w:rPr>
          <w:rFonts w:ascii="Cambria Math" w:hAnsi="Cambria Math" w:eastAsia="Cambria Math"/>
          <w:spacing w:val="-13"/>
          <w:sz w:val="17"/>
        </w:rPr>
        <w:t> </w:t>
      </w:r>
      <w:r>
        <w:rPr>
          <w:rFonts w:ascii="Cambria Math" w:hAnsi="Cambria Math" w:eastAsia="Cambria Math"/>
          <w:position w:val="5"/>
          <w:sz w:val="24"/>
        </w:rPr>
        <w:t>+ </w:t>
      </w:r>
      <w:r>
        <w:rPr>
          <w:rFonts w:ascii="Cambria Math" w:hAnsi="Cambria Math" w:eastAsia="Cambria Math"/>
          <w:spacing w:val="-18"/>
          <w:w w:val="92"/>
          <w:position w:val="5"/>
          <w:sz w:val="24"/>
        </w:rPr>
        <w:t>�</w:t>
      </w:r>
      <w:r>
        <w:rPr>
          <w:rFonts w:ascii="Cambria Math" w:hAnsi="Cambria Math" w:eastAsia="Cambria Math"/>
          <w:spacing w:val="-1"/>
          <w:w w:val="104"/>
          <w:sz w:val="17"/>
        </w:rPr>
        <w:t>12</w:t>
      </w:r>
      <w:r>
        <w:rPr>
          <w:rFonts w:ascii="Cambria Math" w:hAnsi="Cambria Math" w:eastAsia="Cambria Math"/>
          <w:spacing w:val="-2"/>
          <w:w w:val="100"/>
          <w:sz w:val="17"/>
        </w:rPr>
        <w:t>,</w:t>
      </w:r>
      <w:r>
        <w:rPr>
          <w:rFonts w:ascii="Cambria Math" w:hAnsi="Cambria Math" w:eastAsia="Cambria Math"/>
          <w:w w:val="53"/>
          <w:sz w:val="17"/>
        </w:rPr>
        <w:t>�</w:t>
      </w:r>
      <w:r>
        <w:rPr>
          <w:rFonts w:ascii="Cambria Math" w:hAnsi="Cambria Math" w:eastAsia="Cambria Math"/>
          <w:spacing w:val="-23"/>
          <w:sz w:val="17"/>
        </w:rPr>
        <w:t> </w:t>
      </w:r>
      <w:r>
        <w:rPr>
          <w:rFonts w:ascii="Cambria Math" w:hAnsi="Cambria Math" w:eastAsia="Cambria Math"/>
          <w:spacing w:val="-44"/>
          <w:w w:val="91"/>
          <w:position w:val="5"/>
          <w:sz w:val="24"/>
        </w:rPr>
        <w:t>�</w:t>
      </w:r>
      <w:r>
        <w:rPr>
          <w:rFonts w:ascii="Cambria Math" w:hAnsi="Cambria Math" w:eastAsia="Cambria Math"/>
          <w:spacing w:val="-1"/>
          <w:w w:val="104"/>
          <w:sz w:val="17"/>
        </w:rPr>
        <w:t>1</w:t>
      </w:r>
      <w:r>
        <w:rPr>
          <w:rFonts w:ascii="Cambria Math" w:hAnsi="Cambria Math" w:eastAsia="Cambria Math"/>
          <w:spacing w:val="1"/>
          <w:w w:val="100"/>
          <w:sz w:val="17"/>
        </w:rPr>
        <w:t>,</w:t>
      </w:r>
      <w:r>
        <w:rPr>
          <w:rFonts w:ascii="Cambria Math" w:hAnsi="Cambria Math" w:eastAsia="Cambria Math"/>
          <w:spacing w:val="1"/>
          <w:w w:val="111"/>
          <w:sz w:val="17"/>
        </w:rPr>
        <w:t>𝑡</w:t>
      </w:r>
      <w:r>
        <w:rPr>
          <w:rFonts w:ascii="Cambria Math" w:hAnsi="Cambria Math" w:eastAsia="Cambria Math"/>
          <w:w w:val="97"/>
          <w:sz w:val="17"/>
        </w:rPr>
        <w:t>−</w:t>
      </w:r>
      <w:r>
        <w:rPr>
          <w:rFonts w:ascii="Cambria Math" w:hAnsi="Cambria Math" w:eastAsia="Cambria Math"/>
          <w:w w:val="104"/>
          <w:sz w:val="17"/>
        </w:rPr>
        <w:t>2</w:t>
      </w:r>
      <w:r>
        <w:rPr>
          <w:rFonts w:ascii="Cambria Math" w:hAnsi="Cambria Math" w:eastAsia="Cambria Math"/>
          <w:sz w:val="17"/>
        </w:rPr>
        <w:t> </w:t>
      </w:r>
      <w:r>
        <w:rPr>
          <w:rFonts w:ascii="Cambria Math" w:hAnsi="Cambria Math" w:eastAsia="Cambria Math"/>
          <w:spacing w:val="-13"/>
          <w:sz w:val="17"/>
        </w:rPr>
        <w:t> </w:t>
      </w:r>
      <w:r>
        <w:rPr>
          <w:rFonts w:ascii="Cambria Math" w:hAnsi="Cambria Math" w:eastAsia="Cambria Math"/>
          <w:position w:val="5"/>
          <w:sz w:val="24"/>
        </w:rPr>
        <w:t>+</w:t>
      </w:r>
      <w:r>
        <w:rPr>
          <w:rFonts w:ascii="Cambria Math" w:hAnsi="Cambria Math" w:eastAsia="Cambria Math"/>
          <w:spacing w:val="-2"/>
          <w:position w:val="5"/>
          <w:sz w:val="24"/>
        </w:rPr>
        <w:t> </w:t>
      </w:r>
      <w:r>
        <w:rPr>
          <w:rFonts w:ascii="Cambria Math" w:hAnsi="Cambria Math" w:eastAsia="Cambria Math"/>
          <w:w w:val="99"/>
          <w:position w:val="5"/>
          <w:sz w:val="24"/>
        </w:rPr>
        <w:t>⋯</w:t>
      </w:r>
      <w:r>
        <w:rPr>
          <w:rFonts w:ascii="Cambria Math" w:hAnsi="Cambria Math" w:eastAsia="Cambria Math"/>
          <w:spacing w:val="-12"/>
          <w:position w:val="5"/>
          <w:sz w:val="24"/>
        </w:rPr>
        <w:t> </w:t>
      </w:r>
      <w:r>
        <w:rPr>
          <w:rFonts w:ascii="Cambria Math" w:hAnsi="Cambria Math" w:eastAsia="Cambria Math"/>
          <w:position w:val="5"/>
          <w:sz w:val="24"/>
        </w:rPr>
        <w:t>+ </w:t>
      </w:r>
      <w:r>
        <w:rPr>
          <w:rFonts w:ascii="Cambria Math" w:hAnsi="Cambria Math" w:eastAsia="Cambria Math"/>
          <w:spacing w:val="-19"/>
          <w:w w:val="92"/>
          <w:position w:val="5"/>
          <w:sz w:val="24"/>
        </w:rPr>
        <w:t>�</w:t>
      </w:r>
      <w:r>
        <w:rPr>
          <w:rFonts w:ascii="Cambria Math" w:hAnsi="Cambria Math" w:eastAsia="Cambria Math"/>
          <w:spacing w:val="-1"/>
          <w:w w:val="104"/>
          <w:sz w:val="17"/>
        </w:rPr>
        <w:t>1</w:t>
      </w:r>
      <w:r>
        <w:rPr>
          <w:rFonts w:ascii="Cambria Math" w:hAnsi="Cambria Math" w:eastAsia="Cambria Math"/>
          <w:spacing w:val="1"/>
          <w:w w:val="111"/>
          <w:sz w:val="17"/>
        </w:rPr>
        <w:t>𝑟</w:t>
      </w:r>
      <w:r>
        <w:rPr>
          <w:rFonts w:ascii="Cambria Math" w:hAnsi="Cambria Math" w:eastAsia="Cambria Math"/>
          <w:spacing w:val="1"/>
          <w:w w:val="100"/>
          <w:sz w:val="17"/>
        </w:rPr>
        <w:t>,</w:t>
      </w:r>
      <w:r>
        <w:rPr>
          <w:rFonts w:ascii="Cambria Math" w:hAnsi="Cambria Math" w:eastAsia="Cambria Math"/>
          <w:w w:val="53"/>
          <w:sz w:val="17"/>
        </w:rPr>
        <w:t>�</w:t>
      </w:r>
      <w:r>
        <w:rPr>
          <w:rFonts w:ascii="Cambria Math" w:hAnsi="Cambria Math" w:eastAsia="Cambria Math"/>
          <w:spacing w:val="-23"/>
          <w:sz w:val="17"/>
        </w:rPr>
        <w:t> </w:t>
      </w:r>
      <w:r>
        <w:rPr>
          <w:rFonts w:ascii="Cambria Math" w:hAnsi="Cambria Math" w:eastAsia="Cambria Math"/>
          <w:spacing w:val="-44"/>
          <w:w w:val="91"/>
          <w:position w:val="5"/>
          <w:sz w:val="24"/>
        </w:rPr>
        <w:t>�</w:t>
      </w:r>
      <w:r>
        <w:rPr>
          <w:rFonts w:ascii="Cambria Math" w:hAnsi="Cambria Math" w:eastAsia="Cambria Math"/>
          <w:spacing w:val="-1"/>
          <w:w w:val="104"/>
          <w:sz w:val="17"/>
        </w:rPr>
        <w:t>1</w:t>
      </w:r>
      <w:r>
        <w:rPr>
          <w:rFonts w:ascii="Cambria Math" w:hAnsi="Cambria Math" w:eastAsia="Cambria Math"/>
          <w:spacing w:val="1"/>
          <w:w w:val="100"/>
          <w:sz w:val="17"/>
        </w:rPr>
        <w:t>,</w:t>
      </w:r>
      <w:r>
        <w:rPr>
          <w:rFonts w:ascii="Cambria Math" w:hAnsi="Cambria Math" w:eastAsia="Cambria Math"/>
          <w:spacing w:val="4"/>
          <w:w w:val="111"/>
          <w:sz w:val="17"/>
        </w:rPr>
        <w:t>𝑡</w:t>
      </w:r>
      <w:r>
        <w:rPr>
          <w:rFonts w:ascii="Cambria Math" w:hAnsi="Cambria Math" w:eastAsia="Cambria Math"/>
          <w:w w:val="97"/>
          <w:sz w:val="17"/>
        </w:rPr>
        <w:t>−</w:t>
      </w:r>
      <w:r>
        <w:rPr>
          <w:rFonts w:ascii="Cambria Math" w:hAnsi="Cambria Math" w:eastAsia="Cambria Math"/>
          <w:w w:val="111"/>
          <w:sz w:val="17"/>
        </w:rPr>
        <w:t>𝑟</w:t>
      </w:r>
      <w:r>
        <w:rPr>
          <w:rFonts w:ascii="Cambria Math" w:hAnsi="Cambria Math" w:eastAsia="Cambria Math"/>
          <w:sz w:val="17"/>
        </w:rPr>
        <w:t> </w:t>
      </w:r>
      <w:r>
        <w:rPr>
          <w:rFonts w:ascii="Cambria Math" w:hAnsi="Cambria Math" w:eastAsia="Cambria Math"/>
          <w:spacing w:val="-9"/>
          <w:sz w:val="17"/>
        </w:rPr>
        <w:t> </w:t>
      </w:r>
      <w:r>
        <w:rPr>
          <w:rFonts w:ascii="Cambria Math" w:hAnsi="Cambria Math" w:eastAsia="Cambria Math"/>
          <w:position w:val="5"/>
          <w:sz w:val="24"/>
        </w:rPr>
        <w:t>+ </w:t>
      </w:r>
      <w:r>
        <w:rPr>
          <w:rFonts w:ascii="Cambria Math" w:hAnsi="Cambria Math" w:eastAsia="Cambria Math"/>
          <w:w w:val="99"/>
          <w:position w:val="5"/>
          <w:sz w:val="24"/>
        </w:rPr>
        <w:t>⋯</w:t>
      </w:r>
      <w:r>
        <w:rPr>
          <w:rFonts w:ascii="Cambria Math" w:hAnsi="Cambria Math" w:eastAsia="Cambria Math"/>
          <w:spacing w:val="-14"/>
          <w:position w:val="5"/>
          <w:sz w:val="24"/>
        </w:rPr>
        <w:t> </w:t>
      </w:r>
      <w:r>
        <w:rPr>
          <w:rFonts w:ascii="Cambria Math" w:hAnsi="Cambria Math" w:eastAsia="Cambria Math"/>
          <w:position w:val="5"/>
          <w:sz w:val="24"/>
        </w:rPr>
        <w:t>+</w:t>
      </w:r>
    </w:p>
    <w:p>
      <w:pPr>
        <w:pStyle w:val="BodyText"/>
        <w:spacing w:before="2"/>
        <w:rPr>
          <w:rFonts w:ascii="Cambria Math"/>
          <w:sz w:val="31"/>
        </w:rPr>
      </w:pPr>
    </w:p>
    <w:p>
      <w:pPr>
        <w:spacing w:before="0"/>
        <w:ind w:left="383" w:right="398" w:firstLine="0"/>
        <w:jc w:val="center"/>
        <w:rPr>
          <w:rFonts w:ascii="Cambria Math" w:hAnsi="Cambria Math" w:eastAsia="Cambria Math"/>
          <w:sz w:val="24"/>
        </w:rPr>
      </w:pPr>
      <w:r>
        <w:rPr>
          <w:rFonts w:ascii="Cambria Math" w:hAnsi="Cambria Math" w:eastAsia="Cambria Math"/>
          <w:w w:val="99"/>
          <w:position w:val="5"/>
          <w:sz w:val="24"/>
        </w:rPr>
        <w:t>+</w:t>
      </w:r>
      <w:r>
        <w:rPr>
          <w:rFonts w:ascii="Cambria Math" w:hAnsi="Cambria Math" w:eastAsia="Cambria Math"/>
          <w:spacing w:val="-14"/>
          <w:w w:val="92"/>
          <w:position w:val="5"/>
          <w:sz w:val="24"/>
        </w:rPr>
        <w:t>�</w:t>
      </w:r>
      <w:r>
        <w:rPr>
          <w:rFonts w:ascii="Cambria Math" w:hAnsi="Cambria Math" w:eastAsia="Cambria Math"/>
          <w:spacing w:val="-1"/>
          <w:w w:val="104"/>
          <w:sz w:val="17"/>
        </w:rPr>
        <w:t>21</w:t>
      </w:r>
      <w:r>
        <w:rPr>
          <w:rFonts w:ascii="Cambria Math" w:hAnsi="Cambria Math" w:eastAsia="Cambria Math"/>
          <w:spacing w:val="1"/>
          <w:w w:val="100"/>
          <w:sz w:val="17"/>
        </w:rPr>
        <w:t>,</w:t>
      </w:r>
      <w:r>
        <w:rPr>
          <w:rFonts w:ascii="Cambria Math" w:hAnsi="Cambria Math" w:eastAsia="Cambria Math"/>
          <w:w w:val="53"/>
          <w:sz w:val="17"/>
        </w:rPr>
        <w:t>�</w:t>
      </w:r>
      <w:r>
        <w:rPr>
          <w:rFonts w:ascii="Cambria Math" w:hAnsi="Cambria Math" w:eastAsia="Cambria Math"/>
          <w:spacing w:val="-23"/>
          <w:sz w:val="17"/>
        </w:rPr>
        <w:t> </w:t>
      </w:r>
      <w:r>
        <w:rPr>
          <w:rFonts w:ascii="Cambria Math" w:hAnsi="Cambria Math" w:eastAsia="Cambria Math"/>
          <w:spacing w:val="-40"/>
          <w:w w:val="91"/>
          <w:position w:val="5"/>
          <w:sz w:val="24"/>
        </w:rPr>
        <w:t>�</w:t>
      </w:r>
      <w:r>
        <w:rPr>
          <w:rFonts w:ascii="Cambria Math" w:hAnsi="Cambria Math" w:eastAsia="Cambria Math"/>
          <w:spacing w:val="-1"/>
          <w:w w:val="104"/>
          <w:sz w:val="17"/>
        </w:rPr>
        <w:t>2</w:t>
      </w:r>
      <w:r>
        <w:rPr>
          <w:rFonts w:ascii="Cambria Math" w:hAnsi="Cambria Math" w:eastAsia="Cambria Math"/>
          <w:spacing w:val="1"/>
          <w:w w:val="100"/>
          <w:sz w:val="17"/>
        </w:rPr>
        <w:t>,</w:t>
      </w:r>
      <w:r>
        <w:rPr>
          <w:rFonts w:ascii="Cambria Math" w:hAnsi="Cambria Math" w:eastAsia="Cambria Math"/>
          <w:spacing w:val="1"/>
          <w:w w:val="111"/>
          <w:sz w:val="17"/>
        </w:rPr>
        <w:t>𝑡</w:t>
      </w:r>
      <w:r>
        <w:rPr>
          <w:rFonts w:ascii="Cambria Math" w:hAnsi="Cambria Math" w:eastAsia="Cambria Math"/>
          <w:w w:val="97"/>
          <w:sz w:val="17"/>
        </w:rPr>
        <w:t>−</w:t>
      </w:r>
      <w:r>
        <w:rPr>
          <w:rFonts w:ascii="Cambria Math" w:hAnsi="Cambria Math" w:eastAsia="Cambria Math"/>
          <w:w w:val="104"/>
          <w:sz w:val="17"/>
        </w:rPr>
        <w:t>1</w:t>
      </w:r>
      <w:r>
        <w:rPr>
          <w:rFonts w:ascii="Cambria Math" w:hAnsi="Cambria Math" w:eastAsia="Cambria Math"/>
          <w:sz w:val="17"/>
        </w:rPr>
        <w:t> </w:t>
      </w:r>
      <w:r>
        <w:rPr>
          <w:rFonts w:ascii="Cambria Math" w:hAnsi="Cambria Math" w:eastAsia="Cambria Math"/>
          <w:spacing w:val="-13"/>
          <w:sz w:val="17"/>
        </w:rPr>
        <w:t> </w:t>
      </w:r>
      <w:r>
        <w:rPr>
          <w:rFonts w:ascii="Cambria Math" w:hAnsi="Cambria Math" w:eastAsia="Cambria Math"/>
          <w:position w:val="5"/>
          <w:sz w:val="24"/>
        </w:rPr>
        <w:t>+ </w:t>
      </w:r>
      <w:r>
        <w:rPr>
          <w:rFonts w:ascii="Cambria Math" w:hAnsi="Cambria Math" w:eastAsia="Cambria Math"/>
          <w:spacing w:val="-14"/>
          <w:w w:val="92"/>
          <w:position w:val="5"/>
          <w:sz w:val="24"/>
        </w:rPr>
        <w:t>�</w:t>
      </w:r>
      <w:r>
        <w:rPr>
          <w:rFonts w:ascii="Cambria Math" w:hAnsi="Cambria Math" w:eastAsia="Cambria Math"/>
          <w:spacing w:val="-1"/>
          <w:w w:val="104"/>
          <w:sz w:val="17"/>
        </w:rPr>
        <w:t>22</w:t>
      </w:r>
      <w:r>
        <w:rPr>
          <w:rFonts w:ascii="Cambria Math" w:hAnsi="Cambria Math" w:eastAsia="Cambria Math"/>
          <w:spacing w:val="-2"/>
          <w:w w:val="100"/>
          <w:sz w:val="17"/>
        </w:rPr>
        <w:t>,</w:t>
      </w:r>
      <w:r>
        <w:rPr>
          <w:rFonts w:ascii="Cambria Math" w:hAnsi="Cambria Math" w:eastAsia="Cambria Math"/>
          <w:w w:val="53"/>
          <w:sz w:val="17"/>
        </w:rPr>
        <w:t>�</w:t>
      </w:r>
      <w:r>
        <w:rPr>
          <w:rFonts w:ascii="Cambria Math" w:hAnsi="Cambria Math" w:eastAsia="Cambria Math"/>
          <w:spacing w:val="-23"/>
          <w:sz w:val="17"/>
        </w:rPr>
        <w:t> </w:t>
      </w:r>
      <w:r>
        <w:rPr>
          <w:rFonts w:ascii="Cambria Math" w:hAnsi="Cambria Math" w:eastAsia="Cambria Math"/>
          <w:spacing w:val="-44"/>
          <w:w w:val="91"/>
          <w:position w:val="5"/>
          <w:sz w:val="24"/>
        </w:rPr>
        <w:t>�</w:t>
      </w:r>
      <w:r>
        <w:rPr>
          <w:rFonts w:ascii="Cambria Math" w:hAnsi="Cambria Math" w:eastAsia="Cambria Math"/>
          <w:w w:val="104"/>
          <w:sz w:val="17"/>
        </w:rPr>
        <w:t>1</w:t>
      </w:r>
      <w:r>
        <w:rPr>
          <w:rFonts w:ascii="Cambria Math" w:hAnsi="Cambria Math" w:eastAsia="Cambria Math"/>
          <w:spacing w:val="1"/>
          <w:w w:val="100"/>
          <w:sz w:val="17"/>
        </w:rPr>
        <w:t>,</w:t>
      </w:r>
      <w:r>
        <w:rPr>
          <w:rFonts w:ascii="Cambria Math" w:hAnsi="Cambria Math" w:eastAsia="Cambria Math"/>
          <w:spacing w:val="1"/>
          <w:w w:val="111"/>
          <w:sz w:val="17"/>
        </w:rPr>
        <w:t>𝑡</w:t>
      </w:r>
      <w:r>
        <w:rPr>
          <w:rFonts w:ascii="Cambria Math" w:hAnsi="Cambria Math" w:eastAsia="Cambria Math"/>
          <w:w w:val="97"/>
          <w:sz w:val="17"/>
        </w:rPr>
        <w:t>−</w:t>
      </w:r>
      <w:r>
        <w:rPr>
          <w:rFonts w:ascii="Cambria Math" w:hAnsi="Cambria Math" w:eastAsia="Cambria Math"/>
          <w:w w:val="104"/>
          <w:sz w:val="17"/>
        </w:rPr>
        <w:t>2</w:t>
      </w:r>
      <w:r>
        <w:rPr>
          <w:rFonts w:ascii="Cambria Math" w:hAnsi="Cambria Math" w:eastAsia="Cambria Math"/>
          <w:sz w:val="17"/>
        </w:rPr>
        <w:t> </w:t>
      </w:r>
      <w:r>
        <w:rPr>
          <w:rFonts w:ascii="Cambria Math" w:hAnsi="Cambria Math" w:eastAsia="Cambria Math"/>
          <w:spacing w:val="-13"/>
          <w:sz w:val="17"/>
        </w:rPr>
        <w:t> </w:t>
      </w:r>
      <w:r>
        <w:rPr>
          <w:rFonts w:ascii="Cambria Math" w:hAnsi="Cambria Math" w:eastAsia="Cambria Math"/>
          <w:position w:val="5"/>
          <w:sz w:val="24"/>
        </w:rPr>
        <w:t>+ </w:t>
      </w:r>
      <w:r>
        <w:rPr>
          <w:rFonts w:ascii="Cambria Math" w:hAnsi="Cambria Math" w:eastAsia="Cambria Math"/>
          <w:w w:val="99"/>
          <w:position w:val="5"/>
          <w:sz w:val="24"/>
        </w:rPr>
        <w:t>⋯</w:t>
      </w:r>
      <w:r>
        <w:rPr>
          <w:rFonts w:ascii="Cambria Math" w:hAnsi="Cambria Math" w:eastAsia="Cambria Math"/>
          <w:spacing w:val="-14"/>
          <w:position w:val="5"/>
          <w:sz w:val="24"/>
        </w:rPr>
        <w:t> </w:t>
      </w:r>
      <w:r>
        <w:rPr>
          <w:rFonts w:ascii="Cambria Math" w:hAnsi="Cambria Math" w:eastAsia="Cambria Math"/>
          <w:position w:val="5"/>
          <w:sz w:val="24"/>
        </w:rPr>
        <w:t>+ </w:t>
      </w:r>
      <w:r>
        <w:rPr>
          <w:rFonts w:ascii="Cambria Math" w:hAnsi="Cambria Math" w:eastAsia="Cambria Math"/>
          <w:spacing w:val="-14"/>
          <w:w w:val="92"/>
          <w:position w:val="5"/>
          <w:sz w:val="24"/>
        </w:rPr>
        <w:t>�</w:t>
      </w:r>
      <w:r>
        <w:rPr>
          <w:rFonts w:ascii="Cambria Math" w:hAnsi="Cambria Math" w:eastAsia="Cambria Math"/>
          <w:spacing w:val="-1"/>
          <w:w w:val="104"/>
          <w:sz w:val="17"/>
        </w:rPr>
        <w:t>2</w:t>
      </w:r>
      <w:r>
        <w:rPr>
          <w:rFonts w:ascii="Cambria Math" w:hAnsi="Cambria Math" w:eastAsia="Cambria Math"/>
          <w:spacing w:val="3"/>
          <w:w w:val="111"/>
          <w:sz w:val="17"/>
        </w:rPr>
        <w:t>𝑟</w:t>
      </w:r>
      <w:r>
        <w:rPr>
          <w:rFonts w:ascii="Cambria Math" w:hAnsi="Cambria Math" w:eastAsia="Cambria Math"/>
          <w:spacing w:val="1"/>
          <w:w w:val="100"/>
          <w:sz w:val="17"/>
        </w:rPr>
        <w:t>,</w:t>
      </w:r>
      <w:r>
        <w:rPr>
          <w:rFonts w:ascii="Cambria Math" w:hAnsi="Cambria Math" w:eastAsia="Cambria Math"/>
          <w:w w:val="53"/>
          <w:sz w:val="17"/>
        </w:rPr>
        <w:t>�</w:t>
      </w:r>
      <w:r>
        <w:rPr>
          <w:rFonts w:ascii="Cambria Math" w:hAnsi="Cambria Math" w:eastAsia="Cambria Math"/>
          <w:spacing w:val="-23"/>
          <w:sz w:val="17"/>
        </w:rPr>
        <w:t> </w:t>
      </w:r>
      <w:r>
        <w:rPr>
          <w:rFonts w:ascii="Cambria Math" w:hAnsi="Cambria Math" w:eastAsia="Cambria Math"/>
          <w:spacing w:val="-40"/>
          <w:w w:val="91"/>
          <w:position w:val="5"/>
          <w:sz w:val="24"/>
        </w:rPr>
        <w:t>�</w:t>
      </w:r>
      <w:r>
        <w:rPr>
          <w:rFonts w:ascii="Cambria Math" w:hAnsi="Cambria Math" w:eastAsia="Cambria Math"/>
          <w:spacing w:val="-1"/>
          <w:w w:val="104"/>
          <w:sz w:val="17"/>
        </w:rPr>
        <w:t>2</w:t>
      </w:r>
      <w:r>
        <w:rPr>
          <w:rFonts w:ascii="Cambria Math" w:hAnsi="Cambria Math" w:eastAsia="Cambria Math"/>
          <w:spacing w:val="1"/>
          <w:w w:val="100"/>
          <w:sz w:val="17"/>
        </w:rPr>
        <w:t>,</w:t>
      </w:r>
      <w:r>
        <w:rPr>
          <w:rFonts w:ascii="Cambria Math" w:hAnsi="Cambria Math" w:eastAsia="Cambria Math"/>
          <w:spacing w:val="1"/>
          <w:w w:val="111"/>
          <w:sz w:val="17"/>
        </w:rPr>
        <w:t>𝑡</w:t>
      </w:r>
      <w:r>
        <w:rPr>
          <w:rFonts w:ascii="Cambria Math" w:hAnsi="Cambria Math" w:eastAsia="Cambria Math"/>
          <w:w w:val="97"/>
          <w:sz w:val="17"/>
        </w:rPr>
        <w:t>−</w:t>
      </w:r>
      <w:r>
        <w:rPr>
          <w:rFonts w:ascii="Cambria Math" w:hAnsi="Cambria Math" w:eastAsia="Cambria Math"/>
          <w:w w:val="111"/>
          <w:sz w:val="17"/>
        </w:rPr>
        <w:t>𝑟</w:t>
      </w:r>
      <w:r>
        <w:rPr>
          <w:rFonts w:ascii="Cambria Math" w:hAnsi="Cambria Math" w:eastAsia="Cambria Math"/>
          <w:sz w:val="17"/>
        </w:rPr>
        <w:t> </w:t>
      </w:r>
      <w:r>
        <w:rPr>
          <w:rFonts w:ascii="Cambria Math" w:hAnsi="Cambria Math" w:eastAsia="Cambria Math"/>
          <w:spacing w:val="-7"/>
          <w:sz w:val="17"/>
        </w:rPr>
        <w:t> </w:t>
      </w:r>
      <w:r>
        <w:rPr>
          <w:rFonts w:ascii="Cambria Math" w:hAnsi="Cambria Math" w:eastAsia="Cambria Math"/>
          <w:position w:val="5"/>
          <w:sz w:val="24"/>
        </w:rPr>
        <w:t>+</w:t>
      </w:r>
      <w:r>
        <w:rPr>
          <w:rFonts w:ascii="Cambria Math" w:hAnsi="Cambria Math" w:eastAsia="Cambria Math"/>
          <w:spacing w:val="1"/>
          <w:position w:val="5"/>
          <w:sz w:val="24"/>
        </w:rPr>
        <w:t> </w:t>
      </w:r>
      <w:r>
        <w:rPr>
          <w:rFonts w:ascii="Cambria Math" w:hAnsi="Cambria Math" w:eastAsia="Cambria Math"/>
          <w:w w:val="99"/>
          <w:position w:val="5"/>
          <w:sz w:val="24"/>
        </w:rPr>
        <w:t>⋯</w:t>
      </w:r>
      <w:r>
        <w:rPr>
          <w:rFonts w:ascii="Cambria Math" w:hAnsi="Cambria Math" w:eastAsia="Cambria Math"/>
          <w:spacing w:val="-14"/>
          <w:position w:val="5"/>
          <w:sz w:val="24"/>
        </w:rPr>
        <w:t> </w:t>
      </w:r>
      <w:r>
        <w:rPr>
          <w:rFonts w:ascii="Cambria Math" w:hAnsi="Cambria Math" w:eastAsia="Cambria Math"/>
          <w:position w:val="5"/>
          <w:sz w:val="24"/>
        </w:rPr>
        <w:t>+</w:t>
      </w:r>
    </w:p>
    <w:p>
      <w:pPr>
        <w:pStyle w:val="BodyText"/>
        <w:spacing w:before="2"/>
        <w:rPr>
          <w:rFonts w:ascii="Cambria Math"/>
          <w:sz w:val="31"/>
        </w:rPr>
      </w:pPr>
    </w:p>
    <w:p>
      <w:pPr>
        <w:spacing w:before="0"/>
        <w:ind w:left="383" w:right="409" w:firstLine="0"/>
        <w:jc w:val="center"/>
        <w:rPr>
          <w:rFonts w:ascii="Cambria Math" w:hAnsi="Cambria Math" w:eastAsia="Cambria Math"/>
          <w:sz w:val="17"/>
        </w:rPr>
      </w:pPr>
      <w:r>
        <w:rPr>
          <w:rFonts w:ascii="Cambria Math" w:hAnsi="Cambria Math" w:eastAsia="Cambria Math"/>
          <w:w w:val="99"/>
          <w:position w:val="5"/>
          <w:sz w:val="24"/>
        </w:rPr>
        <w:t>+</w:t>
      </w:r>
      <w:r>
        <w:rPr>
          <w:rFonts w:ascii="Cambria Math" w:hAnsi="Cambria Math" w:eastAsia="Cambria Math"/>
          <w:spacing w:val="-14"/>
          <w:w w:val="92"/>
          <w:position w:val="5"/>
          <w:sz w:val="24"/>
        </w:rPr>
        <w:t>�</w:t>
      </w:r>
      <w:r>
        <w:rPr>
          <w:rFonts w:ascii="Cambria Math" w:hAnsi="Cambria Math" w:eastAsia="Cambria Math"/>
          <w:spacing w:val="-1"/>
          <w:w w:val="142"/>
          <w:sz w:val="17"/>
        </w:rPr>
        <w:t>�</w:t>
      </w:r>
      <w:r>
        <w:rPr>
          <w:rFonts w:ascii="Cambria Math" w:hAnsi="Cambria Math" w:eastAsia="Cambria Math"/>
          <w:spacing w:val="-1"/>
          <w:w w:val="104"/>
          <w:sz w:val="17"/>
        </w:rPr>
        <w:t>1</w:t>
      </w:r>
      <w:r>
        <w:rPr>
          <w:rFonts w:ascii="Cambria Math" w:hAnsi="Cambria Math" w:eastAsia="Cambria Math"/>
          <w:spacing w:val="1"/>
          <w:w w:val="100"/>
          <w:sz w:val="17"/>
        </w:rPr>
        <w:t>,</w:t>
      </w:r>
      <w:r>
        <w:rPr>
          <w:rFonts w:ascii="Cambria Math" w:hAnsi="Cambria Math" w:eastAsia="Cambria Math"/>
          <w:w w:val="53"/>
          <w:sz w:val="17"/>
        </w:rPr>
        <w:t>�</w:t>
      </w:r>
      <w:r>
        <w:rPr>
          <w:rFonts w:ascii="Cambria Math" w:hAnsi="Cambria Math" w:eastAsia="Cambria Math"/>
          <w:spacing w:val="-23"/>
          <w:sz w:val="17"/>
        </w:rPr>
        <w:t> </w:t>
      </w:r>
      <w:r>
        <w:rPr>
          <w:rFonts w:ascii="Cambria Math" w:hAnsi="Cambria Math" w:eastAsia="Cambria Math"/>
          <w:spacing w:val="-40"/>
          <w:w w:val="91"/>
          <w:position w:val="5"/>
          <w:sz w:val="24"/>
        </w:rPr>
        <w:t>�</w:t>
      </w:r>
      <w:r>
        <w:rPr>
          <w:rFonts w:ascii="Cambria Math" w:hAnsi="Cambria Math" w:eastAsia="Cambria Math"/>
          <w:spacing w:val="-1"/>
          <w:w w:val="142"/>
          <w:sz w:val="17"/>
        </w:rPr>
        <w:t>�</w:t>
      </w:r>
      <w:r>
        <w:rPr>
          <w:rFonts w:ascii="Cambria Math" w:hAnsi="Cambria Math" w:eastAsia="Cambria Math"/>
          <w:spacing w:val="1"/>
          <w:w w:val="100"/>
          <w:sz w:val="17"/>
        </w:rPr>
        <w:t>,</w:t>
      </w:r>
      <w:r>
        <w:rPr>
          <w:rFonts w:ascii="Cambria Math" w:hAnsi="Cambria Math" w:eastAsia="Cambria Math"/>
          <w:spacing w:val="4"/>
          <w:w w:val="111"/>
          <w:sz w:val="17"/>
        </w:rPr>
        <w:t>𝑡</w:t>
      </w:r>
      <w:r>
        <w:rPr>
          <w:rFonts w:ascii="Cambria Math" w:hAnsi="Cambria Math" w:eastAsia="Cambria Math"/>
          <w:w w:val="97"/>
          <w:sz w:val="17"/>
        </w:rPr>
        <w:t>−</w:t>
      </w:r>
      <w:r>
        <w:rPr>
          <w:rFonts w:ascii="Cambria Math" w:hAnsi="Cambria Math" w:eastAsia="Cambria Math"/>
          <w:w w:val="104"/>
          <w:sz w:val="17"/>
        </w:rPr>
        <w:t>1</w:t>
      </w:r>
      <w:r>
        <w:rPr>
          <w:rFonts w:ascii="Cambria Math" w:hAnsi="Cambria Math" w:eastAsia="Cambria Math"/>
          <w:sz w:val="17"/>
        </w:rPr>
        <w:t> </w:t>
      </w:r>
      <w:r>
        <w:rPr>
          <w:rFonts w:ascii="Cambria Math" w:hAnsi="Cambria Math" w:eastAsia="Cambria Math"/>
          <w:spacing w:val="-13"/>
          <w:sz w:val="17"/>
        </w:rPr>
        <w:t> </w:t>
      </w:r>
      <w:r>
        <w:rPr>
          <w:rFonts w:ascii="Cambria Math" w:hAnsi="Cambria Math" w:eastAsia="Cambria Math"/>
          <w:position w:val="5"/>
          <w:sz w:val="24"/>
        </w:rPr>
        <w:t>+ </w:t>
      </w:r>
      <w:r>
        <w:rPr>
          <w:rFonts w:ascii="Cambria Math" w:hAnsi="Cambria Math" w:eastAsia="Cambria Math"/>
          <w:spacing w:val="-14"/>
          <w:w w:val="92"/>
          <w:position w:val="5"/>
          <w:sz w:val="24"/>
        </w:rPr>
        <w:t>�</w:t>
      </w:r>
      <w:r>
        <w:rPr>
          <w:rFonts w:ascii="Cambria Math" w:hAnsi="Cambria Math" w:eastAsia="Cambria Math"/>
          <w:spacing w:val="-1"/>
          <w:w w:val="142"/>
          <w:sz w:val="17"/>
        </w:rPr>
        <w:t>�</w:t>
      </w:r>
      <w:r>
        <w:rPr>
          <w:rFonts w:ascii="Cambria Math" w:hAnsi="Cambria Math" w:eastAsia="Cambria Math"/>
          <w:spacing w:val="-1"/>
          <w:w w:val="104"/>
          <w:sz w:val="17"/>
        </w:rPr>
        <w:t>2</w:t>
      </w:r>
      <w:r>
        <w:rPr>
          <w:rFonts w:ascii="Cambria Math" w:hAnsi="Cambria Math" w:eastAsia="Cambria Math"/>
          <w:spacing w:val="1"/>
          <w:w w:val="100"/>
          <w:sz w:val="17"/>
        </w:rPr>
        <w:t>,</w:t>
      </w:r>
      <w:r>
        <w:rPr>
          <w:rFonts w:ascii="Cambria Math" w:hAnsi="Cambria Math" w:eastAsia="Cambria Math"/>
          <w:w w:val="53"/>
          <w:sz w:val="17"/>
        </w:rPr>
        <w:t>�</w:t>
      </w:r>
      <w:r>
        <w:rPr>
          <w:rFonts w:ascii="Cambria Math" w:hAnsi="Cambria Math" w:eastAsia="Cambria Math"/>
          <w:spacing w:val="-23"/>
          <w:sz w:val="17"/>
        </w:rPr>
        <w:t> </w:t>
      </w:r>
      <w:r>
        <w:rPr>
          <w:rFonts w:ascii="Cambria Math" w:hAnsi="Cambria Math" w:eastAsia="Cambria Math"/>
          <w:spacing w:val="-40"/>
          <w:w w:val="91"/>
          <w:position w:val="5"/>
          <w:sz w:val="24"/>
        </w:rPr>
        <w:t>�</w:t>
      </w:r>
      <w:r>
        <w:rPr>
          <w:rFonts w:ascii="Cambria Math" w:hAnsi="Cambria Math" w:eastAsia="Cambria Math"/>
          <w:spacing w:val="1"/>
          <w:w w:val="142"/>
          <w:sz w:val="17"/>
        </w:rPr>
        <w:t>�</w:t>
      </w:r>
      <w:r>
        <w:rPr>
          <w:rFonts w:ascii="Cambria Math" w:hAnsi="Cambria Math" w:eastAsia="Cambria Math"/>
          <w:spacing w:val="1"/>
          <w:w w:val="100"/>
          <w:sz w:val="17"/>
        </w:rPr>
        <w:t>,</w:t>
      </w:r>
      <w:r>
        <w:rPr>
          <w:rFonts w:ascii="Cambria Math" w:hAnsi="Cambria Math" w:eastAsia="Cambria Math"/>
          <w:spacing w:val="1"/>
          <w:w w:val="111"/>
          <w:sz w:val="17"/>
        </w:rPr>
        <w:t>𝑡</w:t>
      </w:r>
      <w:r>
        <w:rPr>
          <w:rFonts w:ascii="Cambria Math" w:hAnsi="Cambria Math" w:eastAsia="Cambria Math"/>
          <w:w w:val="97"/>
          <w:sz w:val="17"/>
        </w:rPr>
        <w:t>−</w:t>
      </w:r>
      <w:r>
        <w:rPr>
          <w:rFonts w:ascii="Cambria Math" w:hAnsi="Cambria Math" w:eastAsia="Cambria Math"/>
          <w:w w:val="104"/>
          <w:sz w:val="17"/>
        </w:rPr>
        <w:t>2</w:t>
      </w:r>
      <w:r>
        <w:rPr>
          <w:rFonts w:ascii="Cambria Math" w:hAnsi="Cambria Math" w:eastAsia="Cambria Math"/>
          <w:sz w:val="17"/>
        </w:rPr>
        <w:t> </w:t>
      </w:r>
      <w:r>
        <w:rPr>
          <w:rFonts w:ascii="Cambria Math" w:hAnsi="Cambria Math" w:eastAsia="Cambria Math"/>
          <w:spacing w:val="-13"/>
          <w:sz w:val="17"/>
        </w:rPr>
        <w:t> </w:t>
      </w:r>
      <w:r>
        <w:rPr>
          <w:rFonts w:ascii="Cambria Math" w:hAnsi="Cambria Math" w:eastAsia="Cambria Math"/>
          <w:position w:val="5"/>
          <w:sz w:val="24"/>
        </w:rPr>
        <w:t>+ </w:t>
      </w:r>
      <w:r>
        <w:rPr>
          <w:rFonts w:ascii="Cambria Math" w:hAnsi="Cambria Math" w:eastAsia="Cambria Math"/>
          <w:w w:val="99"/>
          <w:position w:val="5"/>
          <w:sz w:val="24"/>
        </w:rPr>
        <w:t>⋯</w:t>
      </w:r>
      <w:r>
        <w:rPr>
          <w:rFonts w:ascii="Cambria Math" w:hAnsi="Cambria Math" w:eastAsia="Cambria Math"/>
          <w:spacing w:val="-14"/>
          <w:position w:val="5"/>
          <w:sz w:val="24"/>
        </w:rPr>
        <w:t> </w:t>
      </w:r>
      <w:r>
        <w:rPr>
          <w:rFonts w:ascii="Cambria Math" w:hAnsi="Cambria Math" w:eastAsia="Cambria Math"/>
          <w:position w:val="5"/>
          <w:sz w:val="24"/>
        </w:rPr>
        <w:t>+  </w:t>
      </w:r>
      <w:r>
        <w:rPr>
          <w:rFonts w:ascii="Cambria Math" w:hAnsi="Cambria Math" w:eastAsia="Cambria Math"/>
          <w:spacing w:val="-14"/>
          <w:w w:val="92"/>
          <w:position w:val="5"/>
          <w:sz w:val="24"/>
        </w:rPr>
        <w:t>�</w:t>
      </w:r>
      <w:r>
        <w:rPr>
          <w:rFonts w:ascii="Cambria Math" w:hAnsi="Cambria Math" w:eastAsia="Cambria Math"/>
          <w:spacing w:val="-1"/>
          <w:w w:val="142"/>
          <w:sz w:val="17"/>
        </w:rPr>
        <w:t>�</w:t>
      </w:r>
      <w:r>
        <w:rPr>
          <w:rFonts w:ascii="Cambria Math" w:hAnsi="Cambria Math" w:eastAsia="Cambria Math"/>
          <w:spacing w:val="6"/>
          <w:w w:val="111"/>
          <w:sz w:val="17"/>
        </w:rPr>
        <w:t>𝑟</w:t>
      </w:r>
      <w:r>
        <w:rPr>
          <w:rFonts w:ascii="Cambria Math" w:hAnsi="Cambria Math" w:eastAsia="Cambria Math"/>
          <w:spacing w:val="1"/>
          <w:w w:val="100"/>
          <w:sz w:val="17"/>
        </w:rPr>
        <w:t>,</w:t>
      </w:r>
      <w:r>
        <w:rPr>
          <w:rFonts w:ascii="Cambria Math" w:hAnsi="Cambria Math" w:eastAsia="Cambria Math"/>
          <w:w w:val="53"/>
          <w:sz w:val="17"/>
        </w:rPr>
        <w:t>�</w:t>
      </w:r>
      <w:r>
        <w:rPr>
          <w:rFonts w:ascii="Cambria Math" w:hAnsi="Cambria Math" w:eastAsia="Cambria Math"/>
          <w:spacing w:val="-23"/>
          <w:sz w:val="17"/>
        </w:rPr>
        <w:t> </w:t>
      </w:r>
      <w:r>
        <w:rPr>
          <w:rFonts w:ascii="Cambria Math" w:hAnsi="Cambria Math" w:eastAsia="Cambria Math"/>
          <w:spacing w:val="-40"/>
          <w:w w:val="91"/>
          <w:position w:val="5"/>
          <w:sz w:val="24"/>
        </w:rPr>
        <w:t>�</w:t>
      </w:r>
      <w:r>
        <w:rPr>
          <w:rFonts w:ascii="Cambria Math" w:hAnsi="Cambria Math" w:eastAsia="Cambria Math"/>
          <w:spacing w:val="1"/>
          <w:w w:val="142"/>
          <w:sz w:val="17"/>
        </w:rPr>
        <w:t>�</w:t>
      </w:r>
      <w:r>
        <w:rPr>
          <w:rFonts w:ascii="Cambria Math" w:hAnsi="Cambria Math" w:eastAsia="Cambria Math"/>
          <w:spacing w:val="1"/>
          <w:w w:val="100"/>
          <w:sz w:val="17"/>
        </w:rPr>
        <w:t>,</w:t>
      </w:r>
      <w:r>
        <w:rPr>
          <w:rFonts w:ascii="Cambria Math" w:hAnsi="Cambria Math" w:eastAsia="Cambria Math"/>
          <w:spacing w:val="1"/>
          <w:w w:val="111"/>
          <w:sz w:val="17"/>
        </w:rPr>
        <w:t>𝑡</w:t>
      </w:r>
      <w:r>
        <w:rPr>
          <w:rFonts w:ascii="Cambria Math" w:hAnsi="Cambria Math" w:eastAsia="Cambria Math"/>
          <w:w w:val="97"/>
          <w:sz w:val="17"/>
        </w:rPr>
        <w:t>−</w:t>
      </w:r>
      <w:r>
        <w:rPr>
          <w:rFonts w:ascii="Cambria Math" w:hAnsi="Cambria Math" w:eastAsia="Cambria Math"/>
          <w:w w:val="111"/>
          <w:sz w:val="17"/>
        </w:rPr>
        <w:t>𝑟</w:t>
      </w:r>
      <w:r>
        <w:rPr>
          <w:rFonts w:ascii="Cambria Math" w:hAnsi="Cambria Math" w:eastAsia="Cambria Math"/>
          <w:sz w:val="17"/>
        </w:rPr>
        <w:t> </w:t>
      </w:r>
      <w:r>
        <w:rPr>
          <w:rFonts w:ascii="Cambria Math" w:hAnsi="Cambria Math" w:eastAsia="Cambria Math"/>
          <w:spacing w:val="-6"/>
          <w:sz w:val="17"/>
        </w:rPr>
        <w:t> </w:t>
      </w:r>
      <w:r>
        <w:rPr>
          <w:rFonts w:ascii="Cambria Math" w:hAnsi="Cambria Math" w:eastAsia="Cambria Math"/>
          <w:position w:val="5"/>
          <w:sz w:val="24"/>
        </w:rPr>
        <w:t>+ </w:t>
      </w:r>
      <w:r>
        <w:rPr>
          <w:rFonts w:ascii="Cambria Math" w:hAnsi="Cambria Math" w:eastAsia="Cambria Math"/>
          <w:spacing w:val="-1"/>
          <w:w w:val="87"/>
          <w:position w:val="5"/>
          <w:sz w:val="24"/>
        </w:rPr>
        <w:t>�</w:t>
      </w:r>
      <w:r>
        <w:rPr>
          <w:rFonts w:ascii="Cambria Math" w:hAnsi="Cambria Math" w:eastAsia="Cambria Math"/>
          <w:spacing w:val="7"/>
          <w:w w:val="53"/>
          <w:sz w:val="17"/>
        </w:rPr>
        <w:t>�</w:t>
      </w:r>
      <w:r>
        <w:rPr>
          <w:rFonts w:ascii="Cambria Math" w:hAnsi="Cambria Math" w:eastAsia="Cambria Math"/>
          <w:spacing w:val="1"/>
          <w:w w:val="100"/>
          <w:sz w:val="17"/>
        </w:rPr>
        <w:t>,</w:t>
      </w:r>
      <w:r>
        <w:rPr>
          <w:rFonts w:ascii="Cambria Math" w:hAnsi="Cambria Math" w:eastAsia="Cambria Math"/>
          <w:w w:val="111"/>
          <w:sz w:val="17"/>
        </w:rPr>
        <w:t>𝑡</w:t>
      </w:r>
    </w:p>
    <w:p>
      <w:pPr>
        <w:pStyle w:val="BodyText"/>
        <w:spacing w:before="11"/>
        <w:rPr>
          <w:rFonts w:ascii="Cambria Math"/>
          <w:sz w:val="30"/>
        </w:rPr>
      </w:pPr>
    </w:p>
    <w:p>
      <w:pPr>
        <w:pStyle w:val="BodyText"/>
        <w:spacing w:line="360" w:lineRule="auto"/>
        <w:ind w:left="102" w:right="119"/>
      </w:pPr>
      <w:r>
        <w:rPr/>
        <w:t>Es decir, cada variable vendría explicada por las componentes deterministas, </w:t>
      </w:r>
      <w:r>
        <w:rPr>
          <w:i/>
        </w:rPr>
        <w:t>r </w:t>
      </w:r>
      <w:r>
        <w:rPr/>
        <w:t>retardos de cada una de las variables incluidas en el sistema.</w:t>
      </w:r>
    </w:p>
    <w:p>
      <w:pPr>
        <w:pStyle w:val="BodyText"/>
        <w:spacing w:before="5"/>
        <w:rPr>
          <w:sz w:val="21"/>
        </w:rPr>
      </w:pPr>
    </w:p>
    <w:p>
      <w:pPr>
        <w:pStyle w:val="BodyText"/>
        <w:spacing w:line="345" w:lineRule="auto"/>
        <w:ind w:left="102" w:right="222"/>
      </w:pPr>
      <w:r>
        <w:rPr/>
        <w:t>La</w:t>
      </w:r>
      <w:r>
        <w:rPr>
          <w:w w:val="99"/>
        </w:rPr>
        <w:t>s</w:t>
      </w:r>
      <w:r>
        <w:rPr/>
        <w:t> perturbaciones aleatoria</w:t>
      </w:r>
      <w:r>
        <w:rPr>
          <w:w w:val="99"/>
        </w:rPr>
        <w:t>s</w:t>
      </w:r>
      <w:r>
        <w:rPr/>
        <w:t> de cada ecuación </w:t>
      </w:r>
      <w:r>
        <w:rPr>
          <w:rFonts w:ascii="Cambria Math" w:hAnsi="Cambria Math" w:eastAsia="Cambria Math"/>
          <w:w w:val="87"/>
        </w:rPr>
        <w:t>�</w:t>
      </w:r>
      <w:r>
        <w:rPr>
          <w:rFonts w:ascii="Cambria Math" w:hAnsi="Cambria Math" w:eastAsia="Cambria Math"/>
          <w:w w:val="53"/>
          <w:position w:val="-4"/>
          <w:sz w:val="17"/>
        </w:rPr>
        <w:t>�</w:t>
      </w:r>
      <w:r>
        <w:rPr>
          <w:rFonts w:ascii="Cambria Math" w:hAnsi="Cambria Math" w:eastAsia="Cambria Math"/>
          <w:w w:val="100"/>
          <w:position w:val="-4"/>
          <w:sz w:val="17"/>
        </w:rPr>
        <w:t>,</w:t>
      </w:r>
      <w:r>
        <w:rPr>
          <w:rFonts w:ascii="Cambria Math" w:hAnsi="Cambria Math" w:eastAsia="Cambria Math"/>
          <w:w w:val="111"/>
          <w:position w:val="-4"/>
          <w:sz w:val="17"/>
        </w:rPr>
        <w:t>𝑡</w:t>
      </w:r>
      <w:r>
        <w:rPr>
          <w:rFonts w:ascii="Cambria Math" w:hAnsi="Cambria Math" w:eastAsia="Cambria Math"/>
          <w:position w:val="-4"/>
          <w:sz w:val="17"/>
        </w:rPr>
        <w:t>  </w:t>
      </w:r>
      <w:r>
        <w:rPr/>
        <w:t>deben comporta</w:t>
      </w:r>
      <w:r>
        <w:rPr>
          <w:w w:val="99"/>
        </w:rPr>
        <w:t>rse</w:t>
      </w:r>
      <w:r>
        <w:rPr/>
        <w:t> como ruido blanco, presentando por tanto matrices de varianzas-covarianzas escalares:</w:t>
      </w:r>
    </w:p>
    <w:p>
      <w:pPr>
        <w:pStyle w:val="BodyText"/>
        <w:spacing w:before="5"/>
        <w:rPr>
          <w:sz w:val="22"/>
        </w:rPr>
      </w:pPr>
    </w:p>
    <w:p>
      <w:pPr>
        <w:spacing w:before="1"/>
        <w:ind w:left="383" w:right="406" w:firstLine="0"/>
        <w:jc w:val="center"/>
        <w:rPr>
          <w:rFonts w:ascii="Cambria Math" w:hAnsi="Cambria Math" w:eastAsia="Cambria Math"/>
          <w:sz w:val="24"/>
        </w:rPr>
      </w:pPr>
      <w:r>
        <w:rPr>
          <w:rFonts w:ascii="Cambria Math" w:hAnsi="Cambria Math" w:eastAsia="Cambria Math"/>
          <w:w w:val="95"/>
          <w:sz w:val="24"/>
        </w:rPr>
        <w:t>���</w:t>
      </w:r>
      <w:r>
        <w:rPr>
          <w:rFonts w:ascii="Cambria Math" w:hAnsi="Cambria Math" w:eastAsia="Cambria Math"/>
          <w:w w:val="95"/>
          <w:position w:val="1"/>
          <w:sz w:val="24"/>
        </w:rPr>
        <w:t>(</w:t>
      </w:r>
      <w:r>
        <w:rPr>
          <w:rFonts w:ascii="Cambria Math" w:hAnsi="Cambria Math" w:eastAsia="Cambria Math"/>
          <w:w w:val="95"/>
          <w:sz w:val="24"/>
        </w:rPr>
        <w:t>�</w:t>
      </w:r>
      <w:r>
        <w:rPr>
          <w:rFonts w:ascii="Cambria Math" w:hAnsi="Cambria Math" w:eastAsia="Cambria Math"/>
          <w:w w:val="95"/>
          <w:position w:val="-4"/>
          <w:sz w:val="17"/>
        </w:rPr>
        <w:t>𝑡</w:t>
      </w:r>
      <w:r>
        <w:rPr>
          <w:rFonts w:ascii="Cambria Math" w:hAnsi="Cambria Math" w:eastAsia="Cambria Math"/>
          <w:w w:val="95"/>
          <w:position w:val="1"/>
          <w:sz w:val="24"/>
        </w:rPr>
        <w:t>) </w:t>
      </w:r>
      <w:r>
        <w:rPr>
          <w:rFonts w:ascii="Cambria Math" w:hAnsi="Cambria Math" w:eastAsia="Cambria Math"/>
          <w:w w:val="95"/>
          <w:sz w:val="24"/>
        </w:rPr>
        <w:t>= �(�</w:t>
      </w:r>
      <w:r>
        <w:rPr>
          <w:rFonts w:ascii="Cambria Math" w:hAnsi="Cambria Math" w:eastAsia="Cambria Math"/>
          <w:w w:val="95"/>
          <w:position w:val="-4"/>
          <w:sz w:val="17"/>
        </w:rPr>
        <w:t>𝑡</w:t>
      </w:r>
      <w:r>
        <w:rPr>
          <w:rFonts w:ascii="Cambria Math" w:hAnsi="Cambria Math" w:eastAsia="Cambria Math"/>
          <w:w w:val="95"/>
          <w:sz w:val="24"/>
        </w:rPr>
        <w:t>�´</w:t>
      </w:r>
      <w:r>
        <w:rPr>
          <w:rFonts w:ascii="Cambria Math" w:hAnsi="Cambria Math" w:eastAsia="Cambria Math"/>
          <w:w w:val="95"/>
          <w:position w:val="-4"/>
          <w:sz w:val="17"/>
        </w:rPr>
        <w:t>� </w:t>
      </w:r>
      <w:r>
        <w:rPr>
          <w:rFonts w:ascii="Cambria Math" w:hAnsi="Cambria Math" w:eastAsia="Cambria Math"/>
          <w:w w:val="95"/>
          <w:sz w:val="24"/>
        </w:rPr>
        <w:t>) = 𝜎</w:t>
      </w:r>
      <w:r>
        <w:rPr>
          <w:rFonts w:ascii="Cambria Math" w:hAnsi="Cambria Math" w:eastAsia="Cambria Math"/>
          <w:w w:val="95"/>
          <w:position w:val="9"/>
          <w:sz w:val="17"/>
        </w:rPr>
        <w:t>2</w:t>
      </w:r>
      <w:r>
        <w:rPr>
          <w:rFonts w:ascii="Cambria Math" w:hAnsi="Cambria Math" w:eastAsia="Cambria Math"/>
          <w:w w:val="95"/>
          <w:sz w:val="24"/>
        </w:rPr>
        <w:t>�</w:t>
      </w:r>
    </w:p>
    <w:p>
      <w:pPr>
        <w:pStyle w:val="BodyText"/>
        <w:spacing w:before="11"/>
        <w:rPr>
          <w:rFonts w:ascii="Cambria Math"/>
          <w:sz w:val="31"/>
        </w:rPr>
      </w:pPr>
    </w:p>
    <w:p>
      <w:pPr>
        <w:pStyle w:val="BodyText"/>
        <w:spacing w:line="357" w:lineRule="auto"/>
        <w:ind w:left="102" w:right="119"/>
      </w:pPr>
      <w:r>
        <w:rPr/>
        <w:t>Además, las perturbaciones aleatorias de distintas ecuaciones deben presentar matrices de varianzas y covarianzas,</w:t>
      </w:r>
      <w:r>
        <w:rPr>
          <w:rFonts w:ascii="Cambria Math" w:hAnsi="Cambria Math"/>
        </w:rPr>
        <w:t>Σ</w:t>
      </w:r>
      <w:r>
        <w:rPr/>
        <w:t>, constantes para cada punto muestral </w:t>
      </w:r>
      <w:r>
        <w:rPr>
          <w:i/>
        </w:rPr>
        <w:t>t</w:t>
      </w:r>
      <w:r>
        <w:rPr/>
        <w:t>. Esto es:</w:t>
      </w:r>
    </w:p>
    <w:p>
      <w:pPr>
        <w:spacing w:after="0" w:line="357" w:lineRule="auto"/>
        <w:sectPr>
          <w:pgSz w:w="12240" w:h="15840"/>
          <w:pgMar w:header="0" w:footer="1035" w:top="1360" w:bottom="1220" w:left="1600" w:right="1580"/>
        </w:sectPr>
      </w:pPr>
    </w:p>
    <w:p>
      <w:pPr>
        <w:pStyle w:val="BodyText"/>
        <w:spacing w:before="10"/>
        <w:rPr>
          <w:sz w:val="9"/>
        </w:rPr>
      </w:pPr>
    </w:p>
    <w:p>
      <w:pPr>
        <w:tabs>
          <w:tab w:pos="5886" w:val="left" w:leader="none"/>
        </w:tabs>
        <w:spacing w:before="59"/>
        <w:ind w:left="2917" w:right="119" w:firstLine="0"/>
        <w:jc w:val="left"/>
        <w:rPr>
          <w:rFonts w:ascii="Cambria Math" w:hAnsi="Cambria Math" w:eastAsia="Cambria Math"/>
          <w:sz w:val="17"/>
        </w:rPr>
      </w:pPr>
      <w:r>
        <w:rPr>
          <w:rFonts w:ascii="Cambria Math" w:hAnsi="Cambria Math" w:eastAsia="Cambria Math"/>
          <w:spacing w:val="-9"/>
          <w:w w:val="95"/>
          <w:sz w:val="24"/>
        </w:rPr>
        <w:t>���(�</w:t>
      </w:r>
      <w:r>
        <w:rPr>
          <w:rFonts w:ascii="Cambria Math" w:hAnsi="Cambria Math" w:eastAsia="Cambria Math"/>
          <w:spacing w:val="-9"/>
          <w:w w:val="95"/>
          <w:position w:val="-4"/>
          <w:sz w:val="17"/>
        </w:rPr>
        <w:t>𝑡</w:t>
      </w:r>
      <w:r>
        <w:rPr>
          <w:rFonts w:ascii="Cambria Math" w:hAnsi="Cambria Math" w:eastAsia="Cambria Math"/>
          <w:spacing w:val="-9"/>
          <w:w w:val="95"/>
          <w:sz w:val="24"/>
        </w:rPr>
        <w:t>�</w:t>
      </w:r>
      <w:r>
        <w:rPr>
          <w:rFonts w:ascii="Cambria Math" w:hAnsi="Cambria Math" w:eastAsia="Cambria Math"/>
          <w:spacing w:val="-9"/>
          <w:w w:val="95"/>
          <w:position w:val="-4"/>
          <w:sz w:val="17"/>
        </w:rPr>
        <w:t>�</w:t>
      </w:r>
      <w:r>
        <w:rPr>
          <w:rFonts w:ascii="Cambria Math" w:hAnsi="Cambria Math" w:eastAsia="Cambria Math"/>
          <w:spacing w:val="-28"/>
          <w:w w:val="95"/>
          <w:position w:val="-4"/>
          <w:sz w:val="17"/>
        </w:rPr>
        <w:t> </w:t>
      </w:r>
      <w:r>
        <w:rPr>
          <w:rFonts w:ascii="Cambria Math" w:hAnsi="Cambria Math" w:eastAsia="Cambria Math"/>
          <w:spacing w:val="-9"/>
          <w:w w:val="95"/>
          <w:sz w:val="24"/>
        </w:rPr>
        <w:t>)</w:t>
      </w:r>
      <w:r>
        <w:rPr>
          <w:rFonts w:ascii="Cambria Math" w:hAnsi="Cambria Math" w:eastAsia="Cambria Math"/>
          <w:spacing w:val="-16"/>
          <w:w w:val="95"/>
          <w:sz w:val="24"/>
        </w:rPr>
        <w:t> </w:t>
      </w:r>
      <w:r>
        <w:rPr>
          <w:rFonts w:ascii="Cambria Math" w:hAnsi="Cambria Math" w:eastAsia="Cambria Math"/>
          <w:spacing w:val="-9"/>
          <w:w w:val="95"/>
          <w:sz w:val="24"/>
        </w:rPr>
        <w:t>=</w:t>
      </w:r>
      <w:r>
        <w:rPr>
          <w:rFonts w:ascii="Cambria Math" w:hAnsi="Cambria Math" w:eastAsia="Cambria Math"/>
          <w:spacing w:val="-17"/>
          <w:w w:val="95"/>
          <w:sz w:val="24"/>
        </w:rPr>
        <w:t> </w:t>
      </w:r>
      <w:r>
        <w:rPr>
          <w:rFonts w:ascii="Cambria Math" w:hAnsi="Cambria Math" w:eastAsia="Cambria Math"/>
          <w:spacing w:val="-9"/>
          <w:w w:val="95"/>
          <w:sz w:val="24"/>
        </w:rPr>
        <w:t>�(�</w:t>
      </w:r>
      <w:r>
        <w:rPr>
          <w:rFonts w:ascii="Cambria Math" w:hAnsi="Cambria Math" w:eastAsia="Cambria Math"/>
          <w:spacing w:val="-9"/>
          <w:w w:val="95"/>
          <w:position w:val="-4"/>
          <w:sz w:val="17"/>
        </w:rPr>
        <w:t>𝑡</w:t>
      </w:r>
      <w:r>
        <w:rPr>
          <w:rFonts w:ascii="Cambria Math" w:hAnsi="Cambria Math" w:eastAsia="Cambria Math"/>
          <w:spacing w:val="-9"/>
          <w:w w:val="95"/>
          <w:sz w:val="24"/>
        </w:rPr>
        <w:t>�´</w:t>
      </w:r>
      <w:r>
        <w:rPr>
          <w:rFonts w:ascii="Cambria Math" w:hAnsi="Cambria Math" w:eastAsia="Cambria Math"/>
          <w:spacing w:val="-9"/>
          <w:w w:val="95"/>
          <w:position w:val="-4"/>
          <w:sz w:val="17"/>
        </w:rPr>
        <w:t>�</w:t>
      </w:r>
      <w:r>
        <w:rPr>
          <w:rFonts w:ascii="Cambria Math" w:hAnsi="Cambria Math" w:eastAsia="Cambria Math"/>
          <w:spacing w:val="-28"/>
          <w:w w:val="95"/>
          <w:position w:val="-4"/>
          <w:sz w:val="17"/>
        </w:rPr>
        <w:t> </w:t>
      </w:r>
      <w:r>
        <w:rPr>
          <w:rFonts w:ascii="Cambria Math" w:hAnsi="Cambria Math" w:eastAsia="Cambria Math"/>
          <w:spacing w:val="-8"/>
          <w:w w:val="95"/>
          <w:sz w:val="24"/>
        </w:rPr>
        <w:t>)</w:t>
      </w:r>
      <w:r>
        <w:rPr>
          <w:rFonts w:ascii="Cambria Math" w:hAnsi="Cambria Math" w:eastAsia="Cambria Math"/>
          <w:spacing w:val="-16"/>
          <w:w w:val="95"/>
          <w:sz w:val="24"/>
        </w:rPr>
        <w:t> </w:t>
      </w:r>
      <w:r>
        <w:rPr>
          <w:rFonts w:ascii="Cambria Math" w:hAnsi="Cambria Math" w:eastAsia="Cambria Math"/>
          <w:spacing w:val="-8"/>
          <w:w w:val="95"/>
          <w:sz w:val="24"/>
        </w:rPr>
        <w:t>=</w:t>
      </w:r>
      <w:r>
        <w:rPr>
          <w:rFonts w:ascii="Cambria Math" w:hAnsi="Cambria Math" w:eastAsia="Cambria Math"/>
          <w:spacing w:val="12"/>
          <w:w w:val="95"/>
          <w:sz w:val="24"/>
        </w:rPr>
        <w:t> </w:t>
      </w:r>
      <w:r>
        <w:rPr>
          <w:rFonts w:ascii="Cambria Math" w:hAnsi="Cambria Math" w:eastAsia="Cambria Math"/>
          <w:spacing w:val="-8"/>
          <w:w w:val="95"/>
          <w:sz w:val="24"/>
        </w:rPr>
        <w:t>Σ</w:t>
        <w:tab/>
        <w:t>∀</w:t>
      </w:r>
      <w:r>
        <w:rPr>
          <w:rFonts w:ascii="Cambria Math" w:hAnsi="Cambria Math" w:eastAsia="Cambria Math"/>
          <w:spacing w:val="-8"/>
          <w:w w:val="95"/>
          <w:position w:val="-4"/>
          <w:sz w:val="17"/>
        </w:rPr>
        <w:t>𝑡</w:t>
      </w:r>
    </w:p>
    <w:p>
      <w:pPr>
        <w:pStyle w:val="BodyText"/>
        <w:spacing w:before="5"/>
        <w:rPr>
          <w:rFonts w:ascii="Cambria Math"/>
        </w:rPr>
      </w:pPr>
    </w:p>
    <w:p>
      <w:pPr>
        <w:tabs>
          <w:tab w:pos="909" w:val="left" w:leader="none"/>
          <w:tab w:pos="1703" w:val="left" w:leader="none"/>
        </w:tabs>
        <w:spacing w:line="65" w:lineRule="exact" w:before="72"/>
        <w:ind w:left="498" w:right="0" w:firstLine="0"/>
        <w:jc w:val="center"/>
        <w:rPr>
          <w:rFonts w:ascii="Cambria Math" w:eastAsia="Cambria Math"/>
          <w:sz w:val="17"/>
        </w:rPr>
      </w:pPr>
      <w:r>
        <w:rPr>
          <w:rFonts w:ascii="Cambria Math" w:eastAsia="Cambria Math"/>
          <w:position w:val="9"/>
          <w:sz w:val="17"/>
        </w:rPr>
        <w:t>2</w:t>
        <w:tab/>
      </w:r>
      <w:r>
        <w:rPr>
          <w:rFonts w:ascii="Cambria Math" w:eastAsia="Cambria Math"/>
          <w:spacing w:val="-7"/>
          <w:sz w:val="24"/>
        </w:rPr>
        <w:t>𝜎</w:t>
      </w:r>
      <w:r>
        <w:rPr>
          <w:rFonts w:ascii="Cambria Math" w:eastAsia="Cambria Math"/>
          <w:spacing w:val="-7"/>
          <w:position w:val="9"/>
          <w:sz w:val="17"/>
        </w:rPr>
        <w:t>2 </w:t>
      </w:r>
      <w:r>
        <w:rPr>
          <w:rFonts w:ascii="Cambria Math" w:eastAsia="Cambria Math"/>
          <w:spacing w:val="-7"/>
          <w:sz w:val="24"/>
        </w:rPr>
        <w:t>.</w:t>
      </w:r>
      <w:r>
        <w:rPr>
          <w:rFonts w:ascii="Cambria Math" w:eastAsia="Cambria Math"/>
          <w:spacing w:val="-41"/>
          <w:sz w:val="24"/>
        </w:rPr>
        <w:t> </w:t>
      </w:r>
      <w:r>
        <w:rPr>
          <w:rFonts w:ascii="Cambria Math" w:eastAsia="Cambria Math"/>
          <w:spacing w:val="-7"/>
          <w:sz w:val="24"/>
        </w:rPr>
        <w:t>.</w:t>
      </w:r>
      <w:r>
        <w:rPr>
          <w:rFonts w:ascii="Cambria Math" w:eastAsia="Cambria Math"/>
          <w:spacing w:val="-38"/>
          <w:sz w:val="24"/>
        </w:rPr>
        <w:t> </w:t>
      </w:r>
      <w:r>
        <w:rPr>
          <w:rFonts w:ascii="Cambria Math" w:eastAsia="Cambria Math"/>
          <w:spacing w:val="-7"/>
          <w:sz w:val="24"/>
        </w:rPr>
        <w:t>.</w:t>
        <w:tab/>
      </w:r>
      <w:r>
        <w:rPr>
          <w:rFonts w:ascii="Cambria Math" w:eastAsia="Cambria Math"/>
          <w:spacing w:val="8"/>
          <w:sz w:val="24"/>
        </w:rPr>
        <w:t>𝜎</w:t>
      </w:r>
      <w:r>
        <w:rPr>
          <w:rFonts w:ascii="Cambria Math" w:eastAsia="Cambria Math"/>
          <w:spacing w:val="8"/>
          <w:position w:val="9"/>
          <w:sz w:val="17"/>
        </w:rPr>
        <w:t>2</w:t>
      </w:r>
    </w:p>
    <w:p>
      <w:pPr>
        <w:tabs>
          <w:tab w:pos="1154" w:val="left" w:leader="none"/>
          <w:tab w:pos="1949" w:val="left" w:leader="none"/>
        </w:tabs>
        <w:spacing w:line="277" w:lineRule="exact" w:before="0"/>
        <w:ind w:left="288" w:right="0" w:firstLine="0"/>
        <w:jc w:val="center"/>
        <w:rPr>
          <w:rFonts w:ascii="Cambria Math" w:eastAsia="Cambria Math"/>
          <w:sz w:val="17"/>
        </w:rPr>
      </w:pPr>
      <w:r>
        <w:rPr>
          <w:rFonts w:ascii="Cambria Math" w:eastAsia="Cambria Math"/>
          <w:w w:val="158"/>
          <w:position w:val="-8"/>
          <w:sz w:val="24"/>
        </w:rPr>
        <w:t> </w:t>
      </w:r>
      <w:r>
        <w:rPr>
          <w:rFonts w:ascii="Cambria Math" w:eastAsia="Cambria Math"/>
          <w:position w:val="-8"/>
          <w:sz w:val="24"/>
        </w:rPr>
        <w:t> </w:t>
      </w:r>
      <w:r>
        <w:rPr>
          <w:rFonts w:ascii="Cambria Math" w:eastAsia="Cambria Math"/>
          <w:spacing w:val="-8"/>
          <w:position w:val="-8"/>
          <w:sz w:val="24"/>
        </w:rPr>
        <w:t> </w:t>
      </w:r>
      <w:r>
        <w:rPr>
          <w:rFonts w:ascii="Cambria Math" w:eastAsia="Cambria Math"/>
          <w:spacing w:val="-33"/>
          <w:position w:val="5"/>
          <w:sz w:val="24"/>
        </w:rPr>
        <w:t>𝜎</w:t>
      </w:r>
      <w:r>
        <w:rPr>
          <w:rFonts w:ascii="Cambria Math" w:eastAsia="Cambria Math"/>
          <w:spacing w:val="-33"/>
          <w:sz w:val="17"/>
        </w:rPr>
        <w:t>11</w:t>
        <w:tab/>
      </w:r>
      <w:r>
        <w:rPr>
          <w:rFonts w:ascii="Cambria Math" w:eastAsia="Cambria Math"/>
          <w:w w:val="110"/>
          <w:sz w:val="17"/>
        </w:rPr>
        <w:t>12</w:t>
        <w:tab/>
        <w:t>1�</w:t>
      </w:r>
    </w:p>
    <w:p>
      <w:pPr>
        <w:tabs>
          <w:tab w:pos="909" w:val="left" w:leader="none"/>
          <w:tab w:pos="1708" w:val="left" w:leader="none"/>
        </w:tabs>
        <w:spacing w:line="51" w:lineRule="exact" w:before="0"/>
        <w:ind w:left="491" w:right="0" w:firstLine="0"/>
        <w:jc w:val="center"/>
        <w:rPr>
          <w:rFonts w:ascii="Cambria Math" w:eastAsia="Cambria Math"/>
          <w:sz w:val="17"/>
        </w:rPr>
      </w:pPr>
      <w:r>
        <w:rPr>
          <w:rFonts w:ascii="Cambria Math" w:eastAsia="Cambria Math"/>
          <w:position w:val="9"/>
          <w:sz w:val="17"/>
        </w:rPr>
        <w:t>2</w:t>
        <w:tab/>
      </w:r>
      <w:r>
        <w:rPr>
          <w:rFonts w:ascii="Cambria Math" w:eastAsia="Cambria Math"/>
          <w:spacing w:val="-6"/>
          <w:sz w:val="24"/>
        </w:rPr>
        <w:t>𝜎</w:t>
      </w:r>
      <w:r>
        <w:rPr>
          <w:rFonts w:ascii="Cambria Math" w:eastAsia="Cambria Math"/>
          <w:spacing w:val="-6"/>
          <w:position w:val="9"/>
          <w:sz w:val="17"/>
        </w:rPr>
        <w:t>2 </w:t>
      </w:r>
      <w:r>
        <w:rPr>
          <w:rFonts w:ascii="Cambria Math" w:eastAsia="Cambria Math"/>
          <w:spacing w:val="-6"/>
          <w:sz w:val="24"/>
        </w:rPr>
        <w:t>.</w:t>
      </w:r>
      <w:r>
        <w:rPr>
          <w:rFonts w:ascii="Cambria Math" w:eastAsia="Cambria Math"/>
          <w:spacing w:val="-41"/>
          <w:sz w:val="24"/>
        </w:rPr>
        <w:t> </w:t>
      </w:r>
      <w:r>
        <w:rPr>
          <w:rFonts w:ascii="Cambria Math" w:eastAsia="Cambria Math"/>
          <w:spacing w:val="-6"/>
          <w:sz w:val="24"/>
        </w:rPr>
        <w:t>.</w:t>
      </w:r>
      <w:r>
        <w:rPr>
          <w:rFonts w:ascii="Cambria Math" w:eastAsia="Cambria Math"/>
          <w:spacing w:val="-39"/>
          <w:sz w:val="24"/>
        </w:rPr>
        <w:t> </w:t>
      </w:r>
      <w:r>
        <w:rPr>
          <w:rFonts w:ascii="Cambria Math" w:eastAsia="Cambria Math"/>
          <w:spacing w:val="-6"/>
          <w:sz w:val="24"/>
        </w:rPr>
        <w:t>.</w:t>
        <w:tab/>
      </w:r>
      <w:r>
        <w:rPr>
          <w:rFonts w:ascii="Cambria Math" w:eastAsia="Cambria Math"/>
          <w:spacing w:val="8"/>
          <w:sz w:val="24"/>
        </w:rPr>
        <w:t>𝜎</w:t>
      </w:r>
      <w:r>
        <w:rPr>
          <w:rFonts w:ascii="Cambria Math" w:eastAsia="Cambria Math"/>
          <w:spacing w:val="8"/>
          <w:position w:val="9"/>
          <w:sz w:val="17"/>
        </w:rPr>
        <w:t>2</w:t>
      </w:r>
    </w:p>
    <w:p>
      <w:pPr>
        <w:tabs>
          <w:tab w:pos="1365" w:val="left" w:leader="none"/>
          <w:tab w:pos="2165" w:val="left" w:leader="none"/>
        </w:tabs>
        <w:spacing w:line="283" w:lineRule="exact" w:before="0"/>
        <w:ind w:left="0" w:right="199" w:firstLine="0"/>
        <w:jc w:val="center"/>
        <w:rPr>
          <w:rFonts w:ascii="Cambria Math" w:hAnsi="Cambria Math" w:eastAsia="Cambria Math"/>
          <w:sz w:val="17"/>
        </w:rPr>
      </w:pPr>
      <w:r>
        <w:rPr>
          <w:rFonts w:ascii="Cambria Math" w:hAnsi="Cambria Math" w:eastAsia="Cambria Math"/>
          <w:w w:val="105"/>
          <w:position w:val="-3"/>
          <w:sz w:val="24"/>
        </w:rPr>
        <w:t>Σ</w:t>
      </w:r>
      <w:r>
        <w:rPr>
          <w:rFonts w:ascii="Cambria Math" w:hAnsi="Cambria Math" w:eastAsia="Cambria Math"/>
          <w:spacing w:val="-22"/>
          <w:w w:val="105"/>
          <w:position w:val="-3"/>
          <w:sz w:val="24"/>
        </w:rPr>
        <w:t> </w:t>
      </w:r>
      <w:r>
        <w:rPr>
          <w:rFonts w:ascii="Cambria Math" w:hAnsi="Cambria Math" w:eastAsia="Cambria Math"/>
          <w:w w:val="105"/>
          <w:position w:val="-3"/>
          <w:sz w:val="24"/>
        </w:rPr>
        <w:t>= </w:t>
      </w:r>
      <w:r>
        <w:rPr>
          <w:rFonts w:ascii="Cambria Math" w:hAnsi="Cambria Math" w:eastAsia="Cambria Math"/>
          <w:spacing w:val="44"/>
          <w:w w:val="105"/>
          <w:position w:val="-3"/>
          <w:sz w:val="24"/>
        </w:rPr>
        <w:t> </w:t>
      </w:r>
      <w:r>
        <w:rPr>
          <w:rFonts w:ascii="Cambria Math" w:hAnsi="Cambria Math" w:eastAsia="Cambria Math"/>
          <w:spacing w:val="-9"/>
          <w:w w:val="105"/>
          <w:position w:val="7"/>
          <w:sz w:val="24"/>
        </w:rPr>
        <w:t>𝜎</w:t>
      </w:r>
      <w:r>
        <w:rPr>
          <w:rFonts w:ascii="Cambria Math" w:hAnsi="Cambria Math" w:eastAsia="Cambria Math"/>
          <w:spacing w:val="-9"/>
          <w:w w:val="105"/>
          <w:position w:val="2"/>
          <w:sz w:val="17"/>
        </w:rPr>
        <w:t>21</w:t>
        <w:tab/>
      </w:r>
      <w:r>
        <w:rPr>
          <w:rFonts w:ascii="Cambria Math" w:hAnsi="Cambria Math" w:eastAsia="Cambria Math"/>
          <w:w w:val="105"/>
          <w:position w:val="2"/>
          <w:sz w:val="17"/>
        </w:rPr>
        <w:t>22</w:t>
        <w:tab/>
        <w:t>2�</w:t>
      </w:r>
    </w:p>
    <w:p>
      <w:pPr>
        <w:pStyle w:val="BodyText"/>
        <w:tabs>
          <w:tab w:pos="1060" w:val="left" w:leader="none"/>
          <w:tab w:pos="1480" w:val="left" w:leader="none"/>
          <w:tab w:pos="1766" w:val="left" w:leader="none"/>
        </w:tabs>
        <w:spacing w:line="240" w:lineRule="exact"/>
        <w:ind w:left="481"/>
        <w:jc w:val="center"/>
        <w:rPr>
          <w:rFonts w:ascii="Cambria Math" w:hAnsi="Cambria Math"/>
        </w:rPr>
      </w:pPr>
      <w:r>
        <w:rPr>
          <w:rFonts w:ascii="Cambria Math" w:hAnsi="Cambria Math"/>
        </w:rPr>
        <w:t>⋮</w:t>
        <w:tab/>
        <w:t>⋮</w:t>
        <w:tab/>
        <w:t>⋮</w:t>
        <w:tab/>
        <w:t>⋮</w:t>
      </w:r>
    </w:p>
    <w:p>
      <w:pPr>
        <w:tabs>
          <w:tab w:pos="1197" w:val="left" w:leader="none"/>
          <w:tab w:pos="2053" w:val="left" w:leader="none"/>
          <w:tab w:pos="2509" w:val="left" w:leader="none"/>
        </w:tabs>
        <w:spacing w:line="38" w:lineRule="exact" w:before="0"/>
        <w:ind w:left="719" w:right="0" w:firstLine="0"/>
        <w:jc w:val="center"/>
        <w:rPr>
          <w:rFonts w:ascii="Cambria Math" w:eastAsia="Cambria Math"/>
          <w:sz w:val="24"/>
        </w:rPr>
      </w:pPr>
      <w:r>
        <w:rPr>
          <w:rFonts w:ascii="Cambria Math" w:eastAsia="Cambria Math"/>
          <w:position w:val="9"/>
          <w:sz w:val="17"/>
        </w:rPr>
        <w:t>2</w:t>
        <w:tab/>
      </w:r>
      <w:r>
        <w:rPr>
          <w:rFonts w:ascii="Cambria Math" w:eastAsia="Cambria Math"/>
          <w:sz w:val="24"/>
        </w:rPr>
        <w:t>𝜎</w:t>
      </w:r>
      <w:r>
        <w:rPr>
          <w:rFonts w:ascii="Cambria Math" w:eastAsia="Cambria Math"/>
          <w:position w:val="9"/>
          <w:sz w:val="17"/>
        </w:rPr>
        <w:t>2 </w:t>
      </w:r>
      <w:r>
        <w:rPr>
          <w:rFonts w:ascii="Cambria Math" w:eastAsia="Cambria Math"/>
          <w:sz w:val="24"/>
        </w:rPr>
        <w:t>.</w:t>
      </w:r>
      <w:r>
        <w:rPr>
          <w:rFonts w:ascii="Cambria Math" w:eastAsia="Cambria Math"/>
          <w:spacing w:val="-25"/>
          <w:sz w:val="24"/>
        </w:rPr>
        <w:t> </w:t>
      </w:r>
      <w:r>
        <w:rPr>
          <w:rFonts w:ascii="Cambria Math" w:eastAsia="Cambria Math"/>
          <w:sz w:val="24"/>
        </w:rPr>
        <w:t>.</w:t>
      </w:r>
      <w:r>
        <w:rPr>
          <w:rFonts w:ascii="Cambria Math" w:eastAsia="Cambria Math"/>
          <w:spacing w:val="-39"/>
          <w:sz w:val="24"/>
        </w:rPr>
        <w:t> </w:t>
      </w:r>
      <w:r>
        <w:rPr>
          <w:rFonts w:ascii="Cambria Math" w:eastAsia="Cambria Math"/>
          <w:sz w:val="24"/>
        </w:rPr>
        <w:t>.</w:t>
        <w:tab/>
      </w:r>
      <w:r>
        <w:rPr>
          <w:rFonts w:ascii="Cambria Math" w:eastAsia="Cambria Math"/>
          <w:spacing w:val="-55"/>
          <w:sz w:val="24"/>
        </w:rPr>
        <w:t>𝜎</w:t>
      </w:r>
      <w:r>
        <w:rPr>
          <w:rFonts w:ascii="Cambria Math" w:eastAsia="Cambria Math"/>
          <w:spacing w:val="-55"/>
          <w:position w:val="9"/>
          <w:sz w:val="17"/>
        </w:rPr>
        <w:t>2</w:t>
        <w:tab/>
      </w:r>
      <w:r>
        <w:rPr>
          <w:rFonts w:ascii="Cambria Math" w:eastAsia="Cambria Math"/>
          <w:sz w:val="24"/>
        </w:rPr>
        <w:t>]</w:t>
      </w:r>
    </w:p>
    <w:p>
      <w:pPr>
        <w:tabs>
          <w:tab w:pos="1223" w:val="left" w:leader="none"/>
          <w:tab w:pos="2080" w:val="left" w:leader="none"/>
        </w:tabs>
        <w:spacing w:line="277" w:lineRule="exact" w:before="0"/>
        <w:ind w:left="383" w:right="0" w:firstLine="0"/>
        <w:jc w:val="center"/>
        <w:rPr>
          <w:rFonts w:ascii="Cambria Math" w:eastAsia="Cambria Math"/>
          <w:sz w:val="17"/>
        </w:rPr>
      </w:pPr>
      <w:r>
        <w:rPr>
          <w:rFonts w:ascii="Cambria Math" w:eastAsia="Cambria Math"/>
          <w:spacing w:val="-33"/>
          <w:w w:val="110"/>
          <w:position w:val="5"/>
          <w:sz w:val="24"/>
        </w:rPr>
        <w:t>[𝜎</w:t>
      </w:r>
      <w:r>
        <w:rPr>
          <w:rFonts w:ascii="Cambria Math" w:eastAsia="Cambria Math"/>
          <w:spacing w:val="-33"/>
          <w:w w:val="110"/>
          <w:sz w:val="17"/>
        </w:rPr>
        <w:t>�1</w:t>
        <w:tab/>
      </w:r>
      <w:r>
        <w:rPr>
          <w:rFonts w:ascii="Cambria Math" w:eastAsia="Cambria Math"/>
          <w:w w:val="125"/>
          <w:sz w:val="17"/>
        </w:rPr>
        <w:t>�2</w:t>
        <w:tab/>
        <w:t>��</w:t>
      </w:r>
    </w:p>
    <w:p>
      <w:pPr>
        <w:pStyle w:val="BodyText"/>
        <w:spacing w:before="1"/>
        <w:rPr>
          <w:rFonts w:ascii="Cambria Math"/>
          <w:sz w:val="23"/>
        </w:rPr>
      </w:pPr>
    </w:p>
    <w:p>
      <w:pPr>
        <w:pStyle w:val="BodyText"/>
        <w:spacing w:line="360" w:lineRule="auto" w:before="70"/>
        <w:ind w:left="102" w:right="118"/>
        <w:jc w:val="both"/>
      </w:pPr>
      <w:r>
        <w:rPr/>
        <w:t>Un factor relevante en la modelación de un VAR irrestricto es que solo las variables rezagadas influyen en los resultados, </w:t>
      </w:r>
      <w:r>
        <w:rPr>
          <w:spacing w:val="-3"/>
        </w:rPr>
        <w:t>ya </w:t>
      </w:r>
      <w:r>
        <w:rPr/>
        <w:t>que en estas variables estará contenida información relevante</w:t>
      </w:r>
      <w:r>
        <w:rPr>
          <w:spacing w:val="-7"/>
        </w:rPr>
        <w:t> </w:t>
      </w:r>
      <w:r>
        <w:rPr/>
        <w:t>de</w:t>
      </w:r>
      <w:r>
        <w:rPr>
          <w:spacing w:val="-10"/>
        </w:rPr>
        <w:t> </w:t>
      </w:r>
      <w:r>
        <w:rPr/>
        <w:t>las</w:t>
      </w:r>
      <w:r>
        <w:rPr>
          <w:spacing w:val="-9"/>
        </w:rPr>
        <w:t> </w:t>
      </w:r>
      <w:r>
        <w:rPr/>
        <w:t>series,</w:t>
      </w:r>
      <w:r>
        <w:rPr>
          <w:spacing w:val="-8"/>
        </w:rPr>
        <w:t> </w:t>
      </w:r>
      <w:r>
        <w:rPr/>
        <w:t>aunque</w:t>
      </w:r>
      <w:r>
        <w:rPr>
          <w:spacing w:val="-10"/>
        </w:rPr>
        <w:t> </w:t>
      </w:r>
      <w:r>
        <w:rPr/>
        <w:t>no</w:t>
      </w:r>
      <w:r>
        <w:rPr>
          <w:spacing w:val="-9"/>
        </w:rPr>
        <w:t> </w:t>
      </w:r>
      <w:r>
        <w:rPr/>
        <w:t>se</w:t>
      </w:r>
      <w:r>
        <w:rPr>
          <w:spacing w:val="-9"/>
        </w:rPr>
        <w:t> </w:t>
      </w:r>
      <w:r>
        <w:rPr/>
        <w:t>descarta</w:t>
      </w:r>
      <w:r>
        <w:rPr>
          <w:spacing w:val="-10"/>
        </w:rPr>
        <w:t> </w:t>
      </w:r>
      <w:r>
        <w:rPr/>
        <w:t>la</w:t>
      </w:r>
      <w:r>
        <w:rPr>
          <w:spacing w:val="-9"/>
        </w:rPr>
        <w:t> </w:t>
      </w:r>
      <w:r>
        <w:rPr/>
        <w:t>utilización</w:t>
      </w:r>
      <w:r>
        <w:rPr>
          <w:spacing w:val="-8"/>
        </w:rPr>
        <w:t> </w:t>
      </w:r>
      <w:r>
        <w:rPr/>
        <w:t>de</w:t>
      </w:r>
      <w:r>
        <w:rPr>
          <w:spacing w:val="-10"/>
        </w:rPr>
        <w:t> </w:t>
      </w:r>
      <w:r>
        <w:rPr/>
        <w:t>variables</w:t>
      </w:r>
      <w:r>
        <w:rPr>
          <w:spacing w:val="-6"/>
        </w:rPr>
        <w:t> </w:t>
      </w:r>
      <w:r>
        <w:rPr/>
        <w:t>exógenas</w:t>
      </w:r>
      <w:r>
        <w:rPr>
          <w:spacing w:val="-8"/>
        </w:rPr>
        <w:t> </w:t>
      </w:r>
      <w:r>
        <w:rPr/>
        <w:t>que</w:t>
      </w:r>
      <w:r>
        <w:rPr>
          <w:spacing w:val="-7"/>
        </w:rPr>
        <w:t> </w:t>
      </w:r>
      <w:r>
        <w:rPr/>
        <w:t>añadan información importante. Debido a su enorme importancia, es necesario evaluar uno a uno cada rezago, hasta encontrar el número óptimo, para ello es necesario contrastar los</w:t>
      </w:r>
      <w:r>
        <w:rPr>
          <w:spacing w:val="-34"/>
        </w:rPr>
        <w:t> </w:t>
      </w:r>
      <w:r>
        <w:rPr/>
        <w:t>criterios de información estadística, siendo los más usados los de Akaike (AIC) y Schwarz (SC) (Loría,</w:t>
      </w:r>
      <w:r>
        <w:rPr>
          <w:spacing w:val="-5"/>
        </w:rPr>
        <w:t> </w:t>
      </w:r>
      <w:r>
        <w:rPr/>
        <w:t>2007).</w:t>
      </w:r>
    </w:p>
    <w:p>
      <w:pPr>
        <w:pStyle w:val="BodyText"/>
        <w:spacing w:before="7"/>
        <w:rPr>
          <w:sz w:val="21"/>
        </w:rPr>
      </w:pPr>
    </w:p>
    <w:p>
      <w:pPr>
        <w:pStyle w:val="Heading1"/>
        <w:numPr>
          <w:ilvl w:val="2"/>
          <w:numId w:val="32"/>
        </w:numPr>
        <w:tabs>
          <w:tab w:pos="755" w:val="left" w:leader="none"/>
        </w:tabs>
        <w:spacing w:line="360" w:lineRule="auto" w:before="0" w:after="0"/>
        <w:ind w:left="102" w:right="123" w:firstLine="0"/>
        <w:jc w:val="both"/>
      </w:pPr>
      <w:bookmarkStart w:name="_TOC_250005" w:id="30"/>
      <w:bookmarkEnd w:id="30"/>
      <w:r>
        <w:rPr/>
        <w:t>Estimación del modelo de vectores autorregresivos (VAR) para la industria manufacturera</w:t>
      </w:r>
    </w:p>
    <w:p>
      <w:pPr>
        <w:pStyle w:val="BodyText"/>
        <w:spacing w:before="9"/>
        <w:rPr>
          <w:b/>
          <w:sz w:val="20"/>
        </w:rPr>
      </w:pPr>
    </w:p>
    <w:p>
      <w:pPr>
        <w:pStyle w:val="BodyText"/>
        <w:spacing w:line="360" w:lineRule="auto"/>
        <w:ind w:left="102" w:right="113"/>
        <w:jc w:val="both"/>
      </w:pPr>
      <w:r>
        <w:rPr/>
        <w:t>Un</w:t>
      </w:r>
      <w:r>
        <w:rPr>
          <w:spacing w:val="-7"/>
        </w:rPr>
        <w:t> </w:t>
      </w:r>
      <w:r>
        <w:rPr/>
        <w:t>factor</w:t>
      </w:r>
      <w:r>
        <w:rPr>
          <w:spacing w:val="-7"/>
        </w:rPr>
        <w:t> </w:t>
      </w:r>
      <w:r>
        <w:rPr/>
        <w:t>importante</w:t>
      </w:r>
      <w:r>
        <w:rPr>
          <w:spacing w:val="-7"/>
        </w:rPr>
        <w:t> </w:t>
      </w:r>
      <w:r>
        <w:rPr/>
        <w:t>a</w:t>
      </w:r>
      <w:r>
        <w:rPr>
          <w:spacing w:val="-7"/>
        </w:rPr>
        <w:t> </w:t>
      </w:r>
      <w:r>
        <w:rPr/>
        <w:t>considerar</w:t>
      </w:r>
      <w:r>
        <w:rPr>
          <w:spacing w:val="-7"/>
        </w:rPr>
        <w:t> </w:t>
      </w:r>
      <w:r>
        <w:rPr/>
        <w:t>en</w:t>
      </w:r>
      <w:r>
        <w:rPr>
          <w:spacing w:val="-6"/>
        </w:rPr>
        <w:t> </w:t>
      </w:r>
      <w:r>
        <w:rPr/>
        <w:t>la</w:t>
      </w:r>
      <w:r>
        <w:rPr>
          <w:spacing w:val="-7"/>
        </w:rPr>
        <w:t> </w:t>
      </w:r>
      <w:r>
        <w:rPr/>
        <w:t>estimación</w:t>
      </w:r>
      <w:r>
        <w:rPr>
          <w:spacing w:val="-3"/>
        </w:rPr>
        <w:t> </w:t>
      </w:r>
      <w:r>
        <w:rPr/>
        <w:t>de</w:t>
      </w:r>
      <w:r>
        <w:rPr>
          <w:spacing w:val="-7"/>
        </w:rPr>
        <w:t> </w:t>
      </w:r>
      <w:r>
        <w:rPr/>
        <w:t>un</w:t>
      </w:r>
      <w:r>
        <w:rPr>
          <w:spacing w:val="-6"/>
        </w:rPr>
        <w:t> </w:t>
      </w:r>
      <w:r>
        <w:rPr/>
        <w:t>modelo</w:t>
      </w:r>
      <w:r>
        <w:rPr>
          <w:spacing w:val="-6"/>
        </w:rPr>
        <w:t> </w:t>
      </w:r>
      <w:r>
        <w:rPr/>
        <w:t>VAR</w:t>
      </w:r>
      <w:r>
        <w:rPr>
          <w:spacing w:val="-6"/>
        </w:rPr>
        <w:t> </w:t>
      </w:r>
      <w:r>
        <w:rPr/>
        <w:t>irrestricto</w:t>
      </w:r>
      <w:r>
        <w:rPr>
          <w:spacing w:val="-6"/>
        </w:rPr>
        <w:t> </w:t>
      </w:r>
      <w:r>
        <w:rPr/>
        <w:t>es</w:t>
      </w:r>
      <w:r>
        <w:rPr>
          <w:spacing w:val="-3"/>
        </w:rPr>
        <w:t> </w:t>
      </w:r>
      <w:r>
        <w:rPr/>
        <w:t>que</w:t>
      </w:r>
      <w:r>
        <w:rPr>
          <w:spacing w:val="-7"/>
        </w:rPr>
        <w:t> </w:t>
      </w:r>
      <w:r>
        <w:rPr/>
        <w:t>sólo las variables rezagadas influyen en los resultados, </w:t>
      </w:r>
      <w:r>
        <w:rPr>
          <w:spacing w:val="-3"/>
        </w:rPr>
        <w:t>ya </w:t>
      </w:r>
      <w:r>
        <w:rPr/>
        <w:t>que estas variables contienen la información relevante de las series, sin embargo no se descarta la posibilidad de añadir variables externas que aporten información relevante (Loría, 2007). En este sentido, para la estimación del modelo VAR, se tomaron en cuenta las variables expresadas en logaritmos y se incorporó una</w:t>
      </w:r>
      <w:r>
        <w:rPr>
          <w:spacing w:val="-4"/>
        </w:rPr>
        <w:t> </w:t>
      </w:r>
      <w:r>
        <w:rPr/>
        <w:t>constante.</w:t>
      </w:r>
    </w:p>
    <w:p>
      <w:pPr>
        <w:pStyle w:val="BodyText"/>
        <w:spacing w:before="2"/>
        <w:rPr>
          <w:sz w:val="21"/>
        </w:rPr>
      </w:pPr>
    </w:p>
    <w:p>
      <w:pPr>
        <w:pStyle w:val="BodyText"/>
        <w:spacing w:line="360" w:lineRule="auto"/>
        <w:ind w:left="102" w:right="114"/>
        <w:jc w:val="both"/>
      </w:pPr>
      <w:r>
        <w:rPr/>
        <w:t>Asimismo</w:t>
      </w:r>
      <w:r>
        <w:rPr>
          <w:spacing w:val="-8"/>
        </w:rPr>
        <w:t> </w:t>
      </w:r>
      <w:r>
        <w:rPr/>
        <w:t>se</w:t>
      </w:r>
      <w:r>
        <w:rPr>
          <w:spacing w:val="-9"/>
        </w:rPr>
        <w:t> </w:t>
      </w:r>
      <w:r>
        <w:rPr/>
        <w:t>encontró</w:t>
      </w:r>
      <w:r>
        <w:rPr>
          <w:spacing w:val="-9"/>
        </w:rPr>
        <w:t> </w:t>
      </w:r>
      <w:r>
        <w:rPr/>
        <w:t>que</w:t>
      </w:r>
      <w:r>
        <w:rPr>
          <w:spacing w:val="-9"/>
        </w:rPr>
        <w:t> </w:t>
      </w:r>
      <w:r>
        <w:rPr/>
        <w:t>al</w:t>
      </w:r>
      <w:r>
        <w:rPr>
          <w:spacing w:val="-8"/>
        </w:rPr>
        <w:t> </w:t>
      </w:r>
      <w:r>
        <w:rPr/>
        <w:t>contrastar</w:t>
      </w:r>
      <w:r>
        <w:rPr>
          <w:spacing w:val="-9"/>
        </w:rPr>
        <w:t> </w:t>
      </w:r>
      <w:r>
        <w:rPr/>
        <w:t>los</w:t>
      </w:r>
      <w:r>
        <w:rPr>
          <w:spacing w:val="-8"/>
        </w:rPr>
        <w:t> </w:t>
      </w:r>
      <w:r>
        <w:rPr/>
        <w:t>criterios</w:t>
      </w:r>
      <w:r>
        <w:rPr>
          <w:spacing w:val="-9"/>
        </w:rPr>
        <w:t> </w:t>
      </w:r>
      <w:r>
        <w:rPr/>
        <w:t>de</w:t>
      </w:r>
      <w:r>
        <w:rPr>
          <w:spacing w:val="-10"/>
        </w:rPr>
        <w:t> </w:t>
      </w:r>
      <w:r>
        <w:rPr/>
        <w:t>información</w:t>
      </w:r>
      <w:r>
        <w:rPr>
          <w:spacing w:val="-6"/>
        </w:rPr>
        <w:t> </w:t>
      </w:r>
      <w:r>
        <w:rPr/>
        <w:t>estadística,</w:t>
      </w:r>
      <w:r>
        <w:rPr>
          <w:spacing w:val="-9"/>
        </w:rPr>
        <w:t> </w:t>
      </w:r>
      <w:r>
        <w:rPr/>
        <w:t>el</w:t>
      </w:r>
      <w:r>
        <w:rPr>
          <w:spacing w:val="-8"/>
        </w:rPr>
        <w:t> </w:t>
      </w:r>
      <w:r>
        <w:rPr/>
        <w:t>número</w:t>
      </w:r>
      <w:r>
        <w:rPr>
          <w:spacing w:val="-9"/>
        </w:rPr>
        <w:t> </w:t>
      </w:r>
      <w:r>
        <w:rPr/>
        <w:t>de rezagos óptimo para la estimación del modelo eran seis (véase anexo </w:t>
      </w:r>
      <w:r>
        <w:rPr>
          <w:spacing w:val="2"/>
        </w:rPr>
        <w:t>1), </w:t>
      </w:r>
      <w:r>
        <w:rPr/>
        <w:t>no obstante la estimación reportó que algunos parámetros no eran estadísticamente significativos, además de que al estimar un modelo con seis rezagos se sacrifican más grados de libertad y se corre el riesgo de incurrir en colinealidad y autocorrelación, además de que el modelo pierde sentido económico, </w:t>
      </w:r>
      <w:r>
        <w:rPr>
          <w:spacing w:val="-3"/>
        </w:rPr>
        <w:t>ya </w:t>
      </w:r>
      <w:r>
        <w:rPr/>
        <w:t>que se trata de series trimestrales. Por lo tanto, se definió que la especificación final del VAR fuera de cuatro rezagos, lo cual también se sustenta en los resultados que mostró la prueba Hannan-Quinn (véase anexo</w:t>
      </w:r>
      <w:r>
        <w:rPr>
          <w:spacing w:val="-7"/>
        </w:rPr>
        <w:t> </w:t>
      </w:r>
      <w:r>
        <w:rPr/>
        <w:t>1).</w:t>
      </w:r>
    </w:p>
    <w:p>
      <w:pPr>
        <w:spacing w:after="0" w:line="360" w:lineRule="auto"/>
        <w:jc w:val="both"/>
        <w:sectPr>
          <w:pgSz w:w="12240" w:h="15840"/>
          <w:pgMar w:header="0" w:footer="1035" w:top="1500" w:bottom="1220" w:left="1600" w:right="1580"/>
        </w:sectPr>
      </w:pPr>
    </w:p>
    <w:p>
      <w:pPr>
        <w:pStyle w:val="BodyText"/>
        <w:spacing w:line="360" w:lineRule="auto" w:before="50"/>
        <w:ind w:left="122" w:right="114"/>
        <w:jc w:val="both"/>
      </w:pPr>
      <w:r>
        <w:rPr/>
        <w:t>Se debe recordar que los modelos VAR estiman individualmente cada vector, por lo que se deben evaluar los grados de libertad por separado. De esta manera, en el caso de nuestro sistema, en cada vector hay </w:t>
      </w:r>
      <w:r>
        <w:rPr>
          <w:rFonts w:ascii="Cambria Math" w:hAnsi="Cambria Math" w:eastAsia="Cambria Math"/>
        </w:rPr>
        <w:t>� = 84  </w:t>
      </w:r>
      <w:r>
        <w:rPr/>
        <w:t>y </w:t>
      </w:r>
      <w:r>
        <w:rPr>
          <w:rFonts w:ascii="Cambria Math" w:hAnsi="Cambria Math" w:eastAsia="Cambria Math"/>
        </w:rPr>
        <w:t>𝑘 = 21</w:t>
      </w:r>
      <w:r>
        <w:rPr/>
        <w:t>, lo que implica que se tienen 63 grados     de libertad. En el cuadro 5.3 se presenta la estimación del VAR</w:t>
      </w:r>
      <w:r>
        <w:rPr>
          <w:spacing w:val="-9"/>
        </w:rPr>
        <w:t> </w:t>
      </w:r>
      <w:r>
        <w:rPr/>
        <w:t>generada.</w:t>
      </w:r>
    </w:p>
    <w:p>
      <w:pPr>
        <w:pStyle w:val="BodyText"/>
        <w:spacing w:before="9"/>
        <w:rPr>
          <w:sz w:val="21"/>
        </w:rPr>
      </w:pPr>
    </w:p>
    <w:p>
      <w:pPr>
        <w:pStyle w:val="Heading1"/>
        <w:ind w:left="1166" w:right="97"/>
      </w:pPr>
      <w:r>
        <w:rPr/>
        <w:pict>
          <v:line style="position:absolute;mso-position-horizontal-relative:page;mso-position-vertical-relative:paragraph;z-index:-488344" from="86.424004pt,53.773117pt" to="86.904004pt,53.773117pt" stroked="true" strokeweight="3.96pt" strokecolor="#92d050">
            <w10:wrap type="none"/>
          </v:line>
        </w:pict>
      </w:r>
      <w:r>
        <w:rPr/>
        <w:t>Cuadro 5.3. Estimación del VAR para la industria manufacturera</w:t>
      </w:r>
    </w:p>
    <w:p>
      <w:pPr>
        <w:pStyle w:val="BodyText"/>
        <w:spacing w:before="6"/>
        <w:rPr>
          <w:b/>
          <w:sz w:val="13"/>
        </w:rPr>
      </w:pPr>
    </w:p>
    <w:tbl>
      <w:tblPr>
        <w:tblW w:w="0" w:type="auto"/>
        <w:jc w:val="left"/>
        <w:tblInd w:w="15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13"/>
        <w:gridCol w:w="1525"/>
        <w:gridCol w:w="1313"/>
        <w:gridCol w:w="1305"/>
        <w:gridCol w:w="1330"/>
        <w:gridCol w:w="1305"/>
      </w:tblGrid>
      <w:tr>
        <w:trPr>
          <w:trHeight w:val="193" w:hRule="exact"/>
        </w:trPr>
        <w:tc>
          <w:tcPr>
            <w:tcW w:w="8791" w:type="dxa"/>
            <w:gridSpan w:val="6"/>
          </w:tcPr>
          <w:p>
            <w:pPr>
              <w:pStyle w:val="TableParagraph"/>
              <w:spacing w:line="184" w:lineRule="exact"/>
              <w:ind w:left="43"/>
              <w:jc w:val="left"/>
              <w:rPr>
                <w:sz w:val="18"/>
              </w:rPr>
            </w:pPr>
            <w:r>
              <w:rPr>
                <w:sz w:val="18"/>
              </w:rPr>
              <w:t>Sample (adjusted): 1994Q1 2014Q4</w:t>
            </w:r>
          </w:p>
        </w:tc>
      </w:tr>
      <w:tr>
        <w:trPr>
          <w:trHeight w:val="208" w:hRule="exact"/>
        </w:trPr>
        <w:tc>
          <w:tcPr>
            <w:tcW w:w="8791" w:type="dxa"/>
            <w:gridSpan w:val="6"/>
          </w:tcPr>
          <w:p>
            <w:pPr>
              <w:pStyle w:val="TableParagraph"/>
              <w:spacing w:line="197" w:lineRule="exact"/>
              <w:ind w:left="43"/>
              <w:jc w:val="left"/>
              <w:rPr>
                <w:sz w:val="18"/>
              </w:rPr>
            </w:pPr>
            <w:r>
              <w:rPr>
                <w:sz w:val="18"/>
              </w:rPr>
              <w:t>Included observations: 84 after adjustments</w:t>
            </w:r>
          </w:p>
        </w:tc>
      </w:tr>
      <w:tr>
        <w:trPr>
          <w:trHeight w:val="297" w:hRule="exact"/>
        </w:trPr>
        <w:tc>
          <w:tcPr>
            <w:tcW w:w="8791" w:type="dxa"/>
            <w:gridSpan w:val="6"/>
            <w:tcBorders>
              <w:bottom w:val="double" w:sz="4" w:space="0" w:color="000000"/>
            </w:tcBorders>
          </w:tcPr>
          <w:p>
            <w:pPr>
              <w:pStyle w:val="TableParagraph"/>
              <w:spacing w:line="198" w:lineRule="exact"/>
              <w:ind w:left="43"/>
              <w:jc w:val="left"/>
              <w:rPr>
                <w:sz w:val="18"/>
              </w:rPr>
            </w:pPr>
            <w:r>
              <w:rPr>
                <w:sz w:val="18"/>
              </w:rPr>
              <w:t>Standard errors in ( ) &amp; t-statistics in [ ]</w:t>
            </w:r>
          </w:p>
        </w:tc>
      </w:tr>
      <w:tr>
        <w:trPr>
          <w:trHeight w:val="338" w:hRule="exact"/>
        </w:trPr>
        <w:tc>
          <w:tcPr>
            <w:tcW w:w="2013" w:type="dxa"/>
            <w:tcBorders>
              <w:top w:val="double" w:sz="4" w:space="0" w:color="000000"/>
              <w:bottom w:val="double" w:sz="4" w:space="0" w:color="000000"/>
            </w:tcBorders>
          </w:tcPr>
          <w:p>
            <w:pPr/>
          </w:p>
        </w:tc>
        <w:tc>
          <w:tcPr>
            <w:tcW w:w="1525" w:type="dxa"/>
            <w:tcBorders>
              <w:top w:val="double" w:sz="4" w:space="0" w:color="000000"/>
              <w:bottom w:val="double" w:sz="4" w:space="0" w:color="000000"/>
            </w:tcBorders>
          </w:tcPr>
          <w:p>
            <w:pPr>
              <w:pStyle w:val="TableParagraph"/>
              <w:spacing w:before="2"/>
              <w:ind w:left="463" w:right="254"/>
              <w:rPr>
                <w:b/>
                <w:sz w:val="18"/>
              </w:rPr>
            </w:pPr>
            <w:r>
              <w:rPr>
                <w:b/>
                <w:sz w:val="18"/>
              </w:rPr>
              <w:t>lyman</w:t>
            </w:r>
          </w:p>
        </w:tc>
        <w:tc>
          <w:tcPr>
            <w:tcW w:w="1313" w:type="dxa"/>
            <w:tcBorders>
              <w:top w:val="double" w:sz="4" w:space="0" w:color="000000"/>
              <w:bottom w:val="double" w:sz="4" w:space="0" w:color="000000"/>
            </w:tcBorders>
          </w:tcPr>
          <w:p>
            <w:pPr>
              <w:pStyle w:val="TableParagraph"/>
              <w:spacing w:before="2"/>
              <w:ind w:left="253" w:right="254"/>
              <w:rPr>
                <w:b/>
                <w:sz w:val="18"/>
              </w:rPr>
            </w:pPr>
            <w:r>
              <w:rPr>
                <w:b/>
                <w:sz w:val="18"/>
              </w:rPr>
              <w:t>lyauto</w:t>
            </w:r>
          </w:p>
        </w:tc>
        <w:tc>
          <w:tcPr>
            <w:tcW w:w="1305" w:type="dxa"/>
            <w:tcBorders>
              <w:top w:val="double" w:sz="4" w:space="0" w:color="000000"/>
              <w:bottom w:val="double" w:sz="4" w:space="0" w:color="000000"/>
            </w:tcBorders>
          </w:tcPr>
          <w:p>
            <w:pPr>
              <w:pStyle w:val="TableParagraph"/>
              <w:spacing w:before="2"/>
              <w:ind w:left="254" w:right="246"/>
              <w:rPr>
                <w:b/>
                <w:sz w:val="18"/>
              </w:rPr>
            </w:pPr>
            <w:r>
              <w:rPr>
                <w:b/>
                <w:sz w:val="18"/>
              </w:rPr>
              <w:t>lqreal</w:t>
            </w:r>
          </w:p>
        </w:tc>
        <w:tc>
          <w:tcPr>
            <w:tcW w:w="1330" w:type="dxa"/>
            <w:tcBorders>
              <w:top w:val="double" w:sz="4" w:space="0" w:color="000000"/>
              <w:bottom w:val="double" w:sz="4" w:space="0" w:color="000000"/>
            </w:tcBorders>
          </w:tcPr>
          <w:p>
            <w:pPr>
              <w:pStyle w:val="TableParagraph"/>
              <w:spacing w:before="2"/>
              <w:ind w:left="265"/>
              <w:jc w:val="left"/>
              <w:rPr>
                <w:b/>
                <w:sz w:val="18"/>
              </w:rPr>
            </w:pPr>
            <w:r>
              <w:rPr>
                <w:b/>
                <w:sz w:val="18"/>
              </w:rPr>
              <w:t>lyindusteu</w:t>
            </w:r>
          </w:p>
        </w:tc>
        <w:tc>
          <w:tcPr>
            <w:tcW w:w="1305" w:type="dxa"/>
            <w:tcBorders>
              <w:top w:val="double" w:sz="4" w:space="0" w:color="000000"/>
              <w:bottom w:val="double" w:sz="4" w:space="0" w:color="000000"/>
            </w:tcBorders>
          </w:tcPr>
          <w:p>
            <w:pPr>
              <w:pStyle w:val="TableParagraph"/>
              <w:spacing w:before="2"/>
              <w:ind w:left="242" w:right="253"/>
              <w:rPr>
                <w:b/>
                <w:sz w:val="18"/>
              </w:rPr>
            </w:pPr>
            <w:r>
              <w:rPr>
                <w:b/>
                <w:sz w:val="18"/>
              </w:rPr>
              <w:t>lpmt</w:t>
            </w:r>
          </w:p>
        </w:tc>
      </w:tr>
      <w:tr>
        <w:trPr>
          <w:trHeight w:val="332" w:hRule="exact"/>
        </w:trPr>
        <w:tc>
          <w:tcPr>
            <w:tcW w:w="2013" w:type="dxa"/>
            <w:tcBorders>
              <w:top w:val="double" w:sz="4" w:space="0" w:color="000000"/>
            </w:tcBorders>
          </w:tcPr>
          <w:p>
            <w:pPr/>
          </w:p>
        </w:tc>
        <w:tc>
          <w:tcPr>
            <w:tcW w:w="1525" w:type="dxa"/>
            <w:tcBorders>
              <w:top w:val="double" w:sz="4" w:space="0" w:color="000000"/>
            </w:tcBorders>
          </w:tcPr>
          <w:p>
            <w:pPr>
              <w:pStyle w:val="TableParagraph"/>
              <w:spacing w:before="100"/>
              <w:ind w:left="465" w:right="209"/>
              <w:rPr>
                <w:sz w:val="18"/>
              </w:rPr>
            </w:pPr>
            <w:r>
              <w:rPr>
                <w:sz w:val="18"/>
              </w:rPr>
              <w:t>0.415374</w:t>
            </w:r>
          </w:p>
        </w:tc>
        <w:tc>
          <w:tcPr>
            <w:tcW w:w="1313" w:type="dxa"/>
            <w:tcBorders>
              <w:top w:val="double" w:sz="4" w:space="0" w:color="000000"/>
            </w:tcBorders>
          </w:tcPr>
          <w:p>
            <w:pPr>
              <w:pStyle w:val="TableParagraph"/>
              <w:spacing w:before="100"/>
              <w:ind w:left="254" w:right="210"/>
              <w:rPr>
                <w:sz w:val="18"/>
              </w:rPr>
            </w:pPr>
            <w:r>
              <w:rPr>
                <w:sz w:val="18"/>
              </w:rPr>
              <w:t>0.367761</w:t>
            </w:r>
          </w:p>
        </w:tc>
        <w:tc>
          <w:tcPr>
            <w:tcW w:w="1305" w:type="dxa"/>
            <w:tcBorders>
              <w:top w:val="double" w:sz="4" w:space="0" w:color="000000"/>
            </w:tcBorders>
          </w:tcPr>
          <w:p>
            <w:pPr>
              <w:pStyle w:val="TableParagraph"/>
              <w:spacing w:before="100"/>
              <w:ind w:left="254" w:right="202"/>
              <w:rPr>
                <w:sz w:val="18"/>
              </w:rPr>
            </w:pPr>
            <w:r>
              <w:rPr>
                <w:sz w:val="18"/>
              </w:rPr>
              <w:t>0.311656</w:t>
            </w:r>
          </w:p>
        </w:tc>
        <w:tc>
          <w:tcPr>
            <w:tcW w:w="1330" w:type="dxa"/>
            <w:tcBorders>
              <w:top w:val="double" w:sz="4" w:space="0" w:color="000000"/>
            </w:tcBorders>
          </w:tcPr>
          <w:p>
            <w:pPr>
              <w:pStyle w:val="TableParagraph"/>
              <w:spacing w:before="100"/>
              <w:ind w:left="349"/>
              <w:jc w:val="left"/>
              <w:rPr>
                <w:sz w:val="18"/>
              </w:rPr>
            </w:pPr>
            <w:r>
              <w:rPr>
                <w:sz w:val="18"/>
              </w:rPr>
              <w:t>0.115749</w:t>
            </w:r>
          </w:p>
        </w:tc>
        <w:tc>
          <w:tcPr>
            <w:tcW w:w="1305" w:type="dxa"/>
            <w:tcBorders>
              <w:top w:val="double" w:sz="4" w:space="0" w:color="000000"/>
            </w:tcBorders>
          </w:tcPr>
          <w:p>
            <w:pPr>
              <w:pStyle w:val="TableParagraph"/>
              <w:spacing w:before="100"/>
              <w:ind w:left="246" w:right="211"/>
              <w:rPr>
                <w:sz w:val="18"/>
              </w:rPr>
            </w:pPr>
            <w:r>
              <w:rPr>
                <w:sz w:val="18"/>
              </w:rPr>
              <w:t>0.091283</w:t>
            </w:r>
          </w:p>
        </w:tc>
      </w:tr>
      <w:tr>
        <w:trPr>
          <w:trHeight w:val="206" w:hRule="exact"/>
        </w:trPr>
        <w:tc>
          <w:tcPr>
            <w:tcW w:w="2013" w:type="dxa"/>
          </w:tcPr>
          <w:p>
            <w:pPr>
              <w:pStyle w:val="TableParagraph"/>
              <w:spacing w:line="197" w:lineRule="exact"/>
              <w:ind w:right="538"/>
              <w:jc w:val="right"/>
              <w:rPr>
                <w:sz w:val="18"/>
              </w:rPr>
            </w:pPr>
            <w:r>
              <w:rPr>
                <w:sz w:val="18"/>
              </w:rPr>
              <w:t>lyman(-1)</w:t>
            </w:r>
          </w:p>
        </w:tc>
        <w:tc>
          <w:tcPr>
            <w:tcW w:w="1525" w:type="dxa"/>
          </w:tcPr>
          <w:p>
            <w:pPr>
              <w:pStyle w:val="TableParagraph"/>
              <w:spacing w:line="197" w:lineRule="exact"/>
              <w:ind w:left="465" w:right="208"/>
              <w:rPr>
                <w:sz w:val="18"/>
              </w:rPr>
            </w:pPr>
            <w:r>
              <w:rPr>
                <w:sz w:val="18"/>
              </w:rPr>
              <w:t>(0.12464)</w:t>
            </w:r>
          </w:p>
        </w:tc>
        <w:tc>
          <w:tcPr>
            <w:tcW w:w="1313" w:type="dxa"/>
          </w:tcPr>
          <w:p>
            <w:pPr>
              <w:pStyle w:val="TableParagraph"/>
              <w:spacing w:line="197" w:lineRule="exact"/>
              <w:ind w:left="254" w:right="209"/>
              <w:rPr>
                <w:sz w:val="18"/>
              </w:rPr>
            </w:pPr>
            <w:r>
              <w:rPr>
                <w:sz w:val="18"/>
              </w:rPr>
              <w:t>(0.49689)</w:t>
            </w:r>
          </w:p>
        </w:tc>
        <w:tc>
          <w:tcPr>
            <w:tcW w:w="1305" w:type="dxa"/>
          </w:tcPr>
          <w:p>
            <w:pPr>
              <w:pStyle w:val="TableParagraph"/>
              <w:spacing w:line="197" w:lineRule="exact"/>
              <w:ind w:left="254" w:right="200"/>
              <w:rPr>
                <w:sz w:val="18"/>
              </w:rPr>
            </w:pPr>
            <w:r>
              <w:rPr>
                <w:sz w:val="18"/>
              </w:rPr>
              <w:t>(0.48418)</w:t>
            </w:r>
          </w:p>
        </w:tc>
        <w:tc>
          <w:tcPr>
            <w:tcW w:w="1330" w:type="dxa"/>
          </w:tcPr>
          <w:p>
            <w:pPr>
              <w:pStyle w:val="TableParagraph"/>
              <w:spacing w:line="197" w:lineRule="exact"/>
              <w:ind w:left="335"/>
              <w:jc w:val="left"/>
              <w:rPr>
                <w:sz w:val="18"/>
              </w:rPr>
            </w:pPr>
            <w:r>
              <w:rPr>
                <w:sz w:val="18"/>
              </w:rPr>
              <w:t>(0.05914)</w:t>
            </w:r>
          </w:p>
        </w:tc>
        <w:tc>
          <w:tcPr>
            <w:tcW w:w="1305" w:type="dxa"/>
          </w:tcPr>
          <w:p>
            <w:pPr>
              <w:pStyle w:val="TableParagraph"/>
              <w:spacing w:line="197" w:lineRule="exact"/>
              <w:ind w:left="246" w:right="210"/>
              <w:rPr>
                <w:sz w:val="18"/>
              </w:rPr>
            </w:pPr>
            <w:r>
              <w:rPr>
                <w:sz w:val="18"/>
              </w:rPr>
              <w:t>(0.43458)</w:t>
            </w:r>
          </w:p>
        </w:tc>
      </w:tr>
      <w:tr>
        <w:trPr>
          <w:trHeight w:val="311" w:hRule="exact"/>
        </w:trPr>
        <w:tc>
          <w:tcPr>
            <w:tcW w:w="2013" w:type="dxa"/>
          </w:tcPr>
          <w:p>
            <w:pPr/>
          </w:p>
        </w:tc>
        <w:tc>
          <w:tcPr>
            <w:tcW w:w="1525" w:type="dxa"/>
          </w:tcPr>
          <w:p>
            <w:pPr>
              <w:pStyle w:val="TableParagraph"/>
              <w:spacing w:line="197" w:lineRule="exact"/>
              <w:ind w:left="463" w:right="254"/>
              <w:rPr>
                <w:sz w:val="18"/>
              </w:rPr>
            </w:pPr>
            <w:r>
              <w:rPr>
                <w:sz w:val="18"/>
              </w:rPr>
              <w:t>[ 3.33248]</w:t>
            </w:r>
          </w:p>
        </w:tc>
        <w:tc>
          <w:tcPr>
            <w:tcW w:w="1313" w:type="dxa"/>
          </w:tcPr>
          <w:p>
            <w:pPr>
              <w:pStyle w:val="TableParagraph"/>
              <w:spacing w:line="197" w:lineRule="exact"/>
              <w:ind w:left="254" w:right="254"/>
              <w:rPr>
                <w:sz w:val="18"/>
              </w:rPr>
            </w:pPr>
            <w:r>
              <w:rPr>
                <w:sz w:val="18"/>
              </w:rPr>
              <w:t>[ 0.74012]</w:t>
            </w:r>
          </w:p>
        </w:tc>
        <w:tc>
          <w:tcPr>
            <w:tcW w:w="1305" w:type="dxa"/>
          </w:tcPr>
          <w:p>
            <w:pPr>
              <w:pStyle w:val="TableParagraph"/>
              <w:spacing w:line="197" w:lineRule="exact"/>
              <w:ind w:left="252" w:right="246"/>
              <w:rPr>
                <w:sz w:val="18"/>
              </w:rPr>
            </w:pPr>
            <w:r>
              <w:rPr>
                <w:sz w:val="18"/>
              </w:rPr>
              <w:t>[ 0.64368]</w:t>
            </w:r>
          </w:p>
        </w:tc>
        <w:tc>
          <w:tcPr>
            <w:tcW w:w="1330" w:type="dxa"/>
          </w:tcPr>
          <w:p>
            <w:pPr>
              <w:pStyle w:val="TableParagraph"/>
              <w:spacing w:line="197" w:lineRule="exact"/>
              <w:ind w:left="289"/>
              <w:jc w:val="left"/>
              <w:rPr>
                <w:sz w:val="18"/>
              </w:rPr>
            </w:pPr>
            <w:r>
              <w:rPr>
                <w:sz w:val="18"/>
              </w:rPr>
              <w:t>[ 1.95708]</w:t>
            </w:r>
          </w:p>
        </w:tc>
        <w:tc>
          <w:tcPr>
            <w:tcW w:w="1305" w:type="dxa"/>
          </w:tcPr>
          <w:p>
            <w:pPr>
              <w:pStyle w:val="TableParagraph"/>
              <w:spacing w:line="197" w:lineRule="exact"/>
              <w:ind w:left="244" w:right="253"/>
              <w:rPr>
                <w:sz w:val="18"/>
              </w:rPr>
            </w:pPr>
            <w:r>
              <w:rPr>
                <w:sz w:val="18"/>
              </w:rPr>
              <w:t>[ 0.21005]</w:t>
            </w:r>
          </w:p>
        </w:tc>
      </w:tr>
      <w:tr>
        <w:trPr>
          <w:trHeight w:val="311" w:hRule="exact"/>
        </w:trPr>
        <w:tc>
          <w:tcPr>
            <w:tcW w:w="2013" w:type="dxa"/>
          </w:tcPr>
          <w:p>
            <w:pPr/>
          </w:p>
        </w:tc>
        <w:tc>
          <w:tcPr>
            <w:tcW w:w="1525" w:type="dxa"/>
          </w:tcPr>
          <w:p>
            <w:pPr>
              <w:pStyle w:val="TableParagraph"/>
              <w:spacing w:before="94"/>
              <w:ind w:left="465" w:right="209"/>
              <w:rPr>
                <w:sz w:val="18"/>
              </w:rPr>
            </w:pPr>
            <w:r>
              <w:rPr>
                <w:sz w:val="18"/>
              </w:rPr>
              <w:t>0.134244</w:t>
            </w:r>
          </w:p>
        </w:tc>
        <w:tc>
          <w:tcPr>
            <w:tcW w:w="1313" w:type="dxa"/>
          </w:tcPr>
          <w:p>
            <w:pPr>
              <w:pStyle w:val="TableParagraph"/>
              <w:spacing w:before="94"/>
              <w:ind w:left="253" w:right="254"/>
              <w:rPr>
                <w:sz w:val="18"/>
              </w:rPr>
            </w:pPr>
            <w:r>
              <w:rPr>
                <w:sz w:val="18"/>
              </w:rPr>
              <w:t>-0.273889</w:t>
            </w:r>
          </w:p>
        </w:tc>
        <w:tc>
          <w:tcPr>
            <w:tcW w:w="1305" w:type="dxa"/>
          </w:tcPr>
          <w:p>
            <w:pPr>
              <w:pStyle w:val="TableParagraph"/>
              <w:spacing w:before="94"/>
              <w:ind w:left="254" w:right="202"/>
              <w:rPr>
                <w:sz w:val="18"/>
              </w:rPr>
            </w:pPr>
            <w:r>
              <w:rPr>
                <w:sz w:val="18"/>
              </w:rPr>
              <w:t>0.020179</w:t>
            </w:r>
          </w:p>
        </w:tc>
        <w:tc>
          <w:tcPr>
            <w:tcW w:w="1330" w:type="dxa"/>
          </w:tcPr>
          <w:p>
            <w:pPr>
              <w:pStyle w:val="TableParagraph"/>
              <w:spacing w:before="94"/>
              <w:ind w:left="297"/>
              <w:jc w:val="left"/>
              <w:rPr>
                <w:sz w:val="18"/>
              </w:rPr>
            </w:pPr>
            <w:r>
              <w:rPr>
                <w:sz w:val="18"/>
              </w:rPr>
              <w:t>-0.124807</w:t>
            </w:r>
          </w:p>
        </w:tc>
        <w:tc>
          <w:tcPr>
            <w:tcW w:w="1305" w:type="dxa"/>
          </w:tcPr>
          <w:p>
            <w:pPr>
              <w:pStyle w:val="TableParagraph"/>
              <w:spacing w:before="94"/>
              <w:ind w:left="245" w:right="253"/>
              <w:rPr>
                <w:sz w:val="18"/>
              </w:rPr>
            </w:pPr>
            <w:r>
              <w:rPr>
                <w:sz w:val="18"/>
              </w:rPr>
              <w:t>-0.353288</w:t>
            </w:r>
          </w:p>
        </w:tc>
      </w:tr>
      <w:tr>
        <w:trPr>
          <w:trHeight w:val="206" w:hRule="exact"/>
        </w:trPr>
        <w:tc>
          <w:tcPr>
            <w:tcW w:w="2013" w:type="dxa"/>
          </w:tcPr>
          <w:p>
            <w:pPr>
              <w:pStyle w:val="TableParagraph"/>
              <w:spacing w:line="197" w:lineRule="exact"/>
              <w:ind w:right="538"/>
              <w:jc w:val="right"/>
              <w:rPr>
                <w:sz w:val="18"/>
              </w:rPr>
            </w:pPr>
            <w:r>
              <w:rPr>
                <w:sz w:val="18"/>
              </w:rPr>
              <w:t>lyman(-2)</w:t>
            </w:r>
          </w:p>
        </w:tc>
        <w:tc>
          <w:tcPr>
            <w:tcW w:w="1525" w:type="dxa"/>
          </w:tcPr>
          <w:p>
            <w:pPr>
              <w:pStyle w:val="TableParagraph"/>
              <w:spacing w:line="197" w:lineRule="exact"/>
              <w:ind w:left="465" w:right="208"/>
              <w:rPr>
                <w:sz w:val="18"/>
              </w:rPr>
            </w:pPr>
            <w:r>
              <w:rPr>
                <w:sz w:val="18"/>
              </w:rPr>
              <w:t>(0.13387)</w:t>
            </w:r>
          </w:p>
        </w:tc>
        <w:tc>
          <w:tcPr>
            <w:tcW w:w="1313" w:type="dxa"/>
          </w:tcPr>
          <w:p>
            <w:pPr>
              <w:pStyle w:val="TableParagraph"/>
              <w:spacing w:line="197" w:lineRule="exact"/>
              <w:ind w:left="254" w:right="209"/>
              <w:rPr>
                <w:sz w:val="18"/>
              </w:rPr>
            </w:pPr>
            <w:r>
              <w:rPr>
                <w:sz w:val="18"/>
              </w:rPr>
              <w:t>(0.53367)</w:t>
            </w:r>
          </w:p>
        </w:tc>
        <w:tc>
          <w:tcPr>
            <w:tcW w:w="1305" w:type="dxa"/>
          </w:tcPr>
          <w:p>
            <w:pPr>
              <w:pStyle w:val="TableParagraph"/>
              <w:spacing w:line="197" w:lineRule="exact"/>
              <w:ind w:left="254" w:right="200"/>
              <w:rPr>
                <w:sz w:val="18"/>
              </w:rPr>
            </w:pPr>
            <w:r>
              <w:rPr>
                <w:sz w:val="18"/>
              </w:rPr>
              <w:t>(0.52002)</w:t>
            </w:r>
          </w:p>
        </w:tc>
        <w:tc>
          <w:tcPr>
            <w:tcW w:w="1330" w:type="dxa"/>
          </w:tcPr>
          <w:p>
            <w:pPr>
              <w:pStyle w:val="TableParagraph"/>
              <w:spacing w:line="197" w:lineRule="exact"/>
              <w:ind w:left="335"/>
              <w:jc w:val="left"/>
              <w:rPr>
                <w:sz w:val="18"/>
              </w:rPr>
            </w:pPr>
            <w:r>
              <w:rPr>
                <w:sz w:val="18"/>
              </w:rPr>
              <w:t>(0.06352)</w:t>
            </w:r>
          </w:p>
        </w:tc>
        <w:tc>
          <w:tcPr>
            <w:tcW w:w="1305" w:type="dxa"/>
          </w:tcPr>
          <w:p>
            <w:pPr>
              <w:pStyle w:val="TableParagraph"/>
              <w:spacing w:line="197" w:lineRule="exact"/>
              <w:ind w:left="246" w:right="210"/>
              <w:rPr>
                <w:sz w:val="18"/>
              </w:rPr>
            </w:pPr>
            <w:r>
              <w:rPr>
                <w:sz w:val="18"/>
              </w:rPr>
              <w:t>(0.46675)</w:t>
            </w:r>
          </w:p>
        </w:tc>
      </w:tr>
      <w:tr>
        <w:trPr>
          <w:trHeight w:val="311" w:hRule="exact"/>
        </w:trPr>
        <w:tc>
          <w:tcPr>
            <w:tcW w:w="2013" w:type="dxa"/>
          </w:tcPr>
          <w:p>
            <w:pPr/>
          </w:p>
        </w:tc>
        <w:tc>
          <w:tcPr>
            <w:tcW w:w="1525" w:type="dxa"/>
          </w:tcPr>
          <w:p>
            <w:pPr>
              <w:pStyle w:val="TableParagraph"/>
              <w:spacing w:line="197" w:lineRule="exact"/>
              <w:ind w:left="463" w:right="254"/>
              <w:rPr>
                <w:sz w:val="18"/>
              </w:rPr>
            </w:pPr>
            <w:r>
              <w:rPr>
                <w:sz w:val="18"/>
              </w:rPr>
              <w:t>[ 1.00278]</w:t>
            </w:r>
          </w:p>
        </w:tc>
        <w:tc>
          <w:tcPr>
            <w:tcW w:w="1313" w:type="dxa"/>
          </w:tcPr>
          <w:p>
            <w:pPr>
              <w:pStyle w:val="TableParagraph"/>
              <w:spacing w:line="197" w:lineRule="exact"/>
              <w:ind w:left="254" w:right="254"/>
              <w:rPr>
                <w:sz w:val="18"/>
              </w:rPr>
            </w:pPr>
            <w:r>
              <w:rPr>
                <w:sz w:val="18"/>
              </w:rPr>
              <w:t>[-0.51321]</w:t>
            </w:r>
          </w:p>
        </w:tc>
        <w:tc>
          <w:tcPr>
            <w:tcW w:w="1305" w:type="dxa"/>
          </w:tcPr>
          <w:p>
            <w:pPr>
              <w:pStyle w:val="TableParagraph"/>
              <w:spacing w:line="197" w:lineRule="exact"/>
              <w:ind w:left="252" w:right="246"/>
              <w:rPr>
                <w:sz w:val="18"/>
              </w:rPr>
            </w:pPr>
            <w:r>
              <w:rPr>
                <w:sz w:val="18"/>
              </w:rPr>
              <w:t>[ 0.03880]</w:t>
            </w:r>
          </w:p>
        </w:tc>
        <w:tc>
          <w:tcPr>
            <w:tcW w:w="1330" w:type="dxa"/>
          </w:tcPr>
          <w:p>
            <w:pPr>
              <w:pStyle w:val="TableParagraph"/>
              <w:spacing w:line="197" w:lineRule="exact"/>
              <w:ind w:left="282"/>
              <w:jc w:val="left"/>
              <w:rPr>
                <w:sz w:val="18"/>
              </w:rPr>
            </w:pPr>
            <w:r>
              <w:rPr>
                <w:sz w:val="18"/>
              </w:rPr>
              <w:t>[-1.96479]</w:t>
            </w:r>
          </w:p>
        </w:tc>
        <w:tc>
          <w:tcPr>
            <w:tcW w:w="1305" w:type="dxa"/>
          </w:tcPr>
          <w:p>
            <w:pPr>
              <w:pStyle w:val="TableParagraph"/>
              <w:spacing w:line="197" w:lineRule="exact"/>
              <w:ind w:left="246" w:right="253"/>
              <w:rPr>
                <w:sz w:val="18"/>
              </w:rPr>
            </w:pPr>
            <w:r>
              <w:rPr>
                <w:sz w:val="18"/>
              </w:rPr>
              <w:t>[-0.75691]</w:t>
            </w:r>
          </w:p>
        </w:tc>
      </w:tr>
      <w:tr>
        <w:trPr>
          <w:trHeight w:val="311" w:hRule="exact"/>
        </w:trPr>
        <w:tc>
          <w:tcPr>
            <w:tcW w:w="2013" w:type="dxa"/>
          </w:tcPr>
          <w:p>
            <w:pPr/>
          </w:p>
        </w:tc>
        <w:tc>
          <w:tcPr>
            <w:tcW w:w="1525" w:type="dxa"/>
          </w:tcPr>
          <w:p>
            <w:pPr>
              <w:pStyle w:val="TableParagraph"/>
              <w:spacing w:before="94"/>
              <w:ind w:left="465" w:right="209"/>
              <w:rPr>
                <w:sz w:val="18"/>
              </w:rPr>
            </w:pPr>
            <w:r>
              <w:rPr>
                <w:sz w:val="18"/>
              </w:rPr>
              <w:t>0.048034</w:t>
            </w:r>
          </w:p>
        </w:tc>
        <w:tc>
          <w:tcPr>
            <w:tcW w:w="1313" w:type="dxa"/>
          </w:tcPr>
          <w:p>
            <w:pPr>
              <w:pStyle w:val="TableParagraph"/>
              <w:spacing w:before="94"/>
              <w:ind w:left="253" w:right="254"/>
              <w:rPr>
                <w:sz w:val="18"/>
              </w:rPr>
            </w:pPr>
            <w:r>
              <w:rPr>
                <w:sz w:val="18"/>
              </w:rPr>
              <w:t>-0.059766</w:t>
            </w:r>
          </w:p>
        </w:tc>
        <w:tc>
          <w:tcPr>
            <w:tcW w:w="1305" w:type="dxa"/>
          </w:tcPr>
          <w:p>
            <w:pPr>
              <w:pStyle w:val="TableParagraph"/>
              <w:spacing w:before="94"/>
              <w:ind w:left="253" w:right="246"/>
              <w:rPr>
                <w:sz w:val="18"/>
              </w:rPr>
            </w:pPr>
            <w:r>
              <w:rPr>
                <w:sz w:val="18"/>
              </w:rPr>
              <w:t>-0.278944</w:t>
            </w:r>
          </w:p>
        </w:tc>
        <w:tc>
          <w:tcPr>
            <w:tcW w:w="1330" w:type="dxa"/>
          </w:tcPr>
          <w:p>
            <w:pPr>
              <w:pStyle w:val="TableParagraph"/>
              <w:spacing w:before="94"/>
              <w:ind w:left="349"/>
              <w:jc w:val="left"/>
              <w:rPr>
                <w:sz w:val="18"/>
              </w:rPr>
            </w:pPr>
            <w:r>
              <w:rPr>
                <w:sz w:val="18"/>
              </w:rPr>
              <w:t>0.049661</w:t>
            </w:r>
          </w:p>
        </w:tc>
        <w:tc>
          <w:tcPr>
            <w:tcW w:w="1305" w:type="dxa"/>
          </w:tcPr>
          <w:p>
            <w:pPr>
              <w:pStyle w:val="TableParagraph"/>
              <w:spacing w:before="94"/>
              <w:ind w:left="245" w:right="253"/>
              <w:rPr>
                <w:sz w:val="18"/>
              </w:rPr>
            </w:pPr>
            <w:r>
              <w:rPr>
                <w:sz w:val="18"/>
              </w:rPr>
              <w:t>-0.193333</w:t>
            </w:r>
          </w:p>
        </w:tc>
      </w:tr>
      <w:tr>
        <w:trPr>
          <w:trHeight w:val="206" w:hRule="exact"/>
        </w:trPr>
        <w:tc>
          <w:tcPr>
            <w:tcW w:w="2013" w:type="dxa"/>
          </w:tcPr>
          <w:p>
            <w:pPr>
              <w:pStyle w:val="TableParagraph"/>
              <w:spacing w:line="197" w:lineRule="exact"/>
              <w:ind w:right="538"/>
              <w:jc w:val="right"/>
              <w:rPr>
                <w:sz w:val="18"/>
              </w:rPr>
            </w:pPr>
            <w:r>
              <w:rPr>
                <w:sz w:val="18"/>
              </w:rPr>
              <w:t>lyman(-3)</w:t>
            </w:r>
          </w:p>
        </w:tc>
        <w:tc>
          <w:tcPr>
            <w:tcW w:w="1525" w:type="dxa"/>
          </w:tcPr>
          <w:p>
            <w:pPr>
              <w:pStyle w:val="TableParagraph"/>
              <w:spacing w:line="197" w:lineRule="exact"/>
              <w:ind w:left="465" w:right="208"/>
              <w:rPr>
                <w:sz w:val="18"/>
              </w:rPr>
            </w:pPr>
            <w:r>
              <w:rPr>
                <w:sz w:val="18"/>
              </w:rPr>
              <w:t>(0.13799)</w:t>
            </w:r>
          </w:p>
        </w:tc>
        <w:tc>
          <w:tcPr>
            <w:tcW w:w="1313" w:type="dxa"/>
          </w:tcPr>
          <w:p>
            <w:pPr>
              <w:pStyle w:val="TableParagraph"/>
              <w:spacing w:line="197" w:lineRule="exact"/>
              <w:ind w:left="254" w:right="209"/>
              <w:rPr>
                <w:sz w:val="18"/>
              </w:rPr>
            </w:pPr>
            <w:r>
              <w:rPr>
                <w:sz w:val="18"/>
              </w:rPr>
              <w:t>(0.55009)</w:t>
            </w:r>
          </w:p>
        </w:tc>
        <w:tc>
          <w:tcPr>
            <w:tcW w:w="1305" w:type="dxa"/>
          </w:tcPr>
          <w:p>
            <w:pPr>
              <w:pStyle w:val="TableParagraph"/>
              <w:spacing w:line="197" w:lineRule="exact"/>
              <w:ind w:left="254" w:right="200"/>
              <w:rPr>
                <w:sz w:val="18"/>
              </w:rPr>
            </w:pPr>
            <w:r>
              <w:rPr>
                <w:sz w:val="18"/>
              </w:rPr>
              <w:t>(0.53602)</w:t>
            </w:r>
          </w:p>
        </w:tc>
        <w:tc>
          <w:tcPr>
            <w:tcW w:w="1330" w:type="dxa"/>
          </w:tcPr>
          <w:p>
            <w:pPr>
              <w:pStyle w:val="TableParagraph"/>
              <w:spacing w:line="197" w:lineRule="exact"/>
              <w:ind w:left="335"/>
              <w:jc w:val="left"/>
              <w:rPr>
                <w:sz w:val="18"/>
              </w:rPr>
            </w:pPr>
            <w:r>
              <w:rPr>
                <w:sz w:val="18"/>
              </w:rPr>
              <w:t>(0.06548)</w:t>
            </w:r>
          </w:p>
        </w:tc>
        <w:tc>
          <w:tcPr>
            <w:tcW w:w="1305" w:type="dxa"/>
          </w:tcPr>
          <w:p>
            <w:pPr>
              <w:pStyle w:val="TableParagraph"/>
              <w:spacing w:line="197" w:lineRule="exact"/>
              <w:ind w:left="246" w:right="210"/>
              <w:rPr>
                <w:sz w:val="18"/>
              </w:rPr>
            </w:pPr>
            <w:r>
              <w:rPr>
                <w:sz w:val="18"/>
              </w:rPr>
              <w:t>(0.48111)</w:t>
            </w:r>
          </w:p>
        </w:tc>
      </w:tr>
      <w:tr>
        <w:trPr>
          <w:trHeight w:val="311" w:hRule="exact"/>
        </w:trPr>
        <w:tc>
          <w:tcPr>
            <w:tcW w:w="2013" w:type="dxa"/>
          </w:tcPr>
          <w:p>
            <w:pPr/>
          </w:p>
        </w:tc>
        <w:tc>
          <w:tcPr>
            <w:tcW w:w="1525" w:type="dxa"/>
          </w:tcPr>
          <w:p>
            <w:pPr>
              <w:pStyle w:val="TableParagraph"/>
              <w:spacing w:line="197" w:lineRule="exact"/>
              <w:ind w:left="463" w:right="254"/>
              <w:rPr>
                <w:sz w:val="18"/>
              </w:rPr>
            </w:pPr>
            <w:r>
              <w:rPr>
                <w:sz w:val="18"/>
              </w:rPr>
              <w:t>[ 0.34810]</w:t>
            </w:r>
          </w:p>
        </w:tc>
        <w:tc>
          <w:tcPr>
            <w:tcW w:w="1313" w:type="dxa"/>
          </w:tcPr>
          <w:p>
            <w:pPr>
              <w:pStyle w:val="TableParagraph"/>
              <w:spacing w:line="197" w:lineRule="exact"/>
              <w:ind w:left="254" w:right="254"/>
              <w:rPr>
                <w:sz w:val="18"/>
              </w:rPr>
            </w:pPr>
            <w:r>
              <w:rPr>
                <w:sz w:val="18"/>
              </w:rPr>
              <w:t>[-0.10865]</w:t>
            </w:r>
          </w:p>
        </w:tc>
        <w:tc>
          <w:tcPr>
            <w:tcW w:w="1305" w:type="dxa"/>
          </w:tcPr>
          <w:p>
            <w:pPr>
              <w:pStyle w:val="TableParagraph"/>
              <w:spacing w:line="197" w:lineRule="exact"/>
              <w:ind w:left="254" w:right="246"/>
              <w:rPr>
                <w:sz w:val="18"/>
              </w:rPr>
            </w:pPr>
            <w:r>
              <w:rPr>
                <w:sz w:val="18"/>
              </w:rPr>
              <w:t>[-0.52040]</w:t>
            </w:r>
          </w:p>
        </w:tc>
        <w:tc>
          <w:tcPr>
            <w:tcW w:w="1330" w:type="dxa"/>
          </w:tcPr>
          <w:p>
            <w:pPr>
              <w:pStyle w:val="TableParagraph"/>
              <w:spacing w:line="197" w:lineRule="exact"/>
              <w:ind w:left="289"/>
              <w:jc w:val="left"/>
              <w:rPr>
                <w:sz w:val="18"/>
              </w:rPr>
            </w:pPr>
            <w:r>
              <w:rPr>
                <w:sz w:val="18"/>
              </w:rPr>
              <w:t>[ 0.75846]</w:t>
            </w:r>
          </w:p>
        </w:tc>
        <w:tc>
          <w:tcPr>
            <w:tcW w:w="1305" w:type="dxa"/>
          </w:tcPr>
          <w:p>
            <w:pPr>
              <w:pStyle w:val="TableParagraph"/>
              <w:spacing w:line="197" w:lineRule="exact"/>
              <w:ind w:left="246" w:right="253"/>
              <w:rPr>
                <w:sz w:val="18"/>
              </w:rPr>
            </w:pPr>
            <w:r>
              <w:rPr>
                <w:sz w:val="18"/>
              </w:rPr>
              <w:t>[-0.40185]</w:t>
            </w:r>
          </w:p>
        </w:tc>
      </w:tr>
      <w:tr>
        <w:trPr>
          <w:trHeight w:val="311" w:hRule="exact"/>
        </w:trPr>
        <w:tc>
          <w:tcPr>
            <w:tcW w:w="2013" w:type="dxa"/>
          </w:tcPr>
          <w:p>
            <w:pPr/>
          </w:p>
        </w:tc>
        <w:tc>
          <w:tcPr>
            <w:tcW w:w="1525" w:type="dxa"/>
          </w:tcPr>
          <w:p>
            <w:pPr>
              <w:pStyle w:val="TableParagraph"/>
              <w:spacing w:before="94"/>
              <w:ind w:left="465" w:right="209"/>
              <w:rPr>
                <w:sz w:val="18"/>
              </w:rPr>
            </w:pPr>
            <w:r>
              <w:rPr>
                <w:sz w:val="18"/>
              </w:rPr>
              <w:t>0.245921</w:t>
            </w:r>
          </w:p>
        </w:tc>
        <w:tc>
          <w:tcPr>
            <w:tcW w:w="1313" w:type="dxa"/>
          </w:tcPr>
          <w:p>
            <w:pPr>
              <w:pStyle w:val="TableParagraph"/>
              <w:spacing w:before="94"/>
              <w:ind w:left="254" w:right="210"/>
              <w:rPr>
                <w:sz w:val="18"/>
              </w:rPr>
            </w:pPr>
            <w:r>
              <w:rPr>
                <w:sz w:val="18"/>
              </w:rPr>
              <w:t>0.594749</w:t>
            </w:r>
          </w:p>
        </w:tc>
        <w:tc>
          <w:tcPr>
            <w:tcW w:w="1305" w:type="dxa"/>
          </w:tcPr>
          <w:p>
            <w:pPr>
              <w:pStyle w:val="TableParagraph"/>
              <w:spacing w:before="94"/>
              <w:ind w:left="253" w:right="246"/>
              <w:rPr>
                <w:sz w:val="18"/>
              </w:rPr>
            </w:pPr>
            <w:r>
              <w:rPr>
                <w:sz w:val="18"/>
              </w:rPr>
              <w:t>-0.199289</w:t>
            </w:r>
          </w:p>
        </w:tc>
        <w:tc>
          <w:tcPr>
            <w:tcW w:w="1330" w:type="dxa"/>
          </w:tcPr>
          <w:p>
            <w:pPr>
              <w:pStyle w:val="TableParagraph"/>
              <w:spacing w:before="94"/>
              <w:ind w:left="297"/>
              <w:jc w:val="left"/>
              <w:rPr>
                <w:sz w:val="18"/>
              </w:rPr>
            </w:pPr>
            <w:r>
              <w:rPr>
                <w:sz w:val="18"/>
              </w:rPr>
              <w:t>-0.001643</w:t>
            </w:r>
          </w:p>
        </w:tc>
        <w:tc>
          <w:tcPr>
            <w:tcW w:w="1305" w:type="dxa"/>
          </w:tcPr>
          <w:p>
            <w:pPr>
              <w:pStyle w:val="TableParagraph"/>
              <w:spacing w:before="94"/>
              <w:ind w:left="246" w:right="211"/>
              <w:rPr>
                <w:sz w:val="18"/>
              </w:rPr>
            </w:pPr>
            <w:r>
              <w:rPr>
                <w:sz w:val="18"/>
              </w:rPr>
              <w:t>0.757916</w:t>
            </w:r>
          </w:p>
        </w:tc>
      </w:tr>
      <w:tr>
        <w:trPr>
          <w:trHeight w:val="206" w:hRule="exact"/>
        </w:trPr>
        <w:tc>
          <w:tcPr>
            <w:tcW w:w="2013" w:type="dxa"/>
          </w:tcPr>
          <w:p>
            <w:pPr>
              <w:pStyle w:val="TableParagraph"/>
              <w:spacing w:line="197" w:lineRule="exact"/>
              <w:ind w:right="538"/>
              <w:jc w:val="right"/>
              <w:rPr>
                <w:sz w:val="18"/>
              </w:rPr>
            </w:pPr>
            <w:r>
              <w:rPr>
                <w:sz w:val="18"/>
              </w:rPr>
              <w:t>lyman(-4)</w:t>
            </w:r>
          </w:p>
        </w:tc>
        <w:tc>
          <w:tcPr>
            <w:tcW w:w="1525" w:type="dxa"/>
          </w:tcPr>
          <w:p>
            <w:pPr>
              <w:pStyle w:val="TableParagraph"/>
              <w:spacing w:line="197" w:lineRule="exact"/>
              <w:ind w:left="465" w:right="208"/>
              <w:rPr>
                <w:sz w:val="18"/>
              </w:rPr>
            </w:pPr>
            <w:r>
              <w:rPr>
                <w:sz w:val="18"/>
              </w:rPr>
              <w:t>(0.11108)</w:t>
            </w:r>
          </w:p>
        </w:tc>
        <w:tc>
          <w:tcPr>
            <w:tcW w:w="1313" w:type="dxa"/>
          </w:tcPr>
          <w:p>
            <w:pPr>
              <w:pStyle w:val="TableParagraph"/>
              <w:spacing w:line="197" w:lineRule="exact"/>
              <w:ind w:left="254" w:right="209"/>
              <w:rPr>
                <w:sz w:val="18"/>
              </w:rPr>
            </w:pPr>
            <w:r>
              <w:rPr>
                <w:sz w:val="18"/>
              </w:rPr>
              <w:t>(0.44283)</w:t>
            </w:r>
          </w:p>
        </w:tc>
        <w:tc>
          <w:tcPr>
            <w:tcW w:w="1305" w:type="dxa"/>
          </w:tcPr>
          <w:p>
            <w:pPr>
              <w:pStyle w:val="TableParagraph"/>
              <w:spacing w:line="197" w:lineRule="exact"/>
              <w:ind w:left="254" w:right="200"/>
              <w:rPr>
                <w:sz w:val="18"/>
              </w:rPr>
            </w:pPr>
            <w:r>
              <w:rPr>
                <w:sz w:val="18"/>
              </w:rPr>
              <w:t>(0.43150)</w:t>
            </w:r>
          </w:p>
        </w:tc>
        <w:tc>
          <w:tcPr>
            <w:tcW w:w="1330" w:type="dxa"/>
          </w:tcPr>
          <w:p>
            <w:pPr>
              <w:pStyle w:val="TableParagraph"/>
              <w:spacing w:line="197" w:lineRule="exact"/>
              <w:ind w:left="335"/>
              <w:jc w:val="left"/>
              <w:rPr>
                <w:sz w:val="18"/>
              </w:rPr>
            </w:pPr>
            <w:r>
              <w:rPr>
                <w:sz w:val="18"/>
              </w:rPr>
              <w:t>(0.05271)</w:t>
            </w:r>
          </w:p>
        </w:tc>
        <w:tc>
          <w:tcPr>
            <w:tcW w:w="1305" w:type="dxa"/>
          </w:tcPr>
          <w:p>
            <w:pPr>
              <w:pStyle w:val="TableParagraph"/>
              <w:spacing w:line="197" w:lineRule="exact"/>
              <w:ind w:left="246" w:right="210"/>
              <w:rPr>
                <w:sz w:val="18"/>
              </w:rPr>
            </w:pPr>
            <w:r>
              <w:rPr>
                <w:sz w:val="18"/>
              </w:rPr>
              <w:t>(0.38730)</w:t>
            </w:r>
          </w:p>
        </w:tc>
      </w:tr>
      <w:tr>
        <w:trPr>
          <w:trHeight w:val="311" w:hRule="exact"/>
        </w:trPr>
        <w:tc>
          <w:tcPr>
            <w:tcW w:w="2013" w:type="dxa"/>
          </w:tcPr>
          <w:p>
            <w:pPr/>
          </w:p>
        </w:tc>
        <w:tc>
          <w:tcPr>
            <w:tcW w:w="1525" w:type="dxa"/>
          </w:tcPr>
          <w:p>
            <w:pPr>
              <w:pStyle w:val="TableParagraph"/>
              <w:spacing w:line="197" w:lineRule="exact"/>
              <w:ind w:left="463" w:right="254"/>
              <w:rPr>
                <w:sz w:val="18"/>
              </w:rPr>
            </w:pPr>
            <w:r>
              <w:rPr>
                <w:sz w:val="18"/>
              </w:rPr>
              <w:t>[ 2.21382]</w:t>
            </w:r>
          </w:p>
        </w:tc>
        <w:tc>
          <w:tcPr>
            <w:tcW w:w="1313" w:type="dxa"/>
          </w:tcPr>
          <w:p>
            <w:pPr>
              <w:pStyle w:val="TableParagraph"/>
              <w:spacing w:line="197" w:lineRule="exact"/>
              <w:ind w:left="254" w:right="254"/>
              <w:rPr>
                <w:sz w:val="18"/>
              </w:rPr>
            </w:pPr>
            <w:r>
              <w:rPr>
                <w:sz w:val="18"/>
              </w:rPr>
              <w:t>[ 1.34305]</w:t>
            </w:r>
          </w:p>
        </w:tc>
        <w:tc>
          <w:tcPr>
            <w:tcW w:w="1305" w:type="dxa"/>
          </w:tcPr>
          <w:p>
            <w:pPr>
              <w:pStyle w:val="TableParagraph"/>
              <w:spacing w:line="197" w:lineRule="exact"/>
              <w:ind w:left="254" w:right="246"/>
              <w:rPr>
                <w:sz w:val="18"/>
              </w:rPr>
            </w:pPr>
            <w:r>
              <w:rPr>
                <w:sz w:val="18"/>
              </w:rPr>
              <w:t>[-0.46185]</w:t>
            </w:r>
          </w:p>
        </w:tc>
        <w:tc>
          <w:tcPr>
            <w:tcW w:w="1330" w:type="dxa"/>
          </w:tcPr>
          <w:p>
            <w:pPr>
              <w:pStyle w:val="TableParagraph"/>
              <w:spacing w:line="197" w:lineRule="exact"/>
              <w:ind w:left="282"/>
              <w:jc w:val="left"/>
              <w:rPr>
                <w:sz w:val="18"/>
              </w:rPr>
            </w:pPr>
            <w:r>
              <w:rPr>
                <w:sz w:val="18"/>
              </w:rPr>
              <w:t>[-0.03118]</w:t>
            </w:r>
          </w:p>
        </w:tc>
        <w:tc>
          <w:tcPr>
            <w:tcW w:w="1305" w:type="dxa"/>
          </w:tcPr>
          <w:p>
            <w:pPr>
              <w:pStyle w:val="TableParagraph"/>
              <w:spacing w:line="197" w:lineRule="exact"/>
              <w:ind w:left="244" w:right="253"/>
              <w:rPr>
                <w:sz w:val="18"/>
              </w:rPr>
            </w:pPr>
            <w:r>
              <w:rPr>
                <w:sz w:val="18"/>
              </w:rPr>
              <w:t>[ 1.95692]</w:t>
            </w:r>
          </w:p>
        </w:tc>
      </w:tr>
      <w:tr>
        <w:trPr>
          <w:trHeight w:val="311" w:hRule="exact"/>
        </w:trPr>
        <w:tc>
          <w:tcPr>
            <w:tcW w:w="2013" w:type="dxa"/>
          </w:tcPr>
          <w:p>
            <w:pPr/>
          </w:p>
        </w:tc>
        <w:tc>
          <w:tcPr>
            <w:tcW w:w="1525" w:type="dxa"/>
          </w:tcPr>
          <w:p>
            <w:pPr>
              <w:pStyle w:val="TableParagraph"/>
              <w:spacing w:before="94"/>
              <w:ind w:left="464" w:right="254"/>
              <w:rPr>
                <w:sz w:val="18"/>
              </w:rPr>
            </w:pPr>
            <w:r>
              <w:rPr>
                <w:sz w:val="18"/>
              </w:rPr>
              <w:t>-0.063646</w:t>
            </w:r>
          </w:p>
        </w:tc>
        <w:tc>
          <w:tcPr>
            <w:tcW w:w="1313" w:type="dxa"/>
          </w:tcPr>
          <w:p>
            <w:pPr>
              <w:pStyle w:val="TableParagraph"/>
              <w:spacing w:before="94"/>
              <w:ind w:left="254" w:right="210"/>
              <w:rPr>
                <w:sz w:val="18"/>
              </w:rPr>
            </w:pPr>
            <w:r>
              <w:rPr>
                <w:sz w:val="18"/>
              </w:rPr>
              <w:t>0.351215</w:t>
            </w:r>
          </w:p>
        </w:tc>
        <w:tc>
          <w:tcPr>
            <w:tcW w:w="1305" w:type="dxa"/>
          </w:tcPr>
          <w:p>
            <w:pPr>
              <w:pStyle w:val="TableParagraph"/>
              <w:spacing w:before="94"/>
              <w:ind w:left="254" w:right="202"/>
              <w:rPr>
                <w:sz w:val="18"/>
              </w:rPr>
            </w:pPr>
            <w:r>
              <w:rPr>
                <w:sz w:val="18"/>
              </w:rPr>
              <w:t>0.042796</w:t>
            </w:r>
          </w:p>
        </w:tc>
        <w:tc>
          <w:tcPr>
            <w:tcW w:w="1330" w:type="dxa"/>
          </w:tcPr>
          <w:p>
            <w:pPr>
              <w:pStyle w:val="TableParagraph"/>
              <w:spacing w:before="94"/>
              <w:ind w:left="297"/>
              <w:jc w:val="left"/>
              <w:rPr>
                <w:sz w:val="18"/>
              </w:rPr>
            </w:pPr>
            <w:r>
              <w:rPr>
                <w:sz w:val="18"/>
              </w:rPr>
              <w:t>-0.044467</w:t>
            </w:r>
          </w:p>
        </w:tc>
        <w:tc>
          <w:tcPr>
            <w:tcW w:w="1305" w:type="dxa"/>
          </w:tcPr>
          <w:p>
            <w:pPr>
              <w:pStyle w:val="TableParagraph"/>
              <w:spacing w:before="94"/>
              <w:ind w:left="245" w:right="253"/>
              <w:rPr>
                <w:sz w:val="18"/>
              </w:rPr>
            </w:pPr>
            <w:r>
              <w:rPr>
                <w:sz w:val="18"/>
              </w:rPr>
              <w:t>-0.389498</w:t>
            </w:r>
          </w:p>
        </w:tc>
      </w:tr>
      <w:tr>
        <w:trPr>
          <w:trHeight w:val="206" w:hRule="exact"/>
        </w:trPr>
        <w:tc>
          <w:tcPr>
            <w:tcW w:w="2013" w:type="dxa"/>
          </w:tcPr>
          <w:p>
            <w:pPr>
              <w:pStyle w:val="TableParagraph"/>
              <w:spacing w:line="197" w:lineRule="exact"/>
              <w:ind w:right="536"/>
              <w:jc w:val="right"/>
              <w:rPr>
                <w:sz w:val="18"/>
              </w:rPr>
            </w:pPr>
            <w:r>
              <w:rPr>
                <w:sz w:val="18"/>
              </w:rPr>
              <w:t>lyauto(-1)</w:t>
            </w:r>
          </w:p>
        </w:tc>
        <w:tc>
          <w:tcPr>
            <w:tcW w:w="1525" w:type="dxa"/>
          </w:tcPr>
          <w:p>
            <w:pPr>
              <w:pStyle w:val="TableParagraph"/>
              <w:spacing w:line="197" w:lineRule="exact"/>
              <w:ind w:left="465" w:right="208"/>
              <w:rPr>
                <w:sz w:val="18"/>
              </w:rPr>
            </w:pPr>
            <w:r>
              <w:rPr>
                <w:sz w:val="18"/>
              </w:rPr>
              <w:t>(0.10410)</w:t>
            </w:r>
          </w:p>
        </w:tc>
        <w:tc>
          <w:tcPr>
            <w:tcW w:w="1313" w:type="dxa"/>
          </w:tcPr>
          <w:p>
            <w:pPr>
              <w:pStyle w:val="TableParagraph"/>
              <w:spacing w:line="197" w:lineRule="exact"/>
              <w:ind w:left="254" w:right="209"/>
              <w:rPr>
                <w:sz w:val="18"/>
              </w:rPr>
            </w:pPr>
            <w:r>
              <w:rPr>
                <w:sz w:val="18"/>
              </w:rPr>
              <w:t>(0.41501)</w:t>
            </w:r>
          </w:p>
        </w:tc>
        <w:tc>
          <w:tcPr>
            <w:tcW w:w="1305" w:type="dxa"/>
          </w:tcPr>
          <w:p>
            <w:pPr>
              <w:pStyle w:val="TableParagraph"/>
              <w:spacing w:line="197" w:lineRule="exact"/>
              <w:ind w:left="254" w:right="200"/>
              <w:rPr>
                <w:sz w:val="18"/>
              </w:rPr>
            </w:pPr>
            <w:r>
              <w:rPr>
                <w:sz w:val="18"/>
              </w:rPr>
              <w:t>(0.40439)</w:t>
            </w:r>
          </w:p>
        </w:tc>
        <w:tc>
          <w:tcPr>
            <w:tcW w:w="1330" w:type="dxa"/>
          </w:tcPr>
          <w:p>
            <w:pPr>
              <w:pStyle w:val="TableParagraph"/>
              <w:spacing w:line="197" w:lineRule="exact"/>
              <w:ind w:left="335"/>
              <w:jc w:val="left"/>
              <w:rPr>
                <w:sz w:val="18"/>
              </w:rPr>
            </w:pPr>
            <w:r>
              <w:rPr>
                <w:sz w:val="18"/>
              </w:rPr>
              <w:t>(0.04940)</w:t>
            </w:r>
          </w:p>
        </w:tc>
        <w:tc>
          <w:tcPr>
            <w:tcW w:w="1305" w:type="dxa"/>
          </w:tcPr>
          <w:p>
            <w:pPr>
              <w:pStyle w:val="TableParagraph"/>
              <w:spacing w:line="197" w:lineRule="exact"/>
              <w:ind w:left="246" w:right="210"/>
              <w:rPr>
                <w:sz w:val="18"/>
              </w:rPr>
            </w:pPr>
            <w:r>
              <w:rPr>
                <w:sz w:val="18"/>
              </w:rPr>
              <w:t>(0.36296)</w:t>
            </w:r>
          </w:p>
        </w:tc>
      </w:tr>
      <w:tr>
        <w:trPr>
          <w:trHeight w:val="311" w:hRule="exact"/>
        </w:trPr>
        <w:tc>
          <w:tcPr>
            <w:tcW w:w="2013" w:type="dxa"/>
          </w:tcPr>
          <w:p>
            <w:pPr/>
          </w:p>
        </w:tc>
        <w:tc>
          <w:tcPr>
            <w:tcW w:w="1525" w:type="dxa"/>
          </w:tcPr>
          <w:p>
            <w:pPr>
              <w:pStyle w:val="TableParagraph"/>
              <w:spacing w:line="197" w:lineRule="exact"/>
              <w:ind w:left="465" w:right="254"/>
              <w:rPr>
                <w:sz w:val="18"/>
              </w:rPr>
            </w:pPr>
            <w:r>
              <w:rPr>
                <w:sz w:val="18"/>
              </w:rPr>
              <w:t>[-0.61137]</w:t>
            </w:r>
          </w:p>
        </w:tc>
        <w:tc>
          <w:tcPr>
            <w:tcW w:w="1313" w:type="dxa"/>
          </w:tcPr>
          <w:p>
            <w:pPr>
              <w:pStyle w:val="TableParagraph"/>
              <w:spacing w:line="197" w:lineRule="exact"/>
              <w:ind w:left="254" w:right="254"/>
              <w:rPr>
                <w:sz w:val="18"/>
              </w:rPr>
            </w:pPr>
            <w:r>
              <w:rPr>
                <w:sz w:val="18"/>
              </w:rPr>
              <w:t>[ 0.84629]</w:t>
            </w:r>
          </w:p>
        </w:tc>
        <w:tc>
          <w:tcPr>
            <w:tcW w:w="1305" w:type="dxa"/>
          </w:tcPr>
          <w:p>
            <w:pPr>
              <w:pStyle w:val="TableParagraph"/>
              <w:spacing w:line="197" w:lineRule="exact"/>
              <w:ind w:left="252" w:right="246"/>
              <w:rPr>
                <w:sz w:val="18"/>
              </w:rPr>
            </w:pPr>
            <w:r>
              <w:rPr>
                <w:sz w:val="18"/>
              </w:rPr>
              <w:t>[ 0.10583]</w:t>
            </w:r>
          </w:p>
        </w:tc>
        <w:tc>
          <w:tcPr>
            <w:tcW w:w="1330" w:type="dxa"/>
          </w:tcPr>
          <w:p>
            <w:pPr>
              <w:pStyle w:val="TableParagraph"/>
              <w:spacing w:line="197" w:lineRule="exact"/>
              <w:ind w:left="282"/>
              <w:jc w:val="left"/>
              <w:rPr>
                <w:sz w:val="18"/>
              </w:rPr>
            </w:pPr>
            <w:r>
              <w:rPr>
                <w:sz w:val="18"/>
              </w:rPr>
              <w:t>[-0.90018]</w:t>
            </w:r>
          </w:p>
        </w:tc>
        <w:tc>
          <w:tcPr>
            <w:tcW w:w="1305" w:type="dxa"/>
          </w:tcPr>
          <w:p>
            <w:pPr>
              <w:pStyle w:val="TableParagraph"/>
              <w:spacing w:line="197" w:lineRule="exact"/>
              <w:ind w:left="246" w:right="253"/>
              <w:rPr>
                <w:sz w:val="18"/>
              </w:rPr>
            </w:pPr>
            <w:r>
              <w:rPr>
                <w:sz w:val="18"/>
              </w:rPr>
              <w:t>[-1.07311]</w:t>
            </w:r>
          </w:p>
        </w:tc>
      </w:tr>
      <w:tr>
        <w:trPr>
          <w:trHeight w:val="311" w:hRule="exact"/>
        </w:trPr>
        <w:tc>
          <w:tcPr>
            <w:tcW w:w="2013" w:type="dxa"/>
          </w:tcPr>
          <w:p>
            <w:pPr/>
          </w:p>
        </w:tc>
        <w:tc>
          <w:tcPr>
            <w:tcW w:w="1525" w:type="dxa"/>
          </w:tcPr>
          <w:p>
            <w:pPr>
              <w:pStyle w:val="TableParagraph"/>
              <w:spacing w:before="94"/>
              <w:ind w:left="464" w:right="254"/>
              <w:rPr>
                <w:sz w:val="18"/>
              </w:rPr>
            </w:pPr>
            <w:r>
              <w:rPr>
                <w:sz w:val="18"/>
              </w:rPr>
              <w:t>-0.026426</w:t>
            </w:r>
          </w:p>
        </w:tc>
        <w:tc>
          <w:tcPr>
            <w:tcW w:w="1313" w:type="dxa"/>
          </w:tcPr>
          <w:p>
            <w:pPr>
              <w:pStyle w:val="TableParagraph"/>
              <w:spacing w:before="94"/>
              <w:ind w:left="254" w:right="210"/>
              <w:rPr>
                <w:sz w:val="18"/>
              </w:rPr>
            </w:pPr>
            <w:r>
              <w:rPr>
                <w:sz w:val="18"/>
              </w:rPr>
              <w:t>0.232469</w:t>
            </w:r>
          </w:p>
        </w:tc>
        <w:tc>
          <w:tcPr>
            <w:tcW w:w="1305" w:type="dxa"/>
          </w:tcPr>
          <w:p>
            <w:pPr>
              <w:pStyle w:val="TableParagraph"/>
              <w:spacing w:before="94"/>
              <w:ind w:left="254" w:right="202"/>
              <w:rPr>
                <w:sz w:val="18"/>
              </w:rPr>
            </w:pPr>
            <w:r>
              <w:rPr>
                <w:sz w:val="18"/>
              </w:rPr>
              <w:t>0.102777</w:t>
            </w:r>
          </w:p>
        </w:tc>
        <w:tc>
          <w:tcPr>
            <w:tcW w:w="1330" w:type="dxa"/>
          </w:tcPr>
          <w:p>
            <w:pPr>
              <w:pStyle w:val="TableParagraph"/>
              <w:spacing w:before="94"/>
              <w:ind w:left="349"/>
              <w:jc w:val="left"/>
              <w:rPr>
                <w:sz w:val="18"/>
              </w:rPr>
            </w:pPr>
            <w:r>
              <w:rPr>
                <w:sz w:val="18"/>
              </w:rPr>
              <w:t>0.083397</w:t>
            </w:r>
          </w:p>
        </w:tc>
        <w:tc>
          <w:tcPr>
            <w:tcW w:w="1305" w:type="dxa"/>
          </w:tcPr>
          <w:p>
            <w:pPr>
              <w:pStyle w:val="TableParagraph"/>
              <w:spacing w:before="94"/>
              <w:ind w:left="246" w:right="211"/>
              <w:rPr>
                <w:sz w:val="18"/>
              </w:rPr>
            </w:pPr>
            <w:r>
              <w:rPr>
                <w:sz w:val="18"/>
              </w:rPr>
              <w:t>0.520757</w:t>
            </w:r>
          </w:p>
        </w:tc>
      </w:tr>
      <w:tr>
        <w:trPr>
          <w:trHeight w:val="206" w:hRule="exact"/>
        </w:trPr>
        <w:tc>
          <w:tcPr>
            <w:tcW w:w="2013" w:type="dxa"/>
          </w:tcPr>
          <w:p>
            <w:pPr>
              <w:pStyle w:val="TableParagraph"/>
              <w:spacing w:line="197" w:lineRule="exact"/>
              <w:ind w:right="536"/>
              <w:jc w:val="right"/>
              <w:rPr>
                <w:sz w:val="18"/>
              </w:rPr>
            </w:pPr>
            <w:r>
              <w:rPr>
                <w:sz w:val="18"/>
              </w:rPr>
              <w:t>lyauto(-2)</w:t>
            </w:r>
          </w:p>
        </w:tc>
        <w:tc>
          <w:tcPr>
            <w:tcW w:w="1525" w:type="dxa"/>
          </w:tcPr>
          <w:p>
            <w:pPr>
              <w:pStyle w:val="TableParagraph"/>
              <w:spacing w:line="197" w:lineRule="exact"/>
              <w:ind w:left="465" w:right="208"/>
              <w:rPr>
                <w:sz w:val="18"/>
              </w:rPr>
            </w:pPr>
            <w:r>
              <w:rPr>
                <w:sz w:val="18"/>
              </w:rPr>
              <w:t>(0.13323)</w:t>
            </w:r>
          </w:p>
        </w:tc>
        <w:tc>
          <w:tcPr>
            <w:tcW w:w="1313" w:type="dxa"/>
          </w:tcPr>
          <w:p>
            <w:pPr>
              <w:pStyle w:val="TableParagraph"/>
              <w:spacing w:line="197" w:lineRule="exact"/>
              <w:ind w:left="254" w:right="209"/>
              <w:rPr>
                <w:sz w:val="18"/>
              </w:rPr>
            </w:pPr>
            <w:r>
              <w:rPr>
                <w:sz w:val="18"/>
              </w:rPr>
              <w:t>(0.53112)</w:t>
            </w:r>
          </w:p>
        </w:tc>
        <w:tc>
          <w:tcPr>
            <w:tcW w:w="1305" w:type="dxa"/>
          </w:tcPr>
          <w:p>
            <w:pPr>
              <w:pStyle w:val="TableParagraph"/>
              <w:spacing w:line="197" w:lineRule="exact"/>
              <w:ind w:left="254" w:right="200"/>
              <w:rPr>
                <w:sz w:val="18"/>
              </w:rPr>
            </w:pPr>
            <w:r>
              <w:rPr>
                <w:sz w:val="18"/>
              </w:rPr>
              <w:t>(0.51753)</w:t>
            </w:r>
          </w:p>
        </w:tc>
        <w:tc>
          <w:tcPr>
            <w:tcW w:w="1330" w:type="dxa"/>
          </w:tcPr>
          <w:p>
            <w:pPr>
              <w:pStyle w:val="TableParagraph"/>
              <w:spacing w:line="197" w:lineRule="exact"/>
              <w:ind w:left="335"/>
              <w:jc w:val="left"/>
              <w:rPr>
                <w:sz w:val="18"/>
              </w:rPr>
            </w:pPr>
            <w:r>
              <w:rPr>
                <w:sz w:val="18"/>
              </w:rPr>
              <w:t>(0.06322)</w:t>
            </w:r>
          </w:p>
        </w:tc>
        <w:tc>
          <w:tcPr>
            <w:tcW w:w="1305" w:type="dxa"/>
          </w:tcPr>
          <w:p>
            <w:pPr>
              <w:pStyle w:val="TableParagraph"/>
              <w:spacing w:line="197" w:lineRule="exact"/>
              <w:ind w:left="246" w:right="210"/>
              <w:rPr>
                <w:sz w:val="18"/>
              </w:rPr>
            </w:pPr>
            <w:r>
              <w:rPr>
                <w:sz w:val="18"/>
              </w:rPr>
              <w:t>(0.46451)</w:t>
            </w:r>
          </w:p>
        </w:tc>
      </w:tr>
      <w:tr>
        <w:trPr>
          <w:trHeight w:val="311" w:hRule="exact"/>
        </w:trPr>
        <w:tc>
          <w:tcPr>
            <w:tcW w:w="2013" w:type="dxa"/>
          </w:tcPr>
          <w:p>
            <w:pPr/>
          </w:p>
        </w:tc>
        <w:tc>
          <w:tcPr>
            <w:tcW w:w="1525" w:type="dxa"/>
          </w:tcPr>
          <w:p>
            <w:pPr>
              <w:pStyle w:val="TableParagraph"/>
              <w:spacing w:line="197" w:lineRule="exact"/>
              <w:ind w:left="465" w:right="254"/>
              <w:rPr>
                <w:sz w:val="18"/>
              </w:rPr>
            </w:pPr>
            <w:r>
              <w:rPr>
                <w:sz w:val="18"/>
              </w:rPr>
              <w:t>[-0.19835]</w:t>
            </w:r>
          </w:p>
        </w:tc>
        <w:tc>
          <w:tcPr>
            <w:tcW w:w="1313" w:type="dxa"/>
          </w:tcPr>
          <w:p>
            <w:pPr>
              <w:pStyle w:val="TableParagraph"/>
              <w:spacing w:line="197" w:lineRule="exact"/>
              <w:ind w:left="254" w:right="254"/>
              <w:rPr>
                <w:sz w:val="18"/>
              </w:rPr>
            </w:pPr>
            <w:r>
              <w:rPr>
                <w:sz w:val="18"/>
              </w:rPr>
              <w:t>[ 0.43770]</w:t>
            </w:r>
          </w:p>
        </w:tc>
        <w:tc>
          <w:tcPr>
            <w:tcW w:w="1305" w:type="dxa"/>
          </w:tcPr>
          <w:p>
            <w:pPr>
              <w:pStyle w:val="TableParagraph"/>
              <w:spacing w:line="197" w:lineRule="exact"/>
              <w:ind w:left="252" w:right="246"/>
              <w:rPr>
                <w:sz w:val="18"/>
              </w:rPr>
            </w:pPr>
            <w:r>
              <w:rPr>
                <w:sz w:val="18"/>
              </w:rPr>
              <w:t>[ 0.19859]</w:t>
            </w:r>
          </w:p>
        </w:tc>
        <w:tc>
          <w:tcPr>
            <w:tcW w:w="1330" w:type="dxa"/>
          </w:tcPr>
          <w:p>
            <w:pPr>
              <w:pStyle w:val="TableParagraph"/>
              <w:spacing w:line="197" w:lineRule="exact"/>
              <w:ind w:left="289"/>
              <w:jc w:val="left"/>
              <w:rPr>
                <w:sz w:val="18"/>
              </w:rPr>
            </w:pPr>
            <w:r>
              <w:rPr>
                <w:sz w:val="18"/>
              </w:rPr>
              <w:t>[ 1.31919]</w:t>
            </w:r>
          </w:p>
        </w:tc>
        <w:tc>
          <w:tcPr>
            <w:tcW w:w="1305" w:type="dxa"/>
          </w:tcPr>
          <w:p>
            <w:pPr>
              <w:pStyle w:val="TableParagraph"/>
              <w:spacing w:line="197" w:lineRule="exact"/>
              <w:ind w:left="244" w:right="253"/>
              <w:rPr>
                <w:sz w:val="18"/>
              </w:rPr>
            </w:pPr>
            <w:r>
              <w:rPr>
                <w:sz w:val="18"/>
              </w:rPr>
              <w:t>[ 1.12108]</w:t>
            </w:r>
          </w:p>
        </w:tc>
      </w:tr>
      <w:tr>
        <w:trPr>
          <w:trHeight w:val="311" w:hRule="exact"/>
        </w:trPr>
        <w:tc>
          <w:tcPr>
            <w:tcW w:w="2013" w:type="dxa"/>
          </w:tcPr>
          <w:p>
            <w:pPr/>
          </w:p>
        </w:tc>
        <w:tc>
          <w:tcPr>
            <w:tcW w:w="1525" w:type="dxa"/>
          </w:tcPr>
          <w:p>
            <w:pPr>
              <w:pStyle w:val="TableParagraph"/>
              <w:spacing w:before="94"/>
              <w:ind w:left="464" w:right="254"/>
              <w:rPr>
                <w:sz w:val="18"/>
              </w:rPr>
            </w:pPr>
            <w:r>
              <w:rPr>
                <w:sz w:val="18"/>
              </w:rPr>
              <w:t>-0.050071</w:t>
            </w:r>
          </w:p>
        </w:tc>
        <w:tc>
          <w:tcPr>
            <w:tcW w:w="1313" w:type="dxa"/>
          </w:tcPr>
          <w:p>
            <w:pPr>
              <w:pStyle w:val="TableParagraph"/>
              <w:spacing w:before="94"/>
              <w:ind w:left="253" w:right="254"/>
              <w:rPr>
                <w:sz w:val="18"/>
              </w:rPr>
            </w:pPr>
            <w:r>
              <w:rPr>
                <w:sz w:val="18"/>
              </w:rPr>
              <w:t>-0.253033</w:t>
            </w:r>
          </w:p>
        </w:tc>
        <w:tc>
          <w:tcPr>
            <w:tcW w:w="1305" w:type="dxa"/>
          </w:tcPr>
          <w:p>
            <w:pPr>
              <w:pStyle w:val="TableParagraph"/>
              <w:spacing w:before="94"/>
              <w:ind w:left="253" w:right="246"/>
              <w:rPr>
                <w:sz w:val="18"/>
              </w:rPr>
            </w:pPr>
            <w:r>
              <w:rPr>
                <w:sz w:val="18"/>
              </w:rPr>
              <w:t>-0.231942</w:t>
            </w:r>
          </w:p>
        </w:tc>
        <w:tc>
          <w:tcPr>
            <w:tcW w:w="1330" w:type="dxa"/>
          </w:tcPr>
          <w:p>
            <w:pPr>
              <w:pStyle w:val="TableParagraph"/>
              <w:spacing w:before="94"/>
              <w:ind w:left="297"/>
              <w:jc w:val="left"/>
              <w:rPr>
                <w:sz w:val="18"/>
              </w:rPr>
            </w:pPr>
            <w:r>
              <w:rPr>
                <w:sz w:val="18"/>
              </w:rPr>
              <w:t>-0.088994</w:t>
            </w:r>
          </w:p>
        </w:tc>
        <w:tc>
          <w:tcPr>
            <w:tcW w:w="1305" w:type="dxa"/>
          </w:tcPr>
          <w:p>
            <w:pPr>
              <w:pStyle w:val="TableParagraph"/>
              <w:spacing w:before="94"/>
              <w:ind w:left="245" w:right="253"/>
              <w:rPr>
                <w:sz w:val="18"/>
              </w:rPr>
            </w:pPr>
            <w:r>
              <w:rPr>
                <w:sz w:val="18"/>
              </w:rPr>
              <w:t>-0.429966</w:t>
            </w:r>
          </w:p>
        </w:tc>
      </w:tr>
      <w:tr>
        <w:trPr>
          <w:trHeight w:val="207" w:hRule="exact"/>
        </w:trPr>
        <w:tc>
          <w:tcPr>
            <w:tcW w:w="2013" w:type="dxa"/>
          </w:tcPr>
          <w:p>
            <w:pPr>
              <w:pStyle w:val="TableParagraph"/>
              <w:spacing w:line="197" w:lineRule="exact"/>
              <w:ind w:right="536"/>
              <w:jc w:val="right"/>
              <w:rPr>
                <w:sz w:val="18"/>
              </w:rPr>
            </w:pPr>
            <w:r>
              <w:rPr>
                <w:sz w:val="18"/>
              </w:rPr>
              <w:t>lyauto(-3)</w:t>
            </w:r>
          </w:p>
        </w:tc>
        <w:tc>
          <w:tcPr>
            <w:tcW w:w="1525" w:type="dxa"/>
          </w:tcPr>
          <w:p>
            <w:pPr>
              <w:pStyle w:val="TableParagraph"/>
              <w:spacing w:line="197" w:lineRule="exact"/>
              <w:ind w:left="465" w:right="208"/>
              <w:rPr>
                <w:sz w:val="18"/>
              </w:rPr>
            </w:pPr>
            <w:r>
              <w:rPr>
                <w:sz w:val="18"/>
              </w:rPr>
              <w:t>(0.12909)</w:t>
            </w:r>
          </w:p>
        </w:tc>
        <w:tc>
          <w:tcPr>
            <w:tcW w:w="1313" w:type="dxa"/>
          </w:tcPr>
          <w:p>
            <w:pPr>
              <w:pStyle w:val="TableParagraph"/>
              <w:spacing w:line="197" w:lineRule="exact"/>
              <w:ind w:left="254" w:right="209"/>
              <w:rPr>
                <w:sz w:val="18"/>
              </w:rPr>
            </w:pPr>
            <w:r>
              <w:rPr>
                <w:sz w:val="18"/>
              </w:rPr>
              <w:t>(0.51461)</w:t>
            </w:r>
          </w:p>
        </w:tc>
        <w:tc>
          <w:tcPr>
            <w:tcW w:w="1305" w:type="dxa"/>
          </w:tcPr>
          <w:p>
            <w:pPr>
              <w:pStyle w:val="TableParagraph"/>
              <w:spacing w:line="197" w:lineRule="exact"/>
              <w:ind w:left="254" w:right="200"/>
              <w:rPr>
                <w:sz w:val="18"/>
              </w:rPr>
            </w:pPr>
            <w:r>
              <w:rPr>
                <w:sz w:val="18"/>
              </w:rPr>
              <w:t>(0.50145)</w:t>
            </w:r>
          </w:p>
        </w:tc>
        <w:tc>
          <w:tcPr>
            <w:tcW w:w="1330" w:type="dxa"/>
          </w:tcPr>
          <w:p>
            <w:pPr>
              <w:pStyle w:val="TableParagraph"/>
              <w:spacing w:line="197" w:lineRule="exact"/>
              <w:ind w:left="335"/>
              <w:jc w:val="left"/>
              <w:rPr>
                <w:sz w:val="18"/>
              </w:rPr>
            </w:pPr>
            <w:r>
              <w:rPr>
                <w:sz w:val="18"/>
              </w:rPr>
              <w:t>(0.06125)</w:t>
            </w:r>
          </w:p>
        </w:tc>
        <w:tc>
          <w:tcPr>
            <w:tcW w:w="1305" w:type="dxa"/>
          </w:tcPr>
          <w:p>
            <w:pPr>
              <w:pStyle w:val="TableParagraph"/>
              <w:spacing w:line="197" w:lineRule="exact"/>
              <w:ind w:left="246" w:right="210"/>
              <w:rPr>
                <w:sz w:val="18"/>
              </w:rPr>
            </w:pPr>
            <w:r>
              <w:rPr>
                <w:sz w:val="18"/>
              </w:rPr>
              <w:t>(0.45008)</w:t>
            </w:r>
          </w:p>
        </w:tc>
      </w:tr>
      <w:tr>
        <w:trPr>
          <w:trHeight w:val="311" w:hRule="exact"/>
        </w:trPr>
        <w:tc>
          <w:tcPr>
            <w:tcW w:w="2013" w:type="dxa"/>
          </w:tcPr>
          <w:p>
            <w:pPr/>
          </w:p>
        </w:tc>
        <w:tc>
          <w:tcPr>
            <w:tcW w:w="1525" w:type="dxa"/>
          </w:tcPr>
          <w:p>
            <w:pPr>
              <w:pStyle w:val="TableParagraph"/>
              <w:spacing w:line="197" w:lineRule="exact"/>
              <w:ind w:left="465" w:right="254"/>
              <w:rPr>
                <w:sz w:val="18"/>
              </w:rPr>
            </w:pPr>
            <w:r>
              <w:rPr>
                <w:sz w:val="18"/>
              </w:rPr>
              <w:t>[-0.38787]</w:t>
            </w:r>
          </w:p>
        </w:tc>
        <w:tc>
          <w:tcPr>
            <w:tcW w:w="1313" w:type="dxa"/>
          </w:tcPr>
          <w:p>
            <w:pPr>
              <w:pStyle w:val="TableParagraph"/>
              <w:spacing w:line="197" w:lineRule="exact"/>
              <w:ind w:left="254" w:right="254"/>
              <w:rPr>
                <w:sz w:val="18"/>
              </w:rPr>
            </w:pPr>
            <w:r>
              <w:rPr>
                <w:sz w:val="18"/>
              </w:rPr>
              <w:t>[-0.49169]</w:t>
            </w:r>
          </w:p>
        </w:tc>
        <w:tc>
          <w:tcPr>
            <w:tcW w:w="1305" w:type="dxa"/>
          </w:tcPr>
          <w:p>
            <w:pPr>
              <w:pStyle w:val="TableParagraph"/>
              <w:spacing w:line="197" w:lineRule="exact"/>
              <w:ind w:left="254" w:right="246"/>
              <w:rPr>
                <w:sz w:val="18"/>
              </w:rPr>
            </w:pPr>
            <w:r>
              <w:rPr>
                <w:sz w:val="18"/>
              </w:rPr>
              <w:t>[-0.46255]</w:t>
            </w:r>
          </w:p>
        </w:tc>
        <w:tc>
          <w:tcPr>
            <w:tcW w:w="1330" w:type="dxa"/>
          </w:tcPr>
          <w:p>
            <w:pPr>
              <w:pStyle w:val="TableParagraph"/>
              <w:spacing w:line="197" w:lineRule="exact"/>
              <w:ind w:left="282"/>
              <w:jc w:val="left"/>
              <w:rPr>
                <w:sz w:val="18"/>
              </w:rPr>
            </w:pPr>
            <w:r>
              <w:rPr>
                <w:sz w:val="18"/>
              </w:rPr>
              <w:t>[-1.45288]</w:t>
            </w:r>
          </w:p>
        </w:tc>
        <w:tc>
          <w:tcPr>
            <w:tcW w:w="1305" w:type="dxa"/>
          </w:tcPr>
          <w:p>
            <w:pPr>
              <w:pStyle w:val="TableParagraph"/>
              <w:spacing w:line="197" w:lineRule="exact"/>
              <w:ind w:left="246" w:right="253"/>
              <w:rPr>
                <w:sz w:val="18"/>
              </w:rPr>
            </w:pPr>
            <w:r>
              <w:rPr>
                <w:sz w:val="18"/>
              </w:rPr>
              <w:t>[-0.95531]</w:t>
            </w:r>
          </w:p>
        </w:tc>
      </w:tr>
      <w:tr>
        <w:trPr>
          <w:trHeight w:val="311" w:hRule="exact"/>
        </w:trPr>
        <w:tc>
          <w:tcPr>
            <w:tcW w:w="2013" w:type="dxa"/>
          </w:tcPr>
          <w:p>
            <w:pPr/>
          </w:p>
        </w:tc>
        <w:tc>
          <w:tcPr>
            <w:tcW w:w="1525" w:type="dxa"/>
          </w:tcPr>
          <w:p>
            <w:pPr>
              <w:pStyle w:val="TableParagraph"/>
              <w:spacing w:before="94"/>
              <w:ind w:left="465" w:right="209"/>
              <w:rPr>
                <w:sz w:val="18"/>
              </w:rPr>
            </w:pPr>
            <w:r>
              <w:rPr>
                <w:sz w:val="18"/>
              </w:rPr>
              <w:t>0.104005</w:t>
            </w:r>
          </w:p>
        </w:tc>
        <w:tc>
          <w:tcPr>
            <w:tcW w:w="1313" w:type="dxa"/>
          </w:tcPr>
          <w:p>
            <w:pPr>
              <w:pStyle w:val="TableParagraph"/>
              <w:spacing w:before="94"/>
              <w:ind w:left="254" w:right="210"/>
              <w:rPr>
                <w:sz w:val="18"/>
              </w:rPr>
            </w:pPr>
            <w:r>
              <w:rPr>
                <w:sz w:val="18"/>
              </w:rPr>
              <w:t>0.509597</w:t>
            </w:r>
          </w:p>
        </w:tc>
        <w:tc>
          <w:tcPr>
            <w:tcW w:w="1305" w:type="dxa"/>
          </w:tcPr>
          <w:p>
            <w:pPr>
              <w:pStyle w:val="TableParagraph"/>
              <w:spacing w:before="94"/>
              <w:ind w:left="254" w:right="202"/>
              <w:rPr>
                <w:sz w:val="18"/>
              </w:rPr>
            </w:pPr>
            <w:r>
              <w:rPr>
                <w:sz w:val="18"/>
              </w:rPr>
              <w:t>0.120197</w:t>
            </w:r>
          </w:p>
        </w:tc>
        <w:tc>
          <w:tcPr>
            <w:tcW w:w="1330" w:type="dxa"/>
          </w:tcPr>
          <w:p>
            <w:pPr>
              <w:pStyle w:val="TableParagraph"/>
              <w:spacing w:before="94"/>
              <w:ind w:left="349"/>
              <w:jc w:val="left"/>
              <w:rPr>
                <w:sz w:val="18"/>
              </w:rPr>
            </w:pPr>
            <w:r>
              <w:rPr>
                <w:sz w:val="18"/>
              </w:rPr>
              <w:t>0.050416</w:t>
            </w:r>
          </w:p>
        </w:tc>
        <w:tc>
          <w:tcPr>
            <w:tcW w:w="1305" w:type="dxa"/>
          </w:tcPr>
          <w:p>
            <w:pPr>
              <w:pStyle w:val="TableParagraph"/>
              <w:spacing w:before="94"/>
              <w:ind w:left="246" w:right="211"/>
              <w:rPr>
                <w:sz w:val="18"/>
              </w:rPr>
            </w:pPr>
            <w:r>
              <w:rPr>
                <w:sz w:val="18"/>
              </w:rPr>
              <w:t>0.214313</w:t>
            </w:r>
          </w:p>
        </w:tc>
      </w:tr>
      <w:tr>
        <w:trPr>
          <w:trHeight w:val="206" w:hRule="exact"/>
        </w:trPr>
        <w:tc>
          <w:tcPr>
            <w:tcW w:w="2013" w:type="dxa"/>
          </w:tcPr>
          <w:p>
            <w:pPr>
              <w:pStyle w:val="TableParagraph"/>
              <w:spacing w:line="197" w:lineRule="exact"/>
              <w:ind w:right="536"/>
              <w:jc w:val="right"/>
              <w:rPr>
                <w:sz w:val="18"/>
              </w:rPr>
            </w:pPr>
            <w:r>
              <w:rPr>
                <w:sz w:val="18"/>
              </w:rPr>
              <w:t>lyauto(-4)</w:t>
            </w:r>
          </w:p>
        </w:tc>
        <w:tc>
          <w:tcPr>
            <w:tcW w:w="1525" w:type="dxa"/>
          </w:tcPr>
          <w:p>
            <w:pPr>
              <w:pStyle w:val="TableParagraph"/>
              <w:spacing w:line="197" w:lineRule="exact"/>
              <w:ind w:left="465" w:right="208"/>
              <w:rPr>
                <w:sz w:val="18"/>
              </w:rPr>
            </w:pPr>
            <w:r>
              <w:rPr>
                <w:sz w:val="18"/>
              </w:rPr>
              <w:t>(0.09150)</w:t>
            </w:r>
          </w:p>
        </w:tc>
        <w:tc>
          <w:tcPr>
            <w:tcW w:w="1313" w:type="dxa"/>
          </w:tcPr>
          <w:p>
            <w:pPr>
              <w:pStyle w:val="TableParagraph"/>
              <w:spacing w:line="197" w:lineRule="exact"/>
              <w:ind w:left="254" w:right="209"/>
              <w:rPr>
                <w:sz w:val="18"/>
              </w:rPr>
            </w:pPr>
            <w:r>
              <w:rPr>
                <w:sz w:val="18"/>
              </w:rPr>
              <w:t>(0.36476)</w:t>
            </w:r>
          </w:p>
        </w:tc>
        <w:tc>
          <w:tcPr>
            <w:tcW w:w="1305" w:type="dxa"/>
          </w:tcPr>
          <w:p>
            <w:pPr>
              <w:pStyle w:val="TableParagraph"/>
              <w:spacing w:line="197" w:lineRule="exact"/>
              <w:ind w:left="254" w:right="200"/>
              <w:rPr>
                <w:sz w:val="18"/>
              </w:rPr>
            </w:pPr>
            <w:r>
              <w:rPr>
                <w:sz w:val="18"/>
              </w:rPr>
              <w:t>(0.35543)</w:t>
            </w:r>
          </w:p>
        </w:tc>
        <w:tc>
          <w:tcPr>
            <w:tcW w:w="1330" w:type="dxa"/>
          </w:tcPr>
          <w:p>
            <w:pPr>
              <w:pStyle w:val="TableParagraph"/>
              <w:spacing w:line="197" w:lineRule="exact"/>
              <w:ind w:left="335"/>
              <w:jc w:val="left"/>
              <w:rPr>
                <w:sz w:val="18"/>
              </w:rPr>
            </w:pPr>
            <w:r>
              <w:rPr>
                <w:sz w:val="18"/>
              </w:rPr>
              <w:t>(0.04342)</w:t>
            </w:r>
          </w:p>
        </w:tc>
        <w:tc>
          <w:tcPr>
            <w:tcW w:w="1305" w:type="dxa"/>
          </w:tcPr>
          <w:p>
            <w:pPr>
              <w:pStyle w:val="TableParagraph"/>
              <w:spacing w:line="197" w:lineRule="exact"/>
              <w:ind w:left="246" w:right="210"/>
              <w:rPr>
                <w:sz w:val="18"/>
              </w:rPr>
            </w:pPr>
            <w:r>
              <w:rPr>
                <w:sz w:val="18"/>
              </w:rPr>
              <w:t>(0.31902)</w:t>
            </w:r>
          </w:p>
        </w:tc>
      </w:tr>
      <w:tr>
        <w:trPr>
          <w:trHeight w:val="311" w:hRule="exact"/>
        </w:trPr>
        <w:tc>
          <w:tcPr>
            <w:tcW w:w="2013" w:type="dxa"/>
          </w:tcPr>
          <w:p>
            <w:pPr/>
          </w:p>
        </w:tc>
        <w:tc>
          <w:tcPr>
            <w:tcW w:w="1525" w:type="dxa"/>
          </w:tcPr>
          <w:p>
            <w:pPr>
              <w:pStyle w:val="TableParagraph"/>
              <w:spacing w:line="197" w:lineRule="exact"/>
              <w:ind w:left="463" w:right="254"/>
              <w:rPr>
                <w:sz w:val="18"/>
              </w:rPr>
            </w:pPr>
            <w:r>
              <w:rPr>
                <w:sz w:val="18"/>
              </w:rPr>
              <w:t>[ 1.13668]</w:t>
            </w:r>
          </w:p>
        </w:tc>
        <w:tc>
          <w:tcPr>
            <w:tcW w:w="1313" w:type="dxa"/>
          </w:tcPr>
          <w:p>
            <w:pPr>
              <w:pStyle w:val="TableParagraph"/>
              <w:spacing w:line="197" w:lineRule="exact"/>
              <w:ind w:left="254" w:right="254"/>
              <w:rPr>
                <w:sz w:val="18"/>
              </w:rPr>
            </w:pPr>
            <w:r>
              <w:rPr>
                <w:sz w:val="18"/>
              </w:rPr>
              <w:t>[ 1.39707]</w:t>
            </w:r>
          </w:p>
        </w:tc>
        <w:tc>
          <w:tcPr>
            <w:tcW w:w="1305" w:type="dxa"/>
          </w:tcPr>
          <w:p>
            <w:pPr>
              <w:pStyle w:val="TableParagraph"/>
              <w:spacing w:line="197" w:lineRule="exact"/>
              <w:ind w:left="252" w:right="246"/>
              <w:rPr>
                <w:sz w:val="18"/>
              </w:rPr>
            </w:pPr>
            <w:r>
              <w:rPr>
                <w:sz w:val="18"/>
              </w:rPr>
              <w:t>[ 0.33818]</w:t>
            </w:r>
          </w:p>
        </w:tc>
        <w:tc>
          <w:tcPr>
            <w:tcW w:w="1330" w:type="dxa"/>
          </w:tcPr>
          <w:p>
            <w:pPr>
              <w:pStyle w:val="TableParagraph"/>
              <w:spacing w:line="197" w:lineRule="exact"/>
              <w:ind w:left="289"/>
              <w:jc w:val="left"/>
              <w:rPr>
                <w:sz w:val="18"/>
              </w:rPr>
            </w:pPr>
            <w:r>
              <w:rPr>
                <w:sz w:val="18"/>
              </w:rPr>
              <w:t>[ 1.16122]</w:t>
            </w:r>
          </w:p>
        </w:tc>
        <w:tc>
          <w:tcPr>
            <w:tcW w:w="1305" w:type="dxa"/>
          </w:tcPr>
          <w:p>
            <w:pPr>
              <w:pStyle w:val="TableParagraph"/>
              <w:spacing w:line="197" w:lineRule="exact"/>
              <w:ind w:left="244" w:right="253"/>
              <w:rPr>
                <w:sz w:val="18"/>
              </w:rPr>
            </w:pPr>
            <w:r>
              <w:rPr>
                <w:sz w:val="18"/>
              </w:rPr>
              <w:t>[ 0.67179]</w:t>
            </w:r>
          </w:p>
        </w:tc>
      </w:tr>
      <w:tr>
        <w:trPr>
          <w:trHeight w:val="311" w:hRule="exact"/>
        </w:trPr>
        <w:tc>
          <w:tcPr>
            <w:tcW w:w="2013" w:type="dxa"/>
          </w:tcPr>
          <w:p>
            <w:pPr/>
          </w:p>
        </w:tc>
        <w:tc>
          <w:tcPr>
            <w:tcW w:w="1525" w:type="dxa"/>
          </w:tcPr>
          <w:p>
            <w:pPr>
              <w:pStyle w:val="TableParagraph"/>
              <w:spacing w:before="94"/>
              <w:ind w:left="464" w:right="254"/>
              <w:rPr>
                <w:sz w:val="18"/>
              </w:rPr>
            </w:pPr>
            <w:r>
              <w:rPr>
                <w:sz w:val="18"/>
              </w:rPr>
              <w:t>-0.188513</w:t>
            </w:r>
          </w:p>
        </w:tc>
        <w:tc>
          <w:tcPr>
            <w:tcW w:w="1313" w:type="dxa"/>
          </w:tcPr>
          <w:p>
            <w:pPr>
              <w:pStyle w:val="TableParagraph"/>
              <w:spacing w:before="94"/>
              <w:ind w:left="253" w:right="254"/>
              <w:rPr>
                <w:sz w:val="18"/>
              </w:rPr>
            </w:pPr>
            <w:r>
              <w:rPr>
                <w:sz w:val="18"/>
              </w:rPr>
              <w:t>-0.684458</w:t>
            </w:r>
          </w:p>
        </w:tc>
        <w:tc>
          <w:tcPr>
            <w:tcW w:w="1305" w:type="dxa"/>
          </w:tcPr>
          <w:p>
            <w:pPr>
              <w:pStyle w:val="TableParagraph"/>
              <w:spacing w:before="94"/>
              <w:ind w:left="254" w:right="202"/>
              <w:rPr>
                <w:sz w:val="18"/>
              </w:rPr>
            </w:pPr>
            <w:r>
              <w:rPr>
                <w:sz w:val="18"/>
              </w:rPr>
              <w:t>0.955476</w:t>
            </w:r>
          </w:p>
        </w:tc>
        <w:tc>
          <w:tcPr>
            <w:tcW w:w="1330" w:type="dxa"/>
          </w:tcPr>
          <w:p>
            <w:pPr>
              <w:pStyle w:val="TableParagraph"/>
              <w:spacing w:before="94"/>
              <w:ind w:left="297"/>
              <w:jc w:val="left"/>
              <w:rPr>
                <w:sz w:val="18"/>
              </w:rPr>
            </w:pPr>
            <w:r>
              <w:rPr>
                <w:sz w:val="18"/>
              </w:rPr>
              <w:t>-0.046960</w:t>
            </w:r>
          </w:p>
        </w:tc>
        <w:tc>
          <w:tcPr>
            <w:tcW w:w="1305" w:type="dxa"/>
          </w:tcPr>
          <w:p>
            <w:pPr>
              <w:pStyle w:val="TableParagraph"/>
              <w:spacing w:before="94"/>
              <w:ind w:left="245" w:right="253"/>
              <w:rPr>
                <w:sz w:val="18"/>
              </w:rPr>
            </w:pPr>
            <w:r>
              <w:rPr>
                <w:sz w:val="18"/>
              </w:rPr>
              <w:t>-0.491968</w:t>
            </w:r>
          </w:p>
        </w:tc>
      </w:tr>
      <w:tr>
        <w:trPr>
          <w:trHeight w:val="206" w:hRule="exact"/>
        </w:trPr>
        <w:tc>
          <w:tcPr>
            <w:tcW w:w="2013" w:type="dxa"/>
          </w:tcPr>
          <w:p>
            <w:pPr>
              <w:pStyle w:val="TableParagraph"/>
              <w:spacing w:line="197" w:lineRule="exact"/>
              <w:ind w:right="558"/>
              <w:jc w:val="right"/>
              <w:rPr>
                <w:sz w:val="18"/>
              </w:rPr>
            </w:pPr>
            <w:r>
              <w:rPr>
                <w:sz w:val="18"/>
              </w:rPr>
              <w:t>lqreal(-1)</w:t>
            </w:r>
          </w:p>
        </w:tc>
        <w:tc>
          <w:tcPr>
            <w:tcW w:w="1525" w:type="dxa"/>
          </w:tcPr>
          <w:p>
            <w:pPr>
              <w:pStyle w:val="TableParagraph"/>
              <w:spacing w:line="197" w:lineRule="exact"/>
              <w:ind w:left="465" w:right="208"/>
              <w:rPr>
                <w:sz w:val="18"/>
              </w:rPr>
            </w:pPr>
            <w:r>
              <w:rPr>
                <w:sz w:val="18"/>
              </w:rPr>
              <w:t>(0.03239)</w:t>
            </w:r>
          </w:p>
        </w:tc>
        <w:tc>
          <w:tcPr>
            <w:tcW w:w="1313" w:type="dxa"/>
          </w:tcPr>
          <w:p>
            <w:pPr>
              <w:pStyle w:val="TableParagraph"/>
              <w:spacing w:line="197" w:lineRule="exact"/>
              <w:ind w:left="254" w:right="209"/>
              <w:rPr>
                <w:sz w:val="18"/>
              </w:rPr>
            </w:pPr>
            <w:r>
              <w:rPr>
                <w:sz w:val="18"/>
              </w:rPr>
              <w:t>(0.12914)</w:t>
            </w:r>
          </w:p>
        </w:tc>
        <w:tc>
          <w:tcPr>
            <w:tcW w:w="1305" w:type="dxa"/>
          </w:tcPr>
          <w:p>
            <w:pPr>
              <w:pStyle w:val="TableParagraph"/>
              <w:spacing w:line="197" w:lineRule="exact"/>
              <w:ind w:left="254" w:right="200"/>
              <w:rPr>
                <w:sz w:val="18"/>
              </w:rPr>
            </w:pPr>
            <w:r>
              <w:rPr>
                <w:sz w:val="18"/>
              </w:rPr>
              <w:t>(0.12583)</w:t>
            </w:r>
          </w:p>
        </w:tc>
        <w:tc>
          <w:tcPr>
            <w:tcW w:w="1330" w:type="dxa"/>
          </w:tcPr>
          <w:p>
            <w:pPr>
              <w:pStyle w:val="TableParagraph"/>
              <w:spacing w:line="197" w:lineRule="exact"/>
              <w:ind w:left="335"/>
              <w:jc w:val="left"/>
              <w:rPr>
                <w:sz w:val="18"/>
              </w:rPr>
            </w:pPr>
            <w:r>
              <w:rPr>
                <w:sz w:val="18"/>
              </w:rPr>
              <w:t>(0.01537)</w:t>
            </w:r>
          </w:p>
        </w:tc>
        <w:tc>
          <w:tcPr>
            <w:tcW w:w="1305" w:type="dxa"/>
          </w:tcPr>
          <w:p>
            <w:pPr>
              <w:pStyle w:val="TableParagraph"/>
              <w:spacing w:line="197" w:lineRule="exact"/>
              <w:ind w:left="246" w:right="210"/>
              <w:rPr>
                <w:sz w:val="18"/>
              </w:rPr>
            </w:pPr>
            <w:r>
              <w:rPr>
                <w:sz w:val="18"/>
              </w:rPr>
              <w:t>(0.11294)</w:t>
            </w:r>
          </w:p>
        </w:tc>
      </w:tr>
      <w:tr>
        <w:trPr>
          <w:trHeight w:val="311" w:hRule="exact"/>
        </w:trPr>
        <w:tc>
          <w:tcPr>
            <w:tcW w:w="2013" w:type="dxa"/>
          </w:tcPr>
          <w:p>
            <w:pPr/>
          </w:p>
        </w:tc>
        <w:tc>
          <w:tcPr>
            <w:tcW w:w="1525" w:type="dxa"/>
          </w:tcPr>
          <w:p>
            <w:pPr>
              <w:pStyle w:val="TableParagraph"/>
              <w:spacing w:line="197" w:lineRule="exact"/>
              <w:ind w:left="465" w:right="254"/>
              <w:rPr>
                <w:sz w:val="18"/>
              </w:rPr>
            </w:pPr>
            <w:r>
              <w:rPr>
                <w:sz w:val="18"/>
              </w:rPr>
              <w:t>[-5.81937]</w:t>
            </w:r>
          </w:p>
        </w:tc>
        <w:tc>
          <w:tcPr>
            <w:tcW w:w="1313" w:type="dxa"/>
          </w:tcPr>
          <w:p>
            <w:pPr>
              <w:pStyle w:val="TableParagraph"/>
              <w:spacing w:line="197" w:lineRule="exact"/>
              <w:ind w:left="254" w:right="254"/>
              <w:rPr>
                <w:sz w:val="18"/>
              </w:rPr>
            </w:pPr>
            <w:r>
              <w:rPr>
                <w:sz w:val="18"/>
              </w:rPr>
              <w:t>[-5.30020]</w:t>
            </w:r>
          </w:p>
        </w:tc>
        <w:tc>
          <w:tcPr>
            <w:tcW w:w="1305" w:type="dxa"/>
          </w:tcPr>
          <w:p>
            <w:pPr>
              <w:pStyle w:val="TableParagraph"/>
              <w:spacing w:line="197" w:lineRule="exact"/>
              <w:ind w:left="252" w:right="246"/>
              <w:rPr>
                <w:sz w:val="18"/>
              </w:rPr>
            </w:pPr>
            <w:r>
              <w:rPr>
                <w:sz w:val="18"/>
              </w:rPr>
              <w:t>[ 7.59316]</w:t>
            </w:r>
          </w:p>
        </w:tc>
        <w:tc>
          <w:tcPr>
            <w:tcW w:w="1330" w:type="dxa"/>
          </w:tcPr>
          <w:p>
            <w:pPr>
              <w:pStyle w:val="TableParagraph"/>
              <w:spacing w:line="197" w:lineRule="exact"/>
              <w:ind w:left="282"/>
              <w:jc w:val="left"/>
              <w:rPr>
                <w:sz w:val="18"/>
              </w:rPr>
            </w:pPr>
            <w:r>
              <w:rPr>
                <w:sz w:val="18"/>
              </w:rPr>
              <w:t>[-3.05512]</w:t>
            </w:r>
          </w:p>
        </w:tc>
        <w:tc>
          <w:tcPr>
            <w:tcW w:w="1305" w:type="dxa"/>
          </w:tcPr>
          <w:p>
            <w:pPr>
              <w:pStyle w:val="TableParagraph"/>
              <w:spacing w:line="197" w:lineRule="exact"/>
              <w:ind w:left="246" w:right="253"/>
              <w:rPr>
                <w:sz w:val="18"/>
              </w:rPr>
            </w:pPr>
            <w:r>
              <w:rPr>
                <w:sz w:val="18"/>
              </w:rPr>
              <w:t>[-4.35587]</w:t>
            </w:r>
          </w:p>
        </w:tc>
      </w:tr>
      <w:tr>
        <w:trPr>
          <w:trHeight w:val="311" w:hRule="exact"/>
        </w:trPr>
        <w:tc>
          <w:tcPr>
            <w:tcW w:w="2013" w:type="dxa"/>
          </w:tcPr>
          <w:p>
            <w:pPr/>
          </w:p>
        </w:tc>
        <w:tc>
          <w:tcPr>
            <w:tcW w:w="1525" w:type="dxa"/>
          </w:tcPr>
          <w:p>
            <w:pPr>
              <w:pStyle w:val="TableParagraph"/>
              <w:spacing w:before="94"/>
              <w:ind w:left="465" w:right="209"/>
              <w:rPr>
                <w:sz w:val="18"/>
              </w:rPr>
            </w:pPr>
            <w:r>
              <w:rPr>
                <w:sz w:val="18"/>
              </w:rPr>
              <w:t>0.064204</w:t>
            </w:r>
          </w:p>
        </w:tc>
        <w:tc>
          <w:tcPr>
            <w:tcW w:w="1313" w:type="dxa"/>
          </w:tcPr>
          <w:p>
            <w:pPr>
              <w:pStyle w:val="TableParagraph"/>
              <w:spacing w:before="94"/>
              <w:ind w:left="254" w:right="210"/>
              <w:rPr>
                <w:sz w:val="18"/>
              </w:rPr>
            </w:pPr>
            <w:r>
              <w:rPr>
                <w:sz w:val="18"/>
              </w:rPr>
              <w:t>0.689648</w:t>
            </w:r>
          </w:p>
        </w:tc>
        <w:tc>
          <w:tcPr>
            <w:tcW w:w="1305" w:type="dxa"/>
          </w:tcPr>
          <w:p>
            <w:pPr>
              <w:pStyle w:val="TableParagraph"/>
              <w:spacing w:before="94"/>
              <w:ind w:left="253" w:right="246"/>
              <w:rPr>
                <w:sz w:val="18"/>
              </w:rPr>
            </w:pPr>
            <w:r>
              <w:rPr>
                <w:sz w:val="18"/>
              </w:rPr>
              <w:t>-0.134372</w:t>
            </w:r>
          </w:p>
        </w:tc>
        <w:tc>
          <w:tcPr>
            <w:tcW w:w="1330" w:type="dxa"/>
          </w:tcPr>
          <w:p>
            <w:pPr>
              <w:pStyle w:val="TableParagraph"/>
              <w:spacing w:before="94"/>
              <w:ind w:left="349"/>
              <w:jc w:val="left"/>
              <w:rPr>
                <w:sz w:val="18"/>
              </w:rPr>
            </w:pPr>
            <w:r>
              <w:rPr>
                <w:sz w:val="18"/>
              </w:rPr>
              <w:t>0.082238</w:t>
            </w:r>
          </w:p>
        </w:tc>
        <w:tc>
          <w:tcPr>
            <w:tcW w:w="1305" w:type="dxa"/>
          </w:tcPr>
          <w:p>
            <w:pPr>
              <w:pStyle w:val="TableParagraph"/>
              <w:spacing w:before="94"/>
              <w:ind w:left="246" w:right="211"/>
              <w:rPr>
                <w:sz w:val="18"/>
              </w:rPr>
            </w:pPr>
            <w:r>
              <w:rPr>
                <w:sz w:val="18"/>
              </w:rPr>
              <w:t>0.559508</w:t>
            </w:r>
          </w:p>
        </w:tc>
      </w:tr>
      <w:tr>
        <w:trPr>
          <w:trHeight w:val="206" w:hRule="exact"/>
        </w:trPr>
        <w:tc>
          <w:tcPr>
            <w:tcW w:w="2013" w:type="dxa"/>
          </w:tcPr>
          <w:p>
            <w:pPr>
              <w:pStyle w:val="TableParagraph"/>
              <w:spacing w:line="197" w:lineRule="exact"/>
              <w:ind w:right="558"/>
              <w:jc w:val="right"/>
              <w:rPr>
                <w:sz w:val="18"/>
              </w:rPr>
            </w:pPr>
            <w:r>
              <w:rPr>
                <w:sz w:val="18"/>
              </w:rPr>
              <w:t>lqreal(-2)</w:t>
            </w:r>
          </w:p>
        </w:tc>
        <w:tc>
          <w:tcPr>
            <w:tcW w:w="1525" w:type="dxa"/>
          </w:tcPr>
          <w:p>
            <w:pPr>
              <w:pStyle w:val="TableParagraph"/>
              <w:spacing w:line="197" w:lineRule="exact"/>
              <w:ind w:left="465" w:right="208"/>
              <w:rPr>
                <w:sz w:val="18"/>
              </w:rPr>
            </w:pPr>
            <w:r>
              <w:rPr>
                <w:sz w:val="18"/>
              </w:rPr>
              <w:t>(0.04497)</w:t>
            </w:r>
          </w:p>
        </w:tc>
        <w:tc>
          <w:tcPr>
            <w:tcW w:w="1313" w:type="dxa"/>
          </w:tcPr>
          <w:p>
            <w:pPr>
              <w:pStyle w:val="TableParagraph"/>
              <w:spacing w:line="197" w:lineRule="exact"/>
              <w:ind w:left="254" w:right="209"/>
              <w:rPr>
                <w:sz w:val="18"/>
              </w:rPr>
            </w:pPr>
            <w:r>
              <w:rPr>
                <w:sz w:val="18"/>
              </w:rPr>
              <w:t>(0.17928)</w:t>
            </w:r>
          </w:p>
        </w:tc>
        <w:tc>
          <w:tcPr>
            <w:tcW w:w="1305" w:type="dxa"/>
          </w:tcPr>
          <w:p>
            <w:pPr>
              <w:pStyle w:val="TableParagraph"/>
              <w:spacing w:line="197" w:lineRule="exact"/>
              <w:ind w:left="254" w:right="200"/>
              <w:rPr>
                <w:sz w:val="18"/>
              </w:rPr>
            </w:pPr>
            <w:r>
              <w:rPr>
                <w:sz w:val="18"/>
              </w:rPr>
              <w:t>(0.17469)</w:t>
            </w:r>
          </w:p>
        </w:tc>
        <w:tc>
          <w:tcPr>
            <w:tcW w:w="1330" w:type="dxa"/>
          </w:tcPr>
          <w:p>
            <w:pPr>
              <w:pStyle w:val="TableParagraph"/>
              <w:spacing w:line="197" w:lineRule="exact"/>
              <w:ind w:left="335"/>
              <w:jc w:val="left"/>
              <w:rPr>
                <w:sz w:val="18"/>
              </w:rPr>
            </w:pPr>
            <w:r>
              <w:rPr>
                <w:sz w:val="18"/>
              </w:rPr>
              <w:t>(0.02134)</w:t>
            </w:r>
          </w:p>
        </w:tc>
        <w:tc>
          <w:tcPr>
            <w:tcW w:w="1305" w:type="dxa"/>
          </w:tcPr>
          <w:p>
            <w:pPr>
              <w:pStyle w:val="TableParagraph"/>
              <w:spacing w:line="197" w:lineRule="exact"/>
              <w:ind w:left="246" w:right="210"/>
              <w:rPr>
                <w:sz w:val="18"/>
              </w:rPr>
            </w:pPr>
            <w:r>
              <w:rPr>
                <w:sz w:val="18"/>
              </w:rPr>
              <w:t>(0.15679)</w:t>
            </w:r>
          </w:p>
        </w:tc>
      </w:tr>
      <w:tr>
        <w:trPr>
          <w:trHeight w:val="311" w:hRule="exact"/>
        </w:trPr>
        <w:tc>
          <w:tcPr>
            <w:tcW w:w="2013" w:type="dxa"/>
          </w:tcPr>
          <w:p>
            <w:pPr/>
          </w:p>
        </w:tc>
        <w:tc>
          <w:tcPr>
            <w:tcW w:w="1525" w:type="dxa"/>
          </w:tcPr>
          <w:p>
            <w:pPr>
              <w:pStyle w:val="TableParagraph"/>
              <w:spacing w:line="197" w:lineRule="exact"/>
              <w:ind w:left="463" w:right="254"/>
              <w:rPr>
                <w:sz w:val="18"/>
              </w:rPr>
            </w:pPr>
            <w:r>
              <w:rPr>
                <w:sz w:val="18"/>
              </w:rPr>
              <w:t>[ 1.42767]</w:t>
            </w:r>
          </w:p>
        </w:tc>
        <w:tc>
          <w:tcPr>
            <w:tcW w:w="1313" w:type="dxa"/>
          </w:tcPr>
          <w:p>
            <w:pPr>
              <w:pStyle w:val="TableParagraph"/>
              <w:spacing w:line="197" w:lineRule="exact"/>
              <w:ind w:left="254" w:right="254"/>
              <w:rPr>
                <w:sz w:val="18"/>
              </w:rPr>
            </w:pPr>
            <w:r>
              <w:rPr>
                <w:sz w:val="18"/>
              </w:rPr>
              <w:t>[ 3.84686]</w:t>
            </w:r>
          </w:p>
        </w:tc>
        <w:tc>
          <w:tcPr>
            <w:tcW w:w="1305" w:type="dxa"/>
          </w:tcPr>
          <w:p>
            <w:pPr>
              <w:pStyle w:val="TableParagraph"/>
              <w:spacing w:line="197" w:lineRule="exact"/>
              <w:ind w:left="254" w:right="246"/>
              <w:rPr>
                <w:sz w:val="18"/>
              </w:rPr>
            </w:pPr>
            <w:r>
              <w:rPr>
                <w:sz w:val="18"/>
              </w:rPr>
              <w:t>[-0.76921]</w:t>
            </w:r>
          </w:p>
        </w:tc>
        <w:tc>
          <w:tcPr>
            <w:tcW w:w="1330" w:type="dxa"/>
          </w:tcPr>
          <w:p>
            <w:pPr>
              <w:pStyle w:val="TableParagraph"/>
              <w:spacing w:line="197" w:lineRule="exact"/>
              <w:ind w:left="289"/>
              <w:jc w:val="left"/>
              <w:rPr>
                <w:sz w:val="18"/>
              </w:rPr>
            </w:pPr>
            <w:r>
              <w:rPr>
                <w:sz w:val="18"/>
              </w:rPr>
              <w:t>[ 3.85393]</w:t>
            </w:r>
          </w:p>
        </w:tc>
        <w:tc>
          <w:tcPr>
            <w:tcW w:w="1305" w:type="dxa"/>
          </w:tcPr>
          <w:p>
            <w:pPr>
              <w:pStyle w:val="TableParagraph"/>
              <w:spacing w:line="197" w:lineRule="exact"/>
              <w:ind w:left="244" w:right="253"/>
              <w:rPr>
                <w:sz w:val="18"/>
              </w:rPr>
            </w:pPr>
            <w:r>
              <w:rPr>
                <w:sz w:val="18"/>
              </w:rPr>
              <w:t>[ 3.56843]</w:t>
            </w:r>
          </w:p>
        </w:tc>
      </w:tr>
      <w:tr>
        <w:trPr>
          <w:trHeight w:val="311" w:hRule="exact"/>
        </w:trPr>
        <w:tc>
          <w:tcPr>
            <w:tcW w:w="2013" w:type="dxa"/>
          </w:tcPr>
          <w:p>
            <w:pPr/>
          </w:p>
        </w:tc>
        <w:tc>
          <w:tcPr>
            <w:tcW w:w="1525" w:type="dxa"/>
          </w:tcPr>
          <w:p>
            <w:pPr>
              <w:pStyle w:val="TableParagraph"/>
              <w:spacing w:before="94"/>
              <w:ind w:left="465" w:right="209"/>
              <w:rPr>
                <w:sz w:val="18"/>
              </w:rPr>
            </w:pPr>
            <w:r>
              <w:rPr>
                <w:sz w:val="18"/>
              </w:rPr>
              <w:t>0.026078</w:t>
            </w:r>
          </w:p>
        </w:tc>
        <w:tc>
          <w:tcPr>
            <w:tcW w:w="1313" w:type="dxa"/>
          </w:tcPr>
          <w:p>
            <w:pPr>
              <w:pStyle w:val="TableParagraph"/>
              <w:spacing w:before="94"/>
              <w:ind w:left="254" w:right="210"/>
              <w:rPr>
                <w:sz w:val="18"/>
              </w:rPr>
            </w:pPr>
            <w:r>
              <w:rPr>
                <w:sz w:val="18"/>
              </w:rPr>
              <w:t>0.065314</w:t>
            </w:r>
          </w:p>
        </w:tc>
        <w:tc>
          <w:tcPr>
            <w:tcW w:w="1305" w:type="dxa"/>
          </w:tcPr>
          <w:p>
            <w:pPr>
              <w:pStyle w:val="TableParagraph"/>
              <w:spacing w:before="94"/>
              <w:ind w:left="254" w:right="202"/>
              <w:rPr>
                <w:sz w:val="18"/>
              </w:rPr>
            </w:pPr>
            <w:r>
              <w:rPr>
                <w:sz w:val="18"/>
              </w:rPr>
              <w:t>0.343000</w:t>
            </w:r>
          </w:p>
        </w:tc>
        <w:tc>
          <w:tcPr>
            <w:tcW w:w="1330" w:type="dxa"/>
          </w:tcPr>
          <w:p>
            <w:pPr>
              <w:pStyle w:val="TableParagraph"/>
              <w:spacing w:before="94"/>
              <w:ind w:left="297"/>
              <w:jc w:val="left"/>
              <w:rPr>
                <w:sz w:val="18"/>
              </w:rPr>
            </w:pPr>
            <w:r>
              <w:rPr>
                <w:sz w:val="18"/>
              </w:rPr>
              <w:t>-0.050901</w:t>
            </w:r>
          </w:p>
        </w:tc>
        <w:tc>
          <w:tcPr>
            <w:tcW w:w="1305" w:type="dxa"/>
          </w:tcPr>
          <w:p>
            <w:pPr>
              <w:pStyle w:val="TableParagraph"/>
              <w:spacing w:before="94"/>
              <w:ind w:left="246" w:right="211"/>
              <w:rPr>
                <w:sz w:val="18"/>
              </w:rPr>
            </w:pPr>
            <w:r>
              <w:rPr>
                <w:sz w:val="18"/>
              </w:rPr>
              <w:t>0.022255</w:t>
            </w:r>
          </w:p>
        </w:tc>
      </w:tr>
      <w:tr>
        <w:trPr>
          <w:trHeight w:val="206" w:hRule="exact"/>
        </w:trPr>
        <w:tc>
          <w:tcPr>
            <w:tcW w:w="2013" w:type="dxa"/>
          </w:tcPr>
          <w:p>
            <w:pPr>
              <w:pStyle w:val="TableParagraph"/>
              <w:spacing w:line="197" w:lineRule="exact"/>
              <w:ind w:right="558"/>
              <w:jc w:val="right"/>
              <w:rPr>
                <w:sz w:val="18"/>
              </w:rPr>
            </w:pPr>
            <w:r>
              <w:rPr>
                <w:sz w:val="18"/>
              </w:rPr>
              <w:t>lqreal(-3)</w:t>
            </w:r>
          </w:p>
        </w:tc>
        <w:tc>
          <w:tcPr>
            <w:tcW w:w="1525" w:type="dxa"/>
          </w:tcPr>
          <w:p>
            <w:pPr>
              <w:pStyle w:val="TableParagraph"/>
              <w:spacing w:line="197" w:lineRule="exact"/>
              <w:ind w:left="465" w:right="208"/>
              <w:rPr>
                <w:sz w:val="18"/>
              </w:rPr>
            </w:pPr>
            <w:r>
              <w:rPr>
                <w:sz w:val="18"/>
              </w:rPr>
              <w:t>(0.04980)</w:t>
            </w:r>
          </w:p>
        </w:tc>
        <w:tc>
          <w:tcPr>
            <w:tcW w:w="1313" w:type="dxa"/>
          </w:tcPr>
          <w:p>
            <w:pPr>
              <w:pStyle w:val="TableParagraph"/>
              <w:spacing w:line="197" w:lineRule="exact"/>
              <w:ind w:left="254" w:right="209"/>
              <w:rPr>
                <w:sz w:val="18"/>
              </w:rPr>
            </w:pPr>
            <w:r>
              <w:rPr>
                <w:sz w:val="18"/>
              </w:rPr>
              <w:t>(0.19851)</w:t>
            </w:r>
          </w:p>
        </w:tc>
        <w:tc>
          <w:tcPr>
            <w:tcW w:w="1305" w:type="dxa"/>
          </w:tcPr>
          <w:p>
            <w:pPr>
              <w:pStyle w:val="TableParagraph"/>
              <w:spacing w:line="197" w:lineRule="exact"/>
              <w:ind w:left="254" w:right="200"/>
              <w:rPr>
                <w:sz w:val="18"/>
              </w:rPr>
            </w:pPr>
            <w:r>
              <w:rPr>
                <w:sz w:val="18"/>
              </w:rPr>
              <w:t>(0.19343)</w:t>
            </w:r>
          </w:p>
        </w:tc>
        <w:tc>
          <w:tcPr>
            <w:tcW w:w="1330" w:type="dxa"/>
          </w:tcPr>
          <w:p>
            <w:pPr>
              <w:pStyle w:val="TableParagraph"/>
              <w:spacing w:line="197" w:lineRule="exact"/>
              <w:ind w:left="335"/>
              <w:jc w:val="left"/>
              <w:rPr>
                <w:sz w:val="18"/>
              </w:rPr>
            </w:pPr>
            <w:r>
              <w:rPr>
                <w:sz w:val="18"/>
              </w:rPr>
              <w:t>(0.02363)</w:t>
            </w:r>
          </w:p>
        </w:tc>
        <w:tc>
          <w:tcPr>
            <w:tcW w:w="1305" w:type="dxa"/>
          </w:tcPr>
          <w:p>
            <w:pPr>
              <w:pStyle w:val="TableParagraph"/>
              <w:spacing w:line="197" w:lineRule="exact"/>
              <w:ind w:left="246" w:right="210"/>
              <w:rPr>
                <w:sz w:val="18"/>
              </w:rPr>
            </w:pPr>
            <w:r>
              <w:rPr>
                <w:sz w:val="18"/>
              </w:rPr>
              <w:t>(0.17362)</w:t>
            </w:r>
          </w:p>
        </w:tc>
      </w:tr>
      <w:tr>
        <w:trPr>
          <w:trHeight w:val="193" w:hRule="exact"/>
        </w:trPr>
        <w:tc>
          <w:tcPr>
            <w:tcW w:w="2013" w:type="dxa"/>
          </w:tcPr>
          <w:p>
            <w:pPr/>
          </w:p>
        </w:tc>
        <w:tc>
          <w:tcPr>
            <w:tcW w:w="1525" w:type="dxa"/>
          </w:tcPr>
          <w:p>
            <w:pPr>
              <w:pStyle w:val="TableParagraph"/>
              <w:spacing w:line="197" w:lineRule="exact"/>
              <w:ind w:left="463" w:right="254"/>
              <w:rPr>
                <w:sz w:val="18"/>
              </w:rPr>
            </w:pPr>
            <w:r>
              <w:rPr>
                <w:sz w:val="18"/>
              </w:rPr>
              <w:t>[ 0.52369]</w:t>
            </w:r>
          </w:p>
        </w:tc>
        <w:tc>
          <w:tcPr>
            <w:tcW w:w="1313" w:type="dxa"/>
          </w:tcPr>
          <w:p>
            <w:pPr>
              <w:pStyle w:val="TableParagraph"/>
              <w:spacing w:line="197" w:lineRule="exact"/>
              <w:ind w:left="254" w:right="254"/>
              <w:rPr>
                <w:sz w:val="18"/>
              </w:rPr>
            </w:pPr>
            <w:r>
              <w:rPr>
                <w:sz w:val="18"/>
              </w:rPr>
              <w:t>[ 0.32902]</w:t>
            </w:r>
          </w:p>
        </w:tc>
        <w:tc>
          <w:tcPr>
            <w:tcW w:w="1305" w:type="dxa"/>
          </w:tcPr>
          <w:p>
            <w:pPr>
              <w:pStyle w:val="TableParagraph"/>
              <w:spacing w:line="197" w:lineRule="exact"/>
              <w:ind w:left="252" w:right="246"/>
              <w:rPr>
                <w:sz w:val="18"/>
              </w:rPr>
            </w:pPr>
            <w:r>
              <w:rPr>
                <w:sz w:val="18"/>
              </w:rPr>
              <w:t>[ 1.77323]</w:t>
            </w:r>
          </w:p>
        </w:tc>
        <w:tc>
          <w:tcPr>
            <w:tcW w:w="1330" w:type="dxa"/>
          </w:tcPr>
          <w:p>
            <w:pPr>
              <w:pStyle w:val="TableParagraph"/>
              <w:spacing w:line="197" w:lineRule="exact"/>
              <w:ind w:left="282"/>
              <w:jc w:val="left"/>
              <w:rPr>
                <w:sz w:val="18"/>
              </w:rPr>
            </w:pPr>
            <w:r>
              <w:rPr>
                <w:sz w:val="18"/>
              </w:rPr>
              <w:t>[-2.15423]</w:t>
            </w:r>
          </w:p>
        </w:tc>
        <w:tc>
          <w:tcPr>
            <w:tcW w:w="1305" w:type="dxa"/>
          </w:tcPr>
          <w:p>
            <w:pPr>
              <w:pStyle w:val="TableParagraph"/>
              <w:spacing w:line="197" w:lineRule="exact"/>
              <w:ind w:left="244" w:right="253"/>
              <w:rPr>
                <w:sz w:val="18"/>
              </w:rPr>
            </w:pPr>
            <w:r>
              <w:rPr>
                <w:sz w:val="18"/>
              </w:rPr>
              <w:t>[ 0.12818]</w:t>
            </w:r>
          </w:p>
        </w:tc>
      </w:tr>
    </w:tbl>
    <w:p>
      <w:pPr>
        <w:spacing w:after="0" w:line="197" w:lineRule="exact"/>
        <w:rPr>
          <w:sz w:val="18"/>
        </w:rPr>
        <w:sectPr>
          <w:pgSz w:w="12240" w:h="15840"/>
          <w:pgMar w:header="0" w:footer="1035" w:top="1360" w:bottom="1220" w:left="1580" w:right="1580"/>
        </w:sectPr>
      </w:pPr>
    </w:p>
    <w:tbl>
      <w:tblPr>
        <w:tblW w:w="0" w:type="auto"/>
        <w:jc w:val="left"/>
        <w:tblInd w:w="13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37"/>
        <w:gridCol w:w="1200"/>
        <w:gridCol w:w="1313"/>
        <w:gridCol w:w="1313"/>
        <w:gridCol w:w="1313"/>
        <w:gridCol w:w="1314"/>
      </w:tblGrid>
      <w:tr>
        <w:trPr>
          <w:trHeight w:val="360" w:hRule="exact"/>
        </w:trPr>
        <w:tc>
          <w:tcPr>
            <w:tcW w:w="8791" w:type="dxa"/>
            <w:gridSpan w:val="6"/>
          </w:tcPr>
          <w:p>
            <w:pPr>
              <w:pStyle w:val="TableParagraph"/>
              <w:spacing w:line="245" w:lineRule="exact"/>
              <w:ind w:left="583"/>
              <w:jc w:val="left"/>
              <w:rPr>
                <w:sz w:val="24"/>
              </w:rPr>
            </w:pPr>
            <w:r>
              <w:rPr>
                <w:sz w:val="24"/>
              </w:rPr>
              <w:t>Continuación cuadro 5.3</w:t>
            </w:r>
          </w:p>
        </w:tc>
      </w:tr>
      <w:tr>
        <w:trPr>
          <w:trHeight w:val="313" w:hRule="exact"/>
        </w:trPr>
        <w:tc>
          <w:tcPr>
            <w:tcW w:w="2337" w:type="dxa"/>
          </w:tcPr>
          <w:p>
            <w:pPr/>
          </w:p>
        </w:tc>
        <w:tc>
          <w:tcPr>
            <w:tcW w:w="1200" w:type="dxa"/>
          </w:tcPr>
          <w:p>
            <w:pPr>
              <w:pStyle w:val="TableParagraph"/>
              <w:spacing w:before="97"/>
              <w:ind w:left="207"/>
              <w:jc w:val="left"/>
              <w:rPr>
                <w:sz w:val="18"/>
              </w:rPr>
            </w:pPr>
            <w:r>
              <w:rPr>
                <w:sz w:val="18"/>
              </w:rPr>
              <w:t>0.120381</w:t>
            </w:r>
          </w:p>
        </w:tc>
        <w:tc>
          <w:tcPr>
            <w:tcW w:w="1313" w:type="dxa"/>
          </w:tcPr>
          <w:p>
            <w:pPr>
              <w:pStyle w:val="TableParagraph"/>
              <w:spacing w:before="97"/>
              <w:ind w:right="316"/>
              <w:jc w:val="right"/>
              <w:rPr>
                <w:sz w:val="18"/>
              </w:rPr>
            </w:pPr>
            <w:r>
              <w:rPr>
                <w:sz w:val="18"/>
              </w:rPr>
              <w:t>0.116940</w:t>
            </w:r>
          </w:p>
        </w:tc>
        <w:tc>
          <w:tcPr>
            <w:tcW w:w="1313" w:type="dxa"/>
          </w:tcPr>
          <w:p>
            <w:pPr>
              <w:pStyle w:val="TableParagraph"/>
              <w:spacing w:before="97"/>
              <w:ind w:left="253" w:right="254"/>
              <w:rPr>
                <w:sz w:val="18"/>
              </w:rPr>
            </w:pPr>
            <w:r>
              <w:rPr>
                <w:sz w:val="18"/>
              </w:rPr>
              <w:t>-0.411489</w:t>
            </w:r>
          </w:p>
        </w:tc>
        <w:tc>
          <w:tcPr>
            <w:tcW w:w="1313" w:type="dxa"/>
          </w:tcPr>
          <w:p>
            <w:pPr>
              <w:pStyle w:val="TableParagraph"/>
              <w:spacing w:before="97"/>
              <w:ind w:left="341"/>
              <w:jc w:val="left"/>
              <w:rPr>
                <w:sz w:val="18"/>
              </w:rPr>
            </w:pPr>
            <w:r>
              <w:rPr>
                <w:sz w:val="18"/>
              </w:rPr>
              <w:t>0.022247</w:t>
            </w:r>
          </w:p>
        </w:tc>
        <w:tc>
          <w:tcPr>
            <w:tcW w:w="1314" w:type="dxa"/>
          </w:tcPr>
          <w:p>
            <w:pPr>
              <w:pStyle w:val="TableParagraph"/>
              <w:spacing w:before="97"/>
              <w:ind w:left="254" w:right="254"/>
              <w:rPr>
                <w:sz w:val="18"/>
              </w:rPr>
            </w:pPr>
            <w:r>
              <w:rPr>
                <w:sz w:val="18"/>
              </w:rPr>
              <w:t>-0.050352</w:t>
            </w:r>
          </w:p>
        </w:tc>
      </w:tr>
      <w:tr>
        <w:trPr>
          <w:trHeight w:val="206" w:hRule="exact"/>
        </w:trPr>
        <w:tc>
          <w:tcPr>
            <w:tcW w:w="2337" w:type="dxa"/>
          </w:tcPr>
          <w:p>
            <w:pPr>
              <w:pStyle w:val="TableParagraph"/>
              <w:spacing w:line="197" w:lineRule="exact"/>
              <w:ind w:left="770"/>
              <w:jc w:val="left"/>
              <w:rPr>
                <w:sz w:val="18"/>
              </w:rPr>
            </w:pPr>
            <w:r>
              <w:rPr>
                <w:sz w:val="18"/>
              </w:rPr>
              <w:t>lqreal(-4)</w:t>
            </w:r>
          </w:p>
        </w:tc>
        <w:tc>
          <w:tcPr>
            <w:tcW w:w="1200" w:type="dxa"/>
          </w:tcPr>
          <w:p>
            <w:pPr>
              <w:pStyle w:val="TableParagraph"/>
              <w:spacing w:line="197" w:lineRule="exact"/>
              <w:ind w:left="214"/>
              <w:jc w:val="left"/>
              <w:rPr>
                <w:sz w:val="18"/>
              </w:rPr>
            </w:pPr>
            <w:r>
              <w:rPr>
                <w:sz w:val="18"/>
              </w:rPr>
              <w:t>(0.04449)</w:t>
            </w:r>
          </w:p>
        </w:tc>
        <w:tc>
          <w:tcPr>
            <w:tcW w:w="1313" w:type="dxa"/>
          </w:tcPr>
          <w:p>
            <w:pPr>
              <w:pStyle w:val="TableParagraph"/>
              <w:spacing w:line="197" w:lineRule="exact"/>
              <w:ind w:right="279"/>
              <w:jc w:val="right"/>
              <w:rPr>
                <w:sz w:val="18"/>
              </w:rPr>
            </w:pPr>
            <w:r>
              <w:rPr>
                <w:sz w:val="18"/>
              </w:rPr>
              <w:t>(0.17734)</w:t>
            </w:r>
          </w:p>
        </w:tc>
        <w:tc>
          <w:tcPr>
            <w:tcW w:w="1313" w:type="dxa"/>
          </w:tcPr>
          <w:p>
            <w:pPr>
              <w:pStyle w:val="TableParagraph"/>
              <w:spacing w:line="197" w:lineRule="exact"/>
              <w:ind w:left="254" w:right="209"/>
              <w:rPr>
                <w:sz w:val="18"/>
              </w:rPr>
            </w:pPr>
            <w:r>
              <w:rPr>
                <w:sz w:val="18"/>
              </w:rPr>
              <w:t>(0.17281)</w:t>
            </w:r>
          </w:p>
        </w:tc>
        <w:tc>
          <w:tcPr>
            <w:tcW w:w="1313" w:type="dxa"/>
          </w:tcPr>
          <w:p>
            <w:pPr>
              <w:pStyle w:val="TableParagraph"/>
              <w:spacing w:line="197" w:lineRule="exact"/>
              <w:ind w:left="327"/>
              <w:jc w:val="left"/>
              <w:rPr>
                <w:sz w:val="18"/>
              </w:rPr>
            </w:pPr>
            <w:r>
              <w:rPr>
                <w:sz w:val="18"/>
              </w:rPr>
              <w:t>(0.02111)</w:t>
            </w:r>
          </w:p>
        </w:tc>
        <w:tc>
          <w:tcPr>
            <w:tcW w:w="1314" w:type="dxa"/>
          </w:tcPr>
          <w:p>
            <w:pPr>
              <w:pStyle w:val="TableParagraph"/>
              <w:spacing w:line="197" w:lineRule="exact"/>
              <w:ind w:left="254" w:right="210"/>
              <w:rPr>
                <w:sz w:val="18"/>
              </w:rPr>
            </w:pPr>
            <w:r>
              <w:rPr>
                <w:sz w:val="18"/>
              </w:rPr>
              <w:t>(0.15510)</w:t>
            </w:r>
          </w:p>
        </w:tc>
      </w:tr>
      <w:tr>
        <w:trPr>
          <w:trHeight w:val="311" w:hRule="exact"/>
        </w:trPr>
        <w:tc>
          <w:tcPr>
            <w:tcW w:w="2337" w:type="dxa"/>
          </w:tcPr>
          <w:p>
            <w:pPr/>
          </w:p>
        </w:tc>
        <w:tc>
          <w:tcPr>
            <w:tcW w:w="1200" w:type="dxa"/>
          </w:tcPr>
          <w:p>
            <w:pPr>
              <w:pStyle w:val="TableParagraph"/>
              <w:spacing w:line="197" w:lineRule="exact"/>
              <w:ind w:left="168"/>
              <w:jc w:val="left"/>
              <w:rPr>
                <w:sz w:val="18"/>
              </w:rPr>
            </w:pPr>
            <w:r>
              <w:rPr>
                <w:sz w:val="18"/>
              </w:rPr>
              <w:t>[ 2.70600]</w:t>
            </w:r>
          </w:p>
        </w:tc>
        <w:tc>
          <w:tcPr>
            <w:tcW w:w="1313" w:type="dxa"/>
          </w:tcPr>
          <w:p>
            <w:pPr>
              <w:pStyle w:val="TableParagraph"/>
              <w:spacing w:line="197" w:lineRule="exact"/>
              <w:ind w:right="281"/>
              <w:jc w:val="right"/>
              <w:rPr>
                <w:sz w:val="18"/>
              </w:rPr>
            </w:pPr>
            <w:r>
              <w:rPr>
                <w:sz w:val="18"/>
              </w:rPr>
              <w:t>[ 0.65939]</w:t>
            </w:r>
          </w:p>
        </w:tc>
        <w:tc>
          <w:tcPr>
            <w:tcW w:w="1313" w:type="dxa"/>
          </w:tcPr>
          <w:p>
            <w:pPr>
              <w:pStyle w:val="TableParagraph"/>
              <w:spacing w:line="197" w:lineRule="exact"/>
              <w:ind w:left="254" w:right="254"/>
              <w:rPr>
                <w:sz w:val="18"/>
              </w:rPr>
            </w:pPr>
            <w:r>
              <w:rPr>
                <w:sz w:val="18"/>
              </w:rPr>
              <w:t>[-2.38121]</w:t>
            </w:r>
          </w:p>
        </w:tc>
        <w:tc>
          <w:tcPr>
            <w:tcW w:w="1313" w:type="dxa"/>
          </w:tcPr>
          <w:p>
            <w:pPr>
              <w:pStyle w:val="TableParagraph"/>
              <w:spacing w:line="197" w:lineRule="exact"/>
              <w:ind w:left="281"/>
              <w:jc w:val="left"/>
              <w:rPr>
                <w:sz w:val="18"/>
              </w:rPr>
            </w:pPr>
            <w:r>
              <w:rPr>
                <w:sz w:val="18"/>
              </w:rPr>
              <w:t>[ 1.05391]</w:t>
            </w:r>
          </w:p>
        </w:tc>
        <w:tc>
          <w:tcPr>
            <w:tcW w:w="1314" w:type="dxa"/>
          </w:tcPr>
          <w:p>
            <w:pPr>
              <w:pStyle w:val="TableParagraph"/>
              <w:spacing w:line="197" w:lineRule="exact"/>
              <w:ind w:left="254" w:right="254"/>
              <w:rPr>
                <w:sz w:val="18"/>
              </w:rPr>
            </w:pPr>
            <w:r>
              <w:rPr>
                <w:sz w:val="18"/>
              </w:rPr>
              <w:t>[-0.32463]</w:t>
            </w:r>
          </w:p>
        </w:tc>
      </w:tr>
      <w:tr>
        <w:trPr>
          <w:trHeight w:val="311" w:hRule="exact"/>
        </w:trPr>
        <w:tc>
          <w:tcPr>
            <w:tcW w:w="2337" w:type="dxa"/>
          </w:tcPr>
          <w:p>
            <w:pPr/>
          </w:p>
        </w:tc>
        <w:tc>
          <w:tcPr>
            <w:tcW w:w="1200" w:type="dxa"/>
          </w:tcPr>
          <w:p>
            <w:pPr>
              <w:pStyle w:val="TableParagraph"/>
              <w:spacing w:before="94"/>
              <w:ind w:left="228"/>
              <w:jc w:val="left"/>
              <w:rPr>
                <w:sz w:val="18"/>
              </w:rPr>
            </w:pPr>
            <w:r>
              <w:rPr>
                <w:sz w:val="18"/>
              </w:rPr>
              <w:t>1.299687</w:t>
            </w:r>
          </w:p>
        </w:tc>
        <w:tc>
          <w:tcPr>
            <w:tcW w:w="1313" w:type="dxa"/>
          </w:tcPr>
          <w:p>
            <w:pPr>
              <w:pStyle w:val="TableParagraph"/>
              <w:spacing w:before="94"/>
              <w:ind w:right="294"/>
              <w:jc w:val="right"/>
              <w:rPr>
                <w:sz w:val="18"/>
              </w:rPr>
            </w:pPr>
            <w:r>
              <w:rPr>
                <w:sz w:val="18"/>
              </w:rPr>
              <w:t>4.631183</w:t>
            </w:r>
          </w:p>
        </w:tc>
        <w:tc>
          <w:tcPr>
            <w:tcW w:w="1313" w:type="dxa"/>
          </w:tcPr>
          <w:p>
            <w:pPr>
              <w:pStyle w:val="TableParagraph"/>
              <w:spacing w:before="94"/>
              <w:ind w:left="253" w:right="254"/>
              <w:rPr>
                <w:sz w:val="18"/>
              </w:rPr>
            </w:pPr>
            <w:r>
              <w:rPr>
                <w:sz w:val="18"/>
              </w:rPr>
              <w:t>-0.614858</w:t>
            </w:r>
          </w:p>
        </w:tc>
        <w:tc>
          <w:tcPr>
            <w:tcW w:w="1313" w:type="dxa"/>
          </w:tcPr>
          <w:p>
            <w:pPr>
              <w:pStyle w:val="TableParagraph"/>
              <w:spacing w:before="94"/>
              <w:ind w:left="341"/>
              <w:jc w:val="left"/>
              <w:rPr>
                <w:sz w:val="18"/>
              </w:rPr>
            </w:pPr>
            <w:r>
              <w:rPr>
                <w:sz w:val="18"/>
              </w:rPr>
              <w:t>2.014986</w:t>
            </w:r>
          </w:p>
        </w:tc>
        <w:tc>
          <w:tcPr>
            <w:tcW w:w="1314" w:type="dxa"/>
          </w:tcPr>
          <w:p>
            <w:pPr>
              <w:pStyle w:val="TableParagraph"/>
              <w:spacing w:before="94"/>
              <w:ind w:left="254" w:right="211"/>
              <w:rPr>
                <w:sz w:val="18"/>
              </w:rPr>
            </w:pPr>
            <w:r>
              <w:rPr>
                <w:sz w:val="18"/>
              </w:rPr>
              <w:t>2.721216</w:t>
            </w:r>
          </w:p>
        </w:tc>
      </w:tr>
      <w:tr>
        <w:trPr>
          <w:trHeight w:val="206" w:hRule="exact"/>
        </w:trPr>
        <w:tc>
          <w:tcPr>
            <w:tcW w:w="2337" w:type="dxa"/>
          </w:tcPr>
          <w:p>
            <w:pPr>
              <w:pStyle w:val="TableParagraph"/>
              <w:spacing w:line="197" w:lineRule="exact"/>
              <w:ind w:left="599"/>
              <w:jc w:val="left"/>
              <w:rPr>
                <w:sz w:val="18"/>
              </w:rPr>
            </w:pPr>
            <w:r>
              <w:rPr>
                <w:sz w:val="18"/>
              </w:rPr>
              <w:t>lyindusteu(-1)</w:t>
            </w:r>
          </w:p>
        </w:tc>
        <w:tc>
          <w:tcPr>
            <w:tcW w:w="1200" w:type="dxa"/>
          </w:tcPr>
          <w:p>
            <w:pPr>
              <w:pStyle w:val="TableParagraph"/>
              <w:spacing w:line="197" w:lineRule="exact"/>
              <w:ind w:left="214"/>
              <w:jc w:val="left"/>
              <w:rPr>
                <w:sz w:val="18"/>
              </w:rPr>
            </w:pPr>
            <w:r>
              <w:rPr>
                <w:sz w:val="18"/>
              </w:rPr>
              <w:t>(0.29941)</w:t>
            </w:r>
          </w:p>
        </w:tc>
        <w:tc>
          <w:tcPr>
            <w:tcW w:w="1313" w:type="dxa"/>
          </w:tcPr>
          <w:p>
            <w:pPr>
              <w:pStyle w:val="TableParagraph"/>
              <w:spacing w:line="197" w:lineRule="exact"/>
              <w:ind w:right="279"/>
              <w:jc w:val="right"/>
              <w:rPr>
                <w:sz w:val="18"/>
              </w:rPr>
            </w:pPr>
            <w:r>
              <w:rPr>
                <w:sz w:val="18"/>
              </w:rPr>
              <w:t>(1.19358)</w:t>
            </w:r>
          </w:p>
        </w:tc>
        <w:tc>
          <w:tcPr>
            <w:tcW w:w="1313" w:type="dxa"/>
          </w:tcPr>
          <w:p>
            <w:pPr>
              <w:pStyle w:val="TableParagraph"/>
              <w:spacing w:line="197" w:lineRule="exact"/>
              <w:ind w:left="254" w:right="209"/>
              <w:rPr>
                <w:sz w:val="18"/>
              </w:rPr>
            </w:pPr>
            <w:r>
              <w:rPr>
                <w:sz w:val="18"/>
              </w:rPr>
              <w:t>(1.16304)</w:t>
            </w:r>
          </w:p>
        </w:tc>
        <w:tc>
          <w:tcPr>
            <w:tcW w:w="1313" w:type="dxa"/>
          </w:tcPr>
          <w:p>
            <w:pPr>
              <w:pStyle w:val="TableParagraph"/>
              <w:spacing w:line="197" w:lineRule="exact"/>
              <w:ind w:left="327"/>
              <w:jc w:val="left"/>
              <w:rPr>
                <w:sz w:val="18"/>
              </w:rPr>
            </w:pPr>
            <w:r>
              <w:rPr>
                <w:sz w:val="18"/>
              </w:rPr>
              <w:t>(0.14207)</w:t>
            </w:r>
          </w:p>
        </w:tc>
        <w:tc>
          <w:tcPr>
            <w:tcW w:w="1314" w:type="dxa"/>
          </w:tcPr>
          <w:p>
            <w:pPr>
              <w:pStyle w:val="TableParagraph"/>
              <w:spacing w:line="197" w:lineRule="exact"/>
              <w:ind w:left="254" w:right="210"/>
              <w:rPr>
                <w:sz w:val="18"/>
              </w:rPr>
            </w:pPr>
            <w:r>
              <w:rPr>
                <w:sz w:val="18"/>
              </w:rPr>
              <w:t>(1.04390)</w:t>
            </w:r>
          </w:p>
        </w:tc>
      </w:tr>
      <w:tr>
        <w:trPr>
          <w:trHeight w:val="311" w:hRule="exact"/>
        </w:trPr>
        <w:tc>
          <w:tcPr>
            <w:tcW w:w="2337" w:type="dxa"/>
          </w:tcPr>
          <w:p>
            <w:pPr/>
          </w:p>
        </w:tc>
        <w:tc>
          <w:tcPr>
            <w:tcW w:w="1200" w:type="dxa"/>
          </w:tcPr>
          <w:p>
            <w:pPr>
              <w:pStyle w:val="TableParagraph"/>
              <w:spacing w:line="197" w:lineRule="exact"/>
              <w:ind w:left="168"/>
              <w:jc w:val="left"/>
              <w:rPr>
                <w:sz w:val="18"/>
              </w:rPr>
            </w:pPr>
            <w:r>
              <w:rPr>
                <w:sz w:val="18"/>
              </w:rPr>
              <w:t>[ 4.34086]</w:t>
            </w:r>
          </w:p>
        </w:tc>
        <w:tc>
          <w:tcPr>
            <w:tcW w:w="1313" w:type="dxa"/>
          </w:tcPr>
          <w:p>
            <w:pPr>
              <w:pStyle w:val="TableParagraph"/>
              <w:spacing w:line="197" w:lineRule="exact"/>
              <w:ind w:right="281"/>
              <w:jc w:val="right"/>
              <w:rPr>
                <w:sz w:val="18"/>
              </w:rPr>
            </w:pPr>
            <w:r>
              <w:rPr>
                <w:sz w:val="18"/>
              </w:rPr>
              <w:t>[ 3.88008]</w:t>
            </w:r>
          </w:p>
        </w:tc>
        <w:tc>
          <w:tcPr>
            <w:tcW w:w="1313" w:type="dxa"/>
          </w:tcPr>
          <w:p>
            <w:pPr>
              <w:pStyle w:val="TableParagraph"/>
              <w:spacing w:line="197" w:lineRule="exact"/>
              <w:ind w:left="254" w:right="254"/>
              <w:rPr>
                <w:sz w:val="18"/>
              </w:rPr>
            </w:pPr>
            <w:r>
              <w:rPr>
                <w:sz w:val="18"/>
              </w:rPr>
              <w:t>[-0.52866]</w:t>
            </w:r>
          </w:p>
        </w:tc>
        <w:tc>
          <w:tcPr>
            <w:tcW w:w="1313" w:type="dxa"/>
          </w:tcPr>
          <w:p>
            <w:pPr>
              <w:pStyle w:val="TableParagraph"/>
              <w:spacing w:line="197" w:lineRule="exact"/>
              <w:ind w:left="281"/>
              <w:jc w:val="left"/>
              <w:rPr>
                <w:sz w:val="18"/>
              </w:rPr>
            </w:pPr>
            <w:r>
              <w:rPr>
                <w:sz w:val="18"/>
              </w:rPr>
              <w:t>[ 14.1831]</w:t>
            </w:r>
          </w:p>
        </w:tc>
        <w:tc>
          <w:tcPr>
            <w:tcW w:w="1314" w:type="dxa"/>
          </w:tcPr>
          <w:p>
            <w:pPr>
              <w:pStyle w:val="TableParagraph"/>
              <w:spacing w:line="197" w:lineRule="exact"/>
              <w:ind w:left="253" w:right="254"/>
              <w:rPr>
                <w:sz w:val="18"/>
              </w:rPr>
            </w:pPr>
            <w:r>
              <w:rPr>
                <w:sz w:val="18"/>
              </w:rPr>
              <w:t>[ 2.60678]</w:t>
            </w:r>
          </w:p>
        </w:tc>
      </w:tr>
      <w:tr>
        <w:trPr>
          <w:trHeight w:val="311" w:hRule="exact"/>
        </w:trPr>
        <w:tc>
          <w:tcPr>
            <w:tcW w:w="2337" w:type="dxa"/>
          </w:tcPr>
          <w:p>
            <w:pPr/>
          </w:p>
        </w:tc>
        <w:tc>
          <w:tcPr>
            <w:tcW w:w="1200" w:type="dxa"/>
          </w:tcPr>
          <w:p>
            <w:pPr>
              <w:pStyle w:val="TableParagraph"/>
              <w:spacing w:before="94"/>
              <w:ind w:left="175"/>
              <w:jc w:val="left"/>
              <w:rPr>
                <w:sz w:val="18"/>
              </w:rPr>
            </w:pPr>
            <w:r>
              <w:rPr>
                <w:sz w:val="18"/>
              </w:rPr>
              <w:t>-1.187779</w:t>
            </w:r>
          </w:p>
        </w:tc>
        <w:tc>
          <w:tcPr>
            <w:tcW w:w="1313" w:type="dxa"/>
          </w:tcPr>
          <w:p>
            <w:pPr>
              <w:pStyle w:val="TableParagraph"/>
              <w:spacing w:before="94"/>
              <w:ind w:right="287"/>
              <w:jc w:val="right"/>
              <w:rPr>
                <w:sz w:val="18"/>
              </w:rPr>
            </w:pPr>
            <w:r>
              <w:rPr>
                <w:sz w:val="18"/>
              </w:rPr>
              <w:t>-4.057634</w:t>
            </w:r>
          </w:p>
        </w:tc>
        <w:tc>
          <w:tcPr>
            <w:tcW w:w="1313" w:type="dxa"/>
          </w:tcPr>
          <w:p>
            <w:pPr>
              <w:pStyle w:val="TableParagraph"/>
              <w:spacing w:before="94"/>
              <w:ind w:left="253" w:right="254"/>
              <w:rPr>
                <w:sz w:val="18"/>
              </w:rPr>
            </w:pPr>
            <w:r>
              <w:rPr>
                <w:sz w:val="18"/>
              </w:rPr>
              <w:t>-1.234654</w:t>
            </w:r>
          </w:p>
        </w:tc>
        <w:tc>
          <w:tcPr>
            <w:tcW w:w="1313" w:type="dxa"/>
          </w:tcPr>
          <w:p>
            <w:pPr>
              <w:pStyle w:val="TableParagraph"/>
              <w:spacing w:before="94"/>
              <w:ind w:left="288"/>
              <w:jc w:val="left"/>
              <w:rPr>
                <w:sz w:val="18"/>
              </w:rPr>
            </w:pPr>
            <w:r>
              <w:rPr>
                <w:sz w:val="18"/>
              </w:rPr>
              <w:t>-1.300027</w:t>
            </w:r>
          </w:p>
        </w:tc>
        <w:tc>
          <w:tcPr>
            <w:tcW w:w="1314" w:type="dxa"/>
          </w:tcPr>
          <w:p>
            <w:pPr>
              <w:pStyle w:val="TableParagraph"/>
              <w:spacing w:before="94"/>
              <w:ind w:left="254" w:right="254"/>
              <w:rPr>
                <w:sz w:val="18"/>
              </w:rPr>
            </w:pPr>
            <w:r>
              <w:rPr>
                <w:sz w:val="18"/>
              </w:rPr>
              <w:t>-2.535376</w:t>
            </w:r>
          </w:p>
        </w:tc>
      </w:tr>
      <w:tr>
        <w:trPr>
          <w:trHeight w:val="206" w:hRule="exact"/>
        </w:trPr>
        <w:tc>
          <w:tcPr>
            <w:tcW w:w="2337" w:type="dxa"/>
          </w:tcPr>
          <w:p>
            <w:pPr>
              <w:pStyle w:val="TableParagraph"/>
              <w:spacing w:line="197" w:lineRule="exact"/>
              <w:ind w:left="599"/>
              <w:jc w:val="left"/>
              <w:rPr>
                <w:sz w:val="18"/>
              </w:rPr>
            </w:pPr>
            <w:r>
              <w:rPr>
                <w:sz w:val="18"/>
              </w:rPr>
              <w:t>lyindusteu(-2)</w:t>
            </w:r>
          </w:p>
        </w:tc>
        <w:tc>
          <w:tcPr>
            <w:tcW w:w="1200" w:type="dxa"/>
          </w:tcPr>
          <w:p>
            <w:pPr>
              <w:pStyle w:val="TableParagraph"/>
              <w:spacing w:line="197" w:lineRule="exact"/>
              <w:ind w:left="214"/>
              <w:jc w:val="left"/>
              <w:rPr>
                <w:sz w:val="18"/>
              </w:rPr>
            </w:pPr>
            <w:r>
              <w:rPr>
                <w:sz w:val="18"/>
              </w:rPr>
              <w:t>(0.59869)</w:t>
            </w:r>
          </w:p>
        </w:tc>
        <w:tc>
          <w:tcPr>
            <w:tcW w:w="1313" w:type="dxa"/>
          </w:tcPr>
          <w:p>
            <w:pPr>
              <w:pStyle w:val="TableParagraph"/>
              <w:spacing w:line="197" w:lineRule="exact"/>
              <w:ind w:right="279"/>
              <w:jc w:val="right"/>
              <w:rPr>
                <w:sz w:val="18"/>
              </w:rPr>
            </w:pPr>
            <w:r>
              <w:rPr>
                <w:sz w:val="18"/>
              </w:rPr>
              <w:t>(2.38665)</w:t>
            </w:r>
          </w:p>
        </w:tc>
        <w:tc>
          <w:tcPr>
            <w:tcW w:w="1313" w:type="dxa"/>
          </w:tcPr>
          <w:p>
            <w:pPr>
              <w:pStyle w:val="TableParagraph"/>
              <w:spacing w:line="197" w:lineRule="exact"/>
              <w:ind w:left="254" w:right="209"/>
              <w:rPr>
                <w:sz w:val="18"/>
              </w:rPr>
            </w:pPr>
            <w:r>
              <w:rPr>
                <w:sz w:val="18"/>
              </w:rPr>
              <w:t>(2.32558)</w:t>
            </w:r>
          </w:p>
        </w:tc>
        <w:tc>
          <w:tcPr>
            <w:tcW w:w="1313" w:type="dxa"/>
          </w:tcPr>
          <w:p>
            <w:pPr>
              <w:pStyle w:val="TableParagraph"/>
              <w:spacing w:line="197" w:lineRule="exact"/>
              <w:ind w:left="327"/>
              <w:jc w:val="left"/>
              <w:rPr>
                <w:sz w:val="18"/>
              </w:rPr>
            </w:pPr>
            <w:r>
              <w:rPr>
                <w:sz w:val="18"/>
              </w:rPr>
              <w:t>(0.28408)</w:t>
            </w:r>
          </w:p>
        </w:tc>
        <w:tc>
          <w:tcPr>
            <w:tcW w:w="1314" w:type="dxa"/>
          </w:tcPr>
          <w:p>
            <w:pPr>
              <w:pStyle w:val="TableParagraph"/>
              <w:spacing w:line="197" w:lineRule="exact"/>
              <w:ind w:left="254" w:right="210"/>
              <w:rPr>
                <w:sz w:val="18"/>
              </w:rPr>
            </w:pPr>
            <w:r>
              <w:rPr>
                <w:sz w:val="18"/>
              </w:rPr>
              <w:t>(2.08735)</w:t>
            </w:r>
          </w:p>
        </w:tc>
      </w:tr>
      <w:tr>
        <w:trPr>
          <w:trHeight w:val="311" w:hRule="exact"/>
        </w:trPr>
        <w:tc>
          <w:tcPr>
            <w:tcW w:w="2337" w:type="dxa"/>
          </w:tcPr>
          <w:p>
            <w:pPr/>
          </w:p>
        </w:tc>
        <w:tc>
          <w:tcPr>
            <w:tcW w:w="1200" w:type="dxa"/>
          </w:tcPr>
          <w:p>
            <w:pPr>
              <w:pStyle w:val="TableParagraph"/>
              <w:spacing w:line="197" w:lineRule="exact"/>
              <w:ind w:left="161"/>
              <w:jc w:val="left"/>
              <w:rPr>
                <w:sz w:val="18"/>
              </w:rPr>
            </w:pPr>
            <w:r>
              <w:rPr>
                <w:sz w:val="18"/>
              </w:rPr>
              <w:t>[-1.98397]</w:t>
            </w:r>
          </w:p>
        </w:tc>
        <w:tc>
          <w:tcPr>
            <w:tcW w:w="1313" w:type="dxa"/>
          </w:tcPr>
          <w:p>
            <w:pPr>
              <w:pStyle w:val="TableParagraph"/>
              <w:spacing w:line="197" w:lineRule="exact"/>
              <w:ind w:right="272"/>
              <w:jc w:val="right"/>
              <w:rPr>
                <w:sz w:val="18"/>
              </w:rPr>
            </w:pPr>
            <w:r>
              <w:rPr>
                <w:sz w:val="18"/>
              </w:rPr>
              <w:t>[-1.70014]</w:t>
            </w:r>
          </w:p>
        </w:tc>
        <w:tc>
          <w:tcPr>
            <w:tcW w:w="1313" w:type="dxa"/>
          </w:tcPr>
          <w:p>
            <w:pPr>
              <w:pStyle w:val="TableParagraph"/>
              <w:spacing w:line="197" w:lineRule="exact"/>
              <w:ind w:left="254" w:right="254"/>
              <w:rPr>
                <w:sz w:val="18"/>
              </w:rPr>
            </w:pPr>
            <w:r>
              <w:rPr>
                <w:sz w:val="18"/>
              </w:rPr>
              <w:t>[-0.53090]</w:t>
            </w:r>
          </w:p>
        </w:tc>
        <w:tc>
          <w:tcPr>
            <w:tcW w:w="1313" w:type="dxa"/>
          </w:tcPr>
          <w:p>
            <w:pPr>
              <w:pStyle w:val="TableParagraph"/>
              <w:spacing w:line="197" w:lineRule="exact"/>
              <w:ind w:left="274"/>
              <w:jc w:val="left"/>
              <w:rPr>
                <w:sz w:val="18"/>
              </w:rPr>
            </w:pPr>
            <w:r>
              <w:rPr>
                <w:sz w:val="18"/>
              </w:rPr>
              <w:t>[-4.57631]</w:t>
            </w:r>
          </w:p>
        </w:tc>
        <w:tc>
          <w:tcPr>
            <w:tcW w:w="1314" w:type="dxa"/>
          </w:tcPr>
          <w:p>
            <w:pPr>
              <w:pStyle w:val="TableParagraph"/>
              <w:spacing w:line="197" w:lineRule="exact"/>
              <w:ind w:left="254" w:right="254"/>
              <w:rPr>
                <w:sz w:val="18"/>
              </w:rPr>
            </w:pPr>
            <w:r>
              <w:rPr>
                <w:sz w:val="18"/>
              </w:rPr>
              <w:t>[-1.21464]</w:t>
            </w:r>
          </w:p>
        </w:tc>
      </w:tr>
      <w:tr>
        <w:trPr>
          <w:trHeight w:val="311" w:hRule="exact"/>
        </w:trPr>
        <w:tc>
          <w:tcPr>
            <w:tcW w:w="2337" w:type="dxa"/>
          </w:tcPr>
          <w:p>
            <w:pPr/>
          </w:p>
        </w:tc>
        <w:tc>
          <w:tcPr>
            <w:tcW w:w="1200" w:type="dxa"/>
          </w:tcPr>
          <w:p>
            <w:pPr>
              <w:pStyle w:val="TableParagraph"/>
              <w:spacing w:before="94"/>
              <w:ind w:left="228"/>
              <w:jc w:val="left"/>
              <w:rPr>
                <w:sz w:val="18"/>
              </w:rPr>
            </w:pPr>
            <w:r>
              <w:rPr>
                <w:sz w:val="18"/>
              </w:rPr>
              <w:t>0.053782</w:t>
            </w:r>
          </w:p>
        </w:tc>
        <w:tc>
          <w:tcPr>
            <w:tcW w:w="1313" w:type="dxa"/>
          </w:tcPr>
          <w:p>
            <w:pPr>
              <w:pStyle w:val="TableParagraph"/>
              <w:spacing w:before="94"/>
              <w:ind w:right="287"/>
              <w:jc w:val="right"/>
              <w:rPr>
                <w:sz w:val="18"/>
              </w:rPr>
            </w:pPr>
            <w:r>
              <w:rPr>
                <w:sz w:val="18"/>
              </w:rPr>
              <w:t>-1.862180</w:t>
            </w:r>
          </w:p>
        </w:tc>
        <w:tc>
          <w:tcPr>
            <w:tcW w:w="1313" w:type="dxa"/>
          </w:tcPr>
          <w:p>
            <w:pPr>
              <w:pStyle w:val="TableParagraph"/>
              <w:spacing w:before="94"/>
              <w:ind w:left="254" w:right="210"/>
              <w:rPr>
                <w:sz w:val="18"/>
              </w:rPr>
            </w:pPr>
            <w:r>
              <w:rPr>
                <w:sz w:val="18"/>
              </w:rPr>
              <w:t>3.220368</w:t>
            </w:r>
          </w:p>
        </w:tc>
        <w:tc>
          <w:tcPr>
            <w:tcW w:w="1313" w:type="dxa"/>
          </w:tcPr>
          <w:p>
            <w:pPr>
              <w:pStyle w:val="TableParagraph"/>
              <w:spacing w:before="94"/>
              <w:ind w:left="341"/>
              <w:jc w:val="left"/>
              <w:rPr>
                <w:sz w:val="18"/>
              </w:rPr>
            </w:pPr>
            <w:r>
              <w:rPr>
                <w:sz w:val="18"/>
              </w:rPr>
              <w:t>0.163629</w:t>
            </w:r>
          </w:p>
        </w:tc>
        <w:tc>
          <w:tcPr>
            <w:tcW w:w="1314" w:type="dxa"/>
          </w:tcPr>
          <w:p>
            <w:pPr>
              <w:pStyle w:val="TableParagraph"/>
              <w:spacing w:before="94"/>
              <w:ind w:left="254" w:right="254"/>
              <w:rPr>
                <w:sz w:val="18"/>
              </w:rPr>
            </w:pPr>
            <w:r>
              <w:rPr>
                <w:sz w:val="18"/>
              </w:rPr>
              <w:t>-1.913884</w:t>
            </w:r>
          </w:p>
        </w:tc>
      </w:tr>
      <w:tr>
        <w:trPr>
          <w:trHeight w:val="206" w:hRule="exact"/>
        </w:trPr>
        <w:tc>
          <w:tcPr>
            <w:tcW w:w="2337" w:type="dxa"/>
          </w:tcPr>
          <w:p>
            <w:pPr>
              <w:pStyle w:val="TableParagraph"/>
              <w:spacing w:line="197" w:lineRule="exact"/>
              <w:ind w:left="599"/>
              <w:jc w:val="left"/>
              <w:rPr>
                <w:sz w:val="18"/>
              </w:rPr>
            </w:pPr>
            <w:r>
              <w:rPr>
                <w:sz w:val="18"/>
              </w:rPr>
              <w:t>lyindusteu(-3)</w:t>
            </w:r>
          </w:p>
        </w:tc>
        <w:tc>
          <w:tcPr>
            <w:tcW w:w="1200" w:type="dxa"/>
          </w:tcPr>
          <w:p>
            <w:pPr>
              <w:pStyle w:val="TableParagraph"/>
              <w:spacing w:line="197" w:lineRule="exact"/>
              <w:ind w:left="214"/>
              <w:jc w:val="left"/>
              <w:rPr>
                <w:sz w:val="18"/>
              </w:rPr>
            </w:pPr>
            <w:r>
              <w:rPr>
                <w:sz w:val="18"/>
              </w:rPr>
              <w:t>(0.62015)</w:t>
            </w:r>
          </w:p>
        </w:tc>
        <w:tc>
          <w:tcPr>
            <w:tcW w:w="1313" w:type="dxa"/>
          </w:tcPr>
          <w:p>
            <w:pPr>
              <w:pStyle w:val="TableParagraph"/>
              <w:spacing w:line="197" w:lineRule="exact"/>
              <w:ind w:right="279"/>
              <w:jc w:val="right"/>
              <w:rPr>
                <w:sz w:val="18"/>
              </w:rPr>
            </w:pPr>
            <w:r>
              <w:rPr>
                <w:sz w:val="18"/>
              </w:rPr>
              <w:t>(2.47221)</w:t>
            </w:r>
          </w:p>
        </w:tc>
        <w:tc>
          <w:tcPr>
            <w:tcW w:w="1313" w:type="dxa"/>
          </w:tcPr>
          <w:p>
            <w:pPr>
              <w:pStyle w:val="TableParagraph"/>
              <w:spacing w:line="197" w:lineRule="exact"/>
              <w:ind w:left="254" w:right="209"/>
              <w:rPr>
                <w:sz w:val="18"/>
              </w:rPr>
            </w:pPr>
            <w:r>
              <w:rPr>
                <w:sz w:val="18"/>
              </w:rPr>
              <w:t>(2.40895)</w:t>
            </w:r>
          </w:p>
        </w:tc>
        <w:tc>
          <w:tcPr>
            <w:tcW w:w="1313" w:type="dxa"/>
          </w:tcPr>
          <w:p>
            <w:pPr>
              <w:pStyle w:val="TableParagraph"/>
              <w:spacing w:line="197" w:lineRule="exact"/>
              <w:ind w:left="327"/>
              <w:jc w:val="left"/>
              <w:rPr>
                <w:sz w:val="18"/>
              </w:rPr>
            </w:pPr>
            <w:r>
              <w:rPr>
                <w:sz w:val="18"/>
              </w:rPr>
              <w:t>(0.29426)</w:t>
            </w:r>
          </w:p>
        </w:tc>
        <w:tc>
          <w:tcPr>
            <w:tcW w:w="1314" w:type="dxa"/>
          </w:tcPr>
          <w:p>
            <w:pPr>
              <w:pStyle w:val="TableParagraph"/>
              <w:spacing w:line="197" w:lineRule="exact"/>
              <w:ind w:left="254" w:right="210"/>
              <w:rPr>
                <w:sz w:val="18"/>
              </w:rPr>
            </w:pPr>
            <w:r>
              <w:rPr>
                <w:sz w:val="18"/>
              </w:rPr>
              <w:t>(2.16218)</w:t>
            </w:r>
          </w:p>
        </w:tc>
      </w:tr>
      <w:tr>
        <w:trPr>
          <w:trHeight w:val="311" w:hRule="exact"/>
        </w:trPr>
        <w:tc>
          <w:tcPr>
            <w:tcW w:w="2337" w:type="dxa"/>
          </w:tcPr>
          <w:p>
            <w:pPr/>
          </w:p>
        </w:tc>
        <w:tc>
          <w:tcPr>
            <w:tcW w:w="1200" w:type="dxa"/>
          </w:tcPr>
          <w:p>
            <w:pPr>
              <w:pStyle w:val="TableParagraph"/>
              <w:spacing w:line="197" w:lineRule="exact"/>
              <w:ind w:left="168"/>
              <w:jc w:val="left"/>
              <w:rPr>
                <w:sz w:val="18"/>
              </w:rPr>
            </w:pPr>
            <w:r>
              <w:rPr>
                <w:sz w:val="18"/>
              </w:rPr>
              <w:t>[ 0.08672]</w:t>
            </w:r>
          </w:p>
        </w:tc>
        <w:tc>
          <w:tcPr>
            <w:tcW w:w="1313" w:type="dxa"/>
          </w:tcPr>
          <w:p>
            <w:pPr>
              <w:pStyle w:val="TableParagraph"/>
              <w:spacing w:line="197" w:lineRule="exact"/>
              <w:ind w:right="272"/>
              <w:jc w:val="right"/>
              <w:rPr>
                <w:sz w:val="18"/>
              </w:rPr>
            </w:pPr>
            <w:r>
              <w:rPr>
                <w:sz w:val="18"/>
              </w:rPr>
              <w:t>[-0.75325]</w:t>
            </w:r>
          </w:p>
        </w:tc>
        <w:tc>
          <w:tcPr>
            <w:tcW w:w="1313" w:type="dxa"/>
          </w:tcPr>
          <w:p>
            <w:pPr>
              <w:pStyle w:val="TableParagraph"/>
              <w:spacing w:line="197" w:lineRule="exact"/>
              <w:ind w:left="254" w:right="254"/>
              <w:rPr>
                <w:sz w:val="18"/>
              </w:rPr>
            </w:pPr>
            <w:r>
              <w:rPr>
                <w:sz w:val="18"/>
              </w:rPr>
              <w:t>[ 1.33683]</w:t>
            </w:r>
          </w:p>
        </w:tc>
        <w:tc>
          <w:tcPr>
            <w:tcW w:w="1313" w:type="dxa"/>
          </w:tcPr>
          <w:p>
            <w:pPr>
              <w:pStyle w:val="TableParagraph"/>
              <w:spacing w:line="197" w:lineRule="exact"/>
              <w:ind w:left="281"/>
              <w:jc w:val="left"/>
              <w:rPr>
                <w:sz w:val="18"/>
              </w:rPr>
            </w:pPr>
            <w:r>
              <w:rPr>
                <w:sz w:val="18"/>
              </w:rPr>
              <w:t>[ 0.55607]</w:t>
            </w:r>
          </w:p>
        </w:tc>
        <w:tc>
          <w:tcPr>
            <w:tcW w:w="1314" w:type="dxa"/>
          </w:tcPr>
          <w:p>
            <w:pPr>
              <w:pStyle w:val="TableParagraph"/>
              <w:spacing w:line="197" w:lineRule="exact"/>
              <w:ind w:left="254" w:right="254"/>
              <w:rPr>
                <w:sz w:val="18"/>
              </w:rPr>
            </w:pPr>
            <w:r>
              <w:rPr>
                <w:sz w:val="18"/>
              </w:rPr>
              <w:t>[-0.88516]</w:t>
            </w:r>
          </w:p>
        </w:tc>
      </w:tr>
      <w:tr>
        <w:trPr>
          <w:trHeight w:val="311" w:hRule="exact"/>
        </w:trPr>
        <w:tc>
          <w:tcPr>
            <w:tcW w:w="2337" w:type="dxa"/>
          </w:tcPr>
          <w:p>
            <w:pPr/>
          </w:p>
        </w:tc>
        <w:tc>
          <w:tcPr>
            <w:tcW w:w="1200" w:type="dxa"/>
          </w:tcPr>
          <w:p>
            <w:pPr>
              <w:pStyle w:val="TableParagraph"/>
              <w:spacing w:before="94"/>
              <w:ind w:left="175"/>
              <w:jc w:val="left"/>
              <w:rPr>
                <w:sz w:val="18"/>
              </w:rPr>
            </w:pPr>
            <w:r>
              <w:rPr>
                <w:sz w:val="18"/>
              </w:rPr>
              <w:t>-0.060475</w:t>
            </w:r>
          </w:p>
        </w:tc>
        <w:tc>
          <w:tcPr>
            <w:tcW w:w="1313" w:type="dxa"/>
          </w:tcPr>
          <w:p>
            <w:pPr>
              <w:pStyle w:val="TableParagraph"/>
              <w:spacing w:before="94"/>
              <w:ind w:right="294"/>
              <w:jc w:val="right"/>
              <w:rPr>
                <w:sz w:val="18"/>
              </w:rPr>
            </w:pPr>
            <w:r>
              <w:rPr>
                <w:sz w:val="18"/>
              </w:rPr>
              <w:t>1.188603</w:t>
            </w:r>
          </w:p>
        </w:tc>
        <w:tc>
          <w:tcPr>
            <w:tcW w:w="1313" w:type="dxa"/>
          </w:tcPr>
          <w:p>
            <w:pPr>
              <w:pStyle w:val="TableParagraph"/>
              <w:spacing w:before="94"/>
              <w:ind w:left="253" w:right="254"/>
              <w:rPr>
                <w:sz w:val="18"/>
              </w:rPr>
            </w:pPr>
            <w:r>
              <w:rPr>
                <w:sz w:val="18"/>
              </w:rPr>
              <w:t>-1.737830</w:t>
            </w:r>
          </w:p>
        </w:tc>
        <w:tc>
          <w:tcPr>
            <w:tcW w:w="1313" w:type="dxa"/>
          </w:tcPr>
          <w:p>
            <w:pPr>
              <w:pStyle w:val="TableParagraph"/>
              <w:spacing w:before="94"/>
              <w:ind w:left="341"/>
              <w:jc w:val="left"/>
              <w:rPr>
                <w:sz w:val="18"/>
              </w:rPr>
            </w:pPr>
            <w:r>
              <w:rPr>
                <w:sz w:val="18"/>
              </w:rPr>
              <w:t>0.067505</w:t>
            </w:r>
          </w:p>
        </w:tc>
        <w:tc>
          <w:tcPr>
            <w:tcW w:w="1314" w:type="dxa"/>
          </w:tcPr>
          <w:p>
            <w:pPr>
              <w:pStyle w:val="TableParagraph"/>
              <w:spacing w:before="94"/>
              <w:ind w:left="254" w:right="211"/>
              <w:rPr>
                <w:sz w:val="18"/>
              </w:rPr>
            </w:pPr>
            <w:r>
              <w:rPr>
                <w:sz w:val="18"/>
              </w:rPr>
              <w:t>1.665501</w:t>
            </w:r>
          </w:p>
        </w:tc>
      </w:tr>
      <w:tr>
        <w:trPr>
          <w:trHeight w:val="206" w:hRule="exact"/>
        </w:trPr>
        <w:tc>
          <w:tcPr>
            <w:tcW w:w="2337" w:type="dxa"/>
          </w:tcPr>
          <w:p>
            <w:pPr>
              <w:pStyle w:val="TableParagraph"/>
              <w:spacing w:line="197" w:lineRule="exact"/>
              <w:ind w:left="599"/>
              <w:jc w:val="left"/>
              <w:rPr>
                <w:sz w:val="18"/>
              </w:rPr>
            </w:pPr>
            <w:r>
              <w:rPr>
                <w:sz w:val="18"/>
              </w:rPr>
              <w:t>lyindusteu(-4)</w:t>
            </w:r>
          </w:p>
        </w:tc>
        <w:tc>
          <w:tcPr>
            <w:tcW w:w="1200" w:type="dxa"/>
          </w:tcPr>
          <w:p>
            <w:pPr>
              <w:pStyle w:val="TableParagraph"/>
              <w:spacing w:line="197" w:lineRule="exact"/>
              <w:ind w:left="214"/>
              <w:jc w:val="left"/>
              <w:rPr>
                <w:sz w:val="18"/>
              </w:rPr>
            </w:pPr>
            <w:r>
              <w:rPr>
                <w:sz w:val="18"/>
              </w:rPr>
              <w:t>(0.31602)</w:t>
            </w:r>
          </w:p>
        </w:tc>
        <w:tc>
          <w:tcPr>
            <w:tcW w:w="1313" w:type="dxa"/>
          </w:tcPr>
          <w:p>
            <w:pPr>
              <w:pStyle w:val="TableParagraph"/>
              <w:spacing w:line="197" w:lineRule="exact"/>
              <w:ind w:right="279"/>
              <w:jc w:val="right"/>
              <w:rPr>
                <w:sz w:val="18"/>
              </w:rPr>
            </w:pPr>
            <w:r>
              <w:rPr>
                <w:sz w:val="18"/>
              </w:rPr>
              <w:t>(1.25979)</w:t>
            </w:r>
          </w:p>
        </w:tc>
        <w:tc>
          <w:tcPr>
            <w:tcW w:w="1313" w:type="dxa"/>
          </w:tcPr>
          <w:p>
            <w:pPr>
              <w:pStyle w:val="TableParagraph"/>
              <w:spacing w:line="197" w:lineRule="exact"/>
              <w:ind w:left="254" w:right="209"/>
              <w:rPr>
                <w:sz w:val="18"/>
              </w:rPr>
            </w:pPr>
            <w:r>
              <w:rPr>
                <w:sz w:val="18"/>
              </w:rPr>
              <w:t>(1.22756)</w:t>
            </w:r>
          </w:p>
        </w:tc>
        <w:tc>
          <w:tcPr>
            <w:tcW w:w="1313" w:type="dxa"/>
          </w:tcPr>
          <w:p>
            <w:pPr>
              <w:pStyle w:val="TableParagraph"/>
              <w:spacing w:line="197" w:lineRule="exact"/>
              <w:ind w:left="327"/>
              <w:jc w:val="left"/>
              <w:rPr>
                <w:sz w:val="18"/>
              </w:rPr>
            </w:pPr>
            <w:r>
              <w:rPr>
                <w:sz w:val="18"/>
              </w:rPr>
              <w:t>(0.14995)</w:t>
            </w:r>
          </w:p>
        </w:tc>
        <w:tc>
          <w:tcPr>
            <w:tcW w:w="1314" w:type="dxa"/>
          </w:tcPr>
          <w:p>
            <w:pPr>
              <w:pStyle w:val="TableParagraph"/>
              <w:spacing w:line="197" w:lineRule="exact"/>
              <w:ind w:left="254" w:right="210"/>
              <w:rPr>
                <w:sz w:val="18"/>
              </w:rPr>
            </w:pPr>
            <w:r>
              <w:rPr>
                <w:sz w:val="18"/>
              </w:rPr>
              <w:t>(1.10181)</w:t>
            </w:r>
          </w:p>
        </w:tc>
      </w:tr>
      <w:tr>
        <w:trPr>
          <w:trHeight w:val="311" w:hRule="exact"/>
        </w:trPr>
        <w:tc>
          <w:tcPr>
            <w:tcW w:w="2337" w:type="dxa"/>
          </w:tcPr>
          <w:p>
            <w:pPr/>
          </w:p>
        </w:tc>
        <w:tc>
          <w:tcPr>
            <w:tcW w:w="1200" w:type="dxa"/>
          </w:tcPr>
          <w:p>
            <w:pPr>
              <w:pStyle w:val="TableParagraph"/>
              <w:spacing w:line="197" w:lineRule="exact"/>
              <w:ind w:left="161"/>
              <w:jc w:val="left"/>
              <w:rPr>
                <w:sz w:val="18"/>
              </w:rPr>
            </w:pPr>
            <w:r>
              <w:rPr>
                <w:sz w:val="18"/>
              </w:rPr>
              <w:t>[-0.19137]</w:t>
            </w:r>
          </w:p>
        </w:tc>
        <w:tc>
          <w:tcPr>
            <w:tcW w:w="1313" w:type="dxa"/>
          </w:tcPr>
          <w:p>
            <w:pPr>
              <w:pStyle w:val="TableParagraph"/>
              <w:spacing w:line="197" w:lineRule="exact"/>
              <w:ind w:right="281"/>
              <w:jc w:val="right"/>
              <w:rPr>
                <w:sz w:val="18"/>
              </w:rPr>
            </w:pPr>
            <w:r>
              <w:rPr>
                <w:sz w:val="18"/>
              </w:rPr>
              <w:t>[ 0.94349]</w:t>
            </w:r>
          </w:p>
        </w:tc>
        <w:tc>
          <w:tcPr>
            <w:tcW w:w="1313" w:type="dxa"/>
          </w:tcPr>
          <w:p>
            <w:pPr>
              <w:pStyle w:val="TableParagraph"/>
              <w:spacing w:line="197" w:lineRule="exact"/>
              <w:ind w:left="254" w:right="254"/>
              <w:rPr>
                <w:sz w:val="18"/>
              </w:rPr>
            </w:pPr>
            <w:r>
              <w:rPr>
                <w:sz w:val="18"/>
              </w:rPr>
              <w:t>[-1.41568]</w:t>
            </w:r>
          </w:p>
        </w:tc>
        <w:tc>
          <w:tcPr>
            <w:tcW w:w="1313" w:type="dxa"/>
          </w:tcPr>
          <w:p>
            <w:pPr>
              <w:pStyle w:val="TableParagraph"/>
              <w:spacing w:line="197" w:lineRule="exact"/>
              <w:ind w:left="281"/>
              <w:jc w:val="left"/>
              <w:rPr>
                <w:sz w:val="18"/>
              </w:rPr>
            </w:pPr>
            <w:r>
              <w:rPr>
                <w:sz w:val="18"/>
              </w:rPr>
              <w:t>[ 0.45018]</w:t>
            </w:r>
          </w:p>
        </w:tc>
        <w:tc>
          <w:tcPr>
            <w:tcW w:w="1314" w:type="dxa"/>
          </w:tcPr>
          <w:p>
            <w:pPr>
              <w:pStyle w:val="TableParagraph"/>
              <w:spacing w:line="197" w:lineRule="exact"/>
              <w:ind w:left="253" w:right="254"/>
              <w:rPr>
                <w:sz w:val="18"/>
              </w:rPr>
            </w:pPr>
            <w:r>
              <w:rPr>
                <w:sz w:val="18"/>
              </w:rPr>
              <w:t>[ 1.51161]</w:t>
            </w:r>
          </w:p>
        </w:tc>
      </w:tr>
      <w:tr>
        <w:trPr>
          <w:trHeight w:val="311" w:hRule="exact"/>
        </w:trPr>
        <w:tc>
          <w:tcPr>
            <w:tcW w:w="2337" w:type="dxa"/>
          </w:tcPr>
          <w:p>
            <w:pPr/>
          </w:p>
        </w:tc>
        <w:tc>
          <w:tcPr>
            <w:tcW w:w="1200" w:type="dxa"/>
          </w:tcPr>
          <w:p>
            <w:pPr>
              <w:pStyle w:val="TableParagraph"/>
              <w:spacing w:before="94"/>
              <w:ind w:left="228"/>
              <w:jc w:val="left"/>
              <w:rPr>
                <w:sz w:val="18"/>
              </w:rPr>
            </w:pPr>
            <w:r>
              <w:rPr>
                <w:sz w:val="18"/>
              </w:rPr>
              <w:t>0.000364</w:t>
            </w:r>
          </w:p>
        </w:tc>
        <w:tc>
          <w:tcPr>
            <w:tcW w:w="1313" w:type="dxa"/>
          </w:tcPr>
          <w:p>
            <w:pPr>
              <w:pStyle w:val="TableParagraph"/>
              <w:spacing w:before="94"/>
              <w:ind w:right="294"/>
              <w:jc w:val="right"/>
              <w:rPr>
                <w:sz w:val="18"/>
              </w:rPr>
            </w:pPr>
            <w:r>
              <w:rPr>
                <w:sz w:val="18"/>
              </w:rPr>
              <w:t>0.062559</w:t>
            </w:r>
          </w:p>
        </w:tc>
        <w:tc>
          <w:tcPr>
            <w:tcW w:w="1313" w:type="dxa"/>
          </w:tcPr>
          <w:p>
            <w:pPr>
              <w:pStyle w:val="TableParagraph"/>
              <w:spacing w:before="94"/>
              <w:ind w:left="254" w:right="210"/>
              <w:rPr>
                <w:sz w:val="18"/>
              </w:rPr>
            </w:pPr>
            <w:r>
              <w:rPr>
                <w:sz w:val="18"/>
              </w:rPr>
              <w:t>0.137184</w:t>
            </w:r>
          </w:p>
        </w:tc>
        <w:tc>
          <w:tcPr>
            <w:tcW w:w="1313" w:type="dxa"/>
          </w:tcPr>
          <w:p>
            <w:pPr>
              <w:pStyle w:val="TableParagraph"/>
              <w:spacing w:before="94"/>
              <w:ind w:left="341"/>
              <w:jc w:val="left"/>
              <w:rPr>
                <w:sz w:val="18"/>
              </w:rPr>
            </w:pPr>
            <w:r>
              <w:rPr>
                <w:sz w:val="18"/>
              </w:rPr>
              <w:t>0.006430</w:t>
            </w:r>
          </w:p>
        </w:tc>
        <w:tc>
          <w:tcPr>
            <w:tcW w:w="1314" w:type="dxa"/>
          </w:tcPr>
          <w:p>
            <w:pPr>
              <w:pStyle w:val="TableParagraph"/>
              <w:spacing w:before="94"/>
              <w:ind w:left="254" w:right="211"/>
              <w:rPr>
                <w:sz w:val="18"/>
              </w:rPr>
            </w:pPr>
            <w:r>
              <w:rPr>
                <w:sz w:val="18"/>
              </w:rPr>
              <w:t>0.897402</w:t>
            </w:r>
          </w:p>
        </w:tc>
      </w:tr>
      <w:tr>
        <w:trPr>
          <w:trHeight w:val="206" w:hRule="exact"/>
        </w:trPr>
        <w:tc>
          <w:tcPr>
            <w:tcW w:w="2337" w:type="dxa"/>
          </w:tcPr>
          <w:p>
            <w:pPr>
              <w:pStyle w:val="TableParagraph"/>
              <w:spacing w:line="197" w:lineRule="exact"/>
              <w:ind w:left="792" w:right="904"/>
              <w:rPr>
                <w:sz w:val="18"/>
              </w:rPr>
            </w:pPr>
            <w:r>
              <w:rPr>
                <w:sz w:val="18"/>
              </w:rPr>
              <w:t>lpmt(-1)</w:t>
            </w:r>
          </w:p>
        </w:tc>
        <w:tc>
          <w:tcPr>
            <w:tcW w:w="1200" w:type="dxa"/>
          </w:tcPr>
          <w:p>
            <w:pPr>
              <w:pStyle w:val="TableParagraph"/>
              <w:spacing w:line="197" w:lineRule="exact"/>
              <w:ind w:left="214"/>
              <w:jc w:val="left"/>
              <w:rPr>
                <w:sz w:val="18"/>
              </w:rPr>
            </w:pPr>
            <w:r>
              <w:rPr>
                <w:sz w:val="18"/>
              </w:rPr>
              <w:t>(0.10762)</w:t>
            </w:r>
          </w:p>
        </w:tc>
        <w:tc>
          <w:tcPr>
            <w:tcW w:w="1313" w:type="dxa"/>
          </w:tcPr>
          <w:p>
            <w:pPr>
              <w:pStyle w:val="TableParagraph"/>
              <w:spacing w:line="197" w:lineRule="exact"/>
              <w:ind w:right="279"/>
              <w:jc w:val="right"/>
              <w:rPr>
                <w:sz w:val="18"/>
              </w:rPr>
            </w:pPr>
            <w:r>
              <w:rPr>
                <w:sz w:val="18"/>
              </w:rPr>
              <w:t>(0.42904)</w:t>
            </w:r>
          </w:p>
        </w:tc>
        <w:tc>
          <w:tcPr>
            <w:tcW w:w="1313" w:type="dxa"/>
          </w:tcPr>
          <w:p>
            <w:pPr>
              <w:pStyle w:val="TableParagraph"/>
              <w:spacing w:line="197" w:lineRule="exact"/>
              <w:ind w:left="254" w:right="209"/>
              <w:rPr>
                <w:sz w:val="18"/>
              </w:rPr>
            </w:pPr>
            <w:r>
              <w:rPr>
                <w:sz w:val="18"/>
              </w:rPr>
              <w:t>(0.41806)</w:t>
            </w:r>
          </w:p>
        </w:tc>
        <w:tc>
          <w:tcPr>
            <w:tcW w:w="1313" w:type="dxa"/>
          </w:tcPr>
          <w:p>
            <w:pPr>
              <w:pStyle w:val="TableParagraph"/>
              <w:spacing w:line="197" w:lineRule="exact"/>
              <w:ind w:left="327"/>
              <w:jc w:val="left"/>
              <w:rPr>
                <w:sz w:val="18"/>
              </w:rPr>
            </w:pPr>
            <w:r>
              <w:rPr>
                <w:sz w:val="18"/>
              </w:rPr>
              <w:t>(0.05107)</w:t>
            </w:r>
          </w:p>
        </w:tc>
        <w:tc>
          <w:tcPr>
            <w:tcW w:w="1314" w:type="dxa"/>
          </w:tcPr>
          <w:p>
            <w:pPr>
              <w:pStyle w:val="TableParagraph"/>
              <w:spacing w:line="197" w:lineRule="exact"/>
              <w:ind w:left="254" w:right="210"/>
              <w:rPr>
                <w:sz w:val="18"/>
              </w:rPr>
            </w:pPr>
            <w:r>
              <w:rPr>
                <w:sz w:val="18"/>
              </w:rPr>
              <w:t>(0.37524)</w:t>
            </w:r>
          </w:p>
        </w:tc>
      </w:tr>
      <w:tr>
        <w:trPr>
          <w:trHeight w:val="310" w:hRule="exact"/>
        </w:trPr>
        <w:tc>
          <w:tcPr>
            <w:tcW w:w="2337" w:type="dxa"/>
          </w:tcPr>
          <w:p>
            <w:pPr/>
          </w:p>
        </w:tc>
        <w:tc>
          <w:tcPr>
            <w:tcW w:w="1200" w:type="dxa"/>
          </w:tcPr>
          <w:p>
            <w:pPr>
              <w:pStyle w:val="TableParagraph"/>
              <w:spacing w:line="197" w:lineRule="exact"/>
              <w:ind w:left="168"/>
              <w:jc w:val="left"/>
              <w:rPr>
                <w:sz w:val="18"/>
              </w:rPr>
            </w:pPr>
            <w:r>
              <w:rPr>
                <w:sz w:val="18"/>
              </w:rPr>
              <w:t>[ 0.00338]</w:t>
            </w:r>
          </w:p>
        </w:tc>
        <w:tc>
          <w:tcPr>
            <w:tcW w:w="1313" w:type="dxa"/>
          </w:tcPr>
          <w:p>
            <w:pPr>
              <w:pStyle w:val="TableParagraph"/>
              <w:spacing w:line="197" w:lineRule="exact"/>
              <w:ind w:right="281"/>
              <w:jc w:val="right"/>
              <w:rPr>
                <w:sz w:val="18"/>
              </w:rPr>
            </w:pPr>
            <w:r>
              <w:rPr>
                <w:sz w:val="18"/>
              </w:rPr>
              <w:t>[ 0.14581]</w:t>
            </w:r>
          </w:p>
        </w:tc>
        <w:tc>
          <w:tcPr>
            <w:tcW w:w="1313" w:type="dxa"/>
          </w:tcPr>
          <w:p>
            <w:pPr>
              <w:pStyle w:val="TableParagraph"/>
              <w:spacing w:line="197" w:lineRule="exact"/>
              <w:ind w:left="254" w:right="254"/>
              <w:rPr>
                <w:sz w:val="18"/>
              </w:rPr>
            </w:pPr>
            <w:r>
              <w:rPr>
                <w:sz w:val="18"/>
              </w:rPr>
              <w:t>[ 0.32814]</w:t>
            </w:r>
          </w:p>
        </w:tc>
        <w:tc>
          <w:tcPr>
            <w:tcW w:w="1313" w:type="dxa"/>
          </w:tcPr>
          <w:p>
            <w:pPr>
              <w:pStyle w:val="TableParagraph"/>
              <w:spacing w:line="197" w:lineRule="exact"/>
              <w:ind w:left="281"/>
              <w:jc w:val="left"/>
              <w:rPr>
                <w:sz w:val="18"/>
              </w:rPr>
            </w:pPr>
            <w:r>
              <w:rPr>
                <w:sz w:val="18"/>
              </w:rPr>
              <w:t>[ 0.12592]</w:t>
            </w:r>
          </w:p>
        </w:tc>
        <w:tc>
          <w:tcPr>
            <w:tcW w:w="1314" w:type="dxa"/>
          </w:tcPr>
          <w:p>
            <w:pPr>
              <w:pStyle w:val="TableParagraph"/>
              <w:spacing w:line="197" w:lineRule="exact"/>
              <w:ind w:left="253" w:right="254"/>
              <w:rPr>
                <w:sz w:val="18"/>
              </w:rPr>
            </w:pPr>
            <w:r>
              <w:rPr>
                <w:sz w:val="18"/>
              </w:rPr>
              <w:t>[ 2.39157]</w:t>
            </w:r>
          </w:p>
        </w:tc>
      </w:tr>
      <w:tr>
        <w:trPr>
          <w:trHeight w:val="311" w:hRule="exact"/>
        </w:trPr>
        <w:tc>
          <w:tcPr>
            <w:tcW w:w="2337" w:type="dxa"/>
          </w:tcPr>
          <w:p>
            <w:pPr/>
          </w:p>
        </w:tc>
        <w:tc>
          <w:tcPr>
            <w:tcW w:w="1200" w:type="dxa"/>
          </w:tcPr>
          <w:p>
            <w:pPr>
              <w:pStyle w:val="TableParagraph"/>
              <w:spacing w:before="93"/>
              <w:ind w:left="228"/>
              <w:jc w:val="left"/>
              <w:rPr>
                <w:sz w:val="18"/>
              </w:rPr>
            </w:pPr>
            <w:r>
              <w:rPr>
                <w:sz w:val="18"/>
              </w:rPr>
              <w:t>0.077664</w:t>
            </w:r>
          </w:p>
        </w:tc>
        <w:tc>
          <w:tcPr>
            <w:tcW w:w="1313" w:type="dxa"/>
          </w:tcPr>
          <w:p>
            <w:pPr>
              <w:pStyle w:val="TableParagraph"/>
              <w:spacing w:before="93"/>
              <w:ind w:right="294"/>
              <w:jc w:val="right"/>
              <w:rPr>
                <w:sz w:val="18"/>
              </w:rPr>
            </w:pPr>
            <w:r>
              <w:rPr>
                <w:sz w:val="18"/>
              </w:rPr>
              <w:t>0.162031</w:t>
            </w:r>
          </w:p>
        </w:tc>
        <w:tc>
          <w:tcPr>
            <w:tcW w:w="1313" w:type="dxa"/>
          </w:tcPr>
          <w:p>
            <w:pPr>
              <w:pStyle w:val="TableParagraph"/>
              <w:spacing w:before="93"/>
              <w:ind w:left="253" w:right="254"/>
              <w:rPr>
                <w:sz w:val="18"/>
              </w:rPr>
            </w:pPr>
            <w:r>
              <w:rPr>
                <w:sz w:val="18"/>
              </w:rPr>
              <w:t>-0.206237</w:t>
            </w:r>
          </w:p>
        </w:tc>
        <w:tc>
          <w:tcPr>
            <w:tcW w:w="1313" w:type="dxa"/>
          </w:tcPr>
          <w:p>
            <w:pPr>
              <w:pStyle w:val="TableParagraph"/>
              <w:spacing w:before="93"/>
              <w:ind w:left="288"/>
              <w:jc w:val="left"/>
              <w:rPr>
                <w:sz w:val="18"/>
              </w:rPr>
            </w:pPr>
            <w:r>
              <w:rPr>
                <w:sz w:val="18"/>
              </w:rPr>
              <w:t>-0.044760</w:t>
            </w:r>
          </w:p>
        </w:tc>
        <w:tc>
          <w:tcPr>
            <w:tcW w:w="1314" w:type="dxa"/>
          </w:tcPr>
          <w:p>
            <w:pPr>
              <w:pStyle w:val="TableParagraph"/>
              <w:spacing w:before="93"/>
              <w:ind w:left="254" w:right="254"/>
              <w:rPr>
                <w:sz w:val="18"/>
              </w:rPr>
            </w:pPr>
            <w:r>
              <w:rPr>
                <w:sz w:val="18"/>
              </w:rPr>
              <w:t>-0.210898</w:t>
            </w:r>
          </w:p>
        </w:tc>
      </w:tr>
      <w:tr>
        <w:trPr>
          <w:trHeight w:val="208" w:hRule="exact"/>
        </w:trPr>
        <w:tc>
          <w:tcPr>
            <w:tcW w:w="2337" w:type="dxa"/>
          </w:tcPr>
          <w:p>
            <w:pPr>
              <w:pStyle w:val="TableParagraph"/>
              <w:spacing w:line="198" w:lineRule="exact"/>
              <w:ind w:left="792" w:right="904"/>
              <w:rPr>
                <w:sz w:val="18"/>
              </w:rPr>
            </w:pPr>
            <w:r>
              <w:rPr>
                <w:sz w:val="18"/>
              </w:rPr>
              <w:t>lpmt(-2)</w:t>
            </w:r>
          </w:p>
        </w:tc>
        <w:tc>
          <w:tcPr>
            <w:tcW w:w="1200" w:type="dxa"/>
          </w:tcPr>
          <w:p>
            <w:pPr>
              <w:pStyle w:val="TableParagraph"/>
              <w:spacing w:line="198" w:lineRule="exact"/>
              <w:ind w:left="214"/>
              <w:jc w:val="left"/>
              <w:rPr>
                <w:sz w:val="18"/>
              </w:rPr>
            </w:pPr>
            <w:r>
              <w:rPr>
                <w:sz w:val="18"/>
              </w:rPr>
              <w:t>(0.14069)</w:t>
            </w:r>
          </w:p>
        </w:tc>
        <w:tc>
          <w:tcPr>
            <w:tcW w:w="1313" w:type="dxa"/>
          </w:tcPr>
          <w:p>
            <w:pPr>
              <w:pStyle w:val="TableParagraph"/>
              <w:spacing w:line="198" w:lineRule="exact"/>
              <w:ind w:right="279"/>
              <w:jc w:val="right"/>
              <w:rPr>
                <w:sz w:val="18"/>
              </w:rPr>
            </w:pPr>
            <w:r>
              <w:rPr>
                <w:sz w:val="18"/>
              </w:rPr>
              <w:t>(0.56084)</w:t>
            </w:r>
          </w:p>
        </w:tc>
        <w:tc>
          <w:tcPr>
            <w:tcW w:w="1313" w:type="dxa"/>
          </w:tcPr>
          <w:p>
            <w:pPr>
              <w:pStyle w:val="TableParagraph"/>
              <w:spacing w:line="198" w:lineRule="exact"/>
              <w:ind w:left="254" w:right="209"/>
              <w:rPr>
                <w:sz w:val="18"/>
              </w:rPr>
            </w:pPr>
            <w:r>
              <w:rPr>
                <w:sz w:val="18"/>
              </w:rPr>
              <w:t>(0.54649)</w:t>
            </w:r>
          </w:p>
        </w:tc>
        <w:tc>
          <w:tcPr>
            <w:tcW w:w="1313" w:type="dxa"/>
          </w:tcPr>
          <w:p>
            <w:pPr>
              <w:pStyle w:val="TableParagraph"/>
              <w:spacing w:line="198" w:lineRule="exact"/>
              <w:ind w:left="327"/>
              <w:jc w:val="left"/>
              <w:rPr>
                <w:sz w:val="18"/>
              </w:rPr>
            </w:pPr>
            <w:r>
              <w:rPr>
                <w:sz w:val="18"/>
              </w:rPr>
              <w:t>(0.06676)</w:t>
            </w:r>
          </w:p>
        </w:tc>
        <w:tc>
          <w:tcPr>
            <w:tcW w:w="1314" w:type="dxa"/>
          </w:tcPr>
          <w:p>
            <w:pPr>
              <w:pStyle w:val="TableParagraph"/>
              <w:spacing w:line="198" w:lineRule="exact"/>
              <w:ind w:left="254" w:right="210"/>
              <w:rPr>
                <w:sz w:val="18"/>
              </w:rPr>
            </w:pPr>
            <w:r>
              <w:rPr>
                <w:sz w:val="18"/>
              </w:rPr>
              <w:t>(0.49051)</w:t>
            </w:r>
          </w:p>
        </w:tc>
      </w:tr>
      <w:tr>
        <w:trPr>
          <w:trHeight w:val="310" w:hRule="exact"/>
        </w:trPr>
        <w:tc>
          <w:tcPr>
            <w:tcW w:w="2337" w:type="dxa"/>
          </w:tcPr>
          <w:p>
            <w:pPr/>
          </w:p>
        </w:tc>
        <w:tc>
          <w:tcPr>
            <w:tcW w:w="1200" w:type="dxa"/>
          </w:tcPr>
          <w:p>
            <w:pPr>
              <w:pStyle w:val="TableParagraph"/>
              <w:spacing w:line="197" w:lineRule="exact"/>
              <w:ind w:left="168"/>
              <w:jc w:val="left"/>
              <w:rPr>
                <w:sz w:val="18"/>
              </w:rPr>
            </w:pPr>
            <w:r>
              <w:rPr>
                <w:sz w:val="18"/>
              </w:rPr>
              <w:t>[ 0.55204]</w:t>
            </w:r>
          </w:p>
        </w:tc>
        <w:tc>
          <w:tcPr>
            <w:tcW w:w="1313" w:type="dxa"/>
          </w:tcPr>
          <w:p>
            <w:pPr>
              <w:pStyle w:val="TableParagraph"/>
              <w:spacing w:line="197" w:lineRule="exact"/>
              <w:ind w:right="281"/>
              <w:jc w:val="right"/>
              <w:rPr>
                <w:sz w:val="18"/>
              </w:rPr>
            </w:pPr>
            <w:r>
              <w:rPr>
                <w:sz w:val="18"/>
              </w:rPr>
              <w:t>[ 0.28891]</w:t>
            </w:r>
          </w:p>
        </w:tc>
        <w:tc>
          <w:tcPr>
            <w:tcW w:w="1313" w:type="dxa"/>
          </w:tcPr>
          <w:p>
            <w:pPr>
              <w:pStyle w:val="TableParagraph"/>
              <w:spacing w:line="197" w:lineRule="exact"/>
              <w:ind w:left="254" w:right="254"/>
              <w:rPr>
                <w:sz w:val="18"/>
              </w:rPr>
            </w:pPr>
            <w:r>
              <w:rPr>
                <w:sz w:val="18"/>
              </w:rPr>
              <w:t>[-0.37738]</w:t>
            </w:r>
          </w:p>
        </w:tc>
        <w:tc>
          <w:tcPr>
            <w:tcW w:w="1313" w:type="dxa"/>
          </w:tcPr>
          <w:p>
            <w:pPr>
              <w:pStyle w:val="TableParagraph"/>
              <w:spacing w:line="197" w:lineRule="exact"/>
              <w:ind w:left="274"/>
              <w:jc w:val="left"/>
              <w:rPr>
                <w:sz w:val="18"/>
              </w:rPr>
            </w:pPr>
            <w:r>
              <w:rPr>
                <w:sz w:val="18"/>
              </w:rPr>
              <w:t>[-0.67050]</w:t>
            </w:r>
          </w:p>
        </w:tc>
        <w:tc>
          <w:tcPr>
            <w:tcW w:w="1314" w:type="dxa"/>
          </w:tcPr>
          <w:p>
            <w:pPr>
              <w:pStyle w:val="TableParagraph"/>
              <w:spacing w:line="197" w:lineRule="exact"/>
              <w:ind w:left="254" w:right="254"/>
              <w:rPr>
                <w:sz w:val="18"/>
              </w:rPr>
            </w:pPr>
            <w:r>
              <w:rPr>
                <w:sz w:val="18"/>
              </w:rPr>
              <w:t>[-0.42995]</w:t>
            </w:r>
          </w:p>
        </w:tc>
      </w:tr>
      <w:tr>
        <w:trPr>
          <w:trHeight w:val="311" w:hRule="exact"/>
        </w:trPr>
        <w:tc>
          <w:tcPr>
            <w:tcW w:w="2337" w:type="dxa"/>
          </w:tcPr>
          <w:p>
            <w:pPr/>
          </w:p>
        </w:tc>
        <w:tc>
          <w:tcPr>
            <w:tcW w:w="1200" w:type="dxa"/>
          </w:tcPr>
          <w:p>
            <w:pPr>
              <w:pStyle w:val="TableParagraph"/>
              <w:spacing w:before="93"/>
              <w:ind w:left="228"/>
              <w:jc w:val="left"/>
              <w:rPr>
                <w:sz w:val="18"/>
              </w:rPr>
            </w:pPr>
            <w:r>
              <w:rPr>
                <w:sz w:val="18"/>
              </w:rPr>
              <w:t>0.049949</w:t>
            </w:r>
          </w:p>
        </w:tc>
        <w:tc>
          <w:tcPr>
            <w:tcW w:w="1313" w:type="dxa"/>
          </w:tcPr>
          <w:p>
            <w:pPr>
              <w:pStyle w:val="TableParagraph"/>
              <w:spacing w:before="93"/>
              <w:ind w:right="294"/>
              <w:jc w:val="right"/>
              <w:rPr>
                <w:sz w:val="18"/>
              </w:rPr>
            </w:pPr>
            <w:r>
              <w:rPr>
                <w:sz w:val="18"/>
              </w:rPr>
              <w:t>0.019178</w:t>
            </w:r>
          </w:p>
        </w:tc>
        <w:tc>
          <w:tcPr>
            <w:tcW w:w="1313" w:type="dxa"/>
          </w:tcPr>
          <w:p>
            <w:pPr>
              <w:pStyle w:val="TableParagraph"/>
              <w:spacing w:before="93"/>
              <w:ind w:left="254" w:right="210"/>
              <w:rPr>
                <w:sz w:val="18"/>
              </w:rPr>
            </w:pPr>
            <w:r>
              <w:rPr>
                <w:sz w:val="18"/>
              </w:rPr>
              <w:t>0.286121</w:t>
            </w:r>
          </w:p>
        </w:tc>
        <w:tc>
          <w:tcPr>
            <w:tcW w:w="1313" w:type="dxa"/>
          </w:tcPr>
          <w:p>
            <w:pPr>
              <w:pStyle w:val="TableParagraph"/>
              <w:spacing w:before="93"/>
              <w:ind w:left="341"/>
              <w:jc w:val="left"/>
              <w:rPr>
                <w:sz w:val="18"/>
              </w:rPr>
            </w:pPr>
            <w:r>
              <w:rPr>
                <w:sz w:val="18"/>
              </w:rPr>
              <w:t>0.076604</w:t>
            </w:r>
          </w:p>
        </w:tc>
        <w:tc>
          <w:tcPr>
            <w:tcW w:w="1314" w:type="dxa"/>
          </w:tcPr>
          <w:p>
            <w:pPr>
              <w:pStyle w:val="TableParagraph"/>
              <w:spacing w:before="93"/>
              <w:ind w:left="254" w:right="211"/>
              <w:rPr>
                <w:sz w:val="18"/>
              </w:rPr>
            </w:pPr>
            <w:r>
              <w:rPr>
                <w:sz w:val="18"/>
              </w:rPr>
              <w:t>0.247696</w:t>
            </w:r>
          </w:p>
        </w:tc>
      </w:tr>
      <w:tr>
        <w:trPr>
          <w:trHeight w:val="208" w:hRule="exact"/>
        </w:trPr>
        <w:tc>
          <w:tcPr>
            <w:tcW w:w="2337" w:type="dxa"/>
          </w:tcPr>
          <w:p>
            <w:pPr>
              <w:pStyle w:val="TableParagraph"/>
              <w:spacing w:line="198" w:lineRule="exact"/>
              <w:ind w:left="792" w:right="904"/>
              <w:rPr>
                <w:sz w:val="18"/>
              </w:rPr>
            </w:pPr>
            <w:r>
              <w:rPr>
                <w:sz w:val="18"/>
              </w:rPr>
              <w:t>lpmt(-3)</w:t>
            </w:r>
          </w:p>
        </w:tc>
        <w:tc>
          <w:tcPr>
            <w:tcW w:w="1200" w:type="dxa"/>
          </w:tcPr>
          <w:p>
            <w:pPr>
              <w:pStyle w:val="TableParagraph"/>
              <w:spacing w:line="198" w:lineRule="exact"/>
              <w:ind w:left="214"/>
              <w:jc w:val="left"/>
              <w:rPr>
                <w:sz w:val="18"/>
              </w:rPr>
            </w:pPr>
            <w:r>
              <w:rPr>
                <w:sz w:val="18"/>
              </w:rPr>
              <w:t>(0.13351)</w:t>
            </w:r>
          </w:p>
        </w:tc>
        <w:tc>
          <w:tcPr>
            <w:tcW w:w="1313" w:type="dxa"/>
          </w:tcPr>
          <w:p>
            <w:pPr>
              <w:pStyle w:val="TableParagraph"/>
              <w:spacing w:line="198" w:lineRule="exact"/>
              <w:ind w:right="279"/>
              <w:jc w:val="right"/>
              <w:rPr>
                <w:sz w:val="18"/>
              </w:rPr>
            </w:pPr>
            <w:r>
              <w:rPr>
                <w:sz w:val="18"/>
              </w:rPr>
              <w:t>(0.53223)</w:t>
            </w:r>
          </w:p>
        </w:tc>
        <w:tc>
          <w:tcPr>
            <w:tcW w:w="1313" w:type="dxa"/>
          </w:tcPr>
          <w:p>
            <w:pPr>
              <w:pStyle w:val="TableParagraph"/>
              <w:spacing w:line="198" w:lineRule="exact"/>
              <w:ind w:left="254" w:right="209"/>
              <w:rPr>
                <w:sz w:val="18"/>
              </w:rPr>
            </w:pPr>
            <w:r>
              <w:rPr>
                <w:sz w:val="18"/>
              </w:rPr>
              <w:t>(0.51861)</w:t>
            </w:r>
          </w:p>
        </w:tc>
        <w:tc>
          <w:tcPr>
            <w:tcW w:w="1313" w:type="dxa"/>
          </w:tcPr>
          <w:p>
            <w:pPr>
              <w:pStyle w:val="TableParagraph"/>
              <w:spacing w:line="198" w:lineRule="exact"/>
              <w:ind w:left="327"/>
              <w:jc w:val="left"/>
              <w:rPr>
                <w:sz w:val="18"/>
              </w:rPr>
            </w:pPr>
            <w:r>
              <w:rPr>
                <w:sz w:val="18"/>
              </w:rPr>
              <w:t>(0.06335)</w:t>
            </w:r>
          </w:p>
        </w:tc>
        <w:tc>
          <w:tcPr>
            <w:tcW w:w="1314" w:type="dxa"/>
          </w:tcPr>
          <w:p>
            <w:pPr>
              <w:pStyle w:val="TableParagraph"/>
              <w:spacing w:line="198" w:lineRule="exact"/>
              <w:ind w:left="254" w:right="210"/>
              <w:rPr>
                <w:sz w:val="18"/>
              </w:rPr>
            </w:pPr>
            <w:r>
              <w:rPr>
                <w:sz w:val="18"/>
              </w:rPr>
              <w:t>(0.46549)</w:t>
            </w:r>
          </w:p>
        </w:tc>
      </w:tr>
      <w:tr>
        <w:trPr>
          <w:trHeight w:val="310" w:hRule="exact"/>
        </w:trPr>
        <w:tc>
          <w:tcPr>
            <w:tcW w:w="2337" w:type="dxa"/>
          </w:tcPr>
          <w:p>
            <w:pPr/>
          </w:p>
        </w:tc>
        <w:tc>
          <w:tcPr>
            <w:tcW w:w="1200" w:type="dxa"/>
          </w:tcPr>
          <w:p>
            <w:pPr>
              <w:pStyle w:val="TableParagraph"/>
              <w:spacing w:line="197" w:lineRule="exact"/>
              <w:ind w:left="168"/>
              <w:jc w:val="left"/>
              <w:rPr>
                <w:sz w:val="18"/>
              </w:rPr>
            </w:pPr>
            <w:r>
              <w:rPr>
                <w:sz w:val="18"/>
              </w:rPr>
              <w:t>[ 0.37412]</w:t>
            </w:r>
          </w:p>
        </w:tc>
        <w:tc>
          <w:tcPr>
            <w:tcW w:w="1313" w:type="dxa"/>
          </w:tcPr>
          <w:p>
            <w:pPr>
              <w:pStyle w:val="TableParagraph"/>
              <w:spacing w:line="197" w:lineRule="exact"/>
              <w:ind w:right="281"/>
              <w:jc w:val="right"/>
              <w:rPr>
                <w:sz w:val="18"/>
              </w:rPr>
            </w:pPr>
            <w:r>
              <w:rPr>
                <w:sz w:val="18"/>
              </w:rPr>
              <w:t>[ 0.03603]</w:t>
            </w:r>
          </w:p>
        </w:tc>
        <w:tc>
          <w:tcPr>
            <w:tcW w:w="1313" w:type="dxa"/>
          </w:tcPr>
          <w:p>
            <w:pPr>
              <w:pStyle w:val="TableParagraph"/>
              <w:spacing w:line="197" w:lineRule="exact"/>
              <w:ind w:left="254" w:right="254"/>
              <w:rPr>
                <w:sz w:val="18"/>
              </w:rPr>
            </w:pPr>
            <w:r>
              <w:rPr>
                <w:sz w:val="18"/>
              </w:rPr>
              <w:t>[ 0.55170]</w:t>
            </w:r>
          </w:p>
        </w:tc>
        <w:tc>
          <w:tcPr>
            <w:tcW w:w="1313" w:type="dxa"/>
          </w:tcPr>
          <w:p>
            <w:pPr>
              <w:pStyle w:val="TableParagraph"/>
              <w:spacing w:line="197" w:lineRule="exact"/>
              <w:ind w:left="281"/>
              <w:jc w:val="left"/>
              <w:rPr>
                <w:sz w:val="18"/>
              </w:rPr>
            </w:pPr>
            <w:r>
              <w:rPr>
                <w:sz w:val="18"/>
              </w:rPr>
              <w:t>[ 1.20921]</w:t>
            </w:r>
          </w:p>
        </w:tc>
        <w:tc>
          <w:tcPr>
            <w:tcW w:w="1314" w:type="dxa"/>
          </w:tcPr>
          <w:p>
            <w:pPr>
              <w:pStyle w:val="TableParagraph"/>
              <w:spacing w:line="197" w:lineRule="exact"/>
              <w:ind w:left="253" w:right="254"/>
              <w:rPr>
                <w:sz w:val="18"/>
              </w:rPr>
            </w:pPr>
            <w:r>
              <w:rPr>
                <w:sz w:val="18"/>
              </w:rPr>
              <w:t>[ 0.53212]</w:t>
            </w:r>
          </w:p>
        </w:tc>
      </w:tr>
      <w:tr>
        <w:trPr>
          <w:trHeight w:val="311" w:hRule="exact"/>
        </w:trPr>
        <w:tc>
          <w:tcPr>
            <w:tcW w:w="2337" w:type="dxa"/>
          </w:tcPr>
          <w:p>
            <w:pPr/>
          </w:p>
        </w:tc>
        <w:tc>
          <w:tcPr>
            <w:tcW w:w="1200" w:type="dxa"/>
          </w:tcPr>
          <w:p>
            <w:pPr>
              <w:pStyle w:val="TableParagraph"/>
              <w:spacing w:before="93"/>
              <w:ind w:left="175"/>
              <w:jc w:val="left"/>
              <w:rPr>
                <w:sz w:val="18"/>
              </w:rPr>
            </w:pPr>
            <w:r>
              <w:rPr>
                <w:sz w:val="18"/>
              </w:rPr>
              <w:t>-0.066051</w:t>
            </w:r>
          </w:p>
        </w:tc>
        <w:tc>
          <w:tcPr>
            <w:tcW w:w="1313" w:type="dxa"/>
          </w:tcPr>
          <w:p>
            <w:pPr>
              <w:pStyle w:val="TableParagraph"/>
              <w:spacing w:before="93"/>
              <w:ind w:right="287"/>
              <w:jc w:val="right"/>
              <w:rPr>
                <w:sz w:val="18"/>
              </w:rPr>
            </w:pPr>
            <w:r>
              <w:rPr>
                <w:sz w:val="18"/>
              </w:rPr>
              <w:t>-0.187327</w:t>
            </w:r>
          </w:p>
        </w:tc>
        <w:tc>
          <w:tcPr>
            <w:tcW w:w="1313" w:type="dxa"/>
          </w:tcPr>
          <w:p>
            <w:pPr>
              <w:pStyle w:val="TableParagraph"/>
              <w:spacing w:before="93"/>
              <w:ind w:left="253" w:right="254"/>
              <w:rPr>
                <w:sz w:val="18"/>
              </w:rPr>
            </w:pPr>
            <w:r>
              <w:rPr>
                <w:sz w:val="18"/>
              </w:rPr>
              <w:t>-0.104147</w:t>
            </w:r>
          </w:p>
        </w:tc>
        <w:tc>
          <w:tcPr>
            <w:tcW w:w="1313" w:type="dxa"/>
          </w:tcPr>
          <w:p>
            <w:pPr>
              <w:pStyle w:val="TableParagraph"/>
              <w:spacing w:before="93"/>
              <w:ind w:left="288"/>
              <w:jc w:val="left"/>
              <w:rPr>
                <w:sz w:val="18"/>
              </w:rPr>
            </w:pPr>
            <w:r>
              <w:rPr>
                <w:sz w:val="18"/>
              </w:rPr>
              <w:t>-0.035694</w:t>
            </w:r>
          </w:p>
        </w:tc>
        <w:tc>
          <w:tcPr>
            <w:tcW w:w="1314" w:type="dxa"/>
          </w:tcPr>
          <w:p>
            <w:pPr>
              <w:pStyle w:val="TableParagraph"/>
              <w:spacing w:before="93"/>
              <w:ind w:left="254" w:right="211"/>
              <w:rPr>
                <w:sz w:val="18"/>
              </w:rPr>
            </w:pPr>
            <w:r>
              <w:rPr>
                <w:sz w:val="18"/>
              </w:rPr>
              <w:t>0.036143</w:t>
            </w:r>
          </w:p>
        </w:tc>
      </w:tr>
      <w:tr>
        <w:trPr>
          <w:trHeight w:val="208" w:hRule="exact"/>
        </w:trPr>
        <w:tc>
          <w:tcPr>
            <w:tcW w:w="2337" w:type="dxa"/>
          </w:tcPr>
          <w:p>
            <w:pPr>
              <w:pStyle w:val="TableParagraph"/>
              <w:spacing w:line="198" w:lineRule="exact"/>
              <w:ind w:left="792" w:right="904"/>
              <w:rPr>
                <w:sz w:val="18"/>
              </w:rPr>
            </w:pPr>
            <w:r>
              <w:rPr>
                <w:sz w:val="18"/>
              </w:rPr>
              <w:t>lpmt(-4)</w:t>
            </w:r>
          </w:p>
        </w:tc>
        <w:tc>
          <w:tcPr>
            <w:tcW w:w="1200" w:type="dxa"/>
          </w:tcPr>
          <w:p>
            <w:pPr>
              <w:pStyle w:val="TableParagraph"/>
              <w:spacing w:line="198" w:lineRule="exact"/>
              <w:ind w:left="214"/>
              <w:jc w:val="left"/>
              <w:rPr>
                <w:sz w:val="18"/>
              </w:rPr>
            </w:pPr>
            <w:r>
              <w:rPr>
                <w:sz w:val="18"/>
              </w:rPr>
              <w:t>(0.08820)</w:t>
            </w:r>
          </w:p>
        </w:tc>
        <w:tc>
          <w:tcPr>
            <w:tcW w:w="1313" w:type="dxa"/>
          </w:tcPr>
          <w:p>
            <w:pPr>
              <w:pStyle w:val="TableParagraph"/>
              <w:spacing w:line="198" w:lineRule="exact"/>
              <w:ind w:right="279"/>
              <w:jc w:val="right"/>
              <w:rPr>
                <w:sz w:val="18"/>
              </w:rPr>
            </w:pPr>
            <w:r>
              <w:rPr>
                <w:sz w:val="18"/>
              </w:rPr>
              <w:t>(0.35162)</w:t>
            </w:r>
          </w:p>
        </w:tc>
        <w:tc>
          <w:tcPr>
            <w:tcW w:w="1313" w:type="dxa"/>
          </w:tcPr>
          <w:p>
            <w:pPr>
              <w:pStyle w:val="TableParagraph"/>
              <w:spacing w:line="198" w:lineRule="exact"/>
              <w:ind w:left="254" w:right="209"/>
              <w:rPr>
                <w:sz w:val="18"/>
              </w:rPr>
            </w:pPr>
            <w:r>
              <w:rPr>
                <w:sz w:val="18"/>
              </w:rPr>
              <w:t>(0.34262)</w:t>
            </w:r>
          </w:p>
        </w:tc>
        <w:tc>
          <w:tcPr>
            <w:tcW w:w="1313" w:type="dxa"/>
          </w:tcPr>
          <w:p>
            <w:pPr>
              <w:pStyle w:val="TableParagraph"/>
              <w:spacing w:line="198" w:lineRule="exact"/>
              <w:ind w:left="327"/>
              <w:jc w:val="left"/>
              <w:rPr>
                <w:sz w:val="18"/>
              </w:rPr>
            </w:pPr>
            <w:r>
              <w:rPr>
                <w:sz w:val="18"/>
              </w:rPr>
              <w:t>(0.04185)</w:t>
            </w:r>
          </w:p>
        </w:tc>
        <w:tc>
          <w:tcPr>
            <w:tcW w:w="1314" w:type="dxa"/>
          </w:tcPr>
          <w:p>
            <w:pPr>
              <w:pStyle w:val="TableParagraph"/>
              <w:spacing w:line="198" w:lineRule="exact"/>
              <w:ind w:left="254" w:right="210"/>
              <w:rPr>
                <w:sz w:val="18"/>
              </w:rPr>
            </w:pPr>
            <w:r>
              <w:rPr>
                <w:sz w:val="18"/>
              </w:rPr>
              <w:t>(0.30752)</w:t>
            </w:r>
          </w:p>
        </w:tc>
      </w:tr>
      <w:tr>
        <w:trPr>
          <w:trHeight w:val="310" w:hRule="exact"/>
        </w:trPr>
        <w:tc>
          <w:tcPr>
            <w:tcW w:w="2337" w:type="dxa"/>
          </w:tcPr>
          <w:p>
            <w:pPr/>
          </w:p>
        </w:tc>
        <w:tc>
          <w:tcPr>
            <w:tcW w:w="1200" w:type="dxa"/>
          </w:tcPr>
          <w:p>
            <w:pPr>
              <w:pStyle w:val="TableParagraph"/>
              <w:spacing w:line="197" w:lineRule="exact"/>
              <w:ind w:left="161"/>
              <w:jc w:val="left"/>
              <w:rPr>
                <w:sz w:val="18"/>
              </w:rPr>
            </w:pPr>
            <w:r>
              <w:rPr>
                <w:sz w:val="18"/>
              </w:rPr>
              <w:t>[-0.74885]</w:t>
            </w:r>
          </w:p>
        </w:tc>
        <w:tc>
          <w:tcPr>
            <w:tcW w:w="1313" w:type="dxa"/>
          </w:tcPr>
          <w:p>
            <w:pPr>
              <w:pStyle w:val="TableParagraph"/>
              <w:spacing w:line="197" w:lineRule="exact"/>
              <w:ind w:right="272"/>
              <w:jc w:val="right"/>
              <w:rPr>
                <w:sz w:val="18"/>
              </w:rPr>
            </w:pPr>
            <w:r>
              <w:rPr>
                <w:sz w:val="18"/>
              </w:rPr>
              <w:t>[-0.53275]</w:t>
            </w:r>
          </w:p>
        </w:tc>
        <w:tc>
          <w:tcPr>
            <w:tcW w:w="1313" w:type="dxa"/>
          </w:tcPr>
          <w:p>
            <w:pPr>
              <w:pStyle w:val="TableParagraph"/>
              <w:spacing w:line="197" w:lineRule="exact"/>
              <w:ind w:left="254" w:right="254"/>
              <w:rPr>
                <w:sz w:val="18"/>
              </w:rPr>
            </w:pPr>
            <w:r>
              <w:rPr>
                <w:sz w:val="18"/>
              </w:rPr>
              <w:t>[-0.30397]</w:t>
            </w:r>
          </w:p>
        </w:tc>
        <w:tc>
          <w:tcPr>
            <w:tcW w:w="1313" w:type="dxa"/>
          </w:tcPr>
          <w:p>
            <w:pPr>
              <w:pStyle w:val="TableParagraph"/>
              <w:spacing w:line="197" w:lineRule="exact"/>
              <w:ind w:left="274"/>
              <w:jc w:val="left"/>
              <w:rPr>
                <w:sz w:val="18"/>
              </w:rPr>
            </w:pPr>
            <w:r>
              <w:rPr>
                <w:sz w:val="18"/>
              </w:rPr>
              <w:t>[-0.85286]</w:t>
            </w:r>
          </w:p>
        </w:tc>
        <w:tc>
          <w:tcPr>
            <w:tcW w:w="1314" w:type="dxa"/>
          </w:tcPr>
          <w:p>
            <w:pPr>
              <w:pStyle w:val="TableParagraph"/>
              <w:spacing w:line="197" w:lineRule="exact"/>
              <w:ind w:left="253" w:right="254"/>
              <w:rPr>
                <w:sz w:val="18"/>
              </w:rPr>
            </w:pPr>
            <w:r>
              <w:rPr>
                <w:sz w:val="18"/>
              </w:rPr>
              <w:t>[ 0.11753]</w:t>
            </w:r>
          </w:p>
        </w:tc>
      </w:tr>
      <w:tr>
        <w:trPr>
          <w:trHeight w:val="311" w:hRule="exact"/>
        </w:trPr>
        <w:tc>
          <w:tcPr>
            <w:tcW w:w="2337" w:type="dxa"/>
          </w:tcPr>
          <w:p>
            <w:pPr/>
          </w:p>
        </w:tc>
        <w:tc>
          <w:tcPr>
            <w:tcW w:w="1200" w:type="dxa"/>
          </w:tcPr>
          <w:p>
            <w:pPr>
              <w:pStyle w:val="TableParagraph"/>
              <w:spacing w:before="93"/>
              <w:ind w:left="228"/>
              <w:jc w:val="left"/>
              <w:rPr>
                <w:sz w:val="18"/>
              </w:rPr>
            </w:pPr>
            <w:r>
              <w:rPr>
                <w:sz w:val="18"/>
              </w:rPr>
              <w:t>2.172899</w:t>
            </w:r>
          </w:p>
        </w:tc>
        <w:tc>
          <w:tcPr>
            <w:tcW w:w="1313" w:type="dxa"/>
          </w:tcPr>
          <w:p>
            <w:pPr>
              <w:pStyle w:val="TableParagraph"/>
              <w:spacing w:before="93"/>
              <w:ind w:right="287"/>
              <w:jc w:val="right"/>
              <w:rPr>
                <w:sz w:val="18"/>
              </w:rPr>
            </w:pPr>
            <w:r>
              <w:rPr>
                <w:sz w:val="18"/>
              </w:rPr>
              <w:t>-7.360408</w:t>
            </w:r>
          </w:p>
        </w:tc>
        <w:tc>
          <w:tcPr>
            <w:tcW w:w="1313" w:type="dxa"/>
          </w:tcPr>
          <w:p>
            <w:pPr>
              <w:pStyle w:val="TableParagraph"/>
              <w:spacing w:before="93"/>
              <w:ind w:left="254" w:right="210"/>
              <w:rPr>
                <w:sz w:val="18"/>
              </w:rPr>
            </w:pPr>
            <w:r>
              <w:rPr>
                <w:sz w:val="18"/>
              </w:rPr>
              <w:t>4.506390</w:t>
            </w:r>
          </w:p>
        </w:tc>
        <w:tc>
          <w:tcPr>
            <w:tcW w:w="1313" w:type="dxa"/>
          </w:tcPr>
          <w:p>
            <w:pPr>
              <w:pStyle w:val="TableParagraph"/>
              <w:spacing w:before="93"/>
              <w:ind w:left="288"/>
              <w:jc w:val="left"/>
              <w:rPr>
                <w:sz w:val="18"/>
              </w:rPr>
            </w:pPr>
            <w:r>
              <w:rPr>
                <w:sz w:val="18"/>
              </w:rPr>
              <w:t>-0.344957</w:t>
            </w:r>
          </w:p>
        </w:tc>
        <w:tc>
          <w:tcPr>
            <w:tcW w:w="1314" w:type="dxa"/>
          </w:tcPr>
          <w:p>
            <w:pPr>
              <w:pStyle w:val="TableParagraph"/>
              <w:spacing w:before="93"/>
              <w:ind w:left="254" w:right="254"/>
              <w:rPr>
                <w:sz w:val="18"/>
              </w:rPr>
            </w:pPr>
            <w:r>
              <w:rPr>
                <w:sz w:val="18"/>
              </w:rPr>
              <w:t>-3.199116</w:t>
            </w:r>
          </w:p>
        </w:tc>
      </w:tr>
      <w:tr>
        <w:trPr>
          <w:trHeight w:val="208" w:hRule="exact"/>
        </w:trPr>
        <w:tc>
          <w:tcPr>
            <w:tcW w:w="2337" w:type="dxa"/>
          </w:tcPr>
          <w:p>
            <w:pPr>
              <w:pStyle w:val="TableParagraph"/>
              <w:spacing w:line="198" w:lineRule="exact"/>
              <w:ind w:right="113"/>
              <w:rPr>
                <w:sz w:val="18"/>
              </w:rPr>
            </w:pPr>
            <w:r>
              <w:rPr>
                <w:sz w:val="18"/>
              </w:rPr>
              <w:t>C</w:t>
            </w:r>
          </w:p>
        </w:tc>
        <w:tc>
          <w:tcPr>
            <w:tcW w:w="1200" w:type="dxa"/>
          </w:tcPr>
          <w:p>
            <w:pPr>
              <w:pStyle w:val="TableParagraph"/>
              <w:spacing w:line="198" w:lineRule="exact"/>
              <w:ind w:left="214"/>
              <w:jc w:val="left"/>
              <w:rPr>
                <w:sz w:val="18"/>
              </w:rPr>
            </w:pPr>
            <w:r>
              <w:rPr>
                <w:sz w:val="18"/>
              </w:rPr>
              <w:t>(1.27826)</w:t>
            </w:r>
          </w:p>
        </w:tc>
        <w:tc>
          <w:tcPr>
            <w:tcW w:w="1313" w:type="dxa"/>
          </w:tcPr>
          <w:p>
            <w:pPr>
              <w:pStyle w:val="TableParagraph"/>
              <w:spacing w:line="198" w:lineRule="exact"/>
              <w:ind w:right="279"/>
              <w:jc w:val="right"/>
              <w:rPr>
                <w:sz w:val="18"/>
              </w:rPr>
            </w:pPr>
            <w:r>
              <w:rPr>
                <w:sz w:val="18"/>
              </w:rPr>
              <w:t>(5.09574)</w:t>
            </w:r>
          </w:p>
        </w:tc>
        <w:tc>
          <w:tcPr>
            <w:tcW w:w="1313" w:type="dxa"/>
          </w:tcPr>
          <w:p>
            <w:pPr>
              <w:pStyle w:val="TableParagraph"/>
              <w:spacing w:line="198" w:lineRule="exact"/>
              <w:ind w:left="254" w:right="209"/>
              <w:rPr>
                <w:sz w:val="18"/>
              </w:rPr>
            </w:pPr>
            <w:r>
              <w:rPr>
                <w:sz w:val="18"/>
              </w:rPr>
              <w:t>(4.96535)</w:t>
            </w:r>
          </w:p>
        </w:tc>
        <w:tc>
          <w:tcPr>
            <w:tcW w:w="1313" w:type="dxa"/>
          </w:tcPr>
          <w:p>
            <w:pPr>
              <w:pStyle w:val="TableParagraph"/>
              <w:spacing w:line="198" w:lineRule="exact"/>
              <w:ind w:left="327"/>
              <w:jc w:val="left"/>
              <w:rPr>
                <w:sz w:val="18"/>
              </w:rPr>
            </w:pPr>
            <w:r>
              <w:rPr>
                <w:sz w:val="18"/>
              </w:rPr>
              <w:t>(0.60653)</w:t>
            </w:r>
          </w:p>
        </w:tc>
        <w:tc>
          <w:tcPr>
            <w:tcW w:w="1314" w:type="dxa"/>
          </w:tcPr>
          <w:p>
            <w:pPr>
              <w:pStyle w:val="TableParagraph"/>
              <w:spacing w:line="198" w:lineRule="exact"/>
              <w:ind w:left="254" w:right="210"/>
              <w:rPr>
                <w:sz w:val="18"/>
              </w:rPr>
            </w:pPr>
            <w:r>
              <w:rPr>
                <w:sz w:val="18"/>
              </w:rPr>
              <w:t>(4.45671)</w:t>
            </w:r>
          </w:p>
        </w:tc>
      </w:tr>
      <w:tr>
        <w:trPr>
          <w:trHeight w:val="295" w:hRule="exact"/>
        </w:trPr>
        <w:tc>
          <w:tcPr>
            <w:tcW w:w="2337" w:type="dxa"/>
            <w:tcBorders>
              <w:bottom w:val="double" w:sz="4" w:space="0" w:color="000000"/>
            </w:tcBorders>
          </w:tcPr>
          <w:p>
            <w:pPr/>
          </w:p>
        </w:tc>
        <w:tc>
          <w:tcPr>
            <w:tcW w:w="1200" w:type="dxa"/>
            <w:tcBorders>
              <w:bottom w:val="double" w:sz="4" w:space="0" w:color="000000"/>
            </w:tcBorders>
          </w:tcPr>
          <w:p>
            <w:pPr>
              <w:pStyle w:val="TableParagraph"/>
              <w:spacing w:line="197" w:lineRule="exact"/>
              <w:ind w:left="168"/>
              <w:jc w:val="left"/>
              <w:rPr>
                <w:sz w:val="18"/>
              </w:rPr>
            </w:pPr>
            <w:r>
              <w:rPr>
                <w:sz w:val="18"/>
              </w:rPr>
              <w:t>[ 1.69989]</w:t>
            </w:r>
          </w:p>
        </w:tc>
        <w:tc>
          <w:tcPr>
            <w:tcW w:w="1313" w:type="dxa"/>
            <w:tcBorders>
              <w:bottom w:val="double" w:sz="4" w:space="0" w:color="000000"/>
            </w:tcBorders>
          </w:tcPr>
          <w:p>
            <w:pPr>
              <w:pStyle w:val="TableParagraph"/>
              <w:spacing w:line="197" w:lineRule="exact"/>
              <w:ind w:right="272"/>
              <w:jc w:val="right"/>
              <w:rPr>
                <w:sz w:val="18"/>
              </w:rPr>
            </w:pPr>
            <w:r>
              <w:rPr>
                <w:sz w:val="18"/>
              </w:rPr>
              <w:t>[-1.44442]</w:t>
            </w:r>
          </w:p>
        </w:tc>
        <w:tc>
          <w:tcPr>
            <w:tcW w:w="1313" w:type="dxa"/>
            <w:tcBorders>
              <w:bottom w:val="double" w:sz="4" w:space="0" w:color="000000"/>
            </w:tcBorders>
          </w:tcPr>
          <w:p>
            <w:pPr>
              <w:pStyle w:val="TableParagraph"/>
              <w:spacing w:line="197" w:lineRule="exact"/>
              <w:ind w:left="254" w:right="254"/>
              <w:rPr>
                <w:sz w:val="18"/>
              </w:rPr>
            </w:pPr>
            <w:r>
              <w:rPr>
                <w:sz w:val="18"/>
              </w:rPr>
              <w:t>[ 0.90757]</w:t>
            </w:r>
          </w:p>
        </w:tc>
        <w:tc>
          <w:tcPr>
            <w:tcW w:w="1313" w:type="dxa"/>
            <w:tcBorders>
              <w:bottom w:val="double" w:sz="4" w:space="0" w:color="000000"/>
            </w:tcBorders>
          </w:tcPr>
          <w:p>
            <w:pPr>
              <w:pStyle w:val="TableParagraph"/>
              <w:spacing w:line="197" w:lineRule="exact"/>
              <w:ind w:left="274"/>
              <w:jc w:val="left"/>
              <w:rPr>
                <w:sz w:val="18"/>
              </w:rPr>
            </w:pPr>
            <w:r>
              <w:rPr>
                <w:sz w:val="18"/>
              </w:rPr>
              <w:t>[-0.56873]</w:t>
            </w:r>
          </w:p>
        </w:tc>
        <w:tc>
          <w:tcPr>
            <w:tcW w:w="1314" w:type="dxa"/>
            <w:tcBorders>
              <w:bottom w:val="double" w:sz="4" w:space="0" w:color="000000"/>
            </w:tcBorders>
          </w:tcPr>
          <w:p>
            <w:pPr>
              <w:pStyle w:val="TableParagraph"/>
              <w:spacing w:line="197" w:lineRule="exact"/>
              <w:ind w:left="254" w:right="254"/>
              <w:rPr>
                <w:sz w:val="18"/>
              </w:rPr>
            </w:pPr>
            <w:r>
              <w:rPr>
                <w:sz w:val="18"/>
              </w:rPr>
              <w:t>[-0.71782]</w:t>
            </w:r>
          </w:p>
        </w:tc>
      </w:tr>
      <w:tr>
        <w:trPr>
          <w:trHeight w:val="335" w:hRule="exact"/>
        </w:trPr>
        <w:tc>
          <w:tcPr>
            <w:tcW w:w="2337" w:type="dxa"/>
            <w:tcBorders>
              <w:top w:val="double" w:sz="4" w:space="0" w:color="000000"/>
            </w:tcBorders>
          </w:tcPr>
          <w:p>
            <w:pPr>
              <w:pStyle w:val="TableParagraph"/>
              <w:spacing w:before="103"/>
              <w:ind w:left="43"/>
              <w:jc w:val="left"/>
              <w:rPr>
                <w:sz w:val="18"/>
              </w:rPr>
            </w:pPr>
            <w:r>
              <w:rPr>
                <w:sz w:val="18"/>
              </w:rPr>
              <w:t>R-squared</w:t>
            </w:r>
          </w:p>
        </w:tc>
        <w:tc>
          <w:tcPr>
            <w:tcW w:w="1200" w:type="dxa"/>
            <w:tcBorders>
              <w:top w:val="double" w:sz="4" w:space="0" w:color="000000"/>
            </w:tcBorders>
          </w:tcPr>
          <w:p>
            <w:pPr>
              <w:pStyle w:val="TableParagraph"/>
              <w:spacing w:before="103"/>
              <w:ind w:left="228"/>
              <w:jc w:val="left"/>
              <w:rPr>
                <w:sz w:val="18"/>
              </w:rPr>
            </w:pPr>
            <w:r>
              <w:rPr>
                <w:sz w:val="18"/>
              </w:rPr>
              <w:t>0.984190</w:t>
            </w:r>
          </w:p>
        </w:tc>
        <w:tc>
          <w:tcPr>
            <w:tcW w:w="1313" w:type="dxa"/>
            <w:tcBorders>
              <w:top w:val="double" w:sz="4" w:space="0" w:color="000000"/>
            </w:tcBorders>
          </w:tcPr>
          <w:p>
            <w:pPr>
              <w:pStyle w:val="TableParagraph"/>
              <w:spacing w:before="103"/>
              <w:ind w:right="294"/>
              <w:jc w:val="right"/>
              <w:rPr>
                <w:sz w:val="18"/>
              </w:rPr>
            </w:pPr>
            <w:r>
              <w:rPr>
                <w:sz w:val="18"/>
              </w:rPr>
              <w:t>0.975137</w:t>
            </w:r>
          </w:p>
        </w:tc>
        <w:tc>
          <w:tcPr>
            <w:tcW w:w="1313" w:type="dxa"/>
            <w:tcBorders>
              <w:top w:val="double" w:sz="4" w:space="0" w:color="000000"/>
            </w:tcBorders>
          </w:tcPr>
          <w:p>
            <w:pPr>
              <w:pStyle w:val="TableParagraph"/>
              <w:spacing w:before="103"/>
              <w:ind w:left="254" w:right="210"/>
              <w:rPr>
                <w:sz w:val="18"/>
              </w:rPr>
            </w:pPr>
            <w:r>
              <w:rPr>
                <w:sz w:val="18"/>
              </w:rPr>
              <w:t>0.864623</w:t>
            </w:r>
          </w:p>
        </w:tc>
        <w:tc>
          <w:tcPr>
            <w:tcW w:w="1313" w:type="dxa"/>
            <w:tcBorders>
              <w:top w:val="double" w:sz="4" w:space="0" w:color="000000"/>
            </w:tcBorders>
          </w:tcPr>
          <w:p>
            <w:pPr>
              <w:pStyle w:val="TableParagraph"/>
              <w:spacing w:before="103"/>
              <w:ind w:left="341"/>
              <w:jc w:val="left"/>
              <w:rPr>
                <w:sz w:val="18"/>
              </w:rPr>
            </w:pPr>
            <w:r>
              <w:rPr>
                <w:sz w:val="18"/>
              </w:rPr>
              <w:t>0.996286</w:t>
            </w:r>
          </w:p>
        </w:tc>
        <w:tc>
          <w:tcPr>
            <w:tcW w:w="1314" w:type="dxa"/>
            <w:tcBorders>
              <w:top w:val="double" w:sz="4" w:space="0" w:color="000000"/>
            </w:tcBorders>
          </w:tcPr>
          <w:p>
            <w:pPr>
              <w:pStyle w:val="TableParagraph"/>
              <w:spacing w:before="103"/>
              <w:ind w:left="254" w:right="211"/>
              <w:rPr>
                <w:sz w:val="18"/>
              </w:rPr>
            </w:pPr>
            <w:r>
              <w:rPr>
                <w:sz w:val="18"/>
              </w:rPr>
              <w:t>0.970412</w:t>
            </w:r>
          </w:p>
        </w:tc>
      </w:tr>
      <w:tr>
        <w:trPr>
          <w:trHeight w:val="206" w:hRule="exact"/>
        </w:trPr>
        <w:tc>
          <w:tcPr>
            <w:tcW w:w="2337" w:type="dxa"/>
          </w:tcPr>
          <w:p>
            <w:pPr>
              <w:pStyle w:val="TableParagraph"/>
              <w:spacing w:line="197" w:lineRule="exact"/>
              <w:ind w:left="43"/>
              <w:jc w:val="left"/>
              <w:rPr>
                <w:sz w:val="18"/>
              </w:rPr>
            </w:pPr>
            <w:r>
              <w:rPr>
                <w:sz w:val="18"/>
              </w:rPr>
              <w:t>Adj. R-squared</w:t>
            </w:r>
          </w:p>
        </w:tc>
        <w:tc>
          <w:tcPr>
            <w:tcW w:w="1200" w:type="dxa"/>
          </w:tcPr>
          <w:p>
            <w:pPr>
              <w:pStyle w:val="TableParagraph"/>
              <w:spacing w:line="197" w:lineRule="exact"/>
              <w:ind w:left="228"/>
              <w:jc w:val="left"/>
              <w:rPr>
                <w:sz w:val="18"/>
              </w:rPr>
            </w:pPr>
            <w:r>
              <w:rPr>
                <w:sz w:val="18"/>
              </w:rPr>
              <w:t>0.979170</w:t>
            </w:r>
          </w:p>
        </w:tc>
        <w:tc>
          <w:tcPr>
            <w:tcW w:w="1313" w:type="dxa"/>
          </w:tcPr>
          <w:p>
            <w:pPr>
              <w:pStyle w:val="TableParagraph"/>
              <w:spacing w:line="197" w:lineRule="exact"/>
              <w:ind w:right="294"/>
              <w:jc w:val="right"/>
              <w:rPr>
                <w:sz w:val="18"/>
              </w:rPr>
            </w:pPr>
            <w:r>
              <w:rPr>
                <w:sz w:val="18"/>
              </w:rPr>
              <w:t>0.967243</w:t>
            </w:r>
          </w:p>
        </w:tc>
        <w:tc>
          <w:tcPr>
            <w:tcW w:w="1313" w:type="dxa"/>
          </w:tcPr>
          <w:p>
            <w:pPr>
              <w:pStyle w:val="TableParagraph"/>
              <w:spacing w:line="197" w:lineRule="exact"/>
              <w:ind w:left="254" w:right="210"/>
              <w:rPr>
                <w:sz w:val="18"/>
              </w:rPr>
            </w:pPr>
            <w:r>
              <w:rPr>
                <w:sz w:val="18"/>
              </w:rPr>
              <w:t>0.821647</w:t>
            </w:r>
          </w:p>
        </w:tc>
        <w:tc>
          <w:tcPr>
            <w:tcW w:w="1313" w:type="dxa"/>
          </w:tcPr>
          <w:p>
            <w:pPr>
              <w:pStyle w:val="TableParagraph"/>
              <w:spacing w:line="197" w:lineRule="exact"/>
              <w:ind w:left="341"/>
              <w:jc w:val="left"/>
              <w:rPr>
                <w:sz w:val="18"/>
              </w:rPr>
            </w:pPr>
            <w:r>
              <w:rPr>
                <w:sz w:val="18"/>
              </w:rPr>
              <w:t>0.995107</w:t>
            </w:r>
          </w:p>
        </w:tc>
        <w:tc>
          <w:tcPr>
            <w:tcW w:w="1314" w:type="dxa"/>
          </w:tcPr>
          <w:p>
            <w:pPr>
              <w:pStyle w:val="TableParagraph"/>
              <w:spacing w:line="197" w:lineRule="exact"/>
              <w:ind w:left="254" w:right="211"/>
              <w:rPr>
                <w:sz w:val="18"/>
              </w:rPr>
            </w:pPr>
            <w:r>
              <w:rPr>
                <w:sz w:val="18"/>
              </w:rPr>
              <w:t>0.961019</w:t>
            </w:r>
          </w:p>
        </w:tc>
      </w:tr>
      <w:tr>
        <w:trPr>
          <w:trHeight w:val="206" w:hRule="exact"/>
        </w:trPr>
        <w:tc>
          <w:tcPr>
            <w:tcW w:w="2337" w:type="dxa"/>
          </w:tcPr>
          <w:p>
            <w:pPr>
              <w:pStyle w:val="TableParagraph"/>
              <w:spacing w:line="197" w:lineRule="exact"/>
              <w:ind w:left="43"/>
              <w:jc w:val="left"/>
              <w:rPr>
                <w:sz w:val="18"/>
              </w:rPr>
            </w:pPr>
            <w:r>
              <w:rPr>
                <w:sz w:val="18"/>
              </w:rPr>
              <w:t>Sum sq. resids</w:t>
            </w:r>
          </w:p>
        </w:tc>
        <w:tc>
          <w:tcPr>
            <w:tcW w:w="1200" w:type="dxa"/>
          </w:tcPr>
          <w:p>
            <w:pPr>
              <w:pStyle w:val="TableParagraph"/>
              <w:spacing w:line="197" w:lineRule="exact"/>
              <w:ind w:left="228"/>
              <w:jc w:val="left"/>
              <w:rPr>
                <w:sz w:val="18"/>
              </w:rPr>
            </w:pPr>
            <w:r>
              <w:rPr>
                <w:sz w:val="18"/>
              </w:rPr>
              <w:t>0.016346</w:t>
            </w:r>
          </w:p>
        </w:tc>
        <w:tc>
          <w:tcPr>
            <w:tcW w:w="1313" w:type="dxa"/>
          </w:tcPr>
          <w:p>
            <w:pPr>
              <w:pStyle w:val="TableParagraph"/>
              <w:spacing w:line="197" w:lineRule="exact"/>
              <w:ind w:right="294"/>
              <w:jc w:val="right"/>
              <w:rPr>
                <w:sz w:val="18"/>
              </w:rPr>
            </w:pPr>
            <w:r>
              <w:rPr>
                <w:sz w:val="18"/>
              </w:rPr>
              <w:t>0.259776</w:t>
            </w:r>
          </w:p>
        </w:tc>
        <w:tc>
          <w:tcPr>
            <w:tcW w:w="1313" w:type="dxa"/>
          </w:tcPr>
          <w:p>
            <w:pPr>
              <w:pStyle w:val="TableParagraph"/>
              <w:spacing w:line="197" w:lineRule="exact"/>
              <w:ind w:left="254" w:right="210"/>
              <w:rPr>
                <w:sz w:val="18"/>
              </w:rPr>
            </w:pPr>
            <w:r>
              <w:rPr>
                <w:sz w:val="18"/>
              </w:rPr>
              <w:t>0.246652</w:t>
            </w:r>
          </w:p>
        </w:tc>
        <w:tc>
          <w:tcPr>
            <w:tcW w:w="1313" w:type="dxa"/>
          </w:tcPr>
          <w:p>
            <w:pPr>
              <w:pStyle w:val="TableParagraph"/>
              <w:spacing w:line="197" w:lineRule="exact"/>
              <w:ind w:left="341"/>
              <w:jc w:val="left"/>
              <w:rPr>
                <w:sz w:val="18"/>
              </w:rPr>
            </w:pPr>
            <w:r>
              <w:rPr>
                <w:sz w:val="18"/>
              </w:rPr>
              <w:t>0.003680</w:t>
            </w:r>
          </w:p>
        </w:tc>
        <w:tc>
          <w:tcPr>
            <w:tcW w:w="1314" w:type="dxa"/>
          </w:tcPr>
          <w:p>
            <w:pPr>
              <w:pStyle w:val="TableParagraph"/>
              <w:spacing w:line="197" w:lineRule="exact"/>
              <w:ind w:left="254" w:right="211"/>
              <w:rPr>
                <w:sz w:val="18"/>
              </w:rPr>
            </w:pPr>
            <w:r>
              <w:rPr>
                <w:sz w:val="18"/>
              </w:rPr>
              <w:t>0.198707</w:t>
            </w:r>
          </w:p>
        </w:tc>
      </w:tr>
      <w:tr>
        <w:trPr>
          <w:trHeight w:val="208" w:hRule="exact"/>
        </w:trPr>
        <w:tc>
          <w:tcPr>
            <w:tcW w:w="2337" w:type="dxa"/>
          </w:tcPr>
          <w:p>
            <w:pPr>
              <w:pStyle w:val="TableParagraph"/>
              <w:spacing w:line="197" w:lineRule="exact"/>
              <w:ind w:left="43"/>
              <w:jc w:val="left"/>
              <w:rPr>
                <w:sz w:val="18"/>
              </w:rPr>
            </w:pPr>
            <w:r>
              <w:rPr>
                <w:sz w:val="18"/>
              </w:rPr>
              <w:t>S.E. equation</w:t>
            </w:r>
          </w:p>
        </w:tc>
        <w:tc>
          <w:tcPr>
            <w:tcW w:w="1200" w:type="dxa"/>
          </w:tcPr>
          <w:p>
            <w:pPr>
              <w:pStyle w:val="TableParagraph"/>
              <w:spacing w:line="197" w:lineRule="exact"/>
              <w:ind w:left="228"/>
              <w:jc w:val="left"/>
              <w:rPr>
                <w:sz w:val="18"/>
              </w:rPr>
            </w:pPr>
            <w:r>
              <w:rPr>
                <w:sz w:val="18"/>
              </w:rPr>
              <w:t>0.016108</w:t>
            </w:r>
          </w:p>
        </w:tc>
        <w:tc>
          <w:tcPr>
            <w:tcW w:w="1313" w:type="dxa"/>
          </w:tcPr>
          <w:p>
            <w:pPr>
              <w:pStyle w:val="TableParagraph"/>
              <w:spacing w:line="197" w:lineRule="exact"/>
              <w:ind w:right="294"/>
              <w:jc w:val="right"/>
              <w:rPr>
                <w:sz w:val="18"/>
              </w:rPr>
            </w:pPr>
            <w:r>
              <w:rPr>
                <w:sz w:val="18"/>
              </w:rPr>
              <w:t>0.064214</w:t>
            </w:r>
          </w:p>
        </w:tc>
        <w:tc>
          <w:tcPr>
            <w:tcW w:w="1313" w:type="dxa"/>
          </w:tcPr>
          <w:p>
            <w:pPr>
              <w:pStyle w:val="TableParagraph"/>
              <w:spacing w:line="197" w:lineRule="exact"/>
              <w:ind w:left="254" w:right="210"/>
              <w:rPr>
                <w:sz w:val="18"/>
              </w:rPr>
            </w:pPr>
            <w:r>
              <w:rPr>
                <w:sz w:val="18"/>
              </w:rPr>
              <w:t>0.062571</w:t>
            </w:r>
          </w:p>
        </w:tc>
        <w:tc>
          <w:tcPr>
            <w:tcW w:w="1313" w:type="dxa"/>
          </w:tcPr>
          <w:p>
            <w:pPr>
              <w:pStyle w:val="TableParagraph"/>
              <w:spacing w:line="197" w:lineRule="exact"/>
              <w:ind w:left="341"/>
              <w:jc w:val="left"/>
              <w:rPr>
                <w:sz w:val="18"/>
              </w:rPr>
            </w:pPr>
            <w:r>
              <w:rPr>
                <w:sz w:val="18"/>
              </w:rPr>
              <w:t>0.007643</w:t>
            </w:r>
          </w:p>
        </w:tc>
        <w:tc>
          <w:tcPr>
            <w:tcW w:w="1314" w:type="dxa"/>
          </w:tcPr>
          <w:p>
            <w:pPr>
              <w:pStyle w:val="TableParagraph"/>
              <w:spacing w:line="197" w:lineRule="exact"/>
              <w:ind w:left="254" w:right="211"/>
              <w:rPr>
                <w:sz w:val="18"/>
              </w:rPr>
            </w:pPr>
            <w:r>
              <w:rPr>
                <w:sz w:val="18"/>
              </w:rPr>
              <w:t>0.056161</w:t>
            </w:r>
          </w:p>
        </w:tc>
      </w:tr>
      <w:tr>
        <w:trPr>
          <w:trHeight w:val="208" w:hRule="exact"/>
        </w:trPr>
        <w:tc>
          <w:tcPr>
            <w:tcW w:w="2337" w:type="dxa"/>
          </w:tcPr>
          <w:p>
            <w:pPr>
              <w:pStyle w:val="TableParagraph"/>
              <w:spacing w:line="198" w:lineRule="exact"/>
              <w:ind w:left="43"/>
              <w:jc w:val="left"/>
              <w:rPr>
                <w:sz w:val="18"/>
              </w:rPr>
            </w:pPr>
            <w:r>
              <w:rPr>
                <w:sz w:val="18"/>
              </w:rPr>
              <w:t>F-statistic</w:t>
            </w:r>
          </w:p>
        </w:tc>
        <w:tc>
          <w:tcPr>
            <w:tcW w:w="1200" w:type="dxa"/>
          </w:tcPr>
          <w:p>
            <w:pPr>
              <w:pStyle w:val="TableParagraph"/>
              <w:spacing w:line="198" w:lineRule="exact"/>
              <w:ind w:left="228"/>
              <w:jc w:val="left"/>
              <w:rPr>
                <w:sz w:val="18"/>
              </w:rPr>
            </w:pPr>
            <w:r>
              <w:rPr>
                <w:sz w:val="18"/>
              </w:rPr>
              <w:t>196.0863</w:t>
            </w:r>
          </w:p>
        </w:tc>
        <w:tc>
          <w:tcPr>
            <w:tcW w:w="1313" w:type="dxa"/>
          </w:tcPr>
          <w:p>
            <w:pPr>
              <w:pStyle w:val="TableParagraph"/>
              <w:spacing w:line="198" w:lineRule="exact"/>
              <w:ind w:right="294"/>
              <w:jc w:val="right"/>
              <w:rPr>
                <w:sz w:val="18"/>
              </w:rPr>
            </w:pPr>
            <w:r>
              <w:rPr>
                <w:sz w:val="18"/>
              </w:rPr>
              <w:t>123.5419</w:t>
            </w:r>
          </w:p>
        </w:tc>
        <w:tc>
          <w:tcPr>
            <w:tcW w:w="1313" w:type="dxa"/>
          </w:tcPr>
          <w:p>
            <w:pPr>
              <w:pStyle w:val="TableParagraph"/>
              <w:spacing w:line="198" w:lineRule="exact"/>
              <w:ind w:left="254" w:right="210"/>
              <w:rPr>
                <w:sz w:val="18"/>
              </w:rPr>
            </w:pPr>
            <w:r>
              <w:rPr>
                <w:sz w:val="18"/>
              </w:rPr>
              <w:t>20.11843</w:t>
            </w:r>
          </w:p>
        </w:tc>
        <w:tc>
          <w:tcPr>
            <w:tcW w:w="1313" w:type="dxa"/>
          </w:tcPr>
          <w:p>
            <w:pPr>
              <w:pStyle w:val="TableParagraph"/>
              <w:spacing w:line="198" w:lineRule="exact"/>
              <w:ind w:left="341"/>
              <w:jc w:val="left"/>
              <w:rPr>
                <w:sz w:val="18"/>
              </w:rPr>
            </w:pPr>
            <w:r>
              <w:rPr>
                <w:sz w:val="18"/>
              </w:rPr>
              <w:t>844.9862</w:t>
            </w:r>
          </w:p>
        </w:tc>
        <w:tc>
          <w:tcPr>
            <w:tcW w:w="1314" w:type="dxa"/>
          </w:tcPr>
          <w:p>
            <w:pPr>
              <w:pStyle w:val="TableParagraph"/>
              <w:spacing w:line="198" w:lineRule="exact"/>
              <w:ind w:left="254" w:right="211"/>
              <w:rPr>
                <w:sz w:val="18"/>
              </w:rPr>
            </w:pPr>
            <w:r>
              <w:rPr>
                <w:sz w:val="18"/>
              </w:rPr>
              <w:t>103.3117</w:t>
            </w:r>
          </w:p>
        </w:tc>
      </w:tr>
      <w:tr>
        <w:trPr>
          <w:trHeight w:val="206" w:hRule="exact"/>
        </w:trPr>
        <w:tc>
          <w:tcPr>
            <w:tcW w:w="2337" w:type="dxa"/>
          </w:tcPr>
          <w:p>
            <w:pPr>
              <w:pStyle w:val="TableParagraph"/>
              <w:spacing w:line="197" w:lineRule="exact"/>
              <w:ind w:left="43"/>
              <w:jc w:val="left"/>
              <w:rPr>
                <w:sz w:val="18"/>
              </w:rPr>
            </w:pPr>
            <w:r>
              <w:rPr>
                <w:sz w:val="18"/>
              </w:rPr>
              <w:t>Log likelihood</w:t>
            </w:r>
          </w:p>
        </w:tc>
        <w:tc>
          <w:tcPr>
            <w:tcW w:w="1200" w:type="dxa"/>
          </w:tcPr>
          <w:p>
            <w:pPr>
              <w:pStyle w:val="TableParagraph"/>
              <w:spacing w:line="197" w:lineRule="exact"/>
              <w:ind w:left="228"/>
              <w:jc w:val="left"/>
              <w:rPr>
                <w:sz w:val="18"/>
              </w:rPr>
            </w:pPr>
            <w:r>
              <w:rPr>
                <w:sz w:val="18"/>
              </w:rPr>
              <w:t>239.6810</w:t>
            </w:r>
          </w:p>
        </w:tc>
        <w:tc>
          <w:tcPr>
            <w:tcW w:w="1313" w:type="dxa"/>
          </w:tcPr>
          <w:p>
            <w:pPr>
              <w:pStyle w:val="TableParagraph"/>
              <w:spacing w:line="197" w:lineRule="exact"/>
              <w:ind w:right="294"/>
              <w:jc w:val="right"/>
              <w:rPr>
                <w:sz w:val="18"/>
              </w:rPr>
            </w:pPr>
            <w:r>
              <w:rPr>
                <w:sz w:val="18"/>
              </w:rPr>
              <w:t>123.5168</w:t>
            </w:r>
          </w:p>
        </w:tc>
        <w:tc>
          <w:tcPr>
            <w:tcW w:w="1313" w:type="dxa"/>
          </w:tcPr>
          <w:p>
            <w:pPr>
              <w:pStyle w:val="TableParagraph"/>
              <w:spacing w:line="197" w:lineRule="exact"/>
              <w:ind w:left="254" w:right="210"/>
              <w:rPr>
                <w:sz w:val="18"/>
              </w:rPr>
            </w:pPr>
            <w:r>
              <w:rPr>
                <w:sz w:val="18"/>
              </w:rPr>
              <w:t>125.6942</w:t>
            </w:r>
          </w:p>
        </w:tc>
        <w:tc>
          <w:tcPr>
            <w:tcW w:w="1313" w:type="dxa"/>
          </w:tcPr>
          <w:p>
            <w:pPr>
              <w:pStyle w:val="TableParagraph"/>
              <w:spacing w:line="197" w:lineRule="exact"/>
              <w:ind w:left="341"/>
              <w:jc w:val="left"/>
              <w:rPr>
                <w:sz w:val="18"/>
              </w:rPr>
            </w:pPr>
            <w:r>
              <w:rPr>
                <w:sz w:val="18"/>
              </w:rPr>
              <w:t>302.3023</w:t>
            </w:r>
          </w:p>
        </w:tc>
        <w:tc>
          <w:tcPr>
            <w:tcW w:w="1314" w:type="dxa"/>
          </w:tcPr>
          <w:p>
            <w:pPr>
              <w:pStyle w:val="TableParagraph"/>
              <w:spacing w:line="197" w:lineRule="exact"/>
              <w:ind w:left="254" w:right="211"/>
              <w:rPr>
                <w:sz w:val="18"/>
              </w:rPr>
            </w:pPr>
            <w:r>
              <w:rPr>
                <w:sz w:val="18"/>
              </w:rPr>
              <w:t>134.7724</w:t>
            </w:r>
          </w:p>
        </w:tc>
      </w:tr>
      <w:tr>
        <w:trPr>
          <w:trHeight w:val="206" w:hRule="exact"/>
        </w:trPr>
        <w:tc>
          <w:tcPr>
            <w:tcW w:w="2337" w:type="dxa"/>
          </w:tcPr>
          <w:p>
            <w:pPr>
              <w:pStyle w:val="TableParagraph"/>
              <w:spacing w:line="197" w:lineRule="exact"/>
              <w:ind w:left="43"/>
              <w:jc w:val="left"/>
              <w:rPr>
                <w:sz w:val="18"/>
              </w:rPr>
            </w:pPr>
            <w:r>
              <w:rPr>
                <w:sz w:val="18"/>
              </w:rPr>
              <w:t>Akaike AIC</w:t>
            </w:r>
          </w:p>
        </w:tc>
        <w:tc>
          <w:tcPr>
            <w:tcW w:w="1200" w:type="dxa"/>
          </w:tcPr>
          <w:p>
            <w:pPr>
              <w:pStyle w:val="TableParagraph"/>
              <w:spacing w:line="197" w:lineRule="exact"/>
              <w:ind w:left="175"/>
              <w:jc w:val="left"/>
              <w:rPr>
                <w:sz w:val="18"/>
              </w:rPr>
            </w:pPr>
            <w:r>
              <w:rPr>
                <w:sz w:val="18"/>
              </w:rPr>
              <w:t>-5.206689</w:t>
            </w:r>
          </w:p>
        </w:tc>
        <w:tc>
          <w:tcPr>
            <w:tcW w:w="1313" w:type="dxa"/>
          </w:tcPr>
          <w:p>
            <w:pPr>
              <w:pStyle w:val="TableParagraph"/>
              <w:spacing w:line="197" w:lineRule="exact"/>
              <w:ind w:right="287"/>
              <w:jc w:val="right"/>
              <w:rPr>
                <w:sz w:val="18"/>
              </w:rPr>
            </w:pPr>
            <w:r>
              <w:rPr>
                <w:sz w:val="18"/>
              </w:rPr>
              <w:t>-2.440877</w:t>
            </w:r>
          </w:p>
        </w:tc>
        <w:tc>
          <w:tcPr>
            <w:tcW w:w="1313" w:type="dxa"/>
          </w:tcPr>
          <w:p>
            <w:pPr>
              <w:pStyle w:val="TableParagraph"/>
              <w:spacing w:line="197" w:lineRule="exact"/>
              <w:ind w:left="253" w:right="254"/>
              <w:rPr>
                <w:sz w:val="18"/>
              </w:rPr>
            </w:pPr>
            <w:r>
              <w:rPr>
                <w:sz w:val="18"/>
              </w:rPr>
              <w:t>-2.492719</w:t>
            </w:r>
          </w:p>
        </w:tc>
        <w:tc>
          <w:tcPr>
            <w:tcW w:w="1313" w:type="dxa"/>
          </w:tcPr>
          <w:p>
            <w:pPr>
              <w:pStyle w:val="TableParagraph"/>
              <w:spacing w:line="197" w:lineRule="exact"/>
              <w:ind w:left="288"/>
              <w:jc w:val="left"/>
              <w:rPr>
                <w:sz w:val="18"/>
              </w:rPr>
            </w:pPr>
            <w:r>
              <w:rPr>
                <w:sz w:val="18"/>
              </w:rPr>
              <w:t>-6.697674</w:t>
            </w:r>
          </w:p>
        </w:tc>
        <w:tc>
          <w:tcPr>
            <w:tcW w:w="1314" w:type="dxa"/>
          </w:tcPr>
          <w:p>
            <w:pPr>
              <w:pStyle w:val="TableParagraph"/>
              <w:spacing w:line="197" w:lineRule="exact"/>
              <w:ind w:left="254" w:right="254"/>
              <w:rPr>
                <w:sz w:val="18"/>
              </w:rPr>
            </w:pPr>
            <w:r>
              <w:rPr>
                <w:sz w:val="18"/>
              </w:rPr>
              <w:t>-2.708866</w:t>
            </w:r>
          </w:p>
        </w:tc>
      </w:tr>
      <w:tr>
        <w:trPr>
          <w:trHeight w:val="208" w:hRule="exact"/>
        </w:trPr>
        <w:tc>
          <w:tcPr>
            <w:tcW w:w="2337" w:type="dxa"/>
          </w:tcPr>
          <w:p>
            <w:pPr>
              <w:pStyle w:val="TableParagraph"/>
              <w:spacing w:line="197" w:lineRule="exact"/>
              <w:ind w:left="43"/>
              <w:jc w:val="left"/>
              <w:rPr>
                <w:sz w:val="18"/>
              </w:rPr>
            </w:pPr>
            <w:r>
              <w:rPr>
                <w:sz w:val="18"/>
              </w:rPr>
              <w:t>Schwarz SC</w:t>
            </w:r>
          </w:p>
        </w:tc>
        <w:tc>
          <w:tcPr>
            <w:tcW w:w="1200" w:type="dxa"/>
          </w:tcPr>
          <w:p>
            <w:pPr>
              <w:pStyle w:val="TableParagraph"/>
              <w:spacing w:line="197" w:lineRule="exact"/>
              <w:ind w:left="175"/>
              <w:jc w:val="left"/>
              <w:rPr>
                <w:sz w:val="18"/>
              </w:rPr>
            </w:pPr>
            <w:r>
              <w:rPr>
                <w:sz w:val="18"/>
              </w:rPr>
              <w:t>-4.598985</w:t>
            </w:r>
          </w:p>
        </w:tc>
        <w:tc>
          <w:tcPr>
            <w:tcW w:w="1313" w:type="dxa"/>
          </w:tcPr>
          <w:p>
            <w:pPr>
              <w:pStyle w:val="TableParagraph"/>
              <w:spacing w:line="197" w:lineRule="exact"/>
              <w:ind w:right="287"/>
              <w:jc w:val="right"/>
              <w:rPr>
                <w:sz w:val="18"/>
              </w:rPr>
            </w:pPr>
            <w:r>
              <w:rPr>
                <w:sz w:val="18"/>
              </w:rPr>
              <w:t>-1.833173</w:t>
            </w:r>
          </w:p>
        </w:tc>
        <w:tc>
          <w:tcPr>
            <w:tcW w:w="1313" w:type="dxa"/>
          </w:tcPr>
          <w:p>
            <w:pPr>
              <w:pStyle w:val="TableParagraph"/>
              <w:spacing w:line="197" w:lineRule="exact"/>
              <w:ind w:left="253" w:right="254"/>
              <w:rPr>
                <w:sz w:val="18"/>
              </w:rPr>
            </w:pPr>
            <w:r>
              <w:rPr>
                <w:sz w:val="18"/>
              </w:rPr>
              <w:t>-1.885014</w:t>
            </w:r>
          </w:p>
        </w:tc>
        <w:tc>
          <w:tcPr>
            <w:tcW w:w="1313" w:type="dxa"/>
          </w:tcPr>
          <w:p>
            <w:pPr>
              <w:pStyle w:val="TableParagraph"/>
              <w:spacing w:line="197" w:lineRule="exact"/>
              <w:ind w:left="288"/>
              <w:jc w:val="left"/>
              <w:rPr>
                <w:sz w:val="18"/>
              </w:rPr>
            </w:pPr>
            <w:r>
              <w:rPr>
                <w:sz w:val="18"/>
              </w:rPr>
              <w:t>-6.089970</w:t>
            </w:r>
          </w:p>
        </w:tc>
        <w:tc>
          <w:tcPr>
            <w:tcW w:w="1314" w:type="dxa"/>
          </w:tcPr>
          <w:p>
            <w:pPr>
              <w:pStyle w:val="TableParagraph"/>
              <w:spacing w:line="197" w:lineRule="exact"/>
              <w:ind w:left="254" w:right="254"/>
              <w:rPr>
                <w:sz w:val="18"/>
              </w:rPr>
            </w:pPr>
            <w:r>
              <w:rPr>
                <w:sz w:val="18"/>
              </w:rPr>
              <w:t>-2.101161</w:t>
            </w:r>
          </w:p>
        </w:tc>
      </w:tr>
      <w:tr>
        <w:trPr>
          <w:trHeight w:val="217" w:hRule="exact"/>
        </w:trPr>
        <w:tc>
          <w:tcPr>
            <w:tcW w:w="2337" w:type="dxa"/>
            <w:tcBorders>
              <w:bottom w:val="double" w:sz="4" w:space="0" w:color="000000"/>
            </w:tcBorders>
          </w:tcPr>
          <w:p>
            <w:pPr>
              <w:pStyle w:val="TableParagraph"/>
              <w:spacing w:line="198" w:lineRule="exact"/>
              <w:ind w:left="43"/>
              <w:jc w:val="left"/>
              <w:rPr>
                <w:sz w:val="18"/>
              </w:rPr>
            </w:pPr>
            <w:r>
              <w:rPr>
                <w:sz w:val="18"/>
              </w:rPr>
              <w:t>Mean dependent</w:t>
            </w:r>
          </w:p>
        </w:tc>
        <w:tc>
          <w:tcPr>
            <w:tcW w:w="1200" w:type="dxa"/>
            <w:tcBorders>
              <w:bottom w:val="double" w:sz="4" w:space="0" w:color="000000"/>
            </w:tcBorders>
          </w:tcPr>
          <w:p>
            <w:pPr>
              <w:pStyle w:val="TableParagraph"/>
              <w:spacing w:line="198" w:lineRule="exact"/>
              <w:ind w:left="228"/>
              <w:jc w:val="left"/>
              <w:rPr>
                <w:sz w:val="18"/>
              </w:rPr>
            </w:pPr>
            <w:r>
              <w:rPr>
                <w:sz w:val="18"/>
              </w:rPr>
              <w:t>14.32240</w:t>
            </w:r>
          </w:p>
        </w:tc>
        <w:tc>
          <w:tcPr>
            <w:tcW w:w="1313" w:type="dxa"/>
            <w:tcBorders>
              <w:bottom w:val="double" w:sz="4" w:space="0" w:color="000000"/>
            </w:tcBorders>
          </w:tcPr>
          <w:p>
            <w:pPr>
              <w:pStyle w:val="TableParagraph"/>
              <w:spacing w:line="198" w:lineRule="exact"/>
              <w:ind w:right="294"/>
              <w:jc w:val="right"/>
              <w:rPr>
                <w:sz w:val="18"/>
              </w:rPr>
            </w:pPr>
            <w:r>
              <w:rPr>
                <w:sz w:val="18"/>
              </w:rPr>
              <w:t>12.22875</w:t>
            </w:r>
          </w:p>
        </w:tc>
        <w:tc>
          <w:tcPr>
            <w:tcW w:w="1313" w:type="dxa"/>
            <w:tcBorders>
              <w:bottom w:val="double" w:sz="4" w:space="0" w:color="000000"/>
            </w:tcBorders>
          </w:tcPr>
          <w:p>
            <w:pPr>
              <w:pStyle w:val="TableParagraph"/>
              <w:spacing w:line="198" w:lineRule="exact"/>
              <w:ind w:left="254" w:right="210"/>
              <w:rPr>
                <w:sz w:val="18"/>
              </w:rPr>
            </w:pPr>
            <w:r>
              <w:rPr>
                <w:sz w:val="18"/>
              </w:rPr>
              <w:t>4.368086</w:t>
            </w:r>
          </w:p>
        </w:tc>
        <w:tc>
          <w:tcPr>
            <w:tcW w:w="1313" w:type="dxa"/>
            <w:tcBorders>
              <w:bottom w:val="double" w:sz="4" w:space="0" w:color="000000"/>
            </w:tcBorders>
          </w:tcPr>
          <w:p>
            <w:pPr>
              <w:pStyle w:val="TableParagraph"/>
              <w:spacing w:line="198" w:lineRule="exact"/>
              <w:ind w:left="341"/>
              <w:jc w:val="left"/>
              <w:rPr>
                <w:sz w:val="18"/>
              </w:rPr>
            </w:pPr>
            <w:r>
              <w:rPr>
                <w:sz w:val="18"/>
              </w:rPr>
              <w:t>4.490613</w:t>
            </w:r>
          </w:p>
        </w:tc>
        <w:tc>
          <w:tcPr>
            <w:tcW w:w="1314" w:type="dxa"/>
            <w:tcBorders>
              <w:bottom w:val="double" w:sz="4" w:space="0" w:color="000000"/>
            </w:tcBorders>
          </w:tcPr>
          <w:p>
            <w:pPr>
              <w:pStyle w:val="TableParagraph"/>
              <w:spacing w:line="198" w:lineRule="exact"/>
              <w:ind w:left="254" w:right="254"/>
              <w:rPr>
                <w:sz w:val="18"/>
              </w:rPr>
            </w:pPr>
            <w:r>
              <w:rPr>
                <w:sz w:val="18"/>
              </w:rPr>
              <w:t>-0.884995</w:t>
            </w:r>
          </w:p>
        </w:tc>
      </w:tr>
      <w:tr>
        <w:trPr>
          <w:trHeight w:val="317" w:hRule="exact"/>
        </w:trPr>
        <w:tc>
          <w:tcPr>
            <w:tcW w:w="2337" w:type="dxa"/>
            <w:tcBorders>
              <w:top w:val="double" w:sz="4" w:space="0" w:color="000000"/>
              <w:bottom w:val="double" w:sz="4" w:space="0" w:color="000000"/>
            </w:tcBorders>
          </w:tcPr>
          <w:p>
            <w:pPr>
              <w:pStyle w:val="TableParagraph"/>
              <w:spacing w:line="202" w:lineRule="exact"/>
              <w:ind w:left="43"/>
              <w:jc w:val="left"/>
              <w:rPr>
                <w:sz w:val="18"/>
              </w:rPr>
            </w:pPr>
            <w:r>
              <w:rPr>
                <w:sz w:val="18"/>
              </w:rPr>
              <w:t>S.D. dependent</w:t>
            </w:r>
          </w:p>
        </w:tc>
        <w:tc>
          <w:tcPr>
            <w:tcW w:w="1200" w:type="dxa"/>
            <w:tcBorders>
              <w:top w:val="double" w:sz="4" w:space="0" w:color="000000"/>
              <w:bottom w:val="double" w:sz="4" w:space="0" w:color="000000"/>
            </w:tcBorders>
          </w:tcPr>
          <w:p>
            <w:pPr>
              <w:pStyle w:val="TableParagraph"/>
              <w:spacing w:line="202" w:lineRule="exact"/>
              <w:ind w:left="228"/>
              <w:jc w:val="left"/>
              <w:rPr>
                <w:sz w:val="18"/>
              </w:rPr>
            </w:pPr>
            <w:r>
              <w:rPr>
                <w:sz w:val="18"/>
              </w:rPr>
              <w:t>0.111609</w:t>
            </w:r>
          </w:p>
        </w:tc>
        <w:tc>
          <w:tcPr>
            <w:tcW w:w="1313" w:type="dxa"/>
            <w:tcBorders>
              <w:top w:val="double" w:sz="4" w:space="0" w:color="000000"/>
              <w:bottom w:val="double" w:sz="4" w:space="0" w:color="000000"/>
            </w:tcBorders>
          </w:tcPr>
          <w:p>
            <w:pPr>
              <w:pStyle w:val="TableParagraph"/>
              <w:spacing w:line="202" w:lineRule="exact"/>
              <w:ind w:right="294"/>
              <w:jc w:val="right"/>
              <w:rPr>
                <w:sz w:val="18"/>
              </w:rPr>
            </w:pPr>
            <w:r>
              <w:rPr>
                <w:sz w:val="18"/>
              </w:rPr>
              <w:t>0.354796</w:t>
            </w:r>
          </w:p>
        </w:tc>
        <w:tc>
          <w:tcPr>
            <w:tcW w:w="1313" w:type="dxa"/>
            <w:tcBorders>
              <w:top w:val="double" w:sz="4" w:space="0" w:color="000000"/>
              <w:bottom w:val="double" w:sz="4" w:space="0" w:color="000000"/>
            </w:tcBorders>
          </w:tcPr>
          <w:p>
            <w:pPr>
              <w:pStyle w:val="TableParagraph"/>
              <w:spacing w:line="202" w:lineRule="exact"/>
              <w:ind w:left="254" w:right="210"/>
              <w:rPr>
                <w:sz w:val="18"/>
              </w:rPr>
            </w:pPr>
            <w:r>
              <w:rPr>
                <w:sz w:val="18"/>
              </w:rPr>
              <w:t>0.148160</w:t>
            </w:r>
          </w:p>
        </w:tc>
        <w:tc>
          <w:tcPr>
            <w:tcW w:w="1313" w:type="dxa"/>
            <w:tcBorders>
              <w:top w:val="double" w:sz="4" w:space="0" w:color="000000"/>
              <w:bottom w:val="double" w:sz="4" w:space="0" w:color="000000"/>
            </w:tcBorders>
          </w:tcPr>
          <w:p>
            <w:pPr>
              <w:pStyle w:val="TableParagraph"/>
              <w:spacing w:line="202" w:lineRule="exact"/>
              <w:ind w:left="341"/>
              <w:jc w:val="left"/>
              <w:rPr>
                <w:sz w:val="18"/>
              </w:rPr>
            </w:pPr>
            <w:r>
              <w:rPr>
                <w:sz w:val="18"/>
              </w:rPr>
              <w:t>0.109266</w:t>
            </w:r>
          </w:p>
        </w:tc>
        <w:tc>
          <w:tcPr>
            <w:tcW w:w="1314" w:type="dxa"/>
            <w:tcBorders>
              <w:top w:val="double" w:sz="4" w:space="0" w:color="000000"/>
              <w:bottom w:val="double" w:sz="4" w:space="0" w:color="000000"/>
            </w:tcBorders>
          </w:tcPr>
          <w:p>
            <w:pPr>
              <w:pStyle w:val="TableParagraph"/>
              <w:spacing w:line="202" w:lineRule="exact"/>
              <w:ind w:left="254" w:right="211"/>
              <w:rPr>
                <w:sz w:val="18"/>
              </w:rPr>
            </w:pPr>
            <w:r>
              <w:rPr>
                <w:sz w:val="18"/>
              </w:rPr>
              <w:t>0.284452</w:t>
            </w:r>
          </w:p>
        </w:tc>
      </w:tr>
      <w:tr>
        <w:trPr>
          <w:trHeight w:val="332" w:hRule="exact"/>
        </w:trPr>
        <w:tc>
          <w:tcPr>
            <w:tcW w:w="3538" w:type="dxa"/>
            <w:gridSpan w:val="2"/>
            <w:tcBorders>
              <w:top w:val="double" w:sz="4" w:space="0" w:color="000000"/>
            </w:tcBorders>
          </w:tcPr>
          <w:p>
            <w:pPr>
              <w:pStyle w:val="TableParagraph"/>
              <w:spacing w:before="100"/>
              <w:ind w:left="43"/>
              <w:jc w:val="left"/>
              <w:rPr>
                <w:sz w:val="18"/>
              </w:rPr>
            </w:pPr>
            <w:r>
              <w:rPr>
                <w:sz w:val="18"/>
              </w:rPr>
              <w:t>Determinant resid covariance (dof adj.)</w:t>
            </w:r>
          </w:p>
        </w:tc>
        <w:tc>
          <w:tcPr>
            <w:tcW w:w="1313" w:type="dxa"/>
            <w:tcBorders>
              <w:top w:val="double" w:sz="4" w:space="0" w:color="000000"/>
            </w:tcBorders>
          </w:tcPr>
          <w:p>
            <w:pPr>
              <w:pStyle w:val="TableParagraph"/>
              <w:spacing w:before="100"/>
              <w:ind w:right="297"/>
              <w:jc w:val="right"/>
              <w:rPr>
                <w:sz w:val="18"/>
              </w:rPr>
            </w:pPr>
            <w:r>
              <w:rPr>
                <w:sz w:val="18"/>
              </w:rPr>
              <w:t>4.30E-17</w:t>
            </w:r>
          </w:p>
        </w:tc>
        <w:tc>
          <w:tcPr>
            <w:tcW w:w="1313" w:type="dxa"/>
            <w:tcBorders>
              <w:top w:val="double" w:sz="4" w:space="0" w:color="000000"/>
            </w:tcBorders>
          </w:tcPr>
          <w:p>
            <w:pPr/>
          </w:p>
        </w:tc>
        <w:tc>
          <w:tcPr>
            <w:tcW w:w="1313" w:type="dxa"/>
            <w:tcBorders>
              <w:top w:val="double" w:sz="4" w:space="0" w:color="000000"/>
            </w:tcBorders>
          </w:tcPr>
          <w:p>
            <w:pPr/>
          </w:p>
        </w:tc>
        <w:tc>
          <w:tcPr>
            <w:tcW w:w="1314" w:type="dxa"/>
            <w:tcBorders>
              <w:top w:val="double" w:sz="4" w:space="0" w:color="000000"/>
            </w:tcBorders>
          </w:tcPr>
          <w:p>
            <w:pPr/>
          </w:p>
        </w:tc>
      </w:tr>
      <w:tr>
        <w:trPr>
          <w:trHeight w:val="208" w:hRule="exact"/>
        </w:trPr>
        <w:tc>
          <w:tcPr>
            <w:tcW w:w="2337" w:type="dxa"/>
          </w:tcPr>
          <w:p>
            <w:pPr>
              <w:pStyle w:val="TableParagraph"/>
              <w:spacing w:line="197" w:lineRule="exact"/>
              <w:ind w:left="43"/>
              <w:jc w:val="left"/>
              <w:rPr>
                <w:sz w:val="18"/>
              </w:rPr>
            </w:pPr>
            <w:r>
              <w:rPr>
                <w:sz w:val="18"/>
              </w:rPr>
              <w:t>Determinant resid covariance</w:t>
            </w:r>
          </w:p>
        </w:tc>
        <w:tc>
          <w:tcPr>
            <w:tcW w:w="1200" w:type="dxa"/>
          </w:tcPr>
          <w:p>
            <w:pPr/>
          </w:p>
        </w:tc>
        <w:tc>
          <w:tcPr>
            <w:tcW w:w="1313" w:type="dxa"/>
          </w:tcPr>
          <w:p>
            <w:pPr>
              <w:pStyle w:val="TableParagraph"/>
              <w:spacing w:line="197" w:lineRule="exact"/>
              <w:ind w:right="297"/>
              <w:jc w:val="right"/>
              <w:rPr>
                <w:sz w:val="18"/>
              </w:rPr>
            </w:pPr>
            <w:r>
              <w:rPr>
                <w:sz w:val="18"/>
              </w:rPr>
              <w:t>1.02E-17</w:t>
            </w:r>
          </w:p>
        </w:tc>
        <w:tc>
          <w:tcPr>
            <w:tcW w:w="1313" w:type="dxa"/>
          </w:tcPr>
          <w:p>
            <w:pPr/>
          </w:p>
        </w:tc>
        <w:tc>
          <w:tcPr>
            <w:tcW w:w="1313" w:type="dxa"/>
          </w:tcPr>
          <w:p>
            <w:pPr/>
          </w:p>
        </w:tc>
        <w:tc>
          <w:tcPr>
            <w:tcW w:w="1314" w:type="dxa"/>
          </w:tcPr>
          <w:p>
            <w:pPr/>
          </w:p>
        </w:tc>
      </w:tr>
      <w:tr>
        <w:trPr>
          <w:trHeight w:val="208" w:hRule="exact"/>
        </w:trPr>
        <w:tc>
          <w:tcPr>
            <w:tcW w:w="2337" w:type="dxa"/>
          </w:tcPr>
          <w:p>
            <w:pPr>
              <w:pStyle w:val="TableParagraph"/>
              <w:spacing w:line="198" w:lineRule="exact"/>
              <w:ind w:left="43"/>
              <w:jc w:val="left"/>
              <w:rPr>
                <w:sz w:val="18"/>
              </w:rPr>
            </w:pPr>
            <w:r>
              <w:rPr>
                <w:sz w:val="18"/>
              </w:rPr>
              <w:t>Log likelihood</w:t>
            </w:r>
          </w:p>
        </w:tc>
        <w:tc>
          <w:tcPr>
            <w:tcW w:w="1200" w:type="dxa"/>
          </w:tcPr>
          <w:p>
            <w:pPr/>
          </w:p>
        </w:tc>
        <w:tc>
          <w:tcPr>
            <w:tcW w:w="1313" w:type="dxa"/>
          </w:tcPr>
          <w:p>
            <w:pPr>
              <w:pStyle w:val="TableParagraph"/>
              <w:spacing w:line="198" w:lineRule="exact"/>
              <w:ind w:right="294"/>
              <w:jc w:val="right"/>
              <w:rPr>
                <w:sz w:val="18"/>
              </w:rPr>
            </w:pPr>
            <w:r>
              <w:rPr>
                <w:sz w:val="18"/>
              </w:rPr>
              <w:t>1047.273</w:t>
            </w:r>
          </w:p>
        </w:tc>
        <w:tc>
          <w:tcPr>
            <w:tcW w:w="1313" w:type="dxa"/>
          </w:tcPr>
          <w:p>
            <w:pPr/>
          </w:p>
        </w:tc>
        <w:tc>
          <w:tcPr>
            <w:tcW w:w="1313" w:type="dxa"/>
          </w:tcPr>
          <w:p>
            <w:pPr/>
          </w:p>
        </w:tc>
        <w:tc>
          <w:tcPr>
            <w:tcW w:w="1314" w:type="dxa"/>
          </w:tcPr>
          <w:p>
            <w:pPr/>
          </w:p>
        </w:tc>
      </w:tr>
      <w:tr>
        <w:trPr>
          <w:trHeight w:val="207" w:hRule="exact"/>
        </w:trPr>
        <w:tc>
          <w:tcPr>
            <w:tcW w:w="2337" w:type="dxa"/>
          </w:tcPr>
          <w:p>
            <w:pPr>
              <w:pStyle w:val="TableParagraph"/>
              <w:spacing w:line="197" w:lineRule="exact"/>
              <w:ind w:left="43"/>
              <w:jc w:val="left"/>
              <w:rPr>
                <w:sz w:val="18"/>
              </w:rPr>
            </w:pPr>
            <w:r>
              <w:rPr>
                <w:sz w:val="18"/>
              </w:rPr>
              <w:t>Akaike information criterion</w:t>
            </w:r>
          </w:p>
        </w:tc>
        <w:tc>
          <w:tcPr>
            <w:tcW w:w="1200" w:type="dxa"/>
          </w:tcPr>
          <w:p>
            <w:pPr/>
          </w:p>
        </w:tc>
        <w:tc>
          <w:tcPr>
            <w:tcW w:w="1313" w:type="dxa"/>
          </w:tcPr>
          <w:p>
            <w:pPr>
              <w:pStyle w:val="TableParagraph"/>
              <w:spacing w:line="197" w:lineRule="exact"/>
              <w:ind w:right="287"/>
              <w:jc w:val="right"/>
              <w:rPr>
                <w:sz w:val="18"/>
              </w:rPr>
            </w:pPr>
            <w:r>
              <w:rPr>
                <w:sz w:val="18"/>
              </w:rPr>
              <w:t>-22.43507</w:t>
            </w:r>
          </w:p>
        </w:tc>
        <w:tc>
          <w:tcPr>
            <w:tcW w:w="1313" w:type="dxa"/>
          </w:tcPr>
          <w:p>
            <w:pPr/>
          </w:p>
        </w:tc>
        <w:tc>
          <w:tcPr>
            <w:tcW w:w="1313" w:type="dxa"/>
          </w:tcPr>
          <w:p>
            <w:pPr/>
          </w:p>
        </w:tc>
        <w:tc>
          <w:tcPr>
            <w:tcW w:w="1314" w:type="dxa"/>
          </w:tcPr>
          <w:p>
            <w:pPr/>
          </w:p>
        </w:tc>
      </w:tr>
      <w:tr>
        <w:trPr>
          <w:trHeight w:val="316" w:hRule="exact"/>
        </w:trPr>
        <w:tc>
          <w:tcPr>
            <w:tcW w:w="2337" w:type="dxa"/>
            <w:tcBorders>
              <w:bottom w:val="double" w:sz="4" w:space="0" w:color="000000"/>
            </w:tcBorders>
          </w:tcPr>
          <w:p>
            <w:pPr>
              <w:pStyle w:val="TableParagraph"/>
              <w:spacing w:line="197" w:lineRule="exact"/>
              <w:ind w:left="43"/>
              <w:jc w:val="left"/>
              <w:rPr>
                <w:sz w:val="18"/>
              </w:rPr>
            </w:pPr>
            <w:r>
              <w:rPr>
                <w:sz w:val="18"/>
              </w:rPr>
              <w:t>Schwarz criterion</w:t>
            </w:r>
          </w:p>
        </w:tc>
        <w:tc>
          <w:tcPr>
            <w:tcW w:w="1200" w:type="dxa"/>
            <w:tcBorders>
              <w:bottom w:val="double" w:sz="4" w:space="0" w:color="000000"/>
            </w:tcBorders>
          </w:tcPr>
          <w:p>
            <w:pPr/>
          </w:p>
        </w:tc>
        <w:tc>
          <w:tcPr>
            <w:tcW w:w="1313" w:type="dxa"/>
            <w:tcBorders>
              <w:bottom w:val="double" w:sz="4" w:space="0" w:color="000000"/>
            </w:tcBorders>
          </w:tcPr>
          <w:p>
            <w:pPr>
              <w:pStyle w:val="TableParagraph"/>
              <w:spacing w:line="197" w:lineRule="exact"/>
              <w:ind w:right="287"/>
              <w:jc w:val="right"/>
              <w:rPr>
                <w:sz w:val="18"/>
              </w:rPr>
            </w:pPr>
            <w:r>
              <w:rPr>
                <w:sz w:val="18"/>
              </w:rPr>
              <w:t>-19.39655</w:t>
            </w:r>
          </w:p>
        </w:tc>
        <w:tc>
          <w:tcPr>
            <w:tcW w:w="1313" w:type="dxa"/>
            <w:tcBorders>
              <w:bottom w:val="double" w:sz="4" w:space="0" w:color="000000"/>
            </w:tcBorders>
          </w:tcPr>
          <w:p>
            <w:pPr/>
          </w:p>
        </w:tc>
        <w:tc>
          <w:tcPr>
            <w:tcW w:w="1313" w:type="dxa"/>
            <w:tcBorders>
              <w:bottom w:val="double" w:sz="4" w:space="0" w:color="000000"/>
            </w:tcBorders>
          </w:tcPr>
          <w:p>
            <w:pPr/>
          </w:p>
        </w:tc>
        <w:tc>
          <w:tcPr>
            <w:tcW w:w="1314" w:type="dxa"/>
            <w:tcBorders>
              <w:bottom w:val="double" w:sz="4" w:space="0" w:color="000000"/>
            </w:tcBorders>
          </w:tcPr>
          <w:p>
            <w:pPr/>
          </w:p>
        </w:tc>
      </w:tr>
    </w:tbl>
    <w:p>
      <w:pPr>
        <w:spacing w:before="98"/>
        <w:ind w:left="102" w:right="119" w:firstLine="0"/>
        <w:jc w:val="left"/>
        <w:rPr>
          <w:sz w:val="20"/>
        </w:rPr>
      </w:pPr>
      <w:r>
        <w:rPr>
          <w:sz w:val="20"/>
        </w:rPr>
        <w:t>Fuente: Elaboración propia con programa E-views 9.0</w:t>
      </w:r>
    </w:p>
    <w:p>
      <w:pPr>
        <w:spacing w:after="0"/>
        <w:jc w:val="left"/>
        <w:rPr>
          <w:sz w:val="20"/>
        </w:rPr>
        <w:sectPr>
          <w:pgSz w:w="12240" w:h="15840"/>
          <w:pgMar w:header="0" w:footer="1035" w:top="1440" w:bottom="1220" w:left="1600" w:right="1580"/>
        </w:sectPr>
      </w:pPr>
    </w:p>
    <w:p>
      <w:pPr>
        <w:pStyle w:val="BodyText"/>
        <w:spacing w:line="360" w:lineRule="auto" w:before="50"/>
        <w:ind w:left="102" w:right="115"/>
        <w:jc w:val="both"/>
      </w:pPr>
      <w:r>
        <w:rPr/>
        <w:t>Como ya se mencionó, es difícil evaluar la significancia estadística de un VAR, ya que muchos de los coeficientes estimados no son estadísticamente significativos y otros tienen signos encontrados, por lo que se hace necesario realizar los análisis de impulso respuesta y descomposición de varianza.</w:t>
      </w:r>
    </w:p>
    <w:p>
      <w:pPr>
        <w:pStyle w:val="BodyText"/>
        <w:spacing w:before="2"/>
        <w:rPr>
          <w:sz w:val="21"/>
        </w:rPr>
      </w:pPr>
    </w:p>
    <w:p>
      <w:pPr>
        <w:pStyle w:val="BodyText"/>
        <w:spacing w:line="360" w:lineRule="auto"/>
        <w:ind w:left="102" w:right="117"/>
        <w:jc w:val="both"/>
      </w:pPr>
      <w:r>
        <w:rPr/>
        <w:t>No obstante, existen distintas pruebas que pueden realizarse para evaluar de forma rápida la significancia de los coeficientes estimados para el primer vector (lyman), que es donde se concentra nuestro objeto de estudio, para ello se utilizó la prueba de Wald que consiste en realizar una prueba de significancia a partir del estadístico F para cada conjunto de coeficientes</w:t>
      </w:r>
      <w:r>
        <w:rPr>
          <w:spacing w:val="-5"/>
        </w:rPr>
        <w:t> </w:t>
      </w:r>
      <w:r>
        <w:rPr/>
        <w:t>de</w:t>
      </w:r>
      <w:r>
        <w:rPr>
          <w:spacing w:val="-6"/>
        </w:rPr>
        <w:t> </w:t>
      </w:r>
      <w:r>
        <w:rPr/>
        <w:t>la</w:t>
      </w:r>
      <w:r>
        <w:rPr>
          <w:spacing w:val="-5"/>
        </w:rPr>
        <w:t> </w:t>
      </w:r>
      <w:r>
        <w:rPr/>
        <w:t>misma</w:t>
      </w:r>
      <w:r>
        <w:rPr>
          <w:spacing w:val="-7"/>
        </w:rPr>
        <w:t> </w:t>
      </w:r>
      <w:r>
        <w:rPr/>
        <w:t>variable</w:t>
      </w:r>
      <w:r>
        <w:rPr>
          <w:spacing w:val="-4"/>
        </w:rPr>
        <w:t> </w:t>
      </w:r>
      <w:r>
        <w:rPr/>
        <w:t>(Loría,</w:t>
      </w:r>
      <w:r>
        <w:rPr>
          <w:spacing w:val="-5"/>
        </w:rPr>
        <w:t> </w:t>
      </w:r>
      <w:r>
        <w:rPr/>
        <w:t>2007).</w:t>
      </w:r>
      <w:r>
        <w:rPr>
          <w:spacing w:val="-2"/>
        </w:rPr>
        <w:t> </w:t>
      </w:r>
      <w:r>
        <w:rPr/>
        <w:t>La</w:t>
      </w:r>
      <w:r>
        <w:rPr>
          <w:spacing w:val="-6"/>
        </w:rPr>
        <w:t> </w:t>
      </w:r>
      <w:r>
        <w:rPr/>
        <w:t>hipótesis</w:t>
      </w:r>
      <w:r>
        <w:rPr>
          <w:spacing w:val="-4"/>
        </w:rPr>
        <w:t> </w:t>
      </w:r>
      <w:r>
        <w:rPr/>
        <w:t>nula</w:t>
      </w:r>
      <w:r>
        <w:rPr>
          <w:spacing w:val="-5"/>
        </w:rPr>
        <w:t> </w:t>
      </w:r>
      <w:r>
        <w:rPr/>
        <w:t>propone</w:t>
      </w:r>
      <w:r>
        <w:rPr>
          <w:spacing w:val="-8"/>
        </w:rPr>
        <w:t> </w:t>
      </w:r>
      <w:r>
        <w:rPr/>
        <w:t>que</w:t>
      </w:r>
      <w:r>
        <w:rPr>
          <w:spacing w:val="-6"/>
        </w:rPr>
        <w:t> </w:t>
      </w:r>
      <w:r>
        <w:rPr/>
        <w:t>cada</w:t>
      </w:r>
      <w:r>
        <w:rPr>
          <w:spacing w:val="-5"/>
        </w:rPr>
        <w:t> </w:t>
      </w:r>
      <w:r>
        <w:rPr/>
        <w:t>variable en conjunto no aporta información para explicar a</w:t>
      </w:r>
      <w:r>
        <w:rPr>
          <w:spacing w:val="-12"/>
        </w:rPr>
        <w:t> </w:t>
      </w:r>
      <w:r>
        <w:rPr/>
        <w:t>lyman.</w:t>
      </w:r>
    </w:p>
    <w:p>
      <w:pPr>
        <w:pStyle w:val="BodyText"/>
        <w:spacing w:before="2"/>
        <w:rPr>
          <w:sz w:val="21"/>
        </w:rPr>
      </w:pPr>
    </w:p>
    <w:p>
      <w:pPr>
        <w:pStyle w:val="BodyText"/>
        <w:spacing w:line="360" w:lineRule="auto"/>
        <w:ind w:left="102" w:right="119"/>
        <w:jc w:val="both"/>
      </w:pPr>
      <w:r>
        <w:rPr/>
        <w:t>Los resultados de la prueba de Wald permiten rechazar a la hipótesis nula, lo que indica que cada variable con sus respectivos rezagos contienen información relevante para explicar al producto manufacturero de México (véase cuadro 5.4).</w:t>
      </w:r>
    </w:p>
    <w:p>
      <w:pPr>
        <w:pStyle w:val="BodyText"/>
        <w:spacing w:before="10"/>
        <w:rPr>
          <w:sz w:val="21"/>
        </w:rPr>
      </w:pPr>
    </w:p>
    <w:p>
      <w:pPr>
        <w:pStyle w:val="Heading1"/>
        <w:ind w:right="399"/>
        <w:jc w:val="center"/>
      </w:pPr>
      <w:r>
        <w:rPr/>
        <w:t>Cuadro 5.4. Prueba de Wald</w:t>
      </w:r>
    </w:p>
    <w:p>
      <w:pPr>
        <w:pStyle w:val="BodyText"/>
        <w:spacing w:before="11"/>
        <w:rPr>
          <w:b/>
          <w:sz w:val="11"/>
        </w:rPr>
      </w:pPr>
    </w:p>
    <w:tbl>
      <w:tblPr>
        <w:tblW w:w="0" w:type="auto"/>
        <w:jc w:val="left"/>
        <w:tblInd w:w="2521"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1483"/>
        <w:gridCol w:w="2502"/>
      </w:tblGrid>
      <w:tr>
        <w:trPr>
          <w:trHeight w:val="360" w:hRule="exact"/>
        </w:trPr>
        <w:tc>
          <w:tcPr>
            <w:tcW w:w="1483" w:type="dxa"/>
            <w:tcBorders>
              <w:left w:val="nil"/>
              <w:right w:val="nil"/>
            </w:tcBorders>
          </w:tcPr>
          <w:p>
            <w:pPr/>
          </w:p>
        </w:tc>
        <w:tc>
          <w:tcPr>
            <w:tcW w:w="2502" w:type="dxa"/>
            <w:tcBorders>
              <w:left w:val="nil"/>
              <w:right w:val="nil"/>
            </w:tcBorders>
          </w:tcPr>
          <w:p>
            <w:pPr>
              <w:pStyle w:val="TableParagraph"/>
              <w:spacing w:before="51"/>
              <w:ind w:left="547"/>
              <w:jc w:val="left"/>
              <w:rPr>
                <w:b/>
                <w:sz w:val="20"/>
              </w:rPr>
            </w:pPr>
            <w:r>
              <w:rPr>
                <w:b/>
                <w:sz w:val="20"/>
              </w:rPr>
              <w:t>F estadístico</w:t>
            </w:r>
          </w:p>
        </w:tc>
      </w:tr>
      <w:tr>
        <w:trPr>
          <w:trHeight w:val="448" w:hRule="exact"/>
        </w:trPr>
        <w:tc>
          <w:tcPr>
            <w:tcW w:w="1483" w:type="dxa"/>
            <w:tcBorders>
              <w:left w:val="nil"/>
              <w:bottom w:val="nil"/>
              <w:right w:val="nil"/>
            </w:tcBorders>
          </w:tcPr>
          <w:p>
            <w:pPr>
              <w:pStyle w:val="TableParagraph"/>
              <w:spacing w:before="99"/>
              <w:ind w:left="83"/>
              <w:jc w:val="left"/>
              <w:rPr>
                <w:b/>
                <w:sz w:val="20"/>
              </w:rPr>
            </w:pPr>
            <w:r>
              <w:rPr>
                <w:b/>
                <w:sz w:val="20"/>
              </w:rPr>
              <w:t>lyman</w:t>
            </w:r>
          </w:p>
        </w:tc>
        <w:tc>
          <w:tcPr>
            <w:tcW w:w="2502" w:type="dxa"/>
            <w:tcBorders>
              <w:left w:val="nil"/>
              <w:bottom w:val="nil"/>
              <w:right w:val="nil"/>
            </w:tcBorders>
          </w:tcPr>
          <w:p>
            <w:pPr>
              <w:pStyle w:val="TableParagraph"/>
              <w:spacing w:before="94"/>
              <w:ind w:left="511"/>
              <w:jc w:val="left"/>
              <w:rPr>
                <w:sz w:val="20"/>
              </w:rPr>
            </w:pPr>
            <w:r>
              <w:rPr>
                <w:sz w:val="20"/>
              </w:rPr>
              <w:t>14.573(0.000)</w:t>
            </w:r>
          </w:p>
        </w:tc>
      </w:tr>
      <w:tr>
        <w:trPr>
          <w:trHeight w:val="425" w:hRule="exact"/>
        </w:trPr>
        <w:tc>
          <w:tcPr>
            <w:tcW w:w="1483" w:type="dxa"/>
            <w:tcBorders>
              <w:top w:val="nil"/>
              <w:left w:val="nil"/>
              <w:bottom w:val="nil"/>
              <w:right w:val="nil"/>
            </w:tcBorders>
          </w:tcPr>
          <w:p>
            <w:pPr>
              <w:pStyle w:val="TableParagraph"/>
              <w:spacing w:before="87"/>
              <w:ind w:left="83"/>
              <w:jc w:val="left"/>
              <w:rPr>
                <w:b/>
                <w:sz w:val="20"/>
              </w:rPr>
            </w:pPr>
            <w:r>
              <w:rPr>
                <w:b/>
                <w:sz w:val="20"/>
              </w:rPr>
              <w:t>lyauto</w:t>
            </w:r>
          </w:p>
        </w:tc>
        <w:tc>
          <w:tcPr>
            <w:tcW w:w="2502" w:type="dxa"/>
            <w:tcBorders>
              <w:top w:val="nil"/>
              <w:left w:val="nil"/>
              <w:bottom w:val="nil"/>
              <w:right w:val="nil"/>
            </w:tcBorders>
          </w:tcPr>
          <w:p>
            <w:pPr>
              <w:pStyle w:val="TableParagraph"/>
              <w:spacing w:before="82"/>
              <w:ind w:left="559"/>
              <w:jc w:val="left"/>
              <w:rPr>
                <w:sz w:val="20"/>
              </w:rPr>
            </w:pPr>
            <w:r>
              <w:rPr>
                <w:sz w:val="20"/>
              </w:rPr>
              <w:t>1.298(0.018)</w:t>
            </w:r>
          </w:p>
        </w:tc>
      </w:tr>
      <w:tr>
        <w:trPr>
          <w:trHeight w:val="431" w:hRule="exact"/>
        </w:trPr>
        <w:tc>
          <w:tcPr>
            <w:tcW w:w="1483" w:type="dxa"/>
            <w:tcBorders>
              <w:top w:val="nil"/>
              <w:left w:val="nil"/>
              <w:bottom w:val="nil"/>
              <w:right w:val="nil"/>
            </w:tcBorders>
          </w:tcPr>
          <w:p>
            <w:pPr>
              <w:pStyle w:val="TableParagraph"/>
              <w:spacing w:before="90"/>
              <w:ind w:left="83"/>
              <w:jc w:val="left"/>
              <w:rPr>
                <w:b/>
                <w:sz w:val="20"/>
              </w:rPr>
            </w:pPr>
            <w:r>
              <w:rPr>
                <w:b/>
                <w:sz w:val="20"/>
              </w:rPr>
              <w:t>lqreal</w:t>
            </w:r>
          </w:p>
        </w:tc>
        <w:tc>
          <w:tcPr>
            <w:tcW w:w="2502" w:type="dxa"/>
            <w:tcBorders>
              <w:top w:val="nil"/>
              <w:left w:val="nil"/>
              <w:bottom w:val="nil"/>
              <w:right w:val="nil"/>
            </w:tcBorders>
          </w:tcPr>
          <w:p>
            <w:pPr>
              <w:pStyle w:val="TableParagraph"/>
              <w:spacing w:before="85"/>
              <w:ind w:left="511"/>
              <w:jc w:val="left"/>
              <w:rPr>
                <w:sz w:val="20"/>
              </w:rPr>
            </w:pPr>
            <w:r>
              <w:rPr>
                <w:sz w:val="20"/>
              </w:rPr>
              <w:t>10.938(0.000)</w:t>
            </w:r>
          </w:p>
        </w:tc>
      </w:tr>
      <w:tr>
        <w:trPr>
          <w:trHeight w:val="430" w:hRule="exact"/>
        </w:trPr>
        <w:tc>
          <w:tcPr>
            <w:tcW w:w="1483" w:type="dxa"/>
            <w:tcBorders>
              <w:top w:val="nil"/>
              <w:left w:val="nil"/>
              <w:bottom w:val="nil"/>
              <w:right w:val="nil"/>
            </w:tcBorders>
          </w:tcPr>
          <w:p>
            <w:pPr>
              <w:pStyle w:val="TableParagraph"/>
              <w:spacing w:before="93"/>
              <w:ind w:left="83"/>
              <w:jc w:val="left"/>
              <w:rPr>
                <w:b/>
                <w:sz w:val="20"/>
              </w:rPr>
            </w:pPr>
            <w:r>
              <w:rPr>
                <w:b/>
                <w:sz w:val="20"/>
              </w:rPr>
              <w:t>lyindusteu</w:t>
            </w:r>
          </w:p>
        </w:tc>
        <w:tc>
          <w:tcPr>
            <w:tcW w:w="2502" w:type="dxa"/>
            <w:tcBorders>
              <w:top w:val="nil"/>
              <w:left w:val="nil"/>
              <w:bottom w:val="nil"/>
              <w:right w:val="nil"/>
            </w:tcBorders>
          </w:tcPr>
          <w:p>
            <w:pPr>
              <w:pStyle w:val="TableParagraph"/>
              <w:spacing w:before="88"/>
              <w:ind w:left="559"/>
              <w:jc w:val="left"/>
              <w:rPr>
                <w:sz w:val="20"/>
              </w:rPr>
            </w:pPr>
            <w:r>
              <w:rPr>
                <w:sz w:val="20"/>
              </w:rPr>
              <w:t>7.752(0.000)</w:t>
            </w:r>
          </w:p>
        </w:tc>
      </w:tr>
      <w:tr>
        <w:trPr>
          <w:trHeight w:val="437" w:hRule="exact"/>
        </w:trPr>
        <w:tc>
          <w:tcPr>
            <w:tcW w:w="1483" w:type="dxa"/>
            <w:tcBorders>
              <w:top w:val="nil"/>
              <w:left w:val="nil"/>
              <w:right w:val="nil"/>
            </w:tcBorders>
          </w:tcPr>
          <w:p>
            <w:pPr>
              <w:pStyle w:val="TableParagraph"/>
              <w:spacing w:before="89"/>
              <w:ind w:left="83"/>
              <w:jc w:val="left"/>
              <w:rPr>
                <w:b/>
                <w:sz w:val="20"/>
              </w:rPr>
            </w:pPr>
            <w:r>
              <w:rPr>
                <w:b/>
                <w:sz w:val="20"/>
              </w:rPr>
              <w:t>lpmt</w:t>
            </w:r>
          </w:p>
        </w:tc>
        <w:tc>
          <w:tcPr>
            <w:tcW w:w="2502" w:type="dxa"/>
            <w:tcBorders>
              <w:top w:val="nil"/>
              <w:left w:val="nil"/>
              <w:right w:val="nil"/>
            </w:tcBorders>
          </w:tcPr>
          <w:p>
            <w:pPr>
              <w:pStyle w:val="TableParagraph"/>
              <w:spacing w:before="84"/>
              <w:ind w:left="559"/>
              <w:jc w:val="left"/>
              <w:rPr>
                <w:sz w:val="20"/>
              </w:rPr>
            </w:pPr>
            <w:r>
              <w:rPr>
                <w:sz w:val="20"/>
              </w:rPr>
              <w:t>2.603(0.044)</w:t>
            </w:r>
          </w:p>
        </w:tc>
      </w:tr>
    </w:tbl>
    <w:p>
      <w:pPr>
        <w:spacing w:line="202" w:lineRule="exact" w:before="0"/>
        <w:ind w:left="2625" w:right="119" w:firstLine="0"/>
        <w:jc w:val="left"/>
        <w:rPr>
          <w:sz w:val="18"/>
        </w:rPr>
      </w:pPr>
      <w:r>
        <w:rPr>
          <w:sz w:val="18"/>
        </w:rPr>
        <w:t>Fuente: Elaboración propia</w:t>
      </w:r>
    </w:p>
    <w:p>
      <w:pPr>
        <w:pStyle w:val="BodyText"/>
        <w:rPr>
          <w:sz w:val="18"/>
        </w:rPr>
      </w:pPr>
    </w:p>
    <w:p>
      <w:pPr>
        <w:pStyle w:val="BodyText"/>
        <w:spacing w:line="360" w:lineRule="auto" w:before="135"/>
        <w:ind w:left="102" w:right="115" w:firstLine="45"/>
        <w:jc w:val="both"/>
      </w:pPr>
      <w:r>
        <w:rPr/>
        <w:t>Posteriormente</w:t>
      </w:r>
      <w:r>
        <w:rPr>
          <w:spacing w:val="-10"/>
        </w:rPr>
        <w:t> </w:t>
      </w:r>
      <w:r>
        <w:rPr/>
        <w:t>se</w:t>
      </w:r>
      <w:r>
        <w:rPr>
          <w:spacing w:val="-10"/>
        </w:rPr>
        <w:t> </w:t>
      </w:r>
      <w:r>
        <w:rPr/>
        <w:t>evaluó</w:t>
      </w:r>
      <w:r>
        <w:rPr>
          <w:spacing w:val="-8"/>
        </w:rPr>
        <w:t> </w:t>
      </w:r>
      <w:r>
        <w:rPr/>
        <w:t>la</w:t>
      </w:r>
      <w:r>
        <w:rPr>
          <w:spacing w:val="-10"/>
        </w:rPr>
        <w:t> </w:t>
      </w:r>
      <w:r>
        <w:rPr/>
        <w:t>estabilidad</w:t>
      </w:r>
      <w:r>
        <w:rPr>
          <w:spacing w:val="-10"/>
        </w:rPr>
        <w:t> </w:t>
      </w:r>
      <w:r>
        <w:rPr/>
        <w:t>del</w:t>
      </w:r>
      <w:r>
        <w:rPr>
          <w:spacing w:val="-9"/>
        </w:rPr>
        <w:t> </w:t>
      </w:r>
      <w:r>
        <w:rPr/>
        <w:t>VAR</w:t>
      </w:r>
      <w:r>
        <w:rPr>
          <w:spacing w:val="-11"/>
        </w:rPr>
        <w:t> </w:t>
      </w:r>
      <w:r>
        <w:rPr/>
        <w:t>a</w:t>
      </w:r>
      <w:r>
        <w:rPr>
          <w:spacing w:val="-13"/>
        </w:rPr>
        <w:t> </w:t>
      </w:r>
      <w:r>
        <w:rPr/>
        <w:t>través</w:t>
      </w:r>
      <w:r>
        <w:rPr>
          <w:spacing w:val="-9"/>
        </w:rPr>
        <w:t> </w:t>
      </w:r>
      <w:r>
        <w:rPr/>
        <w:t>de</w:t>
      </w:r>
      <w:r>
        <w:rPr>
          <w:spacing w:val="-11"/>
        </w:rPr>
        <w:t> </w:t>
      </w:r>
      <w:r>
        <w:rPr/>
        <w:t>sus</w:t>
      </w:r>
      <w:r>
        <w:rPr>
          <w:spacing w:val="-9"/>
        </w:rPr>
        <w:t> </w:t>
      </w:r>
      <w:r>
        <w:rPr/>
        <w:t>raíces</w:t>
      </w:r>
      <w:r>
        <w:rPr>
          <w:spacing w:val="-9"/>
        </w:rPr>
        <w:t> </w:t>
      </w:r>
      <w:r>
        <w:rPr/>
        <w:t>características,</w:t>
      </w:r>
      <w:r>
        <w:rPr>
          <w:spacing w:val="-7"/>
        </w:rPr>
        <w:t> </w:t>
      </w:r>
      <w:r>
        <w:rPr>
          <w:spacing w:val="-3"/>
        </w:rPr>
        <w:t>ya</w:t>
      </w:r>
      <w:r>
        <w:rPr>
          <w:spacing w:val="-11"/>
        </w:rPr>
        <w:t> </w:t>
      </w:r>
      <w:r>
        <w:rPr/>
        <w:t>que parte</w:t>
      </w:r>
      <w:r>
        <w:rPr>
          <w:spacing w:val="-7"/>
        </w:rPr>
        <w:t> </w:t>
      </w:r>
      <w:r>
        <w:rPr/>
        <w:t>importante</w:t>
      </w:r>
      <w:r>
        <w:rPr>
          <w:spacing w:val="-5"/>
        </w:rPr>
        <w:t> </w:t>
      </w:r>
      <w:r>
        <w:rPr/>
        <w:t>de</w:t>
      </w:r>
      <w:r>
        <w:rPr>
          <w:spacing w:val="-7"/>
        </w:rPr>
        <w:t> </w:t>
      </w:r>
      <w:r>
        <w:rPr/>
        <w:t>la</w:t>
      </w:r>
      <w:r>
        <w:rPr>
          <w:spacing w:val="-5"/>
        </w:rPr>
        <w:t> </w:t>
      </w:r>
      <w:r>
        <w:rPr/>
        <w:t>especificación</w:t>
      </w:r>
      <w:r>
        <w:rPr>
          <w:spacing w:val="-6"/>
        </w:rPr>
        <w:t> </w:t>
      </w:r>
      <w:r>
        <w:rPr/>
        <w:t>de</w:t>
      </w:r>
      <w:r>
        <w:rPr>
          <w:spacing w:val="-5"/>
        </w:rPr>
        <w:t> </w:t>
      </w:r>
      <w:r>
        <w:rPr/>
        <w:t>un</w:t>
      </w:r>
      <w:r>
        <w:rPr>
          <w:spacing w:val="-6"/>
        </w:rPr>
        <w:t> </w:t>
      </w:r>
      <w:r>
        <w:rPr/>
        <w:t>modelo</w:t>
      </w:r>
      <w:r>
        <w:rPr>
          <w:spacing w:val="-6"/>
        </w:rPr>
        <w:t> </w:t>
      </w:r>
      <w:r>
        <w:rPr/>
        <w:t>es</w:t>
      </w:r>
      <w:r>
        <w:rPr>
          <w:spacing w:val="-6"/>
        </w:rPr>
        <w:t> </w:t>
      </w:r>
      <w:r>
        <w:rPr/>
        <w:t>que</w:t>
      </w:r>
      <w:r>
        <w:rPr>
          <w:spacing w:val="-7"/>
        </w:rPr>
        <w:t> </w:t>
      </w:r>
      <w:r>
        <w:rPr/>
        <w:t>sea</w:t>
      </w:r>
      <w:r>
        <w:rPr>
          <w:spacing w:val="-7"/>
        </w:rPr>
        <w:t> </w:t>
      </w:r>
      <w:r>
        <w:rPr/>
        <w:t>dinámicamente</w:t>
      </w:r>
      <w:r>
        <w:rPr>
          <w:spacing w:val="-7"/>
        </w:rPr>
        <w:t> </w:t>
      </w:r>
      <w:r>
        <w:rPr/>
        <w:t>estable,</w:t>
      </w:r>
      <w:r>
        <w:rPr>
          <w:spacing w:val="-6"/>
        </w:rPr>
        <w:t> </w:t>
      </w:r>
      <w:r>
        <w:rPr/>
        <w:t>lo</w:t>
      </w:r>
      <w:r>
        <w:rPr>
          <w:spacing w:val="-6"/>
        </w:rPr>
        <w:t> </w:t>
      </w:r>
      <w:r>
        <w:rPr/>
        <w:t>que significa</w:t>
      </w:r>
      <w:r>
        <w:rPr>
          <w:spacing w:val="-10"/>
        </w:rPr>
        <w:t> </w:t>
      </w:r>
      <w:r>
        <w:rPr/>
        <w:t>que</w:t>
      </w:r>
      <w:r>
        <w:rPr>
          <w:spacing w:val="-7"/>
        </w:rPr>
        <w:t> </w:t>
      </w:r>
      <w:r>
        <w:rPr/>
        <w:t>ante</w:t>
      </w:r>
      <w:r>
        <w:rPr>
          <w:spacing w:val="-7"/>
        </w:rPr>
        <w:t> </w:t>
      </w:r>
      <w:r>
        <w:rPr/>
        <w:t>una</w:t>
      </w:r>
      <w:r>
        <w:rPr>
          <w:spacing w:val="-6"/>
        </w:rPr>
        <w:t> </w:t>
      </w:r>
      <w:r>
        <w:rPr/>
        <w:t>perturbación</w:t>
      </w:r>
      <w:r>
        <w:rPr>
          <w:spacing w:val="-8"/>
        </w:rPr>
        <w:t> </w:t>
      </w:r>
      <w:r>
        <w:rPr/>
        <w:t>o</w:t>
      </w:r>
      <w:r>
        <w:rPr>
          <w:spacing w:val="-7"/>
        </w:rPr>
        <w:t> </w:t>
      </w:r>
      <w:r>
        <w:rPr/>
        <w:t>choque</w:t>
      </w:r>
      <w:r>
        <w:rPr>
          <w:spacing w:val="-7"/>
        </w:rPr>
        <w:t> </w:t>
      </w:r>
      <w:r>
        <w:rPr/>
        <w:t>aleatorio,</w:t>
      </w:r>
      <w:r>
        <w:rPr>
          <w:spacing w:val="-9"/>
        </w:rPr>
        <w:t> </w:t>
      </w:r>
      <w:r>
        <w:rPr/>
        <w:t>las</w:t>
      </w:r>
      <w:r>
        <w:rPr>
          <w:spacing w:val="-9"/>
        </w:rPr>
        <w:t> </w:t>
      </w:r>
      <w:r>
        <w:rPr/>
        <w:t>variables</w:t>
      </w:r>
      <w:r>
        <w:rPr>
          <w:spacing w:val="-7"/>
        </w:rPr>
        <w:t> </w:t>
      </w:r>
      <w:r>
        <w:rPr/>
        <w:t>regresen</w:t>
      </w:r>
      <w:r>
        <w:rPr>
          <w:spacing w:val="-7"/>
        </w:rPr>
        <w:t> </w:t>
      </w:r>
      <w:r>
        <w:rPr/>
        <w:t>a</w:t>
      </w:r>
      <w:r>
        <w:rPr>
          <w:spacing w:val="-10"/>
        </w:rPr>
        <w:t> </w:t>
      </w:r>
      <w:r>
        <w:rPr/>
        <w:t>su</w:t>
      </w:r>
      <w:r>
        <w:rPr>
          <w:spacing w:val="-7"/>
        </w:rPr>
        <w:t> </w:t>
      </w:r>
      <w:r>
        <w:rPr/>
        <w:t>trayectoria de</w:t>
      </w:r>
      <w:r>
        <w:rPr>
          <w:spacing w:val="-10"/>
        </w:rPr>
        <w:t> </w:t>
      </w:r>
      <w:r>
        <w:rPr/>
        <w:t>equilibrio</w:t>
      </w:r>
      <w:r>
        <w:rPr>
          <w:spacing w:val="-9"/>
        </w:rPr>
        <w:t> </w:t>
      </w:r>
      <w:r>
        <w:rPr/>
        <w:t>de</w:t>
      </w:r>
      <w:r>
        <w:rPr>
          <w:spacing w:val="-10"/>
        </w:rPr>
        <w:t> </w:t>
      </w:r>
      <w:r>
        <w:rPr/>
        <w:t>largo</w:t>
      </w:r>
      <w:r>
        <w:rPr>
          <w:spacing w:val="-9"/>
        </w:rPr>
        <w:t> </w:t>
      </w:r>
      <w:r>
        <w:rPr/>
        <w:t>plazo,</w:t>
      </w:r>
      <w:r>
        <w:rPr>
          <w:spacing w:val="-9"/>
        </w:rPr>
        <w:t> </w:t>
      </w:r>
      <w:r>
        <w:rPr/>
        <w:t>de</w:t>
      </w:r>
      <w:r>
        <w:rPr>
          <w:spacing w:val="-10"/>
        </w:rPr>
        <w:t> </w:t>
      </w:r>
      <w:r>
        <w:rPr/>
        <w:t>lo</w:t>
      </w:r>
      <w:r>
        <w:rPr>
          <w:spacing w:val="-8"/>
        </w:rPr>
        <w:t> </w:t>
      </w:r>
      <w:r>
        <w:rPr/>
        <w:t>contrario</w:t>
      </w:r>
      <w:r>
        <w:rPr>
          <w:spacing w:val="-6"/>
        </w:rPr>
        <w:t> </w:t>
      </w:r>
      <w:r>
        <w:rPr/>
        <w:t>estaríamos</w:t>
      </w:r>
      <w:r>
        <w:rPr>
          <w:spacing w:val="-8"/>
        </w:rPr>
        <w:t> </w:t>
      </w:r>
      <w:r>
        <w:rPr/>
        <w:t>ante</w:t>
      </w:r>
      <w:r>
        <w:rPr>
          <w:spacing w:val="-9"/>
        </w:rPr>
        <w:t> </w:t>
      </w:r>
      <w:r>
        <w:rPr/>
        <w:t>un</w:t>
      </w:r>
      <w:r>
        <w:rPr>
          <w:spacing w:val="-9"/>
        </w:rPr>
        <w:t> </w:t>
      </w:r>
      <w:r>
        <w:rPr/>
        <w:t>modelo</w:t>
      </w:r>
      <w:r>
        <w:rPr>
          <w:spacing w:val="-6"/>
        </w:rPr>
        <w:t> </w:t>
      </w:r>
      <w:r>
        <w:rPr/>
        <w:t>explosivo,</w:t>
      </w:r>
      <w:r>
        <w:rPr>
          <w:spacing w:val="-8"/>
        </w:rPr>
        <w:t> </w:t>
      </w:r>
      <w:r>
        <w:rPr/>
        <w:t>sin</w:t>
      </w:r>
      <w:r>
        <w:rPr>
          <w:spacing w:val="-8"/>
        </w:rPr>
        <w:t> </w:t>
      </w:r>
      <w:r>
        <w:rPr/>
        <w:t>sentido económico (Loría, 2007); por tal motivo, la estabilidad del VAR es muy importante para </w:t>
      </w:r>
      <w:r>
        <w:rPr>
          <w:spacing w:val="3"/>
        </w:rPr>
        <w:t>el </w:t>
      </w:r>
      <w:r>
        <w:rPr/>
        <w:t>análisis de impulso</w:t>
      </w:r>
      <w:r>
        <w:rPr>
          <w:spacing w:val="-7"/>
        </w:rPr>
        <w:t> </w:t>
      </w:r>
      <w:r>
        <w:rPr/>
        <w:t>respuesta.</w:t>
      </w:r>
    </w:p>
    <w:p>
      <w:pPr>
        <w:spacing w:after="0" w:line="360" w:lineRule="auto"/>
        <w:jc w:val="both"/>
        <w:sectPr>
          <w:pgSz w:w="12240" w:h="15840"/>
          <w:pgMar w:header="0" w:footer="1035" w:top="1360" w:bottom="1220" w:left="1600" w:right="1580"/>
        </w:sectPr>
      </w:pPr>
    </w:p>
    <w:p>
      <w:pPr>
        <w:pStyle w:val="BodyText"/>
        <w:spacing w:line="338" w:lineRule="auto" w:before="49"/>
        <w:ind w:left="102" w:right="117"/>
        <w:jc w:val="both"/>
      </w:pPr>
      <w:r>
        <w:rPr/>
        <w:t>Para verificar la estabilidad del VAR, las raíces características </w:t>
      </w:r>
      <w:r>
        <w:rPr>
          <w:rFonts w:ascii="Cambria Math" w:hAnsi="Cambria Math" w:eastAsia="Cambria Math"/>
        </w:rPr>
        <w:t>𝜆</w:t>
      </w:r>
      <w:r>
        <w:rPr>
          <w:rFonts w:ascii="Cambria Math" w:hAnsi="Cambria Math" w:eastAsia="Cambria Math"/>
          <w:position w:val="-4"/>
          <w:sz w:val="17"/>
        </w:rPr>
        <w:t>�  </w:t>
      </w:r>
      <w:r>
        <w:rPr/>
        <w:t>del sistema deben   ser menores a uno en valor absoluto: </w:t>
      </w:r>
      <w:r>
        <w:rPr>
          <w:rFonts w:ascii="Cambria Math" w:hAnsi="Cambria Math" w:eastAsia="Cambria Math"/>
          <w:position w:val="1"/>
        </w:rPr>
        <w:t>|</w:t>
      </w:r>
      <w:r>
        <w:rPr>
          <w:rFonts w:ascii="Cambria Math" w:hAnsi="Cambria Math" w:eastAsia="Cambria Math"/>
        </w:rPr>
        <w:t>𝜆</w:t>
      </w:r>
      <w:r>
        <w:rPr>
          <w:rFonts w:ascii="Cambria Math" w:hAnsi="Cambria Math" w:eastAsia="Cambria Math"/>
          <w:position w:val="-4"/>
          <w:sz w:val="17"/>
        </w:rPr>
        <w:t>�</w:t>
      </w:r>
      <w:r>
        <w:rPr>
          <w:rFonts w:ascii="Cambria Math" w:hAnsi="Cambria Math" w:eastAsia="Cambria Math"/>
          <w:position w:val="1"/>
        </w:rPr>
        <w:t>| </w:t>
      </w:r>
      <w:r>
        <w:rPr>
          <w:rFonts w:ascii="Cambria Math" w:hAnsi="Cambria Math" w:eastAsia="Cambria Math"/>
        </w:rPr>
        <w:t>&lt; 1 </w:t>
      </w:r>
      <w:r>
        <w:rPr/>
        <w:t>(Loría, 2007). En este sentido en el cuadro 5.5, no se observa ninguna raíz mayor a la unidad, hay tantas raíces características como variables explicativas en cada vector.</w:t>
      </w:r>
    </w:p>
    <w:p>
      <w:pPr>
        <w:pStyle w:val="BodyText"/>
        <w:spacing w:before="8"/>
        <w:rPr>
          <w:sz w:val="23"/>
        </w:rPr>
      </w:pPr>
    </w:p>
    <w:p>
      <w:pPr>
        <w:pStyle w:val="Heading1"/>
        <w:ind w:left="2783" w:right="119"/>
      </w:pPr>
      <w:r>
        <w:rPr/>
        <w:t>Cuadro 5.5. Raíces características</w:t>
      </w:r>
    </w:p>
    <w:p>
      <w:pPr>
        <w:pStyle w:val="BodyText"/>
        <w:spacing w:before="2"/>
        <w:rPr>
          <w:b/>
          <w:sz w:val="12"/>
        </w:rPr>
      </w:pPr>
    </w:p>
    <w:tbl>
      <w:tblPr>
        <w:tblW w:w="0" w:type="auto"/>
        <w:jc w:val="left"/>
        <w:tblInd w:w="1321"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3381"/>
        <w:gridCol w:w="3002"/>
      </w:tblGrid>
      <w:tr>
        <w:trPr>
          <w:trHeight w:val="254" w:hRule="exact"/>
        </w:trPr>
        <w:tc>
          <w:tcPr>
            <w:tcW w:w="6383" w:type="dxa"/>
            <w:gridSpan w:val="2"/>
            <w:tcBorders>
              <w:left w:val="nil"/>
              <w:bottom w:val="nil"/>
              <w:right w:val="nil"/>
            </w:tcBorders>
          </w:tcPr>
          <w:p>
            <w:pPr>
              <w:pStyle w:val="TableParagraph"/>
              <w:spacing w:before="14"/>
              <w:ind w:left="14" w:right="-19"/>
              <w:jc w:val="left"/>
              <w:rPr>
                <w:sz w:val="18"/>
              </w:rPr>
            </w:pPr>
            <w:r>
              <w:rPr>
                <w:sz w:val="18"/>
              </w:rPr>
              <w:t>Variables endógenas: lyman lyauto lqreal lyindusteu lpmt</w:t>
            </w:r>
          </w:p>
        </w:tc>
      </w:tr>
      <w:tr>
        <w:trPr>
          <w:trHeight w:val="216" w:hRule="exact"/>
        </w:trPr>
        <w:tc>
          <w:tcPr>
            <w:tcW w:w="3381" w:type="dxa"/>
            <w:tcBorders>
              <w:top w:val="nil"/>
              <w:left w:val="nil"/>
              <w:bottom w:val="nil"/>
              <w:right w:val="nil"/>
            </w:tcBorders>
          </w:tcPr>
          <w:p>
            <w:pPr>
              <w:pStyle w:val="TableParagraph"/>
              <w:spacing w:line="205" w:lineRule="exact"/>
              <w:ind w:left="14"/>
              <w:jc w:val="left"/>
              <w:rPr>
                <w:sz w:val="18"/>
              </w:rPr>
            </w:pPr>
            <w:r>
              <w:rPr>
                <w:sz w:val="18"/>
              </w:rPr>
              <w:t>Variables exógenas: C</w:t>
            </w:r>
          </w:p>
        </w:tc>
        <w:tc>
          <w:tcPr>
            <w:tcW w:w="3002" w:type="dxa"/>
            <w:tcBorders>
              <w:top w:val="nil"/>
              <w:left w:val="nil"/>
              <w:bottom w:val="nil"/>
              <w:right w:val="nil"/>
            </w:tcBorders>
          </w:tcPr>
          <w:p>
            <w:pPr/>
          </w:p>
        </w:tc>
      </w:tr>
      <w:tr>
        <w:trPr>
          <w:trHeight w:val="306" w:hRule="exact"/>
        </w:trPr>
        <w:tc>
          <w:tcPr>
            <w:tcW w:w="3381" w:type="dxa"/>
            <w:tcBorders>
              <w:top w:val="nil"/>
              <w:left w:val="nil"/>
              <w:right w:val="nil"/>
            </w:tcBorders>
          </w:tcPr>
          <w:p>
            <w:pPr>
              <w:pStyle w:val="TableParagraph"/>
              <w:spacing w:line="198" w:lineRule="exact"/>
              <w:ind w:left="14"/>
              <w:jc w:val="left"/>
              <w:rPr>
                <w:sz w:val="18"/>
              </w:rPr>
            </w:pPr>
            <w:r>
              <w:rPr>
                <w:sz w:val="18"/>
              </w:rPr>
              <w:t>Rezagos: 1 4</w:t>
            </w:r>
          </w:p>
        </w:tc>
        <w:tc>
          <w:tcPr>
            <w:tcW w:w="3002" w:type="dxa"/>
            <w:tcBorders>
              <w:top w:val="nil"/>
              <w:left w:val="nil"/>
              <w:right w:val="nil"/>
            </w:tcBorders>
          </w:tcPr>
          <w:p>
            <w:pPr/>
          </w:p>
        </w:tc>
      </w:tr>
      <w:tr>
        <w:trPr>
          <w:trHeight w:val="343" w:hRule="exact"/>
        </w:trPr>
        <w:tc>
          <w:tcPr>
            <w:tcW w:w="3381" w:type="dxa"/>
            <w:tcBorders>
              <w:left w:val="nil"/>
              <w:right w:val="nil"/>
            </w:tcBorders>
          </w:tcPr>
          <w:p>
            <w:pPr>
              <w:pStyle w:val="TableParagraph"/>
              <w:spacing w:before="103"/>
              <w:ind w:left="691"/>
              <w:jc w:val="left"/>
              <w:rPr>
                <w:sz w:val="18"/>
              </w:rPr>
            </w:pPr>
            <w:r>
              <w:rPr>
                <w:sz w:val="18"/>
              </w:rPr>
              <w:t>Raíz</w:t>
            </w:r>
          </w:p>
        </w:tc>
        <w:tc>
          <w:tcPr>
            <w:tcW w:w="3002" w:type="dxa"/>
            <w:tcBorders>
              <w:left w:val="nil"/>
              <w:right w:val="nil"/>
            </w:tcBorders>
          </w:tcPr>
          <w:p>
            <w:pPr>
              <w:pStyle w:val="TableParagraph"/>
              <w:spacing w:before="103"/>
              <w:ind w:right="641"/>
              <w:jc w:val="right"/>
              <w:rPr>
                <w:sz w:val="18"/>
              </w:rPr>
            </w:pPr>
            <w:r>
              <w:rPr>
                <w:sz w:val="18"/>
              </w:rPr>
              <w:t>Modulus</w:t>
            </w:r>
          </w:p>
        </w:tc>
      </w:tr>
      <w:tr>
        <w:trPr>
          <w:trHeight w:val="359" w:hRule="exact"/>
        </w:trPr>
        <w:tc>
          <w:tcPr>
            <w:tcW w:w="3381" w:type="dxa"/>
            <w:tcBorders>
              <w:left w:val="nil"/>
              <w:bottom w:val="nil"/>
              <w:right w:val="nil"/>
            </w:tcBorders>
          </w:tcPr>
          <w:p>
            <w:pPr>
              <w:pStyle w:val="TableParagraph"/>
              <w:spacing w:before="120"/>
              <w:ind w:left="60"/>
              <w:jc w:val="left"/>
              <w:rPr>
                <w:sz w:val="18"/>
              </w:rPr>
            </w:pPr>
            <w:r>
              <w:rPr>
                <w:sz w:val="18"/>
              </w:rPr>
              <w:t>0.946489 - 0.073812i</w:t>
            </w:r>
          </w:p>
        </w:tc>
        <w:tc>
          <w:tcPr>
            <w:tcW w:w="3002" w:type="dxa"/>
            <w:tcBorders>
              <w:left w:val="nil"/>
              <w:bottom w:val="nil"/>
              <w:right w:val="nil"/>
            </w:tcBorders>
          </w:tcPr>
          <w:p>
            <w:pPr>
              <w:pStyle w:val="TableParagraph"/>
              <w:spacing w:before="120"/>
              <w:ind w:right="605"/>
              <w:jc w:val="right"/>
              <w:rPr>
                <w:sz w:val="18"/>
              </w:rPr>
            </w:pPr>
            <w:r>
              <w:rPr>
                <w:sz w:val="18"/>
              </w:rPr>
              <w:t>0.949363</w:t>
            </w:r>
          </w:p>
        </w:tc>
      </w:tr>
      <w:tr>
        <w:trPr>
          <w:trHeight w:val="224" w:hRule="exact"/>
        </w:trPr>
        <w:tc>
          <w:tcPr>
            <w:tcW w:w="3381" w:type="dxa"/>
            <w:tcBorders>
              <w:top w:val="nil"/>
              <w:left w:val="nil"/>
              <w:bottom w:val="nil"/>
              <w:right w:val="nil"/>
            </w:tcBorders>
          </w:tcPr>
          <w:p>
            <w:pPr>
              <w:pStyle w:val="TableParagraph"/>
              <w:spacing w:line="205" w:lineRule="exact"/>
              <w:ind w:left="60"/>
              <w:jc w:val="left"/>
              <w:rPr>
                <w:sz w:val="18"/>
              </w:rPr>
            </w:pPr>
            <w:r>
              <w:rPr>
                <w:sz w:val="18"/>
              </w:rPr>
              <w:t>0.946489 + 0.073812i</w:t>
            </w:r>
          </w:p>
        </w:tc>
        <w:tc>
          <w:tcPr>
            <w:tcW w:w="3002" w:type="dxa"/>
            <w:tcBorders>
              <w:top w:val="nil"/>
              <w:left w:val="nil"/>
              <w:bottom w:val="nil"/>
              <w:right w:val="nil"/>
            </w:tcBorders>
          </w:tcPr>
          <w:p>
            <w:pPr>
              <w:pStyle w:val="TableParagraph"/>
              <w:spacing w:line="205" w:lineRule="exact"/>
              <w:ind w:right="605"/>
              <w:jc w:val="right"/>
              <w:rPr>
                <w:sz w:val="18"/>
              </w:rPr>
            </w:pPr>
            <w:r>
              <w:rPr>
                <w:sz w:val="18"/>
              </w:rPr>
              <w:t>0.949363</w:t>
            </w:r>
          </w:p>
        </w:tc>
      </w:tr>
      <w:tr>
        <w:trPr>
          <w:trHeight w:val="226" w:hRule="exact"/>
        </w:trPr>
        <w:tc>
          <w:tcPr>
            <w:tcW w:w="3381" w:type="dxa"/>
            <w:tcBorders>
              <w:top w:val="nil"/>
              <w:left w:val="nil"/>
              <w:bottom w:val="nil"/>
              <w:right w:val="nil"/>
            </w:tcBorders>
          </w:tcPr>
          <w:p>
            <w:pPr>
              <w:pStyle w:val="TableParagraph"/>
              <w:spacing w:line="207" w:lineRule="exact"/>
              <w:ind w:left="60"/>
              <w:jc w:val="left"/>
              <w:rPr>
                <w:sz w:val="18"/>
              </w:rPr>
            </w:pPr>
            <w:r>
              <w:rPr>
                <w:sz w:val="18"/>
              </w:rPr>
              <w:t>0.941117</w:t>
            </w:r>
          </w:p>
        </w:tc>
        <w:tc>
          <w:tcPr>
            <w:tcW w:w="3002" w:type="dxa"/>
            <w:tcBorders>
              <w:top w:val="nil"/>
              <w:left w:val="nil"/>
              <w:bottom w:val="nil"/>
              <w:right w:val="nil"/>
            </w:tcBorders>
          </w:tcPr>
          <w:p>
            <w:pPr>
              <w:pStyle w:val="TableParagraph"/>
              <w:spacing w:line="207" w:lineRule="exact"/>
              <w:ind w:right="605"/>
              <w:jc w:val="right"/>
              <w:rPr>
                <w:sz w:val="18"/>
              </w:rPr>
            </w:pPr>
            <w:r>
              <w:rPr>
                <w:sz w:val="18"/>
              </w:rPr>
              <w:t>0.941117</w:t>
            </w:r>
          </w:p>
        </w:tc>
      </w:tr>
      <w:tr>
        <w:trPr>
          <w:trHeight w:val="226" w:hRule="exact"/>
        </w:trPr>
        <w:tc>
          <w:tcPr>
            <w:tcW w:w="3381" w:type="dxa"/>
            <w:tcBorders>
              <w:top w:val="nil"/>
              <w:left w:val="nil"/>
              <w:bottom w:val="nil"/>
              <w:right w:val="nil"/>
            </w:tcBorders>
          </w:tcPr>
          <w:p>
            <w:pPr>
              <w:pStyle w:val="TableParagraph"/>
              <w:spacing w:line="207" w:lineRule="exact"/>
              <w:ind w:left="60"/>
              <w:jc w:val="left"/>
              <w:rPr>
                <w:sz w:val="18"/>
              </w:rPr>
            </w:pPr>
            <w:r>
              <w:rPr>
                <w:sz w:val="18"/>
              </w:rPr>
              <w:t>0.869116 - 0.123987i</w:t>
            </w:r>
          </w:p>
        </w:tc>
        <w:tc>
          <w:tcPr>
            <w:tcW w:w="3002" w:type="dxa"/>
            <w:tcBorders>
              <w:top w:val="nil"/>
              <w:left w:val="nil"/>
              <w:bottom w:val="nil"/>
              <w:right w:val="nil"/>
            </w:tcBorders>
          </w:tcPr>
          <w:p>
            <w:pPr>
              <w:pStyle w:val="TableParagraph"/>
              <w:spacing w:line="207" w:lineRule="exact"/>
              <w:ind w:right="605"/>
              <w:jc w:val="right"/>
              <w:rPr>
                <w:sz w:val="18"/>
              </w:rPr>
            </w:pPr>
            <w:r>
              <w:rPr>
                <w:sz w:val="18"/>
              </w:rPr>
              <w:t>0.877915</w:t>
            </w:r>
          </w:p>
        </w:tc>
      </w:tr>
      <w:tr>
        <w:trPr>
          <w:trHeight w:val="224" w:hRule="exact"/>
        </w:trPr>
        <w:tc>
          <w:tcPr>
            <w:tcW w:w="3381" w:type="dxa"/>
            <w:tcBorders>
              <w:top w:val="nil"/>
              <w:left w:val="nil"/>
              <w:bottom w:val="nil"/>
              <w:right w:val="nil"/>
            </w:tcBorders>
          </w:tcPr>
          <w:p>
            <w:pPr>
              <w:pStyle w:val="TableParagraph"/>
              <w:spacing w:line="207" w:lineRule="exact"/>
              <w:ind w:left="60"/>
              <w:jc w:val="left"/>
              <w:rPr>
                <w:sz w:val="18"/>
              </w:rPr>
            </w:pPr>
            <w:r>
              <w:rPr>
                <w:sz w:val="18"/>
              </w:rPr>
              <w:t>0.869116 + 0.123987i</w:t>
            </w:r>
          </w:p>
        </w:tc>
        <w:tc>
          <w:tcPr>
            <w:tcW w:w="3002" w:type="dxa"/>
            <w:tcBorders>
              <w:top w:val="nil"/>
              <w:left w:val="nil"/>
              <w:bottom w:val="nil"/>
              <w:right w:val="nil"/>
            </w:tcBorders>
          </w:tcPr>
          <w:p>
            <w:pPr>
              <w:pStyle w:val="TableParagraph"/>
              <w:spacing w:line="207" w:lineRule="exact"/>
              <w:ind w:right="605"/>
              <w:jc w:val="right"/>
              <w:rPr>
                <w:sz w:val="18"/>
              </w:rPr>
            </w:pPr>
            <w:r>
              <w:rPr>
                <w:sz w:val="18"/>
              </w:rPr>
              <w:t>0.877915</w:t>
            </w:r>
          </w:p>
        </w:tc>
      </w:tr>
      <w:tr>
        <w:trPr>
          <w:trHeight w:val="224" w:hRule="exact"/>
        </w:trPr>
        <w:tc>
          <w:tcPr>
            <w:tcW w:w="3381" w:type="dxa"/>
            <w:tcBorders>
              <w:top w:val="nil"/>
              <w:left w:val="nil"/>
              <w:bottom w:val="nil"/>
              <w:right w:val="nil"/>
            </w:tcBorders>
          </w:tcPr>
          <w:p>
            <w:pPr>
              <w:pStyle w:val="TableParagraph"/>
              <w:spacing w:line="205" w:lineRule="exact"/>
              <w:ind w:left="14"/>
              <w:jc w:val="left"/>
              <w:rPr>
                <w:sz w:val="18"/>
              </w:rPr>
            </w:pPr>
            <w:r>
              <w:rPr>
                <w:sz w:val="18"/>
              </w:rPr>
              <w:t>-0.816182</w:t>
            </w:r>
          </w:p>
        </w:tc>
        <w:tc>
          <w:tcPr>
            <w:tcW w:w="3002" w:type="dxa"/>
            <w:tcBorders>
              <w:top w:val="nil"/>
              <w:left w:val="nil"/>
              <w:bottom w:val="nil"/>
              <w:right w:val="nil"/>
            </w:tcBorders>
          </w:tcPr>
          <w:p>
            <w:pPr>
              <w:pStyle w:val="TableParagraph"/>
              <w:spacing w:line="205" w:lineRule="exact"/>
              <w:ind w:right="605"/>
              <w:jc w:val="right"/>
              <w:rPr>
                <w:sz w:val="18"/>
              </w:rPr>
            </w:pPr>
            <w:r>
              <w:rPr>
                <w:sz w:val="18"/>
              </w:rPr>
              <w:t>0.816182</w:t>
            </w:r>
          </w:p>
        </w:tc>
      </w:tr>
      <w:tr>
        <w:trPr>
          <w:trHeight w:val="226" w:hRule="exact"/>
        </w:trPr>
        <w:tc>
          <w:tcPr>
            <w:tcW w:w="3381" w:type="dxa"/>
            <w:tcBorders>
              <w:top w:val="nil"/>
              <w:left w:val="nil"/>
              <w:bottom w:val="nil"/>
              <w:right w:val="nil"/>
            </w:tcBorders>
          </w:tcPr>
          <w:p>
            <w:pPr>
              <w:pStyle w:val="TableParagraph"/>
              <w:spacing w:line="207" w:lineRule="exact"/>
              <w:ind w:left="60"/>
              <w:jc w:val="left"/>
              <w:rPr>
                <w:sz w:val="18"/>
              </w:rPr>
            </w:pPr>
            <w:r>
              <w:rPr>
                <w:sz w:val="18"/>
              </w:rPr>
              <w:t>0.182623 + 0.784707i</w:t>
            </w:r>
          </w:p>
        </w:tc>
        <w:tc>
          <w:tcPr>
            <w:tcW w:w="3002" w:type="dxa"/>
            <w:tcBorders>
              <w:top w:val="nil"/>
              <w:left w:val="nil"/>
              <w:bottom w:val="nil"/>
              <w:right w:val="nil"/>
            </w:tcBorders>
          </w:tcPr>
          <w:p>
            <w:pPr>
              <w:pStyle w:val="TableParagraph"/>
              <w:spacing w:line="207" w:lineRule="exact"/>
              <w:ind w:right="605"/>
              <w:jc w:val="right"/>
              <w:rPr>
                <w:sz w:val="18"/>
              </w:rPr>
            </w:pPr>
            <w:r>
              <w:rPr>
                <w:sz w:val="18"/>
              </w:rPr>
              <w:t>0.805678</w:t>
            </w:r>
          </w:p>
        </w:tc>
      </w:tr>
      <w:tr>
        <w:trPr>
          <w:trHeight w:val="226" w:hRule="exact"/>
        </w:trPr>
        <w:tc>
          <w:tcPr>
            <w:tcW w:w="3381" w:type="dxa"/>
            <w:tcBorders>
              <w:top w:val="nil"/>
              <w:left w:val="nil"/>
              <w:bottom w:val="nil"/>
              <w:right w:val="nil"/>
            </w:tcBorders>
          </w:tcPr>
          <w:p>
            <w:pPr>
              <w:pStyle w:val="TableParagraph"/>
              <w:spacing w:line="207" w:lineRule="exact"/>
              <w:ind w:left="60"/>
              <w:jc w:val="left"/>
              <w:rPr>
                <w:sz w:val="18"/>
              </w:rPr>
            </w:pPr>
            <w:r>
              <w:rPr>
                <w:sz w:val="18"/>
              </w:rPr>
              <w:t>0.182623 - 0.784707i</w:t>
            </w:r>
          </w:p>
        </w:tc>
        <w:tc>
          <w:tcPr>
            <w:tcW w:w="3002" w:type="dxa"/>
            <w:tcBorders>
              <w:top w:val="nil"/>
              <w:left w:val="nil"/>
              <w:bottom w:val="nil"/>
              <w:right w:val="nil"/>
            </w:tcBorders>
          </w:tcPr>
          <w:p>
            <w:pPr>
              <w:pStyle w:val="TableParagraph"/>
              <w:spacing w:line="207" w:lineRule="exact"/>
              <w:ind w:right="605"/>
              <w:jc w:val="right"/>
              <w:rPr>
                <w:sz w:val="18"/>
              </w:rPr>
            </w:pPr>
            <w:r>
              <w:rPr>
                <w:sz w:val="18"/>
              </w:rPr>
              <w:t>0.805678</w:t>
            </w:r>
          </w:p>
        </w:tc>
      </w:tr>
      <w:tr>
        <w:trPr>
          <w:trHeight w:val="224" w:hRule="exact"/>
        </w:trPr>
        <w:tc>
          <w:tcPr>
            <w:tcW w:w="3381" w:type="dxa"/>
            <w:tcBorders>
              <w:top w:val="nil"/>
              <w:left w:val="nil"/>
              <w:bottom w:val="nil"/>
              <w:right w:val="nil"/>
            </w:tcBorders>
          </w:tcPr>
          <w:p>
            <w:pPr>
              <w:pStyle w:val="TableParagraph"/>
              <w:spacing w:line="207" w:lineRule="exact"/>
              <w:ind w:left="14"/>
              <w:jc w:val="left"/>
              <w:rPr>
                <w:sz w:val="18"/>
              </w:rPr>
            </w:pPr>
            <w:r>
              <w:rPr>
                <w:sz w:val="18"/>
              </w:rPr>
              <w:t>-0.420632 - 0.668265i</w:t>
            </w:r>
          </w:p>
        </w:tc>
        <w:tc>
          <w:tcPr>
            <w:tcW w:w="3002" w:type="dxa"/>
            <w:tcBorders>
              <w:top w:val="nil"/>
              <w:left w:val="nil"/>
              <w:bottom w:val="nil"/>
              <w:right w:val="nil"/>
            </w:tcBorders>
          </w:tcPr>
          <w:p>
            <w:pPr>
              <w:pStyle w:val="TableParagraph"/>
              <w:spacing w:line="207" w:lineRule="exact"/>
              <w:ind w:right="605"/>
              <w:jc w:val="right"/>
              <w:rPr>
                <w:sz w:val="18"/>
              </w:rPr>
            </w:pPr>
            <w:r>
              <w:rPr>
                <w:sz w:val="18"/>
              </w:rPr>
              <w:t>0.789627</w:t>
            </w:r>
          </w:p>
        </w:tc>
      </w:tr>
      <w:tr>
        <w:trPr>
          <w:trHeight w:val="225" w:hRule="exact"/>
        </w:trPr>
        <w:tc>
          <w:tcPr>
            <w:tcW w:w="3381" w:type="dxa"/>
            <w:tcBorders>
              <w:top w:val="nil"/>
              <w:left w:val="nil"/>
              <w:bottom w:val="nil"/>
              <w:right w:val="nil"/>
            </w:tcBorders>
          </w:tcPr>
          <w:p>
            <w:pPr>
              <w:pStyle w:val="TableParagraph"/>
              <w:spacing w:line="205" w:lineRule="exact"/>
              <w:ind w:left="14"/>
              <w:jc w:val="left"/>
              <w:rPr>
                <w:sz w:val="18"/>
              </w:rPr>
            </w:pPr>
            <w:r>
              <w:rPr>
                <w:sz w:val="18"/>
              </w:rPr>
              <w:t>-0.420632 + 0.668265i</w:t>
            </w:r>
          </w:p>
        </w:tc>
        <w:tc>
          <w:tcPr>
            <w:tcW w:w="3002" w:type="dxa"/>
            <w:tcBorders>
              <w:top w:val="nil"/>
              <w:left w:val="nil"/>
              <w:bottom w:val="nil"/>
              <w:right w:val="nil"/>
            </w:tcBorders>
          </w:tcPr>
          <w:p>
            <w:pPr>
              <w:pStyle w:val="TableParagraph"/>
              <w:spacing w:line="205" w:lineRule="exact"/>
              <w:ind w:right="605"/>
              <w:jc w:val="right"/>
              <w:rPr>
                <w:sz w:val="18"/>
              </w:rPr>
            </w:pPr>
            <w:r>
              <w:rPr>
                <w:sz w:val="18"/>
              </w:rPr>
              <w:t>0.789627</w:t>
            </w:r>
          </w:p>
        </w:tc>
      </w:tr>
      <w:tr>
        <w:trPr>
          <w:trHeight w:val="226" w:hRule="exact"/>
        </w:trPr>
        <w:tc>
          <w:tcPr>
            <w:tcW w:w="3381" w:type="dxa"/>
            <w:tcBorders>
              <w:top w:val="nil"/>
              <w:left w:val="nil"/>
              <w:bottom w:val="nil"/>
              <w:right w:val="nil"/>
            </w:tcBorders>
          </w:tcPr>
          <w:p>
            <w:pPr>
              <w:pStyle w:val="TableParagraph"/>
              <w:spacing w:line="207" w:lineRule="exact"/>
              <w:ind w:left="60"/>
              <w:jc w:val="left"/>
              <w:rPr>
                <w:sz w:val="18"/>
              </w:rPr>
            </w:pPr>
            <w:r>
              <w:rPr>
                <w:sz w:val="18"/>
              </w:rPr>
              <w:t>0.711000 + 0.337800i</w:t>
            </w:r>
          </w:p>
        </w:tc>
        <w:tc>
          <w:tcPr>
            <w:tcW w:w="3002" w:type="dxa"/>
            <w:tcBorders>
              <w:top w:val="nil"/>
              <w:left w:val="nil"/>
              <w:bottom w:val="nil"/>
              <w:right w:val="nil"/>
            </w:tcBorders>
          </w:tcPr>
          <w:p>
            <w:pPr>
              <w:pStyle w:val="TableParagraph"/>
              <w:spacing w:line="207" w:lineRule="exact"/>
              <w:ind w:right="605"/>
              <w:jc w:val="right"/>
              <w:rPr>
                <w:sz w:val="18"/>
              </w:rPr>
            </w:pPr>
            <w:r>
              <w:rPr>
                <w:sz w:val="18"/>
              </w:rPr>
              <w:t>0.787165</w:t>
            </w:r>
          </w:p>
        </w:tc>
      </w:tr>
      <w:tr>
        <w:trPr>
          <w:trHeight w:val="226" w:hRule="exact"/>
        </w:trPr>
        <w:tc>
          <w:tcPr>
            <w:tcW w:w="3381" w:type="dxa"/>
            <w:tcBorders>
              <w:top w:val="nil"/>
              <w:left w:val="nil"/>
              <w:bottom w:val="nil"/>
              <w:right w:val="nil"/>
            </w:tcBorders>
          </w:tcPr>
          <w:p>
            <w:pPr>
              <w:pStyle w:val="TableParagraph"/>
              <w:spacing w:line="207" w:lineRule="exact"/>
              <w:ind w:left="60"/>
              <w:jc w:val="left"/>
              <w:rPr>
                <w:sz w:val="18"/>
              </w:rPr>
            </w:pPr>
            <w:r>
              <w:rPr>
                <w:sz w:val="18"/>
              </w:rPr>
              <w:t>0.711000 - 0.337800i</w:t>
            </w:r>
          </w:p>
        </w:tc>
        <w:tc>
          <w:tcPr>
            <w:tcW w:w="3002" w:type="dxa"/>
            <w:tcBorders>
              <w:top w:val="nil"/>
              <w:left w:val="nil"/>
              <w:bottom w:val="nil"/>
              <w:right w:val="nil"/>
            </w:tcBorders>
          </w:tcPr>
          <w:p>
            <w:pPr>
              <w:pStyle w:val="TableParagraph"/>
              <w:spacing w:line="207" w:lineRule="exact"/>
              <w:ind w:right="605"/>
              <w:jc w:val="right"/>
              <w:rPr>
                <w:sz w:val="18"/>
              </w:rPr>
            </w:pPr>
            <w:r>
              <w:rPr>
                <w:sz w:val="18"/>
              </w:rPr>
              <w:t>0.787165</w:t>
            </w:r>
          </w:p>
        </w:tc>
      </w:tr>
      <w:tr>
        <w:trPr>
          <w:trHeight w:val="224" w:hRule="exact"/>
        </w:trPr>
        <w:tc>
          <w:tcPr>
            <w:tcW w:w="3381" w:type="dxa"/>
            <w:tcBorders>
              <w:top w:val="nil"/>
              <w:left w:val="nil"/>
              <w:bottom w:val="nil"/>
              <w:right w:val="nil"/>
            </w:tcBorders>
          </w:tcPr>
          <w:p>
            <w:pPr>
              <w:pStyle w:val="TableParagraph"/>
              <w:spacing w:line="207" w:lineRule="exact"/>
              <w:ind w:left="60"/>
              <w:jc w:val="left"/>
              <w:rPr>
                <w:sz w:val="18"/>
              </w:rPr>
            </w:pPr>
            <w:r>
              <w:rPr>
                <w:sz w:val="18"/>
              </w:rPr>
              <w:t>0.043542 - 0.735943i</w:t>
            </w:r>
          </w:p>
        </w:tc>
        <w:tc>
          <w:tcPr>
            <w:tcW w:w="3002" w:type="dxa"/>
            <w:tcBorders>
              <w:top w:val="nil"/>
              <w:left w:val="nil"/>
              <w:bottom w:val="nil"/>
              <w:right w:val="nil"/>
            </w:tcBorders>
          </w:tcPr>
          <w:p>
            <w:pPr>
              <w:pStyle w:val="TableParagraph"/>
              <w:spacing w:line="207" w:lineRule="exact"/>
              <w:ind w:right="605"/>
              <w:jc w:val="right"/>
              <w:rPr>
                <w:sz w:val="18"/>
              </w:rPr>
            </w:pPr>
            <w:r>
              <w:rPr>
                <w:sz w:val="18"/>
              </w:rPr>
              <w:t>0.737230</w:t>
            </w:r>
          </w:p>
        </w:tc>
      </w:tr>
      <w:tr>
        <w:trPr>
          <w:trHeight w:val="224" w:hRule="exact"/>
        </w:trPr>
        <w:tc>
          <w:tcPr>
            <w:tcW w:w="3381" w:type="dxa"/>
            <w:tcBorders>
              <w:top w:val="nil"/>
              <w:left w:val="nil"/>
              <w:bottom w:val="nil"/>
              <w:right w:val="nil"/>
            </w:tcBorders>
          </w:tcPr>
          <w:p>
            <w:pPr>
              <w:pStyle w:val="TableParagraph"/>
              <w:spacing w:line="205" w:lineRule="exact"/>
              <w:ind w:left="60"/>
              <w:jc w:val="left"/>
              <w:rPr>
                <w:sz w:val="18"/>
              </w:rPr>
            </w:pPr>
            <w:r>
              <w:rPr>
                <w:sz w:val="18"/>
              </w:rPr>
              <w:t>0.043542 + 0.735943i</w:t>
            </w:r>
          </w:p>
        </w:tc>
        <w:tc>
          <w:tcPr>
            <w:tcW w:w="3002" w:type="dxa"/>
            <w:tcBorders>
              <w:top w:val="nil"/>
              <w:left w:val="nil"/>
              <w:bottom w:val="nil"/>
              <w:right w:val="nil"/>
            </w:tcBorders>
          </w:tcPr>
          <w:p>
            <w:pPr>
              <w:pStyle w:val="TableParagraph"/>
              <w:spacing w:line="205" w:lineRule="exact"/>
              <w:ind w:right="605"/>
              <w:jc w:val="right"/>
              <w:rPr>
                <w:sz w:val="18"/>
              </w:rPr>
            </w:pPr>
            <w:r>
              <w:rPr>
                <w:sz w:val="18"/>
              </w:rPr>
              <w:t>0.737230</w:t>
            </w:r>
          </w:p>
        </w:tc>
      </w:tr>
      <w:tr>
        <w:trPr>
          <w:trHeight w:val="226" w:hRule="exact"/>
        </w:trPr>
        <w:tc>
          <w:tcPr>
            <w:tcW w:w="3381" w:type="dxa"/>
            <w:tcBorders>
              <w:top w:val="nil"/>
              <w:left w:val="nil"/>
              <w:bottom w:val="nil"/>
              <w:right w:val="nil"/>
            </w:tcBorders>
          </w:tcPr>
          <w:p>
            <w:pPr>
              <w:pStyle w:val="TableParagraph"/>
              <w:spacing w:line="207" w:lineRule="exact"/>
              <w:ind w:left="14"/>
              <w:jc w:val="left"/>
              <w:rPr>
                <w:sz w:val="18"/>
              </w:rPr>
            </w:pPr>
            <w:r>
              <w:rPr>
                <w:sz w:val="18"/>
              </w:rPr>
              <w:t>-0.672027</w:t>
            </w:r>
          </w:p>
        </w:tc>
        <w:tc>
          <w:tcPr>
            <w:tcW w:w="3002" w:type="dxa"/>
            <w:tcBorders>
              <w:top w:val="nil"/>
              <w:left w:val="nil"/>
              <w:bottom w:val="nil"/>
              <w:right w:val="nil"/>
            </w:tcBorders>
          </w:tcPr>
          <w:p>
            <w:pPr>
              <w:pStyle w:val="TableParagraph"/>
              <w:spacing w:line="207" w:lineRule="exact"/>
              <w:ind w:right="605"/>
              <w:jc w:val="right"/>
              <w:rPr>
                <w:sz w:val="18"/>
              </w:rPr>
            </w:pPr>
            <w:r>
              <w:rPr>
                <w:sz w:val="18"/>
              </w:rPr>
              <w:t>0.672027</w:t>
            </w:r>
          </w:p>
        </w:tc>
      </w:tr>
      <w:tr>
        <w:trPr>
          <w:trHeight w:val="226" w:hRule="exact"/>
        </w:trPr>
        <w:tc>
          <w:tcPr>
            <w:tcW w:w="3381" w:type="dxa"/>
            <w:tcBorders>
              <w:top w:val="nil"/>
              <w:left w:val="nil"/>
              <w:bottom w:val="nil"/>
              <w:right w:val="nil"/>
            </w:tcBorders>
          </w:tcPr>
          <w:p>
            <w:pPr>
              <w:pStyle w:val="TableParagraph"/>
              <w:spacing w:line="207" w:lineRule="exact"/>
              <w:ind w:left="60"/>
              <w:jc w:val="left"/>
              <w:rPr>
                <w:sz w:val="18"/>
              </w:rPr>
            </w:pPr>
            <w:r>
              <w:rPr>
                <w:sz w:val="18"/>
              </w:rPr>
              <w:t>0.356724 - 0.532326i</w:t>
            </w:r>
          </w:p>
        </w:tc>
        <w:tc>
          <w:tcPr>
            <w:tcW w:w="3002" w:type="dxa"/>
            <w:tcBorders>
              <w:top w:val="nil"/>
              <w:left w:val="nil"/>
              <w:bottom w:val="nil"/>
              <w:right w:val="nil"/>
            </w:tcBorders>
          </w:tcPr>
          <w:p>
            <w:pPr>
              <w:pStyle w:val="TableParagraph"/>
              <w:spacing w:line="207" w:lineRule="exact"/>
              <w:ind w:right="605"/>
              <w:jc w:val="right"/>
              <w:rPr>
                <w:sz w:val="18"/>
              </w:rPr>
            </w:pPr>
            <w:r>
              <w:rPr>
                <w:sz w:val="18"/>
              </w:rPr>
              <w:t>0.640799</w:t>
            </w:r>
          </w:p>
        </w:tc>
      </w:tr>
      <w:tr>
        <w:trPr>
          <w:trHeight w:val="224" w:hRule="exact"/>
        </w:trPr>
        <w:tc>
          <w:tcPr>
            <w:tcW w:w="3381" w:type="dxa"/>
            <w:tcBorders>
              <w:top w:val="nil"/>
              <w:left w:val="nil"/>
              <w:bottom w:val="nil"/>
              <w:right w:val="nil"/>
            </w:tcBorders>
          </w:tcPr>
          <w:p>
            <w:pPr>
              <w:pStyle w:val="TableParagraph"/>
              <w:spacing w:line="207" w:lineRule="exact"/>
              <w:ind w:left="60"/>
              <w:jc w:val="left"/>
              <w:rPr>
                <w:sz w:val="18"/>
              </w:rPr>
            </w:pPr>
            <w:r>
              <w:rPr>
                <w:sz w:val="18"/>
              </w:rPr>
              <w:t>0.356724 + 0.532326i</w:t>
            </w:r>
          </w:p>
        </w:tc>
        <w:tc>
          <w:tcPr>
            <w:tcW w:w="3002" w:type="dxa"/>
            <w:tcBorders>
              <w:top w:val="nil"/>
              <w:left w:val="nil"/>
              <w:bottom w:val="nil"/>
              <w:right w:val="nil"/>
            </w:tcBorders>
          </w:tcPr>
          <w:p>
            <w:pPr>
              <w:pStyle w:val="TableParagraph"/>
              <w:spacing w:line="207" w:lineRule="exact"/>
              <w:ind w:right="605"/>
              <w:jc w:val="right"/>
              <w:rPr>
                <w:sz w:val="18"/>
              </w:rPr>
            </w:pPr>
            <w:r>
              <w:rPr>
                <w:sz w:val="18"/>
              </w:rPr>
              <w:t>0.640799</w:t>
            </w:r>
          </w:p>
        </w:tc>
      </w:tr>
      <w:tr>
        <w:trPr>
          <w:trHeight w:val="224" w:hRule="exact"/>
        </w:trPr>
        <w:tc>
          <w:tcPr>
            <w:tcW w:w="3381" w:type="dxa"/>
            <w:tcBorders>
              <w:top w:val="nil"/>
              <w:left w:val="nil"/>
              <w:bottom w:val="nil"/>
              <w:right w:val="nil"/>
            </w:tcBorders>
          </w:tcPr>
          <w:p>
            <w:pPr>
              <w:pStyle w:val="TableParagraph"/>
              <w:spacing w:line="205" w:lineRule="exact"/>
              <w:ind w:left="14"/>
              <w:jc w:val="left"/>
              <w:rPr>
                <w:sz w:val="18"/>
              </w:rPr>
            </w:pPr>
            <w:r>
              <w:rPr>
                <w:sz w:val="18"/>
              </w:rPr>
              <w:t>-0.275655 - 0.261728i</w:t>
            </w:r>
          </w:p>
        </w:tc>
        <w:tc>
          <w:tcPr>
            <w:tcW w:w="3002" w:type="dxa"/>
            <w:tcBorders>
              <w:top w:val="nil"/>
              <w:left w:val="nil"/>
              <w:bottom w:val="nil"/>
              <w:right w:val="nil"/>
            </w:tcBorders>
          </w:tcPr>
          <w:p>
            <w:pPr>
              <w:pStyle w:val="TableParagraph"/>
              <w:spacing w:line="205" w:lineRule="exact"/>
              <w:ind w:right="605"/>
              <w:jc w:val="right"/>
              <w:rPr>
                <w:sz w:val="18"/>
              </w:rPr>
            </w:pPr>
            <w:r>
              <w:rPr>
                <w:sz w:val="18"/>
              </w:rPr>
              <w:t>0.380114</w:t>
            </w:r>
          </w:p>
        </w:tc>
      </w:tr>
      <w:tr>
        <w:trPr>
          <w:trHeight w:val="216" w:hRule="exact"/>
        </w:trPr>
        <w:tc>
          <w:tcPr>
            <w:tcW w:w="3381" w:type="dxa"/>
            <w:tcBorders>
              <w:top w:val="nil"/>
              <w:left w:val="nil"/>
              <w:bottom w:val="nil"/>
              <w:right w:val="nil"/>
            </w:tcBorders>
          </w:tcPr>
          <w:p>
            <w:pPr>
              <w:pStyle w:val="TableParagraph"/>
              <w:spacing w:line="207" w:lineRule="exact"/>
              <w:ind w:left="14"/>
              <w:jc w:val="left"/>
              <w:rPr>
                <w:sz w:val="18"/>
              </w:rPr>
            </w:pPr>
            <w:r>
              <w:rPr>
                <w:sz w:val="18"/>
              </w:rPr>
              <w:t>-0.275655 + 0.261728i</w:t>
            </w:r>
          </w:p>
        </w:tc>
        <w:tc>
          <w:tcPr>
            <w:tcW w:w="3002" w:type="dxa"/>
            <w:tcBorders>
              <w:top w:val="nil"/>
              <w:left w:val="nil"/>
              <w:bottom w:val="nil"/>
              <w:right w:val="nil"/>
            </w:tcBorders>
          </w:tcPr>
          <w:p>
            <w:pPr>
              <w:pStyle w:val="TableParagraph"/>
              <w:spacing w:line="207" w:lineRule="exact"/>
              <w:ind w:right="605"/>
              <w:jc w:val="right"/>
              <w:rPr>
                <w:sz w:val="18"/>
              </w:rPr>
            </w:pPr>
            <w:r>
              <w:rPr>
                <w:sz w:val="18"/>
              </w:rPr>
              <w:t>0.380114</w:t>
            </w:r>
          </w:p>
        </w:tc>
      </w:tr>
      <w:tr>
        <w:trPr>
          <w:trHeight w:val="218" w:hRule="exact"/>
        </w:trPr>
        <w:tc>
          <w:tcPr>
            <w:tcW w:w="3381" w:type="dxa"/>
            <w:tcBorders>
              <w:top w:val="nil"/>
              <w:left w:val="nil"/>
              <w:right w:val="nil"/>
            </w:tcBorders>
          </w:tcPr>
          <w:p>
            <w:pPr>
              <w:pStyle w:val="TableParagraph"/>
              <w:spacing w:line="197" w:lineRule="exact"/>
              <w:ind w:left="60"/>
              <w:jc w:val="left"/>
              <w:rPr>
                <w:sz w:val="18"/>
              </w:rPr>
            </w:pPr>
            <w:r>
              <w:rPr>
                <w:sz w:val="18"/>
              </w:rPr>
              <w:t>0.355132</w:t>
            </w:r>
          </w:p>
        </w:tc>
        <w:tc>
          <w:tcPr>
            <w:tcW w:w="3002" w:type="dxa"/>
            <w:tcBorders>
              <w:top w:val="nil"/>
              <w:left w:val="nil"/>
              <w:right w:val="nil"/>
            </w:tcBorders>
          </w:tcPr>
          <w:p>
            <w:pPr>
              <w:pStyle w:val="TableParagraph"/>
              <w:spacing w:line="197" w:lineRule="exact"/>
              <w:ind w:right="605"/>
              <w:jc w:val="right"/>
              <w:rPr>
                <w:sz w:val="18"/>
              </w:rPr>
            </w:pPr>
            <w:r>
              <w:rPr>
                <w:sz w:val="18"/>
              </w:rPr>
              <w:t>0.355132</w:t>
            </w:r>
          </w:p>
        </w:tc>
      </w:tr>
      <w:tr>
        <w:trPr>
          <w:trHeight w:val="360" w:hRule="exact"/>
        </w:trPr>
        <w:tc>
          <w:tcPr>
            <w:tcW w:w="6383" w:type="dxa"/>
            <w:gridSpan w:val="2"/>
            <w:tcBorders>
              <w:left w:val="nil"/>
              <w:right w:val="nil"/>
            </w:tcBorders>
          </w:tcPr>
          <w:p>
            <w:pPr>
              <w:pStyle w:val="TableParagraph"/>
              <w:spacing w:before="110"/>
              <w:ind w:left="14" w:right="-19"/>
              <w:jc w:val="left"/>
              <w:rPr>
                <w:sz w:val="18"/>
              </w:rPr>
            </w:pPr>
            <w:r>
              <w:rPr>
                <w:sz w:val="18"/>
              </w:rPr>
              <w:t>Ninguna raíz esta fuera del circulo unitario, el VAR satisface la condición de estabilidad</w:t>
            </w:r>
          </w:p>
        </w:tc>
      </w:tr>
    </w:tbl>
    <w:p>
      <w:pPr>
        <w:spacing w:line="202" w:lineRule="exact" w:before="0"/>
        <w:ind w:left="1364" w:right="119" w:firstLine="0"/>
        <w:jc w:val="left"/>
        <w:rPr>
          <w:sz w:val="18"/>
        </w:rPr>
      </w:pPr>
      <w:r>
        <w:rPr>
          <w:sz w:val="18"/>
        </w:rPr>
        <w:t>Fuente: Elaboración propia</w:t>
      </w:r>
    </w:p>
    <w:p>
      <w:pPr>
        <w:pStyle w:val="BodyText"/>
        <w:rPr>
          <w:sz w:val="18"/>
        </w:rPr>
      </w:pPr>
    </w:p>
    <w:p>
      <w:pPr>
        <w:pStyle w:val="BodyText"/>
        <w:spacing w:line="360" w:lineRule="auto" w:before="135"/>
        <w:ind w:left="102" w:right="116"/>
        <w:jc w:val="both"/>
      </w:pPr>
      <w:r>
        <w:rPr/>
        <w:t>Asimismo, lo anterior se puede observar con mayor claridad en la gráfica 5.1 pues no existe ningún</w:t>
      </w:r>
      <w:r>
        <w:rPr>
          <w:spacing w:val="-8"/>
        </w:rPr>
        <w:t> </w:t>
      </w:r>
      <w:r>
        <w:rPr/>
        <w:t>punto</w:t>
      </w:r>
      <w:r>
        <w:rPr>
          <w:spacing w:val="-8"/>
        </w:rPr>
        <w:t> </w:t>
      </w:r>
      <w:r>
        <w:rPr/>
        <w:t>fuera</w:t>
      </w:r>
      <w:r>
        <w:rPr>
          <w:spacing w:val="-10"/>
        </w:rPr>
        <w:t> </w:t>
      </w:r>
      <w:r>
        <w:rPr/>
        <w:t>del</w:t>
      </w:r>
      <w:r>
        <w:rPr>
          <w:spacing w:val="-8"/>
        </w:rPr>
        <w:t> </w:t>
      </w:r>
      <w:r>
        <w:rPr/>
        <w:t>círculo</w:t>
      </w:r>
      <w:r>
        <w:rPr>
          <w:spacing w:val="-8"/>
        </w:rPr>
        <w:t> </w:t>
      </w:r>
      <w:r>
        <w:rPr/>
        <w:t>unitario,</w:t>
      </w:r>
      <w:r>
        <w:rPr>
          <w:spacing w:val="-9"/>
        </w:rPr>
        <w:t> </w:t>
      </w:r>
      <w:r>
        <w:rPr/>
        <w:t>lo</w:t>
      </w:r>
      <w:r>
        <w:rPr>
          <w:spacing w:val="-8"/>
        </w:rPr>
        <w:t> </w:t>
      </w:r>
      <w:r>
        <w:rPr/>
        <w:t>que</w:t>
      </w:r>
      <w:r>
        <w:rPr>
          <w:spacing w:val="-10"/>
        </w:rPr>
        <w:t> </w:t>
      </w:r>
      <w:r>
        <w:rPr/>
        <w:t>permite</w:t>
      </w:r>
      <w:r>
        <w:rPr>
          <w:spacing w:val="-9"/>
        </w:rPr>
        <w:t> </w:t>
      </w:r>
      <w:r>
        <w:rPr/>
        <w:t>afirmar</w:t>
      </w:r>
      <w:r>
        <w:rPr>
          <w:spacing w:val="-10"/>
        </w:rPr>
        <w:t> </w:t>
      </w:r>
      <w:r>
        <w:rPr/>
        <w:t>que</w:t>
      </w:r>
      <w:r>
        <w:rPr>
          <w:spacing w:val="-10"/>
        </w:rPr>
        <w:t> </w:t>
      </w:r>
      <w:r>
        <w:rPr/>
        <w:t>el</w:t>
      </w:r>
      <w:r>
        <w:rPr>
          <w:spacing w:val="-8"/>
        </w:rPr>
        <w:t> </w:t>
      </w:r>
      <w:r>
        <w:rPr/>
        <w:t>modelo</w:t>
      </w:r>
      <w:r>
        <w:rPr>
          <w:spacing w:val="-8"/>
        </w:rPr>
        <w:t> </w:t>
      </w:r>
      <w:r>
        <w:rPr/>
        <w:t>es</w:t>
      </w:r>
      <w:r>
        <w:rPr>
          <w:spacing w:val="-8"/>
        </w:rPr>
        <w:t> </w:t>
      </w:r>
      <w:r>
        <w:rPr/>
        <w:t>estable</w:t>
      </w:r>
      <w:r>
        <w:rPr>
          <w:spacing w:val="-4"/>
        </w:rPr>
        <w:t> </w:t>
      </w:r>
      <w:r>
        <w:rPr/>
        <w:t>y</w:t>
      </w:r>
      <w:r>
        <w:rPr>
          <w:spacing w:val="-13"/>
        </w:rPr>
        <w:t> </w:t>
      </w:r>
      <w:r>
        <w:rPr/>
        <w:t>por lo tanto tiene sentido económico, satisfaciendo las condiciones de</w:t>
      </w:r>
      <w:r>
        <w:rPr>
          <w:spacing w:val="-14"/>
        </w:rPr>
        <w:t> </w:t>
      </w:r>
      <w:r>
        <w:rPr/>
        <w:t>estacionariedad.</w:t>
      </w:r>
    </w:p>
    <w:p>
      <w:pPr>
        <w:spacing w:after="0" w:line="360" w:lineRule="auto"/>
        <w:jc w:val="both"/>
        <w:sectPr>
          <w:pgSz w:w="12240" w:h="15840"/>
          <w:pgMar w:header="0" w:footer="1035" w:top="1360" w:bottom="1220" w:left="1600" w:right="1580"/>
        </w:sectPr>
      </w:pPr>
    </w:p>
    <w:p>
      <w:pPr>
        <w:pStyle w:val="Heading1"/>
        <w:spacing w:before="55"/>
        <w:ind w:right="403"/>
        <w:jc w:val="center"/>
      </w:pPr>
      <w:r>
        <w:rPr/>
        <w:t>Gráfica 5.1. Raíces del polinomio característico</w:t>
      </w:r>
    </w:p>
    <w:p>
      <w:pPr>
        <w:pStyle w:val="BodyText"/>
        <w:spacing w:before="8"/>
        <w:rPr>
          <w:b/>
          <w:sz w:val="8"/>
        </w:rPr>
      </w:pPr>
      <w:r>
        <w:rPr/>
        <w:drawing>
          <wp:anchor distT="0" distB="0" distL="0" distR="0" allowOverlap="1" layoutInCell="1" locked="0" behindDoc="0" simplePos="0" relativeHeight="14536">
            <wp:simplePos x="0" y="0"/>
            <wp:positionH relativeFrom="page">
              <wp:posOffset>2767583</wp:posOffset>
            </wp:positionH>
            <wp:positionV relativeFrom="paragraph">
              <wp:posOffset>88700</wp:posOffset>
            </wp:positionV>
            <wp:extent cx="2234469" cy="2156841"/>
            <wp:effectExtent l="0" t="0" r="0" b="0"/>
            <wp:wrapTopAndBottom/>
            <wp:docPr id="7" name="image60.png" descr=""/>
            <wp:cNvGraphicFramePr>
              <a:graphicFrameLocks noChangeAspect="1"/>
            </wp:cNvGraphicFramePr>
            <a:graphic>
              <a:graphicData uri="http://schemas.openxmlformats.org/drawingml/2006/picture">
                <pic:pic>
                  <pic:nvPicPr>
                    <pic:cNvPr id="8" name="image60.png"/>
                    <pic:cNvPicPr/>
                  </pic:nvPicPr>
                  <pic:blipFill>
                    <a:blip r:embed="rId77" cstate="print"/>
                    <a:stretch>
                      <a:fillRect/>
                    </a:stretch>
                  </pic:blipFill>
                  <pic:spPr>
                    <a:xfrm>
                      <a:off x="0" y="0"/>
                      <a:ext cx="2234469" cy="2156841"/>
                    </a:xfrm>
                    <a:prstGeom prst="rect">
                      <a:avLst/>
                    </a:prstGeom>
                  </pic:spPr>
                </pic:pic>
              </a:graphicData>
            </a:graphic>
          </wp:anchor>
        </w:drawing>
      </w:r>
    </w:p>
    <w:p>
      <w:pPr>
        <w:spacing w:before="108"/>
        <w:ind w:left="2850" w:right="119" w:firstLine="0"/>
        <w:jc w:val="left"/>
        <w:rPr>
          <w:sz w:val="18"/>
        </w:rPr>
      </w:pPr>
      <w:r>
        <w:rPr>
          <w:sz w:val="18"/>
        </w:rPr>
        <w:t>Fuente: Elaboración propia</w:t>
      </w:r>
    </w:p>
    <w:p>
      <w:pPr>
        <w:pStyle w:val="BodyText"/>
        <w:rPr>
          <w:sz w:val="18"/>
        </w:rPr>
      </w:pPr>
    </w:p>
    <w:p>
      <w:pPr>
        <w:pStyle w:val="BodyText"/>
        <w:spacing w:line="360" w:lineRule="auto" w:before="137"/>
        <w:ind w:left="102" w:right="114"/>
        <w:jc w:val="both"/>
      </w:pPr>
      <w:r>
        <w:rPr/>
        <w:t>Posteriormente,</w:t>
      </w:r>
      <w:r>
        <w:rPr>
          <w:spacing w:val="-9"/>
        </w:rPr>
        <w:t> </w:t>
      </w:r>
      <w:r>
        <w:rPr/>
        <w:t>y</w:t>
      </w:r>
      <w:r>
        <w:rPr>
          <w:spacing w:val="-16"/>
        </w:rPr>
        <w:t> </w:t>
      </w:r>
      <w:r>
        <w:rPr/>
        <w:t>con</w:t>
      </w:r>
      <w:r>
        <w:rPr>
          <w:spacing w:val="-11"/>
        </w:rPr>
        <w:t> </w:t>
      </w:r>
      <w:r>
        <w:rPr/>
        <w:t>la</w:t>
      </w:r>
      <w:r>
        <w:rPr>
          <w:spacing w:val="-12"/>
        </w:rPr>
        <w:t> </w:t>
      </w:r>
      <w:r>
        <w:rPr/>
        <w:t>finalidad</w:t>
      </w:r>
      <w:r>
        <w:rPr>
          <w:spacing w:val="-12"/>
        </w:rPr>
        <w:t> </w:t>
      </w:r>
      <w:r>
        <w:rPr/>
        <w:t>de</w:t>
      </w:r>
      <w:r>
        <w:rPr>
          <w:spacing w:val="-12"/>
        </w:rPr>
        <w:t> </w:t>
      </w:r>
      <w:r>
        <w:rPr/>
        <w:t>probar</w:t>
      </w:r>
      <w:r>
        <w:rPr>
          <w:spacing w:val="-12"/>
        </w:rPr>
        <w:t> </w:t>
      </w:r>
      <w:r>
        <w:rPr/>
        <w:t>la</w:t>
      </w:r>
      <w:r>
        <w:rPr>
          <w:spacing w:val="-12"/>
        </w:rPr>
        <w:t> </w:t>
      </w:r>
      <w:r>
        <w:rPr/>
        <w:t>correcta</w:t>
      </w:r>
      <w:r>
        <w:rPr>
          <w:spacing w:val="-12"/>
        </w:rPr>
        <w:t> </w:t>
      </w:r>
      <w:r>
        <w:rPr/>
        <w:t>especificación</w:t>
      </w:r>
      <w:r>
        <w:rPr>
          <w:spacing w:val="-11"/>
        </w:rPr>
        <w:t> </w:t>
      </w:r>
      <w:r>
        <w:rPr/>
        <w:t>del</w:t>
      </w:r>
      <w:r>
        <w:rPr>
          <w:spacing w:val="-11"/>
        </w:rPr>
        <w:t> </w:t>
      </w:r>
      <w:r>
        <w:rPr/>
        <w:t>modelo,</w:t>
      </w:r>
      <w:r>
        <w:rPr>
          <w:spacing w:val="-11"/>
        </w:rPr>
        <w:t> </w:t>
      </w:r>
      <w:r>
        <w:rPr/>
        <w:t>se</w:t>
      </w:r>
      <w:r>
        <w:rPr>
          <w:spacing w:val="-12"/>
        </w:rPr>
        <w:t> </w:t>
      </w:r>
      <w:r>
        <w:rPr/>
        <w:t>verificó que los residuos generados por el VAR siguieran un proceso estacionario y fueran ruido blanco, lo que indicaría que no existe una relación espuria. En ese sentido, se presenta el cuadro 5.6, que indica que los residuos de los cinco vectores autorregresivos son estacionarios, por lo que el modelo está bien</w:t>
      </w:r>
      <w:r>
        <w:rPr>
          <w:spacing w:val="-10"/>
        </w:rPr>
        <w:t> </w:t>
      </w:r>
      <w:r>
        <w:rPr/>
        <w:t>especificado.</w:t>
      </w:r>
    </w:p>
    <w:p>
      <w:pPr>
        <w:pStyle w:val="BodyText"/>
        <w:spacing w:before="7"/>
        <w:rPr>
          <w:sz w:val="21"/>
        </w:rPr>
      </w:pPr>
    </w:p>
    <w:p>
      <w:pPr>
        <w:pStyle w:val="Heading1"/>
        <w:ind w:right="403"/>
        <w:jc w:val="center"/>
      </w:pPr>
      <w:r>
        <w:rPr/>
        <w:t>Cuadro 5.6. Raíces unitarias y distribución de los residuos del VAR</w:t>
      </w:r>
    </w:p>
    <w:p>
      <w:pPr>
        <w:pStyle w:val="BodyText"/>
        <w:spacing w:before="5"/>
        <w:rPr>
          <w:b/>
          <w:sz w:val="13"/>
        </w:rPr>
      </w:pPr>
    </w:p>
    <w:tbl>
      <w:tblPr>
        <w:tblW w:w="0" w:type="auto"/>
        <w:jc w:val="left"/>
        <w:tblInd w:w="421"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1075"/>
        <w:gridCol w:w="1475"/>
        <w:gridCol w:w="1474"/>
        <w:gridCol w:w="1376"/>
        <w:gridCol w:w="1376"/>
        <w:gridCol w:w="1427"/>
      </w:tblGrid>
      <w:tr>
        <w:trPr>
          <w:trHeight w:val="329" w:hRule="exact"/>
        </w:trPr>
        <w:tc>
          <w:tcPr>
            <w:tcW w:w="1075" w:type="dxa"/>
            <w:tcBorders>
              <w:left w:val="nil"/>
              <w:right w:val="nil"/>
            </w:tcBorders>
          </w:tcPr>
          <w:p>
            <w:pPr/>
          </w:p>
        </w:tc>
        <w:tc>
          <w:tcPr>
            <w:tcW w:w="1475" w:type="dxa"/>
            <w:tcBorders>
              <w:left w:val="nil"/>
              <w:right w:val="nil"/>
            </w:tcBorders>
          </w:tcPr>
          <w:p>
            <w:pPr>
              <w:pStyle w:val="TableParagraph"/>
              <w:spacing w:before="34"/>
              <w:ind w:left="281" w:right="112"/>
              <w:rPr>
                <w:b/>
                <w:sz w:val="20"/>
              </w:rPr>
            </w:pPr>
            <w:r>
              <w:rPr>
                <w:b/>
                <w:sz w:val="20"/>
              </w:rPr>
              <w:t>lyman</w:t>
            </w:r>
          </w:p>
        </w:tc>
        <w:tc>
          <w:tcPr>
            <w:tcW w:w="1474" w:type="dxa"/>
            <w:tcBorders>
              <w:left w:val="nil"/>
              <w:right w:val="nil"/>
            </w:tcBorders>
          </w:tcPr>
          <w:p>
            <w:pPr>
              <w:pStyle w:val="TableParagraph"/>
              <w:spacing w:before="34"/>
              <w:ind w:left="110" w:right="88"/>
              <w:rPr>
                <w:b/>
                <w:sz w:val="20"/>
              </w:rPr>
            </w:pPr>
            <w:r>
              <w:rPr>
                <w:b/>
                <w:sz w:val="20"/>
              </w:rPr>
              <w:t>lyauto</w:t>
            </w:r>
          </w:p>
        </w:tc>
        <w:tc>
          <w:tcPr>
            <w:tcW w:w="1376" w:type="dxa"/>
            <w:tcBorders>
              <w:left w:val="nil"/>
              <w:right w:val="nil"/>
            </w:tcBorders>
          </w:tcPr>
          <w:p>
            <w:pPr>
              <w:pStyle w:val="TableParagraph"/>
              <w:spacing w:before="34"/>
              <w:ind w:left="90" w:right="111"/>
              <w:rPr>
                <w:b/>
                <w:sz w:val="20"/>
              </w:rPr>
            </w:pPr>
            <w:r>
              <w:rPr>
                <w:b/>
                <w:sz w:val="20"/>
              </w:rPr>
              <w:t>lqreal</w:t>
            </w:r>
          </w:p>
        </w:tc>
        <w:tc>
          <w:tcPr>
            <w:tcW w:w="1376" w:type="dxa"/>
            <w:tcBorders>
              <w:left w:val="nil"/>
              <w:right w:val="nil"/>
            </w:tcBorders>
          </w:tcPr>
          <w:p>
            <w:pPr>
              <w:pStyle w:val="TableParagraph"/>
              <w:spacing w:before="34"/>
              <w:ind w:left="111" w:right="88"/>
              <w:rPr>
                <w:b/>
                <w:sz w:val="20"/>
              </w:rPr>
            </w:pPr>
            <w:r>
              <w:rPr>
                <w:b/>
                <w:sz w:val="20"/>
              </w:rPr>
              <w:t>lyindusteu</w:t>
            </w:r>
          </w:p>
        </w:tc>
        <w:tc>
          <w:tcPr>
            <w:tcW w:w="1427" w:type="dxa"/>
            <w:tcBorders>
              <w:left w:val="nil"/>
              <w:right w:val="nil"/>
            </w:tcBorders>
          </w:tcPr>
          <w:p>
            <w:pPr>
              <w:pStyle w:val="TableParagraph"/>
              <w:spacing w:before="34"/>
              <w:ind w:left="85" w:right="66"/>
              <w:rPr>
                <w:b/>
                <w:sz w:val="20"/>
              </w:rPr>
            </w:pPr>
            <w:r>
              <w:rPr>
                <w:b/>
                <w:sz w:val="20"/>
              </w:rPr>
              <w:t>lpmt</w:t>
            </w:r>
          </w:p>
        </w:tc>
      </w:tr>
      <w:tr>
        <w:trPr>
          <w:trHeight w:val="320" w:hRule="exact"/>
        </w:trPr>
        <w:tc>
          <w:tcPr>
            <w:tcW w:w="1075" w:type="dxa"/>
            <w:tcBorders>
              <w:left w:val="nil"/>
              <w:bottom w:val="nil"/>
              <w:right w:val="nil"/>
            </w:tcBorders>
          </w:tcPr>
          <w:p>
            <w:pPr>
              <w:pStyle w:val="TableParagraph"/>
              <w:spacing w:before="29"/>
              <w:ind w:left="69"/>
              <w:jc w:val="left"/>
              <w:rPr>
                <w:sz w:val="20"/>
              </w:rPr>
            </w:pPr>
            <w:r>
              <w:rPr>
                <w:sz w:val="20"/>
              </w:rPr>
              <w:t>ADF</w:t>
            </w:r>
          </w:p>
        </w:tc>
        <w:tc>
          <w:tcPr>
            <w:tcW w:w="1475" w:type="dxa"/>
            <w:tcBorders>
              <w:left w:val="nil"/>
              <w:bottom w:val="nil"/>
              <w:right w:val="nil"/>
            </w:tcBorders>
          </w:tcPr>
          <w:p>
            <w:pPr>
              <w:pStyle w:val="TableParagraph"/>
              <w:spacing w:before="29"/>
              <w:ind w:left="286" w:right="112"/>
              <w:rPr>
                <w:sz w:val="20"/>
              </w:rPr>
            </w:pPr>
            <w:r>
              <w:rPr>
                <w:sz w:val="20"/>
              </w:rPr>
              <w:t>-8.2847</w:t>
            </w:r>
          </w:p>
        </w:tc>
        <w:tc>
          <w:tcPr>
            <w:tcW w:w="1474" w:type="dxa"/>
            <w:tcBorders>
              <w:left w:val="nil"/>
              <w:bottom w:val="nil"/>
              <w:right w:val="nil"/>
            </w:tcBorders>
          </w:tcPr>
          <w:p>
            <w:pPr>
              <w:pStyle w:val="TableParagraph"/>
              <w:spacing w:before="29"/>
              <w:ind w:left="110" w:right="86"/>
              <w:rPr>
                <w:sz w:val="20"/>
              </w:rPr>
            </w:pPr>
            <w:r>
              <w:rPr>
                <w:sz w:val="20"/>
              </w:rPr>
              <w:t>-8.8193</w:t>
            </w:r>
          </w:p>
        </w:tc>
        <w:tc>
          <w:tcPr>
            <w:tcW w:w="1376" w:type="dxa"/>
            <w:tcBorders>
              <w:left w:val="nil"/>
              <w:bottom w:val="nil"/>
              <w:right w:val="nil"/>
            </w:tcBorders>
          </w:tcPr>
          <w:p>
            <w:pPr>
              <w:pStyle w:val="TableParagraph"/>
              <w:spacing w:before="29"/>
              <w:ind w:left="90" w:right="108"/>
              <w:rPr>
                <w:sz w:val="20"/>
              </w:rPr>
            </w:pPr>
            <w:r>
              <w:rPr>
                <w:sz w:val="20"/>
              </w:rPr>
              <w:t>-10.2582</w:t>
            </w:r>
          </w:p>
        </w:tc>
        <w:tc>
          <w:tcPr>
            <w:tcW w:w="1376" w:type="dxa"/>
            <w:tcBorders>
              <w:left w:val="nil"/>
              <w:bottom w:val="nil"/>
              <w:right w:val="nil"/>
            </w:tcBorders>
          </w:tcPr>
          <w:p>
            <w:pPr>
              <w:pStyle w:val="TableParagraph"/>
              <w:spacing w:before="29"/>
              <w:ind w:left="114" w:right="88"/>
              <w:rPr>
                <w:sz w:val="20"/>
              </w:rPr>
            </w:pPr>
            <w:r>
              <w:rPr>
                <w:sz w:val="20"/>
              </w:rPr>
              <w:t>-9.4384</w:t>
            </w:r>
          </w:p>
        </w:tc>
        <w:tc>
          <w:tcPr>
            <w:tcW w:w="1427" w:type="dxa"/>
            <w:tcBorders>
              <w:left w:val="nil"/>
              <w:bottom w:val="nil"/>
              <w:right w:val="nil"/>
            </w:tcBorders>
          </w:tcPr>
          <w:p>
            <w:pPr>
              <w:pStyle w:val="TableParagraph"/>
              <w:spacing w:before="29"/>
              <w:ind w:left="88" w:right="65"/>
              <w:rPr>
                <w:sz w:val="20"/>
              </w:rPr>
            </w:pPr>
            <w:r>
              <w:rPr>
                <w:sz w:val="20"/>
              </w:rPr>
              <w:t>-9.6819</w:t>
            </w:r>
          </w:p>
        </w:tc>
      </w:tr>
      <w:tr>
        <w:trPr>
          <w:trHeight w:val="300" w:hRule="exact"/>
        </w:trPr>
        <w:tc>
          <w:tcPr>
            <w:tcW w:w="1075" w:type="dxa"/>
            <w:tcBorders>
              <w:top w:val="nil"/>
              <w:left w:val="nil"/>
              <w:bottom w:val="nil"/>
              <w:right w:val="nil"/>
            </w:tcBorders>
          </w:tcPr>
          <w:p>
            <w:pPr>
              <w:pStyle w:val="TableParagraph"/>
              <w:spacing w:before="24"/>
              <w:ind w:left="69"/>
              <w:jc w:val="left"/>
              <w:rPr>
                <w:sz w:val="20"/>
              </w:rPr>
            </w:pPr>
            <w:r>
              <w:rPr>
                <w:sz w:val="20"/>
              </w:rPr>
              <w:t>DF-GLS</w:t>
            </w:r>
          </w:p>
        </w:tc>
        <w:tc>
          <w:tcPr>
            <w:tcW w:w="1475" w:type="dxa"/>
            <w:tcBorders>
              <w:top w:val="nil"/>
              <w:left w:val="nil"/>
              <w:bottom w:val="nil"/>
              <w:right w:val="nil"/>
            </w:tcBorders>
          </w:tcPr>
          <w:p>
            <w:pPr>
              <w:pStyle w:val="TableParagraph"/>
              <w:spacing w:before="24"/>
              <w:ind w:left="286" w:right="112"/>
              <w:rPr>
                <w:sz w:val="20"/>
              </w:rPr>
            </w:pPr>
            <w:r>
              <w:rPr>
                <w:sz w:val="20"/>
              </w:rPr>
              <w:t>-5.7329</w:t>
            </w:r>
          </w:p>
        </w:tc>
        <w:tc>
          <w:tcPr>
            <w:tcW w:w="1474" w:type="dxa"/>
            <w:tcBorders>
              <w:top w:val="nil"/>
              <w:left w:val="nil"/>
              <w:bottom w:val="nil"/>
              <w:right w:val="nil"/>
            </w:tcBorders>
          </w:tcPr>
          <w:p>
            <w:pPr>
              <w:pStyle w:val="TableParagraph"/>
              <w:spacing w:before="24"/>
              <w:ind w:left="110" w:right="86"/>
              <w:rPr>
                <w:sz w:val="20"/>
              </w:rPr>
            </w:pPr>
            <w:r>
              <w:rPr>
                <w:sz w:val="20"/>
              </w:rPr>
              <w:t>-8.8731</w:t>
            </w:r>
          </w:p>
        </w:tc>
        <w:tc>
          <w:tcPr>
            <w:tcW w:w="1376" w:type="dxa"/>
            <w:tcBorders>
              <w:top w:val="nil"/>
              <w:left w:val="nil"/>
              <w:bottom w:val="nil"/>
              <w:right w:val="nil"/>
            </w:tcBorders>
          </w:tcPr>
          <w:p>
            <w:pPr>
              <w:pStyle w:val="TableParagraph"/>
              <w:spacing w:before="24"/>
              <w:ind w:left="90" w:right="108"/>
              <w:rPr>
                <w:sz w:val="20"/>
              </w:rPr>
            </w:pPr>
            <w:r>
              <w:rPr>
                <w:sz w:val="20"/>
              </w:rPr>
              <w:t>-5.8908</w:t>
            </w:r>
          </w:p>
        </w:tc>
        <w:tc>
          <w:tcPr>
            <w:tcW w:w="1376" w:type="dxa"/>
            <w:tcBorders>
              <w:top w:val="nil"/>
              <w:left w:val="nil"/>
              <w:bottom w:val="nil"/>
              <w:right w:val="nil"/>
            </w:tcBorders>
          </w:tcPr>
          <w:p>
            <w:pPr>
              <w:pStyle w:val="TableParagraph"/>
              <w:spacing w:before="24"/>
              <w:ind w:left="114" w:right="88"/>
              <w:rPr>
                <w:sz w:val="20"/>
              </w:rPr>
            </w:pPr>
            <w:r>
              <w:rPr>
                <w:sz w:val="20"/>
              </w:rPr>
              <w:t>-7.1239</w:t>
            </w:r>
          </w:p>
        </w:tc>
        <w:tc>
          <w:tcPr>
            <w:tcW w:w="1427" w:type="dxa"/>
            <w:tcBorders>
              <w:top w:val="nil"/>
              <w:left w:val="nil"/>
              <w:bottom w:val="nil"/>
              <w:right w:val="nil"/>
            </w:tcBorders>
          </w:tcPr>
          <w:p>
            <w:pPr>
              <w:pStyle w:val="TableParagraph"/>
              <w:spacing w:before="24"/>
              <w:ind w:left="88" w:right="65"/>
              <w:rPr>
                <w:sz w:val="20"/>
              </w:rPr>
            </w:pPr>
            <w:r>
              <w:rPr>
                <w:sz w:val="20"/>
              </w:rPr>
              <w:t>-5.9773</w:t>
            </w:r>
          </w:p>
        </w:tc>
      </w:tr>
      <w:tr>
        <w:trPr>
          <w:trHeight w:val="300" w:hRule="exact"/>
        </w:trPr>
        <w:tc>
          <w:tcPr>
            <w:tcW w:w="1075" w:type="dxa"/>
            <w:tcBorders>
              <w:top w:val="nil"/>
              <w:left w:val="nil"/>
              <w:bottom w:val="nil"/>
              <w:right w:val="nil"/>
            </w:tcBorders>
          </w:tcPr>
          <w:p>
            <w:pPr>
              <w:pStyle w:val="TableParagraph"/>
              <w:spacing w:before="24"/>
              <w:ind w:left="69"/>
              <w:jc w:val="left"/>
              <w:rPr>
                <w:sz w:val="20"/>
              </w:rPr>
            </w:pPr>
            <w:r>
              <w:rPr>
                <w:sz w:val="20"/>
              </w:rPr>
              <w:t>PP</w:t>
            </w:r>
          </w:p>
        </w:tc>
        <w:tc>
          <w:tcPr>
            <w:tcW w:w="1475" w:type="dxa"/>
            <w:tcBorders>
              <w:top w:val="nil"/>
              <w:left w:val="nil"/>
              <w:bottom w:val="nil"/>
              <w:right w:val="nil"/>
            </w:tcBorders>
          </w:tcPr>
          <w:p>
            <w:pPr>
              <w:pStyle w:val="TableParagraph"/>
              <w:spacing w:before="24"/>
              <w:ind w:left="286" w:right="112"/>
              <w:rPr>
                <w:sz w:val="20"/>
              </w:rPr>
            </w:pPr>
            <w:r>
              <w:rPr>
                <w:sz w:val="20"/>
              </w:rPr>
              <w:t>-8.1875</w:t>
            </w:r>
          </w:p>
        </w:tc>
        <w:tc>
          <w:tcPr>
            <w:tcW w:w="1474" w:type="dxa"/>
            <w:tcBorders>
              <w:top w:val="nil"/>
              <w:left w:val="nil"/>
              <w:bottom w:val="nil"/>
              <w:right w:val="nil"/>
            </w:tcBorders>
          </w:tcPr>
          <w:p>
            <w:pPr>
              <w:pStyle w:val="TableParagraph"/>
              <w:spacing w:before="24"/>
              <w:ind w:left="110" w:right="86"/>
              <w:rPr>
                <w:sz w:val="20"/>
              </w:rPr>
            </w:pPr>
            <w:r>
              <w:rPr>
                <w:sz w:val="20"/>
              </w:rPr>
              <w:t>-8.7696</w:t>
            </w:r>
          </w:p>
        </w:tc>
        <w:tc>
          <w:tcPr>
            <w:tcW w:w="1376" w:type="dxa"/>
            <w:tcBorders>
              <w:top w:val="nil"/>
              <w:left w:val="nil"/>
              <w:bottom w:val="nil"/>
              <w:right w:val="nil"/>
            </w:tcBorders>
          </w:tcPr>
          <w:p>
            <w:pPr>
              <w:pStyle w:val="TableParagraph"/>
              <w:spacing w:before="24"/>
              <w:ind w:left="90" w:right="108"/>
              <w:rPr>
                <w:sz w:val="20"/>
              </w:rPr>
            </w:pPr>
            <w:r>
              <w:rPr>
                <w:sz w:val="20"/>
              </w:rPr>
              <w:t>-10.1354</w:t>
            </w:r>
          </w:p>
        </w:tc>
        <w:tc>
          <w:tcPr>
            <w:tcW w:w="1376" w:type="dxa"/>
            <w:tcBorders>
              <w:top w:val="nil"/>
              <w:left w:val="nil"/>
              <w:bottom w:val="nil"/>
              <w:right w:val="nil"/>
            </w:tcBorders>
          </w:tcPr>
          <w:p>
            <w:pPr>
              <w:pStyle w:val="TableParagraph"/>
              <w:spacing w:before="24"/>
              <w:ind w:left="114" w:right="88"/>
              <w:rPr>
                <w:sz w:val="20"/>
              </w:rPr>
            </w:pPr>
            <w:r>
              <w:rPr>
                <w:sz w:val="20"/>
              </w:rPr>
              <w:t>-9.3213</w:t>
            </w:r>
          </w:p>
        </w:tc>
        <w:tc>
          <w:tcPr>
            <w:tcW w:w="1427" w:type="dxa"/>
            <w:tcBorders>
              <w:top w:val="nil"/>
              <w:left w:val="nil"/>
              <w:bottom w:val="nil"/>
              <w:right w:val="nil"/>
            </w:tcBorders>
          </w:tcPr>
          <w:p>
            <w:pPr>
              <w:pStyle w:val="TableParagraph"/>
              <w:spacing w:before="24"/>
              <w:ind w:left="88" w:right="65"/>
              <w:rPr>
                <w:sz w:val="20"/>
              </w:rPr>
            </w:pPr>
            <w:r>
              <w:rPr>
                <w:sz w:val="20"/>
              </w:rPr>
              <w:t>-9.6161</w:t>
            </w:r>
          </w:p>
        </w:tc>
      </w:tr>
      <w:tr>
        <w:trPr>
          <w:trHeight w:val="300" w:hRule="exact"/>
        </w:trPr>
        <w:tc>
          <w:tcPr>
            <w:tcW w:w="1075" w:type="dxa"/>
            <w:tcBorders>
              <w:top w:val="nil"/>
              <w:left w:val="nil"/>
              <w:bottom w:val="nil"/>
              <w:right w:val="nil"/>
            </w:tcBorders>
          </w:tcPr>
          <w:p>
            <w:pPr>
              <w:pStyle w:val="TableParagraph"/>
              <w:spacing w:before="24"/>
              <w:ind w:left="69"/>
              <w:jc w:val="left"/>
              <w:rPr>
                <w:sz w:val="20"/>
              </w:rPr>
            </w:pPr>
            <w:r>
              <w:rPr>
                <w:sz w:val="20"/>
              </w:rPr>
              <w:t>KPSS</w:t>
            </w:r>
          </w:p>
        </w:tc>
        <w:tc>
          <w:tcPr>
            <w:tcW w:w="1475" w:type="dxa"/>
            <w:tcBorders>
              <w:top w:val="nil"/>
              <w:left w:val="nil"/>
              <w:bottom w:val="nil"/>
              <w:right w:val="nil"/>
            </w:tcBorders>
          </w:tcPr>
          <w:p>
            <w:pPr>
              <w:pStyle w:val="TableParagraph"/>
              <w:spacing w:before="24"/>
              <w:ind w:left="287" w:right="112"/>
              <w:rPr>
                <w:sz w:val="20"/>
              </w:rPr>
            </w:pPr>
            <w:r>
              <w:rPr>
                <w:sz w:val="20"/>
              </w:rPr>
              <w:t>0.0318</w:t>
            </w:r>
          </w:p>
        </w:tc>
        <w:tc>
          <w:tcPr>
            <w:tcW w:w="1474" w:type="dxa"/>
            <w:tcBorders>
              <w:top w:val="nil"/>
              <w:left w:val="nil"/>
              <w:bottom w:val="nil"/>
              <w:right w:val="nil"/>
            </w:tcBorders>
          </w:tcPr>
          <w:p>
            <w:pPr>
              <w:pStyle w:val="TableParagraph"/>
              <w:spacing w:before="24"/>
              <w:ind w:left="110" w:right="86"/>
              <w:rPr>
                <w:sz w:val="20"/>
              </w:rPr>
            </w:pPr>
            <w:r>
              <w:rPr>
                <w:sz w:val="20"/>
              </w:rPr>
              <w:t>0.0296</w:t>
            </w:r>
          </w:p>
        </w:tc>
        <w:tc>
          <w:tcPr>
            <w:tcW w:w="1376" w:type="dxa"/>
            <w:tcBorders>
              <w:top w:val="nil"/>
              <w:left w:val="nil"/>
              <w:bottom w:val="nil"/>
              <w:right w:val="nil"/>
            </w:tcBorders>
          </w:tcPr>
          <w:p>
            <w:pPr>
              <w:pStyle w:val="TableParagraph"/>
              <w:spacing w:before="24"/>
              <w:ind w:left="90" w:right="108"/>
              <w:rPr>
                <w:sz w:val="20"/>
              </w:rPr>
            </w:pPr>
            <w:r>
              <w:rPr>
                <w:sz w:val="20"/>
              </w:rPr>
              <w:t>0.0647</w:t>
            </w:r>
          </w:p>
        </w:tc>
        <w:tc>
          <w:tcPr>
            <w:tcW w:w="1376" w:type="dxa"/>
            <w:tcBorders>
              <w:top w:val="nil"/>
              <w:left w:val="nil"/>
              <w:bottom w:val="nil"/>
              <w:right w:val="nil"/>
            </w:tcBorders>
          </w:tcPr>
          <w:p>
            <w:pPr>
              <w:pStyle w:val="TableParagraph"/>
              <w:spacing w:before="24"/>
              <w:ind w:left="114" w:right="88"/>
              <w:rPr>
                <w:sz w:val="20"/>
              </w:rPr>
            </w:pPr>
            <w:r>
              <w:rPr>
                <w:sz w:val="20"/>
              </w:rPr>
              <w:t>0.0530</w:t>
            </w:r>
          </w:p>
        </w:tc>
        <w:tc>
          <w:tcPr>
            <w:tcW w:w="1427" w:type="dxa"/>
            <w:tcBorders>
              <w:top w:val="nil"/>
              <w:left w:val="nil"/>
              <w:bottom w:val="nil"/>
              <w:right w:val="nil"/>
            </w:tcBorders>
          </w:tcPr>
          <w:p>
            <w:pPr>
              <w:pStyle w:val="TableParagraph"/>
              <w:spacing w:before="24"/>
              <w:ind w:left="88" w:right="65"/>
              <w:rPr>
                <w:sz w:val="20"/>
              </w:rPr>
            </w:pPr>
            <w:r>
              <w:rPr>
                <w:sz w:val="20"/>
              </w:rPr>
              <w:t>0.0447</w:t>
            </w:r>
          </w:p>
        </w:tc>
      </w:tr>
      <w:tr>
        <w:trPr>
          <w:trHeight w:val="312" w:hRule="exact"/>
        </w:trPr>
        <w:tc>
          <w:tcPr>
            <w:tcW w:w="1075" w:type="dxa"/>
            <w:tcBorders>
              <w:top w:val="nil"/>
              <w:left w:val="nil"/>
              <w:right w:val="nil"/>
            </w:tcBorders>
          </w:tcPr>
          <w:p>
            <w:pPr>
              <w:pStyle w:val="TableParagraph"/>
              <w:spacing w:before="24"/>
              <w:ind w:left="69"/>
              <w:jc w:val="left"/>
              <w:rPr>
                <w:sz w:val="20"/>
              </w:rPr>
            </w:pPr>
            <w:r>
              <w:rPr>
                <w:sz w:val="20"/>
              </w:rPr>
              <w:t>JB</w:t>
            </w:r>
          </w:p>
        </w:tc>
        <w:tc>
          <w:tcPr>
            <w:tcW w:w="1475" w:type="dxa"/>
            <w:tcBorders>
              <w:top w:val="nil"/>
              <w:left w:val="nil"/>
              <w:right w:val="nil"/>
            </w:tcBorders>
          </w:tcPr>
          <w:p>
            <w:pPr>
              <w:pStyle w:val="TableParagraph"/>
              <w:spacing w:before="24"/>
              <w:ind w:left="288" w:right="112"/>
              <w:rPr>
                <w:sz w:val="20"/>
              </w:rPr>
            </w:pPr>
            <w:r>
              <w:rPr>
                <w:sz w:val="20"/>
              </w:rPr>
              <w:t>1.258(0.532)</w:t>
            </w:r>
          </w:p>
        </w:tc>
        <w:tc>
          <w:tcPr>
            <w:tcW w:w="1474" w:type="dxa"/>
            <w:tcBorders>
              <w:top w:val="nil"/>
              <w:left w:val="nil"/>
              <w:right w:val="nil"/>
            </w:tcBorders>
          </w:tcPr>
          <w:p>
            <w:pPr>
              <w:pStyle w:val="TableParagraph"/>
              <w:spacing w:before="24"/>
              <w:ind w:left="110" w:right="89"/>
              <w:rPr>
                <w:sz w:val="20"/>
              </w:rPr>
            </w:pPr>
            <w:r>
              <w:rPr>
                <w:sz w:val="20"/>
              </w:rPr>
              <w:t>14.658(0.0006)</w:t>
            </w:r>
          </w:p>
        </w:tc>
        <w:tc>
          <w:tcPr>
            <w:tcW w:w="1376" w:type="dxa"/>
            <w:tcBorders>
              <w:top w:val="nil"/>
              <w:left w:val="nil"/>
              <w:right w:val="nil"/>
            </w:tcBorders>
          </w:tcPr>
          <w:p>
            <w:pPr>
              <w:pStyle w:val="TableParagraph"/>
              <w:spacing w:before="24"/>
              <w:ind w:left="90" w:right="111"/>
              <w:rPr>
                <w:sz w:val="20"/>
              </w:rPr>
            </w:pPr>
            <w:r>
              <w:rPr>
                <w:sz w:val="20"/>
              </w:rPr>
              <w:t>1.447(0.4849)</w:t>
            </w:r>
          </w:p>
        </w:tc>
        <w:tc>
          <w:tcPr>
            <w:tcW w:w="1376" w:type="dxa"/>
            <w:tcBorders>
              <w:top w:val="nil"/>
              <w:left w:val="nil"/>
              <w:right w:val="nil"/>
            </w:tcBorders>
          </w:tcPr>
          <w:p>
            <w:pPr>
              <w:pStyle w:val="TableParagraph"/>
              <w:spacing w:before="24"/>
              <w:ind w:left="114" w:right="88"/>
              <w:rPr>
                <w:sz w:val="20"/>
              </w:rPr>
            </w:pPr>
            <w:r>
              <w:rPr>
                <w:sz w:val="20"/>
              </w:rPr>
              <w:t>1.805(0.4054)</w:t>
            </w:r>
          </w:p>
        </w:tc>
        <w:tc>
          <w:tcPr>
            <w:tcW w:w="1427" w:type="dxa"/>
            <w:tcBorders>
              <w:top w:val="nil"/>
              <w:left w:val="nil"/>
              <w:right w:val="nil"/>
            </w:tcBorders>
          </w:tcPr>
          <w:p>
            <w:pPr>
              <w:pStyle w:val="TableParagraph"/>
              <w:spacing w:before="24"/>
              <w:ind w:left="88" w:right="66"/>
              <w:rPr>
                <w:sz w:val="20"/>
              </w:rPr>
            </w:pPr>
            <w:r>
              <w:rPr>
                <w:sz w:val="20"/>
              </w:rPr>
              <w:t>18.030(0.0001)</w:t>
            </w:r>
          </w:p>
        </w:tc>
      </w:tr>
    </w:tbl>
    <w:p>
      <w:pPr>
        <w:spacing w:line="312" w:lineRule="auto" w:before="15"/>
        <w:ind w:left="490" w:right="3924" w:firstLine="0"/>
        <w:jc w:val="left"/>
        <w:rPr>
          <w:sz w:val="20"/>
        </w:rPr>
      </w:pPr>
      <w:r>
        <w:rPr>
          <w:sz w:val="20"/>
        </w:rPr>
        <w:t>Pruebas válidas al 99% de significancia y sin rezagos ADF sin intercepto ni tendencia</w:t>
      </w:r>
    </w:p>
    <w:p>
      <w:pPr>
        <w:spacing w:before="3"/>
        <w:ind w:left="490" w:right="119" w:firstLine="0"/>
        <w:jc w:val="left"/>
        <w:rPr>
          <w:sz w:val="20"/>
        </w:rPr>
      </w:pPr>
      <w:r>
        <w:rPr>
          <w:sz w:val="20"/>
        </w:rPr>
        <w:t>DF-GLS con tendencia</w:t>
      </w:r>
    </w:p>
    <w:p>
      <w:pPr>
        <w:spacing w:line="312" w:lineRule="auto" w:before="70"/>
        <w:ind w:left="490" w:right="6184" w:firstLine="0"/>
        <w:jc w:val="left"/>
        <w:rPr>
          <w:sz w:val="20"/>
        </w:rPr>
      </w:pPr>
      <w:r>
        <w:rPr/>
        <w:pict>
          <v:group style="position:absolute;margin-left:100.089996pt;margin-top:32.145947pt;width:411.35pt;height:1.5pt;mso-position-horizontal-relative:page;mso-position-vertical-relative:paragraph;z-index:-488296" coordorigin="2002,643" coordsize="8227,30">
            <v:line style="position:absolute" from="2007,667" to="4621,667" stroked="true" strokeweight=".47998pt" strokecolor="#000000"/>
            <v:line style="position:absolute" from="2007,648" to="4621,648" stroked="true" strokeweight=".47998pt" strokecolor="#000000"/>
            <v:line style="position:absolute" from="4607,648" to="4635,648" stroked="true" strokeweight=".47998pt" strokecolor="#000000"/>
            <v:line style="position:absolute" from="4607,667" to="4635,667" stroked="true" strokeweight=".47998pt" strokecolor="#000000"/>
            <v:line style="position:absolute" from="4635,667" to="6023,667" stroked="true" strokeweight=".47998pt" strokecolor="#000000"/>
            <v:line style="position:absolute" from="4635,648" to="6023,648" stroked="true" strokeweight=".47998pt" strokecolor="#000000"/>
            <v:line style="position:absolute" from="6009,648" to="6037,648" stroked="true" strokeweight=".47998pt" strokecolor="#000000"/>
            <v:line style="position:absolute" from="6009,667" to="6037,667" stroked="true" strokeweight=".47998pt" strokecolor="#000000"/>
            <v:line style="position:absolute" from="6037,667" to="7422,667" stroked="true" strokeweight=".47998pt" strokecolor="#000000"/>
            <v:line style="position:absolute" from="6037,648" to="7422,648" stroked="true" strokeweight=".47998pt" strokecolor="#000000"/>
            <v:line style="position:absolute" from="7408,648" to="7437,648" stroked="true" strokeweight=".47998pt" strokecolor="#000000"/>
            <v:line style="position:absolute" from="7408,667" to="7437,667" stroked="true" strokeweight=".47998pt" strokecolor="#000000"/>
            <v:line style="position:absolute" from="7437,667" to="8822,667" stroked="true" strokeweight=".47998pt" strokecolor="#000000"/>
            <v:line style="position:absolute" from="7437,648" to="8822,648" stroked="true" strokeweight=".47998pt" strokecolor="#000000"/>
            <v:line style="position:absolute" from="8808,648" to="8836,648" stroked="true" strokeweight=".47998pt" strokecolor="#000000"/>
            <v:line style="position:absolute" from="8808,667" to="8836,667" stroked="true" strokeweight=".47998pt" strokecolor="#000000"/>
            <v:line style="position:absolute" from="8836,667" to="10224,667" stroked="true" strokeweight=".47998pt" strokecolor="#000000"/>
            <v:line style="position:absolute" from="8836,648" to="10224,648" stroked="true" strokeweight=".47998pt" strokecolor="#000000"/>
            <w10:wrap type="none"/>
          </v:group>
        </w:pict>
      </w:r>
      <w:r>
        <w:rPr>
          <w:sz w:val="20"/>
        </w:rPr>
        <w:t>PP con tendencia e intercepto KPSS con intercepto</w:t>
      </w:r>
    </w:p>
    <w:p>
      <w:pPr>
        <w:spacing w:before="0"/>
        <w:ind w:left="464" w:right="119" w:firstLine="0"/>
        <w:jc w:val="left"/>
        <w:rPr>
          <w:sz w:val="18"/>
        </w:rPr>
      </w:pPr>
      <w:r>
        <w:rPr>
          <w:sz w:val="18"/>
        </w:rPr>
        <w:t>Fuente: Elaboración propia</w:t>
      </w:r>
    </w:p>
    <w:p>
      <w:pPr>
        <w:pStyle w:val="BodyText"/>
        <w:rPr>
          <w:sz w:val="18"/>
        </w:rPr>
      </w:pPr>
    </w:p>
    <w:p>
      <w:pPr>
        <w:pStyle w:val="BodyText"/>
        <w:spacing w:line="360" w:lineRule="auto" w:before="135"/>
        <w:ind w:left="102" w:right="118"/>
        <w:jc w:val="both"/>
      </w:pPr>
      <w:r>
        <w:rPr/>
        <w:t>También es conveniente realizar pruebas de validación de los resultados obtenidos, dichas pruebas se muestran con detalle en el siguiente apartado con el fin de presentar evidencia suficiente de la correcta especificación del VAR.</w:t>
      </w:r>
    </w:p>
    <w:p>
      <w:pPr>
        <w:spacing w:after="0" w:line="360" w:lineRule="auto"/>
        <w:jc w:val="both"/>
        <w:sectPr>
          <w:pgSz w:w="12240" w:h="15840"/>
          <w:pgMar w:header="0" w:footer="1035" w:top="1360" w:bottom="1220" w:left="1600" w:right="1580"/>
        </w:sectPr>
      </w:pPr>
    </w:p>
    <w:p>
      <w:pPr>
        <w:pStyle w:val="Heading1"/>
        <w:numPr>
          <w:ilvl w:val="2"/>
          <w:numId w:val="32"/>
        </w:numPr>
        <w:tabs>
          <w:tab w:pos="731" w:val="left" w:leader="none"/>
        </w:tabs>
        <w:spacing w:line="360" w:lineRule="auto" w:before="55" w:after="0"/>
        <w:ind w:left="102" w:right="128" w:firstLine="0"/>
        <w:jc w:val="both"/>
      </w:pPr>
      <w:bookmarkStart w:name="_TOC_250004" w:id="31"/>
      <w:r>
        <w:rPr/>
        <w:t>Pruebas de diagnóstico del modelo de vectores autorregresivos (VAR) para la manufactura de</w:t>
      </w:r>
      <w:r>
        <w:rPr>
          <w:spacing w:val="-8"/>
        </w:rPr>
        <w:t> </w:t>
      </w:r>
      <w:bookmarkEnd w:id="31"/>
      <w:r>
        <w:rPr/>
        <w:t>México</w:t>
      </w:r>
    </w:p>
    <w:p>
      <w:pPr>
        <w:pStyle w:val="BodyText"/>
        <w:spacing w:before="9"/>
        <w:rPr>
          <w:b/>
          <w:sz w:val="20"/>
        </w:rPr>
      </w:pPr>
    </w:p>
    <w:p>
      <w:pPr>
        <w:pStyle w:val="BodyText"/>
        <w:spacing w:line="360" w:lineRule="auto"/>
        <w:ind w:left="102" w:right="120"/>
        <w:jc w:val="both"/>
      </w:pPr>
      <w:r>
        <w:rPr/>
        <w:t>Una vez que se ha especificado y evaluado el VAR, es necesario también, poner especial atención y cuidado, en que el modelo no presente problemas de normalidad,</w:t>
      </w:r>
      <w:r>
        <w:rPr>
          <w:spacing w:val="-25"/>
        </w:rPr>
        <w:t> </w:t>
      </w:r>
      <w:r>
        <w:rPr/>
        <w:t>autocorrelación ni</w:t>
      </w:r>
      <w:r>
        <w:rPr>
          <w:spacing w:val="-4"/>
        </w:rPr>
        <w:t> </w:t>
      </w:r>
      <w:r>
        <w:rPr/>
        <w:t>heteroscedasticidad.</w:t>
      </w:r>
    </w:p>
    <w:p>
      <w:pPr>
        <w:pStyle w:val="BodyText"/>
        <w:spacing w:before="4"/>
        <w:rPr>
          <w:sz w:val="21"/>
        </w:rPr>
      </w:pPr>
    </w:p>
    <w:p>
      <w:pPr>
        <w:pStyle w:val="BodyText"/>
        <w:spacing w:line="360" w:lineRule="auto" w:before="1"/>
        <w:ind w:left="102" w:right="116"/>
        <w:jc w:val="both"/>
      </w:pPr>
      <w:r>
        <w:rPr/>
        <w:t>Para evaluar la normalidad, se empleó el procedimiento de Urzúa, que busca aceptar la hipótesis nula de que los errores se distribuyen normalmente. Los resultados de esta prueba se muestran en el cuadro 5.7 y se concluye que los residuos del modelo se distribuyen normalmente, ya que la probabilidad conjunta del estadístico Jarque-Bera (JB) es superior a 0.05, lo que significa la aceptación de la hipótesis al 95% de confianza (Loría, 2007).</w:t>
      </w:r>
    </w:p>
    <w:p>
      <w:pPr>
        <w:pStyle w:val="BodyText"/>
        <w:spacing w:before="7"/>
        <w:rPr>
          <w:sz w:val="21"/>
        </w:rPr>
      </w:pPr>
    </w:p>
    <w:p>
      <w:pPr>
        <w:pStyle w:val="Heading1"/>
        <w:ind w:left="2733" w:right="119"/>
      </w:pPr>
      <w:r>
        <w:rPr/>
        <w:t>Cuadro 5.7. Prueba de normalidad</w:t>
      </w:r>
    </w:p>
    <w:p>
      <w:pPr>
        <w:pStyle w:val="BodyText"/>
        <w:spacing w:before="1"/>
        <w:rPr>
          <w:b/>
          <w:sz w:val="17"/>
        </w:rPr>
      </w:pPr>
    </w:p>
    <w:tbl>
      <w:tblPr>
        <w:tblW w:w="0" w:type="auto"/>
        <w:jc w:val="left"/>
        <w:tblInd w:w="24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94"/>
        <w:gridCol w:w="1032"/>
        <w:gridCol w:w="850"/>
        <w:gridCol w:w="596"/>
        <w:gridCol w:w="754"/>
      </w:tblGrid>
      <w:tr>
        <w:trPr>
          <w:trHeight w:val="214" w:hRule="exact"/>
        </w:trPr>
        <w:tc>
          <w:tcPr>
            <w:tcW w:w="4225" w:type="dxa"/>
            <w:gridSpan w:val="5"/>
          </w:tcPr>
          <w:p>
            <w:pPr>
              <w:pStyle w:val="TableParagraph"/>
              <w:spacing w:line="184" w:lineRule="exact"/>
              <w:ind w:left="83"/>
              <w:jc w:val="left"/>
              <w:rPr>
                <w:sz w:val="18"/>
              </w:rPr>
            </w:pPr>
            <w:r>
              <w:rPr>
                <w:sz w:val="18"/>
              </w:rPr>
              <w:t>Ortogonalización: Covarianza de residuos (Urzúa)</w:t>
            </w:r>
          </w:p>
        </w:tc>
      </w:tr>
      <w:tr>
        <w:trPr>
          <w:trHeight w:val="227" w:hRule="exact"/>
        </w:trPr>
        <w:tc>
          <w:tcPr>
            <w:tcW w:w="4225" w:type="dxa"/>
            <w:gridSpan w:val="5"/>
          </w:tcPr>
          <w:p>
            <w:pPr>
              <w:pStyle w:val="TableParagraph"/>
              <w:spacing w:before="10"/>
              <w:ind w:left="83"/>
              <w:jc w:val="left"/>
              <w:rPr>
                <w:sz w:val="18"/>
              </w:rPr>
            </w:pPr>
            <w:r>
              <w:rPr>
                <w:sz w:val="18"/>
              </w:rPr>
              <w:t>Ho: los residuos son normales</w:t>
            </w:r>
          </w:p>
        </w:tc>
      </w:tr>
      <w:tr>
        <w:trPr>
          <w:trHeight w:val="208" w:hRule="exact"/>
        </w:trPr>
        <w:tc>
          <w:tcPr>
            <w:tcW w:w="4225" w:type="dxa"/>
            <w:gridSpan w:val="5"/>
          </w:tcPr>
          <w:p>
            <w:pPr>
              <w:pStyle w:val="TableParagraph"/>
              <w:spacing w:line="197" w:lineRule="exact"/>
              <w:ind w:left="83"/>
              <w:jc w:val="left"/>
              <w:rPr>
                <w:sz w:val="18"/>
              </w:rPr>
            </w:pPr>
            <w:r>
              <w:rPr>
                <w:sz w:val="18"/>
              </w:rPr>
              <w:t>Muestra: 1993Q1 2014Q4</w:t>
            </w:r>
          </w:p>
        </w:tc>
      </w:tr>
      <w:tr>
        <w:trPr>
          <w:trHeight w:val="217" w:hRule="exact"/>
        </w:trPr>
        <w:tc>
          <w:tcPr>
            <w:tcW w:w="4225" w:type="dxa"/>
            <w:gridSpan w:val="5"/>
            <w:tcBorders>
              <w:bottom w:val="double" w:sz="4" w:space="0" w:color="000000"/>
            </w:tcBorders>
          </w:tcPr>
          <w:p>
            <w:pPr>
              <w:pStyle w:val="TableParagraph"/>
              <w:spacing w:line="198" w:lineRule="exact"/>
              <w:ind w:left="83"/>
              <w:jc w:val="left"/>
              <w:rPr>
                <w:sz w:val="18"/>
              </w:rPr>
            </w:pPr>
            <w:r>
              <w:rPr>
                <w:sz w:val="18"/>
              </w:rPr>
              <w:t>Observaciones incluidas: 82</w:t>
            </w:r>
          </w:p>
        </w:tc>
      </w:tr>
      <w:tr>
        <w:trPr>
          <w:trHeight w:val="298" w:hRule="exact"/>
        </w:trPr>
        <w:tc>
          <w:tcPr>
            <w:tcW w:w="994" w:type="dxa"/>
            <w:tcBorders>
              <w:top w:val="double" w:sz="4" w:space="0" w:color="000000"/>
            </w:tcBorders>
          </w:tcPr>
          <w:p>
            <w:pPr>
              <w:pStyle w:val="TableParagraph"/>
              <w:spacing w:before="43"/>
              <w:ind w:left="64" w:right="49"/>
              <w:rPr>
                <w:sz w:val="18"/>
              </w:rPr>
            </w:pPr>
            <w:r>
              <w:rPr>
                <w:sz w:val="18"/>
              </w:rPr>
              <w:t>Component</w:t>
            </w:r>
          </w:p>
        </w:tc>
        <w:tc>
          <w:tcPr>
            <w:tcW w:w="1032" w:type="dxa"/>
            <w:tcBorders>
              <w:top w:val="double" w:sz="4" w:space="0" w:color="000000"/>
            </w:tcBorders>
          </w:tcPr>
          <w:p>
            <w:pPr>
              <w:pStyle w:val="TableParagraph"/>
              <w:spacing w:before="43"/>
              <w:ind w:left="47" w:right="72"/>
              <w:rPr>
                <w:sz w:val="18"/>
              </w:rPr>
            </w:pPr>
            <w:r>
              <w:rPr>
                <w:sz w:val="18"/>
              </w:rPr>
              <w:t>Skewness</w:t>
            </w:r>
          </w:p>
        </w:tc>
        <w:tc>
          <w:tcPr>
            <w:tcW w:w="850" w:type="dxa"/>
            <w:tcBorders>
              <w:top w:val="double" w:sz="4" w:space="0" w:color="000000"/>
            </w:tcBorders>
          </w:tcPr>
          <w:p>
            <w:pPr>
              <w:pStyle w:val="TableParagraph"/>
              <w:spacing w:before="43"/>
              <w:ind w:left="167"/>
              <w:jc w:val="left"/>
              <w:rPr>
                <w:sz w:val="18"/>
              </w:rPr>
            </w:pPr>
            <w:r>
              <w:rPr>
                <w:sz w:val="18"/>
              </w:rPr>
              <w:t>Chi-sq</w:t>
            </w:r>
          </w:p>
        </w:tc>
        <w:tc>
          <w:tcPr>
            <w:tcW w:w="596" w:type="dxa"/>
            <w:tcBorders>
              <w:top w:val="double" w:sz="4" w:space="0" w:color="000000"/>
            </w:tcBorders>
          </w:tcPr>
          <w:p>
            <w:pPr>
              <w:pStyle w:val="TableParagraph"/>
              <w:spacing w:before="43"/>
              <w:ind w:left="254" w:right="-1"/>
              <w:jc w:val="left"/>
              <w:rPr>
                <w:sz w:val="18"/>
              </w:rPr>
            </w:pPr>
            <w:r>
              <w:rPr>
                <w:sz w:val="18"/>
              </w:rPr>
              <w:t>df</w:t>
            </w:r>
          </w:p>
        </w:tc>
        <w:tc>
          <w:tcPr>
            <w:tcW w:w="754" w:type="dxa"/>
            <w:tcBorders>
              <w:top w:val="double" w:sz="4" w:space="0" w:color="000000"/>
            </w:tcBorders>
          </w:tcPr>
          <w:p>
            <w:pPr>
              <w:pStyle w:val="TableParagraph"/>
              <w:spacing w:before="43"/>
              <w:ind w:left="220"/>
              <w:jc w:val="left"/>
              <w:rPr>
                <w:sz w:val="18"/>
              </w:rPr>
            </w:pPr>
            <w:r>
              <w:rPr>
                <w:sz w:val="18"/>
              </w:rPr>
              <w:t>Prob.</w:t>
            </w:r>
          </w:p>
        </w:tc>
      </w:tr>
      <w:tr>
        <w:trPr>
          <w:trHeight w:val="253" w:hRule="exact"/>
        </w:trPr>
        <w:tc>
          <w:tcPr>
            <w:tcW w:w="994" w:type="dxa"/>
          </w:tcPr>
          <w:p>
            <w:pPr>
              <w:pStyle w:val="TableParagraph"/>
              <w:spacing w:before="14"/>
              <w:ind w:left="12"/>
              <w:rPr>
                <w:sz w:val="18"/>
              </w:rPr>
            </w:pPr>
            <w:r>
              <w:rPr>
                <w:sz w:val="18"/>
              </w:rPr>
              <w:t>1</w:t>
            </w:r>
          </w:p>
        </w:tc>
        <w:tc>
          <w:tcPr>
            <w:tcW w:w="1032" w:type="dxa"/>
          </w:tcPr>
          <w:p>
            <w:pPr>
              <w:pStyle w:val="TableParagraph"/>
              <w:spacing w:before="14"/>
              <w:ind w:left="50" w:right="30"/>
              <w:rPr>
                <w:sz w:val="18"/>
              </w:rPr>
            </w:pPr>
            <w:r>
              <w:rPr>
                <w:sz w:val="18"/>
              </w:rPr>
              <w:t>0.027865</w:t>
            </w:r>
          </w:p>
        </w:tc>
        <w:tc>
          <w:tcPr>
            <w:tcW w:w="850" w:type="dxa"/>
          </w:tcPr>
          <w:p>
            <w:pPr>
              <w:pStyle w:val="TableParagraph"/>
              <w:spacing w:before="14"/>
              <w:ind w:left="93"/>
              <w:jc w:val="left"/>
              <w:rPr>
                <w:sz w:val="18"/>
              </w:rPr>
            </w:pPr>
            <w:r>
              <w:rPr>
                <w:sz w:val="18"/>
              </w:rPr>
              <w:t>0.011412</w:t>
            </w:r>
          </w:p>
        </w:tc>
        <w:tc>
          <w:tcPr>
            <w:tcW w:w="596" w:type="dxa"/>
          </w:tcPr>
          <w:p>
            <w:pPr>
              <w:pStyle w:val="TableParagraph"/>
              <w:spacing w:before="14"/>
              <w:ind w:left="60"/>
              <w:rPr>
                <w:sz w:val="18"/>
              </w:rPr>
            </w:pPr>
            <w:r>
              <w:rPr>
                <w:sz w:val="18"/>
              </w:rPr>
              <w:t>1</w:t>
            </w:r>
          </w:p>
        </w:tc>
        <w:tc>
          <w:tcPr>
            <w:tcW w:w="754" w:type="dxa"/>
          </w:tcPr>
          <w:p>
            <w:pPr>
              <w:pStyle w:val="TableParagraph"/>
              <w:spacing w:before="14"/>
              <w:ind w:left="189"/>
              <w:jc w:val="left"/>
              <w:rPr>
                <w:sz w:val="18"/>
              </w:rPr>
            </w:pPr>
            <w:r>
              <w:rPr>
                <w:sz w:val="18"/>
              </w:rPr>
              <w:t>0.9149</w:t>
            </w:r>
          </w:p>
        </w:tc>
      </w:tr>
      <w:tr>
        <w:trPr>
          <w:trHeight w:val="276" w:hRule="exact"/>
        </w:trPr>
        <w:tc>
          <w:tcPr>
            <w:tcW w:w="994" w:type="dxa"/>
          </w:tcPr>
          <w:p>
            <w:pPr>
              <w:pStyle w:val="TableParagraph"/>
              <w:spacing w:before="12"/>
              <w:ind w:left="12"/>
              <w:rPr>
                <w:sz w:val="18"/>
              </w:rPr>
            </w:pPr>
            <w:r>
              <w:rPr>
                <w:sz w:val="18"/>
              </w:rPr>
              <w:t>2</w:t>
            </w:r>
          </w:p>
        </w:tc>
        <w:tc>
          <w:tcPr>
            <w:tcW w:w="1032" w:type="dxa"/>
          </w:tcPr>
          <w:p>
            <w:pPr>
              <w:pStyle w:val="TableParagraph"/>
              <w:spacing w:before="12"/>
              <w:ind w:left="50" w:right="72"/>
              <w:rPr>
                <w:sz w:val="18"/>
              </w:rPr>
            </w:pPr>
            <w:r>
              <w:rPr>
                <w:sz w:val="18"/>
              </w:rPr>
              <w:t>-0.160587</w:t>
            </w:r>
          </w:p>
        </w:tc>
        <w:tc>
          <w:tcPr>
            <w:tcW w:w="850" w:type="dxa"/>
          </w:tcPr>
          <w:p>
            <w:pPr>
              <w:pStyle w:val="TableParagraph"/>
              <w:spacing w:before="12"/>
              <w:ind w:left="93"/>
              <w:jc w:val="left"/>
              <w:rPr>
                <w:sz w:val="18"/>
              </w:rPr>
            </w:pPr>
            <w:r>
              <w:rPr>
                <w:sz w:val="18"/>
              </w:rPr>
              <w:t>0.379034</w:t>
            </w:r>
          </w:p>
        </w:tc>
        <w:tc>
          <w:tcPr>
            <w:tcW w:w="596" w:type="dxa"/>
          </w:tcPr>
          <w:p>
            <w:pPr>
              <w:pStyle w:val="TableParagraph"/>
              <w:spacing w:before="12"/>
              <w:ind w:left="60"/>
              <w:rPr>
                <w:sz w:val="18"/>
              </w:rPr>
            </w:pPr>
            <w:r>
              <w:rPr>
                <w:sz w:val="18"/>
              </w:rPr>
              <w:t>1</w:t>
            </w:r>
          </w:p>
        </w:tc>
        <w:tc>
          <w:tcPr>
            <w:tcW w:w="754" w:type="dxa"/>
          </w:tcPr>
          <w:p>
            <w:pPr>
              <w:pStyle w:val="TableParagraph"/>
              <w:spacing w:before="12"/>
              <w:ind w:left="189"/>
              <w:jc w:val="left"/>
              <w:rPr>
                <w:sz w:val="18"/>
              </w:rPr>
            </w:pPr>
            <w:r>
              <w:rPr>
                <w:sz w:val="18"/>
              </w:rPr>
              <w:t>0.5381</w:t>
            </w:r>
          </w:p>
        </w:tc>
      </w:tr>
      <w:tr>
        <w:trPr>
          <w:trHeight w:val="300" w:hRule="exact"/>
        </w:trPr>
        <w:tc>
          <w:tcPr>
            <w:tcW w:w="994" w:type="dxa"/>
          </w:tcPr>
          <w:p>
            <w:pPr>
              <w:pStyle w:val="TableParagraph"/>
              <w:spacing w:before="36"/>
              <w:ind w:left="12"/>
              <w:rPr>
                <w:sz w:val="18"/>
              </w:rPr>
            </w:pPr>
            <w:r>
              <w:rPr>
                <w:sz w:val="18"/>
              </w:rPr>
              <w:t>3</w:t>
            </w:r>
          </w:p>
        </w:tc>
        <w:tc>
          <w:tcPr>
            <w:tcW w:w="1032" w:type="dxa"/>
          </w:tcPr>
          <w:p>
            <w:pPr>
              <w:pStyle w:val="TableParagraph"/>
              <w:spacing w:before="36"/>
              <w:ind w:left="50" w:right="30"/>
              <w:rPr>
                <w:sz w:val="18"/>
              </w:rPr>
            </w:pPr>
            <w:r>
              <w:rPr>
                <w:sz w:val="18"/>
              </w:rPr>
              <w:t>0.386014</w:t>
            </w:r>
          </w:p>
        </w:tc>
        <w:tc>
          <w:tcPr>
            <w:tcW w:w="850" w:type="dxa"/>
          </w:tcPr>
          <w:p>
            <w:pPr>
              <w:pStyle w:val="TableParagraph"/>
              <w:spacing w:before="36"/>
              <w:ind w:left="93"/>
              <w:jc w:val="left"/>
              <w:rPr>
                <w:sz w:val="18"/>
              </w:rPr>
            </w:pPr>
            <w:r>
              <w:rPr>
                <w:sz w:val="18"/>
              </w:rPr>
              <w:t>2.190091</w:t>
            </w:r>
          </w:p>
        </w:tc>
        <w:tc>
          <w:tcPr>
            <w:tcW w:w="596" w:type="dxa"/>
          </w:tcPr>
          <w:p>
            <w:pPr>
              <w:pStyle w:val="TableParagraph"/>
              <w:spacing w:before="36"/>
              <w:ind w:left="60"/>
              <w:rPr>
                <w:sz w:val="18"/>
              </w:rPr>
            </w:pPr>
            <w:r>
              <w:rPr>
                <w:sz w:val="18"/>
              </w:rPr>
              <w:t>1</w:t>
            </w:r>
          </w:p>
        </w:tc>
        <w:tc>
          <w:tcPr>
            <w:tcW w:w="754" w:type="dxa"/>
          </w:tcPr>
          <w:p>
            <w:pPr>
              <w:pStyle w:val="TableParagraph"/>
              <w:spacing w:before="36"/>
              <w:ind w:left="189"/>
              <w:jc w:val="left"/>
              <w:rPr>
                <w:sz w:val="18"/>
              </w:rPr>
            </w:pPr>
            <w:r>
              <w:rPr>
                <w:sz w:val="18"/>
              </w:rPr>
              <w:t>0.1389</w:t>
            </w:r>
          </w:p>
        </w:tc>
      </w:tr>
      <w:tr>
        <w:trPr>
          <w:trHeight w:val="310" w:hRule="exact"/>
        </w:trPr>
        <w:tc>
          <w:tcPr>
            <w:tcW w:w="994" w:type="dxa"/>
            <w:tcBorders>
              <w:bottom w:val="double" w:sz="4" w:space="0" w:color="000000"/>
            </w:tcBorders>
          </w:tcPr>
          <w:p>
            <w:pPr>
              <w:pStyle w:val="TableParagraph"/>
              <w:spacing w:before="36"/>
              <w:ind w:left="12"/>
              <w:rPr>
                <w:sz w:val="18"/>
              </w:rPr>
            </w:pPr>
            <w:r>
              <w:rPr>
                <w:sz w:val="18"/>
              </w:rPr>
              <w:t>4</w:t>
            </w:r>
          </w:p>
        </w:tc>
        <w:tc>
          <w:tcPr>
            <w:tcW w:w="1032" w:type="dxa"/>
            <w:tcBorders>
              <w:bottom w:val="double" w:sz="4" w:space="0" w:color="000000"/>
            </w:tcBorders>
          </w:tcPr>
          <w:p>
            <w:pPr>
              <w:pStyle w:val="TableParagraph"/>
              <w:spacing w:before="36"/>
              <w:ind w:left="50" w:right="30"/>
              <w:rPr>
                <w:sz w:val="18"/>
              </w:rPr>
            </w:pPr>
            <w:r>
              <w:rPr>
                <w:sz w:val="18"/>
              </w:rPr>
              <w:t>0.379343</w:t>
            </w:r>
          </w:p>
        </w:tc>
        <w:tc>
          <w:tcPr>
            <w:tcW w:w="850" w:type="dxa"/>
            <w:tcBorders>
              <w:bottom w:val="double" w:sz="4" w:space="0" w:color="000000"/>
            </w:tcBorders>
          </w:tcPr>
          <w:p>
            <w:pPr>
              <w:pStyle w:val="TableParagraph"/>
              <w:spacing w:before="36"/>
              <w:ind w:left="93"/>
              <w:jc w:val="left"/>
              <w:rPr>
                <w:sz w:val="18"/>
              </w:rPr>
            </w:pPr>
            <w:r>
              <w:rPr>
                <w:sz w:val="18"/>
              </w:rPr>
              <w:t>2.115044</w:t>
            </w:r>
          </w:p>
        </w:tc>
        <w:tc>
          <w:tcPr>
            <w:tcW w:w="596" w:type="dxa"/>
            <w:tcBorders>
              <w:bottom w:val="double" w:sz="4" w:space="0" w:color="000000"/>
            </w:tcBorders>
          </w:tcPr>
          <w:p>
            <w:pPr>
              <w:pStyle w:val="TableParagraph"/>
              <w:spacing w:before="36"/>
              <w:ind w:left="60"/>
              <w:rPr>
                <w:sz w:val="18"/>
              </w:rPr>
            </w:pPr>
            <w:r>
              <w:rPr>
                <w:sz w:val="18"/>
              </w:rPr>
              <w:t>1</w:t>
            </w:r>
          </w:p>
        </w:tc>
        <w:tc>
          <w:tcPr>
            <w:tcW w:w="754" w:type="dxa"/>
            <w:tcBorders>
              <w:bottom w:val="double" w:sz="4" w:space="0" w:color="000000"/>
            </w:tcBorders>
          </w:tcPr>
          <w:p>
            <w:pPr>
              <w:pStyle w:val="TableParagraph"/>
              <w:spacing w:before="36"/>
              <w:ind w:left="189"/>
              <w:jc w:val="left"/>
              <w:rPr>
                <w:sz w:val="18"/>
              </w:rPr>
            </w:pPr>
            <w:r>
              <w:rPr>
                <w:sz w:val="18"/>
              </w:rPr>
              <w:t>0.1459</w:t>
            </w:r>
          </w:p>
        </w:tc>
      </w:tr>
      <w:tr>
        <w:trPr>
          <w:trHeight w:val="238" w:hRule="exact"/>
        </w:trPr>
        <w:tc>
          <w:tcPr>
            <w:tcW w:w="994" w:type="dxa"/>
            <w:tcBorders>
              <w:top w:val="double" w:sz="4" w:space="0" w:color="000000"/>
              <w:bottom w:val="double" w:sz="4" w:space="0" w:color="000000"/>
            </w:tcBorders>
          </w:tcPr>
          <w:p>
            <w:pPr>
              <w:pStyle w:val="TableParagraph"/>
              <w:spacing w:line="202" w:lineRule="exact"/>
              <w:ind w:left="12"/>
              <w:rPr>
                <w:sz w:val="18"/>
              </w:rPr>
            </w:pPr>
            <w:r>
              <w:rPr>
                <w:sz w:val="18"/>
              </w:rPr>
              <w:t>5</w:t>
            </w:r>
          </w:p>
        </w:tc>
        <w:tc>
          <w:tcPr>
            <w:tcW w:w="1032" w:type="dxa"/>
            <w:tcBorders>
              <w:top w:val="double" w:sz="4" w:space="0" w:color="000000"/>
              <w:bottom w:val="double" w:sz="4" w:space="0" w:color="000000"/>
            </w:tcBorders>
          </w:tcPr>
          <w:p>
            <w:pPr>
              <w:pStyle w:val="TableParagraph"/>
              <w:spacing w:line="202" w:lineRule="exact"/>
              <w:ind w:left="50" w:right="30"/>
              <w:rPr>
                <w:sz w:val="18"/>
              </w:rPr>
            </w:pPr>
            <w:r>
              <w:rPr>
                <w:sz w:val="18"/>
              </w:rPr>
              <w:t>0.260134</w:t>
            </w:r>
          </w:p>
        </w:tc>
        <w:tc>
          <w:tcPr>
            <w:tcW w:w="850" w:type="dxa"/>
            <w:tcBorders>
              <w:top w:val="double" w:sz="4" w:space="0" w:color="000000"/>
              <w:bottom w:val="double" w:sz="4" w:space="0" w:color="000000"/>
            </w:tcBorders>
          </w:tcPr>
          <w:p>
            <w:pPr>
              <w:pStyle w:val="TableParagraph"/>
              <w:spacing w:line="202" w:lineRule="exact"/>
              <w:ind w:left="93"/>
              <w:jc w:val="left"/>
              <w:rPr>
                <w:sz w:val="18"/>
              </w:rPr>
            </w:pPr>
            <w:r>
              <w:rPr>
                <w:sz w:val="18"/>
              </w:rPr>
              <w:t>0.994600</w:t>
            </w:r>
          </w:p>
        </w:tc>
        <w:tc>
          <w:tcPr>
            <w:tcW w:w="596" w:type="dxa"/>
            <w:tcBorders>
              <w:top w:val="double" w:sz="4" w:space="0" w:color="000000"/>
              <w:bottom w:val="double" w:sz="4" w:space="0" w:color="000000"/>
            </w:tcBorders>
          </w:tcPr>
          <w:p>
            <w:pPr>
              <w:pStyle w:val="TableParagraph"/>
              <w:spacing w:line="202" w:lineRule="exact"/>
              <w:ind w:left="60"/>
              <w:rPr>
                <w:sz w:val="18"/>
              </w:rPr>
            </w:pPr>
            <w:r>
              <w:rPr>
                <w:sz w:val="18"/>
              </w:rPr>
              <w:t>1</w:t>
            </w:r>
          </w:p>
        </w:tc>
        <w:tc>
          <w:tcPr>
            <w:tcW w:w="754" w:type="dxa"/>
            <w:tcBorders>
              <w:top w:val="double" w:sz="4" w:space="0" w:color="000000"/>
              <w:bottom w:val="double" w:sz="4" w:space="0" w:color="000000"/>
            </w:tcBorders>
          </w:tcPr>
          <w:p>
            <w:pPr>
              <w:pStyle w:val="TableParagraph"/>
              <w:spacing w:line="202" w:lineRule="exact"/>
              <w:ind w:left="189"/>
              <w:jc w:val="left"/>
              <w:rPr>
                <w:sz w:val="18"/>
              </w:rPr>
            </w:pPr>
            <w:r>
              <w:rPr>
                <w:sz w:val="18"/>
              </w:rPr>
              <w:t>0.3186</w:t>
            </w:r>
          </w:p>
        </w:tc>
      </w:tr>
      <w:tr>
        <w:trPr>
          <w:trHeight w:val="235" w:hRule="exact"/>
        </w:trPr>
        <w:tc>
          <w:tcPr>
            <w:tcW w:w="994" w:type="dxa"/>
            <w:tcBorders>
              <w:top w:val="double" w:sz="4" w:space="0" w:color="000000"/>
              <w:bottom w:val="double" w:sz="4" w:space="0" w:color="000000"/>
            </w:tcBorders>
          </w:tcPr>
          <w:p>
            <w:pPr>
              <w:pStyle w:val="TableParagraph"/>
              <w:spacing w:line="202" w:lineRule="exact"/>
              <w:ind w:left="64" w:right="49"/>
              <w:rPr>
                <w:sz w:val="18"/>
              </w:rPr>
            </w:pPr>
            <w:r>
              <w:rPr>
                <w:sz w:val="18"/>
              </w:rPr>
              <w:t>Joint</w:t>
            </w:r>
          </w:p>
        </w:tc>
        <w:tc>
          <w:tcPr>
            <w:tcW w:w="1032" w:type="dxa"/>
            <w:tcBorders>
              <w:top w:val="double" w:sz="4" w:space="0" w:color="000000"/>
              <w:bottom w:val="double" w:sz="4" w:space="0" w:color="000000"/>
            </w:tcBorders>
          </w:tcPr>
          <w:p>
            <w:pPr/>
          </w:p>
        </w:tc>
        <w:tc>
          <w:tcPr>
            <w:tcW w:w="850" w:type="dxa"/>
            <w:tcBorders>
              <w:top w:val="double" w:sz="4" w:space="0" w:color="000000"/>
              <w:bottom w:val="double" w:sz="4" w:space="0" w:color="000000"/>
            </w:tcBorders>
          </w:tcPr>
          <w:p>
            <w:pPr>
              <w:pStyle w:val="TableParagraph"/>
              <w:spacing w:line="202" w:lineRule="exact"/>
              <w:ind w:left="93"/>
              <w:jc w:val="left"/>
              <w:rPr>
                <w:sz w:val="18"/>
              </w:rPr>
            </w:pPr>
            <w:r>
              <w:rPr>
                <w:sz w:val="18"/>
              </w:rPr>
              <w:t>5.690181</w:t>
            </w:r>
          </w:p>
        </w:tc>
        <w:tc>
          <w:tcPr>
            <w:tcW w:w="596" w:type="dxa"/>
            <w:tcBorders>
              <w:top w:val="double" w:sz="4" w:space="0" w:color="000000"/>
              <w:bottom w:val="double" w:sz="4" w:space="0" w:color="000000"/>
            </w:tcBorders>
          </w:tcPr>
          <w:p>
            <w:pPr>
              <w:pStyle w:val="TableParagraph"/>
              <w:spacing w:line="202" w:lineRule="exact"/>
              <w:ind w:left="60"/>
              <w:rPr>
                <w:sz w:val="18"/>
              </w:rPr>
            </w:pPr>
            <w:r>
              <w:rPr>
                <w:sz w:val="18"/>
              </w:rPr>
              <w:t>5</w:t>
            </w:r>
          </w:p>
        </w:tc>
        <w:tc>
          <w:tcPr>
            <w:tcW w:w="754" w:type="dxa"/>
            <w:tcBorders>
              <w:top w:val="double" w:sz="4" w:space="0" w:color="000000"/>
              <w:bottom w:val="double" w:sz="4" w:space="0" w:color="000000"/>
            </w:tcBorders>
          </w:tcPr>
          <w:p>
            <w:pPr>
              <w:pStyle w:val="TableParagraph"/>
              <w:spacing w:line="202" w:lineRule="exact"/>
              <w:ind w:left="189"/>
              <w:jc w:val="left"/>
              <w:rPr>
                <w:sz w:val="18"/>
              </w:rPr>
            </w:pPr>
            <w:r>
              <w:rPr>
                <w:sz w:val="18"/>
              </w:rPr>
              <w:t>0.3375</w:t>
            </w:r>
          </w:p>
        </w:tc>
      </w:tr>
      <w:tr>
        <w:trPr>
          <w:trHeight w:val="332" w:hRule="exact"/>
        </w:trPr>
        <w:tc>
          <w:tcPr>
            <w:tcW w:w="994" w:type="dxa"/>
            <w:tcBorders>
              <w:top w:val="double" w:sz="4" w:space="0" w:color="000000"/>
            </w:tcBorders>
          </w:tcPr>
          <w:p>
            <w:pPr>
              <w:pStyle w:val="TableParagraph"/>
              <w:spacing w:before="50"/>
              <w:ind w:left="64" w:right="49"/>
              <w:rPr>
                <w:sz w:val="18"/>
              </w:rPr>
            </w:pPr>
            <w:r>
              <w:rPr>
                <w:sz w:val="18"/>
              </w:rPr>
              <w:t>Component</w:t>
            </w:r>
          </w:p>
        </w:tc>
        <w:tc>
          <w:tcPr>
            <w:tcW w:w="1032" w:type="dxa"/>
            <w:tcBorders>
              <w:top w:val="double" w:sz="4" w:space="0" w:color="000000"/>
            </w:tcBorders>
          </w:tcPr>
          <w:p>
            <w:pPr>
              <w:pStyle w:val="TableParagraph"/>
              <w:spacing w:before="50"/>
              <w:ind w:left="50" w:right="70"/>
              <w:rPr>
                <w:sz w:val="18"/>
              </w:rPr>
            </w:pPr>
            <w:r>
              <w:rPr>
                <w:sz w:val="18"/>
              </w:rPr>
              <w:t>Kurtosis</w:t>
            </w:r>
          </w:p>
        </w:tc>
        <w:tc>
          <w:tcPr>
            <w:tcW w:w="850" w:type="dxa"/>
            <w:tcBorders>
              <w:top w:val="double" w:sz="4" w:space="0" w:color="000000"/>
            </w:tcBorders>
          </w:tcPr>
          <w:p>
            <w:pPr>
              <w:pStyle w:val="TableParagraph"/>
              <w:spacing w:before="50"/>
              <w:ind w:left="167"/>
              <w:jc w:val="left"/>
              <w:rPr>
                <w:sz w:val="18"/>
              </w:rPr>
            </w:pPr>
            <w:r>
              <w:rPr>
                <w:sz w:val="18"/>
              </w:rPr>
              <w:t>Chi-sq</w:t>
            </w:r>
          </w:p>
        </w:tc>
        <w:tc>
          <w:tcPr>
            <w:tcW w:w="596" w:type="dxa"/>
            <w:tcBorders>
              <w:top w:val="double" w:sz="4" w:space="0" w:color="000000"/>
            </w:tcBorders>
          </w:tcPr>
          <w:p>
            <w:pPr>
              <w:pStyle w:val="TableParagraph"/>
              <w:spacing w:before="50"/>
              <w:ind w:left="254" w:right="-1"/>
              <w:jc w:val="left"/>
              <w:rPr>
                <w:sz w:val="18"/>
              </w:rPr>
            </w:pPr>
            <w:r>
              <w:rPr>
                <w:sz w:val="18"/>
              </w:rPr>
              <w:t>df</w:t>
            </w:r>
          </w:p>
        </w:tc>
        <w:tc>
          <w:tcPr>
            <w:tcW w:w="754" w:type="dxa"/>
            <w:tcBorders>
              <w:top w:val="double" w:sz="4" w:space="0" w:color="000000"/>
            </w:tcBorders>
          </w:tcPr>
          <w:p>
            <w:pPr>
              <w:pStyle w:val="TableParagraph"/>
              <w:spacing w:before="50"/>
              <w:ind w:left="220"/>
              <w:jc w:val="left"/>
              <w:rPr>
                <w:sz w:val="18"/>
              </w:rPr>
            </w:pPr>
            <w:r>
              <w:rPr>
                <w:sz w:val="18"/>
              </w:rPr>
              <w:t>Prob.</w:t>
            </w:r>
          </w:p>
        </w:tc>
      </w:tr>
      <w:tr>
        <w:trPr>
          <w:trHeight w:val="304" w:hRule="exact"/>
        </w:trPr>
        <w:tc>
          <w:tcPr>
            <w:tcW w:w="994" w:type="dxa"/>
          </w:tcPr>
          <w:p>
            <w:pPr>
              <w:pStyle w:val="TableParagraph"/>
              <w:spacing w:before="40"/>
              <w:ind w:left="12"/>
              <w:rPr>
                <w:sz w:val="18"/>
              </w:rPr>
            </w:pPr>
            <w:r>
              <w:rPr>
                <w:sz w:val="18"/>
              </w:rPr>
              <w:t>1</w:t>
            </w:r>
          </w:p>
        </w:tc>
        <w:tc>
          <w:tcPr>
            <w:tcW w:w="1032" w:type="dxa"/>
          </w:tcPr>
          <w:p>
            <w:pPr>
              <w:pStyle w:val="TableParagraph"/>
              <w:spacing w:before="40"/>
              <w:ind w:left="50" w:right="30"/>
              <w:rPr>
                <w:sz w:val="18"/>
              </w:rPr>
            </w:pPr>
            <w:r>
              <w:rPr>
                <w:sz w:val="18"/>
              </w:rPr>
              <w:t>2.273564</w:t>
            </w:r>
          </w:p>
        </w:tc>
        <w:tc>
          <w:tcPr>
            <w:tcW w:w="850" w:type="dxa"/>
          </w:tcPr>
          <w:p>
            <w:pPr>
              <w:pStyle w:val="TableParagraph"/>
              <w:spacing w:before="40"/>
              <w:ind w:left="93"/>
              <w:jc w:val="left"/>
              <w:rPr>
                <w:sz w:val="18"/>
              </w:rPr>
            </w:pPr>
            <w:r>
              <w:rPr>
                <w:sz w:val="18"/>
              </w:rPr>
              <w:t>1.752680</w:t>
            </w:r>
          </w:p>
        </w:tc>
        <w:tc>
          <w:tcPr>
            <w:tcW w:w="596" w:type="dxa"/>
          </w:tcPr>
          <w:p>
            <w:pPr>
              <w:pStyle w:val="TableParagraph"/>
              <w:spacing w:before="40"/>
              <w:ind w:left="60"/>
              <w:rPr>
                <w:sz w:val="18"/>
              </w:rPr>
            </w:pPr>
            <w:r>
              <w:rPr>
                <w:sz w:val="18"/>
              </w:rPr>
              <w:t>1</w:t>
            </w:r>
          </w:p>
        </w:tc>
        <w:tc>
          <w:tcPr>
            <w:tcW w:w="754" w:type="dxa"/>
          </w:tcPr>
          <w:p>
            <w:pPr>
              <w:pStyle w:val="TableParagraph"/>
              <w:spacing w:before="40"/>
              <w:ind w:left="189"/>
              <w:jc w:val="left"/>
              <w:rPr>
                <w:sz w:val="18"/>
              </w:rPr>
            </w:pPr>
            <w:r>
              <w:rPr>
                <w:sz w:val="18"/>
              </w:rPr>
              <w:t>0.1855</w:t>
            </w:r>
          </w:p>
        </w:tc>
      </w:tr>
      <w:tr>
        <w:trPr>
          <w:trHeight w:val="300" w:hRule="exact"/>
        </w:trPr>
        <w:tc>
          <w:tcPr>
            <w:tcW w:w="994" w:type="dxa"/>
          </w:tcPr>
          <w:p>
            <w:pPr>
              <w:pStyle w:val="TableParagraph"/>
              <w:spacing w:before="37"/>
              <w:ind w:left="12"/>
              <w:rPr>
                <w:sz w:val="18"/>
              </w:rPr>
            </w:pPr>
            <w:r>
              <w:rPr>
                <w:sz w:val="18"/>
              </w:rPr>
              <w:t>2</w:t>
            </w:r>
          </w:p>
        </w:tc>
        <w:tc>
          <w:tcPr>
            <w:tcW w:w="1032" w:type="dxa"/>
          </w:tcPr>
          <w:p>
            <w:pPr>
              <w:pStyle w:val="TableParagraph"/>
              <w:spacing w:before="37"/>
              <w:ind w:left="50" w:right="30"/>
              <w:rPr>
                <w:sz w:val="18"/>
              </w:rPr>
            </w:pPr>
            <w:r>
              <w:rPr>
                <w:sz w:val="18"/>
              </w:rPr>
              <w:t>3.381364</w:t>
            </w:r>
          </w:p>
        </w:tc>
        <w:tc>
          <w:tcPr>
            <w:tcW w:w="850" w:type="dxa"/>
          </w:tcPr>
          <w:p>
            <w:pPr>
              <w:pStyle w:val="TableParagraph"/>
              <w:spacing w:before="37"/>
              <w:ind w:left="93"/>
              <w:jc w:val="left"/>
              <w:rPr>
                <w:sz w:val="18"/>
              </w:rPr>
            </w:pPr>
            <w:r>
              <w:rPr>
                <w:sz w:val="18"/>
              </w:rPr>
              <w:t>0.842946</w:t>
            </w:r>
          </w:p>
        </w:tc>
        <w:tc>
          <w:tcPr>
            <w:tcW w:w="596" w:type="dxa"/>
          </w:tcPr>
          <w:p>
            <w:pPr>
              <w:pStyle w:val="TableParagraph"/>
              <w:spacing w:before="37"/>
              <w:ind w:left="60"/>
              <w:rPr>
                <w:sz w:val="18"/>
              </w:rPr>
            </w:pPr>
            <w:r>
              <w:rPr>
                <w:sz w:val="18"/>
              </w:rPr>
              <w:t>1</w:t>
            </w:r>
          </w:p>
        </w:tc>
        <w:tc>
          <w:tcPr>
            <w:tcW w:w="754" w:type="dxa"/>
          </w:tcPr>
          <w:p>
            <w:pPr>
              <w:pStyle w:val="TableParagraph"/>
              <w:spacing w:before="37"/>
              <w:ind w:left="189"/>
              <w:jc w:val="left"/>
              <w:rPr>
                <w:sz w:val="18"/>
              </w:rPr>
            </w:pPr>
            <w:r>
              <w:rPr>
                <w:sz w:val="18"/>
              </w:rPr>
              <w:t>0.3586</w:t>
            </w:r>
          </w:p>
        </w:tc>
      </w:tr>
      <w:tr>
        <w:trPr>
          <w:trHeight w:val="300" w:hRule="exact"/>
        </w:trPr>
        <w:tc>
          <w:tcPr>
            <w:tcW w:w="994" w:type="dxa"/>
          </w:tcPr>
          <w:p>
            <w:pPr>
              <w:pStyle w:val="TableParagraph"/>
              <w:spacing w:before="36"/>
              <w:ind w:left="12"/>
              <w:rPr>
                <w:sz w:val="18"/>
              </w:rPr>
            </w:pPr>
            <w:r>
              <w:rPr>
                <w:sz w:val="18"/>
              </w:rPr>
              <w:t>3</w:t>
            </w:r>
          </w:p>
        </w:tc>
        <w:tc>
          <w:tcPr>
            <w:tcW w:w="1032" w:type="dxa"/>
          </w:tcPr>
          <w:p>
            <w:pPr>
              <w:pStyle w:val="TableParagraph"/>
              <w:spacing w:before="36"/>
              <w:ind w:left="50" w:right="30"/>
              <w:rPr>
                <w:sz w:val="18"/>
              </w:rPr>
            </w:pPr>
            <w:r>
              <w:rPr>
                <w:sz w:val="18"/>
              </w:rPr>
              <w:t>3.270505</w:t>
            </w:r>
          </w:p>
        </w:tc>
        <w:tc>
          <w:tcPr>
            <w:tcW w:w="850" w:type="dxa"/>
          </w:tcPr>
          <w:p>
            <w:pPr>
              <w:pStyle w:val="TableParagraph"/>
              <w:spacing w:before="36"/>
              <w:ind w:left="93"/>
              <w:jc w:val="left"/>
              <w:rPr>
                <w:sz w:val="18"/>
              </w:rPr>
            </w:pPr>
            <w:r>
              <w:rPr>
                <w:sz w:val="18"/>
              </w:rPr>
              <w:t>0.481303</w:t>
            </w:r>
          </w:p>
        </w:tc>
        <w:tc>
          <w:tcPr>
            <w:tcW w:w="596" w:type="dxa"/>
          </w:tcPr>
          <w:p>
            <w:pPr>
              <w:pStyle w:val="TableParagraph"/>
              <w:spacing w:before="36"/>
              <w:ind w:left="60"/>
              <w:rPr>
                <w:sz w:val="18"/>
              </w:rPr>
            </w:pPr>
            <w:r>
              <w:rPr>
                <w:sz w:val="18"/>
              </w:rPr>
              <w:t>1</w:t>
            </w:r>
          </w:p>
        </w:tc>
        <w:tc>
          <w:tcPr>
            <w:tcW w:w="754" w:type="dxa"/>
          </w:tcPr>
          <w:p>
            <w:pPr>
              <w:pStyle w:val="TableParagraph"/>
              <w:spacing w:before="36"/>
              <w:ind w:left="189"/>
              <w:jc w:val="left"/>
              <w:rPr>
                <w:sz w:val="18"/>
              </w:rPr>
            </w:pPr>
            <w:r>
              <w:rPr>
                <w:sz w:val="18"/>
              </w:rPr>
              <w:t>0.4878</w:t>
            </w:r>
          </w:p>
        </w:tc>
      </w:tr>
      <w:tr>
        <w:trPr>
          <w:trHeight w:val="305" w:hRule="exact"/>
        </w:trPr>
        <w:tc>
          <w:tcPr>
            <w:tcW w:w="994" w:type="dxa"/>
          </w:tcPr>
          <w:p>
            <w:pPr>
              <w:pStyle w:val="TableParagraph"/>
              <w:spacing w:before="36"/>
              <w:ind w:left="12"/>
              <w:rPr>
                <w:sz w:val="18"/>
              </w:rPr>
            </w:pPr>
            <w:r>
              <w:rPr>
                <w:sz w:val="18"/>
              </w:rPr>
              <w:t>4</w:t>
            </w:r>
          </w:p>
        </w:tc>
        <w:tc>
          <w:tcPr>
            <w:tcW w:w="1032" w:type="dxa"/>
          </w:tcPr>
          <w:p>
            <w:pPr>
              <w:pStyle w:val="TableParagraph"/>
              <w:spacing w:before="36"/>
              <w:ind w:left="50" w:right="30"/>
              <w:rPr>
                <w:sz w:val="18"/>
              </w:rPr>
            </w:pPr>
            <w:r>
              <w:rPr>
                <w:sz w:val="18"/>
              </w:rPr>
              <w:t>2.703996</w:t>
            </w:r>
          </w:p>
        </w:tc>
        <w:tc>
          <w:tcPr>
            <w:tcW w:w="850" w:type="dxa"/>
          </w:tcPr>
          <w:p>
            <w:pPr>
              <w:pStyle w:val="TableParagraph"/>
              <w:spacing w:before="36"/>
              <w:ind w:left="93"/>
              <w:jc w:val="left"/>
              <w:rPr>
                <w:sz w:val="18"/>
              </w:rPr>
            </w:pPr>
            <w:r>
              <w:rPr>
                <w:sz w:val="18"/>
              </w:rPr>
              <w:t>0.204993</w:t>
            </w:r>
          </w:p>
        </w:tc>
        <w:tc>
          <w:tcPr>
            <w:tcW w:w="596" w:type="dxa"/>
          </w:tcPr>
          <w:p>
            <w:pPr>
              <w:pStyle w:val="TableParagraph"/>
              <w:spacing w:before="36"/>
              <w:ind w:left="60"/>
              <w:rPr>
                <w:sz w:val="18"/>
              </w:rPr>
            </w:pPr>
            <w:r>
              <w:rPr>
                <w:sz w:val="18"/>
              </w:rPr>
              <w:t>1</w:t>
            </w:r>
          </w:p>
        </w:tc>
        <w:tc>
          <w:tcPr>
            <w:tcW w:w="754" w:type="dxa"/>
          </w:tcPr>
          <w:p>
            <w:pPr>
              <w:pStyle w:val="TableParagraph"/>
              <w:spacing w:before="36"/>
              <w:ind w:left="189"/>
              <w:jc w:val="left"/>
              <w:rPr>
                <w:sz w:val="18"/>
              </w:rPr>
            </w:pPr>
            <w:r>
              <w:rPr>
                <w:sz w:val="18"/>
              </w:rPr>
              <w:t>0.6507</w:t>
            </w:r>
          </w:p>
        </w:tc>
      </w:tr>
      <w:tr>
        <w:trPr>
          <w:trHeight w:val="320" w:hRule="exact"/>
        </w:trPr>
        <w:tc>
          <w:tcPr>
            <w:tcW w:w="994" w:type="dxa"/>
            <w:tcBorders>
              <w:bottom w:val="double" w:sz="4" w:space="0" w:color="000000"/>
            </w:tcBorders>
          </w:tcPr>
          <w:p>
            <w:pPr>
              <w:pStyle w:val="TableParagraph"/>
              <w:spacing w:before="41"/>
              <w:ind w:left="12"/>
              <w:rPr>
                <w:sz w:val="18"/>
              </w:rPr>
            </w:pPr>
            <w:r>
              <w:rPr>
                <w:sz w:val="18"/>
              </w:rPr>
              <w:t>5</w:t>
            </w:r>
          </w:p>
        </w:tc>
        <w:tc>
          <w:tcPr>
            <w:tcW w:w="1032" w:type="dxa"/>
            <w:tcBorders>
              <w:bottom w:val="double" w:sz="4" w:space="0" w:color="000000"/>
            </w:tcBorders>
          </w:tcPr>
          <w:p>
            <w:pPr>
              <w:pStyle w:val="TableParagraph"/>
              <w:spacing w:before="41"/>
              <w:ind w:left="50" w:right="30"/>
              <w:rPr>
                <w:sz w:val="18"/>
              </w:rPr>
            </w:pPr>
            <w:r>
              <w:rPr>
                <w:sz w:val="18"/>
              </w:rPr>
              <w:t>2.843229</w:t>
            </w:r>
          </w:p>
        </w:tc>
        <w:tc>
          <w:tcPr>
            <w:tcW w:w="850" w:type="dxa"/>
            <w:tcBorders>
              <w:bottom w:val="double" w:sz="4" w:space="0" w:color="000000"/>
            </w:tcBorders>
          </w:tcPr>
          <w:p>
            <w:pPr>
              <w:pStyle w:val="TableParagraph"/>
              <w:spacing w:before="41"/>
              <w:ind w:left="93"/>
              <w:jc w:val="left"/>
              <w:rPr>
                <w:sz w:val="18"/>
              </w:rPr>
            </w:pPr>
            <w:r>
              <w:rPr>
                <w:sz w:val="18"/>
              </w:rPr>
              <w:t>0.029234</w:t>
            </w:r>
          </w:p>
        </w:tc>
        <w:tc>
          <w:tcPr>
            <w:tcW w:w="596" w:type="dxa"/>
            <w:tcBorders>
              <w:bottom w:val="double" w:sz="4" w:space="0" w:color="000000"/>
            </w:tcBorders>
          </w:tcPr>
          <w:p>
            <w:pPr>
              <w:pStyle w:val="TableParagraph"/>
              <w:spacing w:before="41"/>
              <w:ind w:left="60"/>
              <w:rPr>
                <w:sz w:val="18"/>
              </w:rPr>
            </w:pPr>
            <w:r>
              <w:rPr>
                <w:sz w:val="18"/>
              </w:rPr>
              <w:t>1</w:t>
            </w:r>
          </w:p>
        </w:tc>
        <w:tc>
          <w:tcPr>
            <w:tcW w:w="754" w:type="dxa"/>
            <w:tcBorders>
              <w:bottom w:val="double" w:sz="4" w:space="0" w:color="000000"/>
            </w:tcBorders>
          </w:tcPr>
          <w:p>
            <w:pPr>
              <w:pStyle w:val="TableParagraph"/>
              <w:spacing w:before="41"/>
              <w:ind w:left="189"/>
              <w:jc w:val="left"/>
              <w:rPr>
                <w:sz w:val="18"/>
              </w:rPr>
            </w:pPr>
            <w:r>
              <w:rPr>
                <w:sz w:val="18"/>
              </w:rPr>
              <w:t>0.8642</w:t>
            </w:r>
          </w:p>
        </w:tc>
      </w:tr>
      <w:tr>
        <w:trPr>
          <w:trHeight w:val="238" w:hRule="exact"/>
        </w:trPr>
        <w:tc>
          <w:tcPr>
            <w:tcW w:w="994" w:type="dxa"/>
            <w:tcBorders>
              <w:top w:val="double" w:sz="4" w:space="0" w:color="000000"/>
              <w:bottom w:val="double" w:sz="4" w:space="0" w:color="000000"/>
            </w:tcBorders>
          </w:tcPr>
          <w:p>
            <w:pPr>
              <w:pStyle w:val="TableParagraph"/>
              <w:spacing w:line="205" w:lineRule="exact"/>
              <w:ind w:left="64" w:right="49"/>
              <w:rPr>
                <w:sz w:val="18"/>
              </w:rPr>
            </w:pPr>
            <w:r>
              <w:rPr>
                <w:sz w:val="18"/>
              </w:rPr>
              <w:t>Joint</w:t>
            </w:r>
          </w:p>
        </w:tc>
        <w:tc>
          <w:tcPr>
            <w:tcW w:w="1032" w:type="dxa"/>
            <w:tcBorders>
              <w:top w:val="double" w:sz="4" w:space="0" w:color="000000"/>
              <w:bottom w:val="double" w:sz="4" w:space="0" w:color="000000"/>
            </w:tcBorders>
          </w:tcPr>
          <w:p>
            <w:pPr/>
          </w:p>
        </w:tc>
        <w:tc>
          <w:tcPr>
            <w:tcW w:w="850" w:type="dxa"/>
            <w:tcBorders>
              <w:top w:val="double" w:sz="4" w:space="0" w:color="000000"/>
              <w:bottom w:val="double" w:sz="4" w:space="0" w:color="000000"/>
            </w:tcBorders>
          </w:tcPr>
          <w:p>
            <w:pPr>
              <w:pStyle w:val="TableParagraph"/>
              <w:spacing w:line="205" w:lineRule="exact"/>
              <w:ind w:left="93"/>
              <w:jc w:val="left"/>
              <w:rPr>
                <w:sz w:val="18"/>
              </w:rPr>
            </w:pPr>
            <w:r>
              <w:rPr>
                <w:sz w:val="18"/>
              </w:rPr>
              <w:t>3.311156</w:t>
            </w:r>
          </w:p>
        </w:tc>
        <w:tc>
          <w:tcPr>
            <w:tcW w:w="596" w:type="dxa"/>
            <w:tcBorders>
              <w:top w:val="double" w:sz="4" w:space="0" w:color="000000"/>
              <w:bottom w:val="double" w:sz="4" w:space="0" w:color="000000"/>
            </w:tcBorders>
          </w:tcPr>
          <w:p>
            <w:pPr>
              <w:pStyle w:val="TableParagraph"/>
              <w:spacing w:line="205" w:lineRule="exact"/>
              <w:ind w:left="60"/>
              <w:rPr>
                <w:sz w:val="18"/>
              </w:rPr>
            </w:pPr>
            <w:r>
              <w:rPr>
                <w:sz w:val="18"/>
              </w:rPr>
              <w:t>5</w:t>
            </w:r>
          </w:p>
        </w:tc>
        <w:tc>
          <w:tcPr>
            <w:tcW w:w="754" w:type="dxa"/>
            <w:tcBorders>
              <w:top w:val="double" w:sz="4" w:space="0" w:color="000000"/>
              <w:bottom w:val="double" w:sz="4" w:space="0" w:color="000000"/>
            </w:tcBorders>
          </w:tcPr>
          <w:p>
            <w:pPr>
              <w:pStyle w:val="TableParagraph"/>
              <w:spacing w:line="205" w:lineRule="exact"/>
              <w:ind w:left="189"/>
              <w:jc w:val="left"/>
              <w:rPr>
                <w:sz w:val="18"/>
              </w:rPr>
            </w:pPr>
            <w:r>
              <w:rPr>
                <w:sz w:val="18"/>
              </w:rPr>
              <w:t>0.6521</w:t>
            </w:r>
          </w:p>
        </w:tc>
      </w:tr>
      <w:tr>
        <w:trPr>
          <w:trHeight w:val="332" w:hRule="exact"/>
        </w:trPr>
        <w:tc>
          <w:tcPr>
            <w:tcW w:w="994" w:type="dxa"/>
            <w:tcBorders>
              <w:top w:val="double" w:sz="4" w:space="0" w:color="000000"/>
            </w:tcBorders>
          </w:tcPr>
          <w:p>
            <w:pPr>
              <w:pStyle w:val="TableParagraph"/>
              <w:spacing w:before="50"/>
              <w:ind w:left="64" w:right="49"/>
              <w:rPr>
                <w:sz w:val="18"/>
              </w:rPr>
            </w:pPr>
            <w:r>
              <w:rPr>
                <w:sz w:val="18"/>
              </w:rPr>
              <w:t>Component</w:t>
            </w:r>
          </w:p>
        </w:tc>
        <w:tc>
          <w:tcPr>
            <w:tcW w:w="1032" w:type="dxa"/>
            <w:tcBorders>
              <w:top w:val="double" w:sz="4" w:space="0" w:color="000000"/>
            </w:tcBorders>
          </w:tcPr>
          <w:p>
            <w:pPr>
              <w:pStyle w:val="TableParagraph"/>
              <w:spacing w:before="50"/>
              <w:ind w:left="50" w:right="72"/>
              <w:rPr>
                <w:sz w:val="18"/>
              </w:rPr>
            </w:pPr>
            <w:r>
              <w:rPr>
                <w:sz w:val="18"/>
              </w:rPr>
              <w:t>Jarque-Bera</w:t>
            </w:r>
          </w:p>
        </w:tc>
        <w:tc>
          <w:tcPr>
            <w:tcW w:w="850" w:type="dxa"/>
            <w:tcBorders>
              <w:top w:val="double" w:sz="4" w:space="0" w:color="000000"/>
            </w:tcBorders>
          </w:tcPr>
          <w:p>
            <w:pPr>
              <w:pStyle w:val="TableParagraph"/>
              <w:spacing w:before="50"/>
              <w:ind w:left="315" w:right="343"/>
              <w:rPr>
                <w:sz w:val="18"/>
              </w:rPr>
            </w:pPr>
            <w:r>
              <w:rPr>
                <w:sz w:val="18"/>
              </w:rPr>
              <w:t>df</w:t>
            </w:r>
          </w:p>
        </w:tc>
        <w:tc>
          <w:tcPr>
            <w:tcW w:w="596" w:type="dxa"/>
            <w:tcBorders>
              <w:top w:val="double" w:sz="4" w:space="0" w:color="000000"/>
            </w:tcBorders>
          </w:tcPr>
          <w:p>
            <w:pPr>
              <w:pStyle w:val="TableParagraph"/>
              <w:spacing w:before="50"/>
              <w:ind w:left="136" w:right="-1"/>
              <w:jc w:val="left"/>
              <w:rPr>
                <w:sz w:val="18"/>
              </w:rPr>
            </w:pPr>
            <w:r>
              <w:rPr>
                <w:sz w:val="18"/>
              </w:rPr>
              <w:t>Prob.</w:t>
            </w:r>
          </w:p>
        </w:tc>
        <w:tc>
          <w:tcPr>
            <w:tcW w:w="754" w:type="dxa"/>
            <w:tcBorders>
              <w:top w:val="double" w:sz="4" w:space="0" w:color="000000"/>
            </w:tcBorders>
          </w:tcPr>
          <w:p>
            <w:pPr/>
          </w:p>
        </w:tc>
      </w:tr>
      <w:tr>
        <w:trPr>
          <w:trHeight w:val="304" w:hRule="exact"/>
        </w:trPr>
        <w:tc>
          <w:tcPr>
            <w:tcW w:w="994" w:type="dxa"/>
          </w:tcPr>
          <w:p>
            <w:pPr>
              <w:pStyle w:val="TableParagraph"/>
              <w:spacing w:before="40"/>
              <w:ind w:left="12"/>
              <w:rPr>
                <w:sz w:val="18"/>
              </w:rPr>
            </w:pPr>
            <w:r>
              <w:rPr>
                <w:sz w:val="18"/>
              </w:rPr>
              <w:t>1</w:t>
            </w:r>
          </w:p>
        </w:tc>
        <w:tc>
          <w:tcPr>
            <w:tcW w:w="1032" w:type="dxa"/>
          </w:tcPr>
          <w:p>
            <w:pPr>
              <w:pStyle w:val="TableParagraph"/>
              <w:spacing w:before="40"/>
              <w:ind w:left="50" w:right="70"/>
              <w:rPr>
                <w:sz w:val="18"/>
              </w:rPr>
            </w:pPr>
            <w:r>
              <w:rPr>
                <w:sz w:val="18"/>
              </w:rPr>
              <w:t>1.764092</w:t>
            </w:r>
          </w:p>
        </w:tc>
        <w:tc>
          <w:tcPr>
            <w:tcW w:w="850" w:type="dxa"/>
          </w:tcPr>
          <w:p>
            <w:pPr>
              <w:pStyle w:val="TableParagraph"/>
              <w:spacing w:before="40"/>
              <w:ind w:right="33"/>
              <w:rPr>
                <w:sz w:val="18"/>
              </w:rPr>
            </w:pPr>
            <w:r>
              <w:rPr>
                <w:sz w:val="18"/>
              </w:rPr>
              <w:t>2</w:t>
            </w:r>
          </w:p>
        </w:tc>
        <w:tc>
          <w:tcPr>
            <w:tcW w:w="596" w:type="dxa"/>
          </w:tcPr>
          <w:p>
            <w:pPr>
              <w:pStyle w:val="TableParagraph"/>
              <w:spacing w:before="40"/>
              <w:ind w:left="81" w:right="-1"/>
              <w:jc w:val="left"/>
              <w:rPr>
                <w:sz w:val="18"/>
              </w:rPr>
            </w:pPr>
            <w:r>
              <w:rPr>
                <w:sz w:val="18"/>
              </w:rPr>
              <w:t>0.4139</w:t>
            </w:r>
          </w:p>
        </w:tc>
        <w:tc>
          <w:tcPr>
            <w:tcW w:w="754" w:type="dxa"/>
          </w:tcPr>
          <w:p>
            <w:pPr/>
          </w:p>
        </w:tc>
      </w:tr>
      <w:tr>
        <w:trPr>
          <w:trHeight w:val="300" w:hRule="exact"/>
        </w:trPr>
        <w:tc>
          <w:tcPr>
            <w:tcW w:w="994" w:type="dxa"/>
          </w:tcPr>
          <w:p>
            <w:pPr>
              <w:pStyle w:val="TableParagraph"/>
              <w:spacing w:before="36"/>
              <w:ind w:left="12"/>
              <w:rPr>
                <w:sz w:val="18"/>
              </w:rPr>
            </w:pPr>
            <w:r>
              <w:rPr>
                <w:sz w:val="18"/>
              </w:rPr>
              <w:t>2</w:t>
            </w:r>
          </w:p>
        </w:tc>
        <w:tc>
          <w:tcPr>
            <w:tcW w:w="1032" w:type="dxa"/>
          </w:tcPr>
          <w:p>
            <w:pPr>
              <w:pStyle w:val="TableParagraph"/>
              <w:spacing w:before="36"/>
              <w:ind w:left="50" w:right="72"/>
              <w:rPr>
                <w:sz w:val="18"/>
              </w:rPr>
            </w:pPr>
            <w:r>
              <w:rPr>
                <w:sz w:val="18"/>
              </w:rPr>
              <w:t>1.22198</w:t>
            </w:r>
          </w:p>
        </w:tc>
        <w:tc>
          <w:tcPr>
            <w:tcW w:w="850" w:type="dxa"/>
          </w:tcPr>
          <w:p>
            <w:pPr>
              <w:pStyle w:val="TableParagraph"/>
              <w:spacing w:before="36"/>
              <w:ind w:right="33"/>
              <w:rPr>
                <w:sz w:val="18"/>
              </w:rPr>
            </w:pPr>
            <w:r>
              <w:rPr>
                <w:sz w:val="18"/>
              </w:rPr>
              <w:t>2</w:t>
            </w:r>
          </w:p>
        </w:tc>
        <w:tc>
          <w:tcPr>
            <w:tcW w:w="596" w:type="dxa"/>
          </w:tcPr>
          <w:p>
            <w:pPr>
              <w:pStyle w:val="TableParagraph"/>
              <w:spacing w:before="36"/>
              <w:ind w:left="81" w:right="-1"/>
              <w:jc w:val="left"/>
              <w:rPr>
                <w:sz w:val="18"/>
              </w:rPr>
            </w:pPr>
            <w:r>
              <w:rPr>
                <w:sz w:val="18"/>
              </w:rPr>
              <w:t>0.5428</w:t>
            </w:r>
          </w:p>
        </w:tc>
        <w:tc>
          <w:tcPr>
            <w:tcW w:w="754" w:type="dxa"/>
          </w:tcPr>
          <w:p>
            <w:pPr/>
          </w:p>
        </w:tc>
      </w:tr>
      <w:tr>
        <w:trPr>
          <w:trHeight w:val="300" w:hRule="exact"/>
        </w:trPr>
        <w:tc>
          <w:tcPr>
            <w:tcW w:w="994" w:type="dxa"/>
          </w:tcPr>
          <w:p>
            <w:pPr>
              <w:pStyle w:val="TableParagraph"/>
              <w:spacing w:before="36"/>
              <w:ind w:left="12"/>
              <w:rPr>
                <w:sz w:val="18"/>
              </w:rPr>
            </w:pPr>
            <w:r>
              <w:rPr>
                <w:sz w:val="18"/>
              </w:rPr>
              <w:t>3</w:t>
            </w:r>
          </w:p>
        </w:tc>
        <w:tc>
          <w:tcPr>
            <w:tcW w:w="1032" w:type="dxa"/>
          </w:tcPr>
          <w:p>
            <w:pPr>
              <w:pStyle w:val="TableParagraph"/>
              <w:spacing w:before="36"/>
              <w:ind w:left="50" w:right="70"/>
              <w:rPr>
                <w:sz w:val="18"/>
              </w:rPr>
            </w:pPr>
            <w:r>
              <w:rPr>
                <w:sz w:val="18"/>
              </w:rPr>
              <w:t>2.671395</w:t>
            </w:r>
          </w:p>
        </w:tc>
        <w:tc>
          <w:tcPr>
            <w:tcW w:w="850" w:type="dxa"/>
          </w:tcPr>
          <w:p>
            <w:pPr>
              <w:pStyle w:val="TableParagraph"/>
              <w:spacing w:before="36"/>
              <w:ind w:right="33"/>
              <w:rPr>
                <w:sz w:val="18"/>
              </w:rPr>
            </w:pPr>
            <w:r>
              <w:rPr>
                <w:sz w:val="18"/>
              </w:rPr>
              <w:t>2</w:t>
            </w:r>
          </w:p>
        </w:tc>
        <w:tc>
          <w:tcPr>
            <w:tcW w:w="596" w:type="dxa"/>
          </w:tcPr>
          <w:p>
            <w:pPr>
              <w:pStyle w:val="TableParagraph"/>
              <w:spacing w:before="36"/>
              <w:ind w:left="126" w:right="-1"/>
              <w:jc w:val="left"/>
              <w:rPr>
                <w:sz w:val="18"/>
              </w:rPr>
            </w:pPr>
            <w:r>
              <w:rPr>
                <w:sz w:val="18"/>
              </w:rPr>
              <w:t>0.263</w:t>
            </w:r>
          </w:p>
        </w:tc>
        <w:tc>
          <w:tcPr>
            <w:tcW w:w="754" w:type="dxa"/>
          </w:tcPr>
          <w:p>
            <w:pPr/>
          </w:p>
        </w:tc>
      </w:tr>
      <w:tr>
        <w:trPr>
          <w:trHeight w:val="291" w:hRule="exact"/>
        </w:trPr>
        <w:tc>
          <w:tcPr>
            <w:tcW w:w="994" w:type="dxa"/>
          </w:tcPr>
          <w:p>
            <w:pPr>
              <w:pStyle w:val="TableParagraph"/>
              <w:spacing w:before="36"/>
              <w:ind w:left="12"/>
              <w:rPr>
                <w:sz w:val="18"/>
              </w:rPr>
            </w:pPr>
            <w:r>
              <w:rPr>
                <w:sz w:val="18"/>
              </w:rPr>
              <w:t>4</w:t>
            </w:r>
          </w:p>
        </w:tc>
        <w:tc>
          <w:tcPr>
            <w:tcW w:w="1032" w:type="dxa"/>
          </w:tcPr>
          <w:p>
            <w:pPr>
              <w:pStyle w:val="TableParagraph"/>
              <w:spacing w:before="36"/>
              <w:ind w:left="50" w:right="70"/>
              <w:rPr>
                <w:sz w:val="18"/>
              </w:rPr>
            </w:pPr>
            <w:r>
              <w:rPr>
                <w:sz w:val="18"/>
              </w:rPr>
              <w:t>2.320037</w:t>
            </w:r>
          </w:p>
        </w:tc>
        <w:tc>
          <w:tcPr>
            <w:tcW w:w="850" w:type="dxa"/>
          </w:tcPr>
          <w:p>
            <w:pPr>
              <w:pStyle w:val="TableParagraph"/>
              <w:spacing w:before="36"/>
              <w:ind w:right="33"/>
              <w:rPr>
                <w:sz w:val="18"/>
              </w:rPr>
            </w:pPr>
            <w:r>
              <w:rPr>
                <w:sz w:val="18"/>
              </w:rPr>
              <w:t>2</w:t>
            </w:r>
          </w:p>
        </w:tc>
        <w:tc>
          <w:tcPr>
            <w:tcW w:w="596" w:type="dxa"/>
          </w:tcPr>
          <w:p>
            <w:pPr>
              <w:pStyle w:val="TableParagraph"/>
              <w:spacing w:before="36"/>
              <w:ind w:left="81" w:right="-1"/>
              <w:jc w:val="left"/>
              <w:rPr>
                <w:sz w:val="18"/>
              </w:rPr>
            </w:pPr>
            <w:r>
              <w:rPr>
                <w:sz w:val="18"/>
              </w:rPr>
              <w:t>0.3135</w:t>
            </w:r>
          </w:p>
        </w:tc>
        <w:tc>
          <w:tcPr>
            <w:tcW w:w="754" w:type="dxa"/>
          </w:tcPr>
          <w:p>
            <w:pPr/>
          </w:p>
        </w:tc>
      </w:tr>
      <w:tr>
        <w:trPr>
          <w:trHeight w:val="282" w:hRule="exact"/>
        </w:trPr>
        <w:tc>
          <w:tcPr>
            <w:tcW w:w="994" w:type="dxa"/>
            <w:tcBorders>
              <w:bottom w:val="double" w:sz="4" w:space="0" w:color="000000"/>
            </w:tcBorders>
          </w:tcPr>
          <w:p>
            <w:pPr>
              <w:pStyle w:val="TableParagraph"/>
              <w:spacing w:before="27"/>
              <w:ind w:left="12"/>
              <w:rPr>
                <w:sz w:val="18"/>
              </w:rPr>
            </w:pPr>
            <w:r>
              <w:rPr>
                <w:sz w:val="18"/>
              </w:rPr>
              <w:t>5</w:t>
            </w:r>
          </w:p>
        </w:tc>
        <w:tc>
          <w:tcPr>
            <w:tcW w:w="1032" w:type="dxa"/>
            <w:tcBorders>
              <w:bottom w:val="double" w:sz="4" w:space="0" w:color="000000"/>
            </w:tcBorders>
          </w:tcPr>
          <w:p>
            <w:pPr>
              <w:pStyle w:val="TableParagraph"/>
              <w:spacing w:before="27"/>
              <w:ind w:left="50" w:right="70"/>
              <w:rPr>
                <w:sz w:val="18"/>
              </w:rPr>
            </w:pPr>
            <w:r>
              <w:rPr>
                <w:sz w:val="18"/>
              </w:rPr>
              <w:t>1.023834</w:t>
            </w:r>
          </w:p>
        </w:tc>
        <w:tc>
          <w:tcPr>
            <w:tcW w:w="850" w:type="dxa"/>
            <w:tcBorders>
              <w:bottom w:val="double" w:sz="4" w:space="0" w:color="000000"/>
            </w:tcBorders>
          </w:tcPr>
          <w:p>
            <w:pPr>
              <w:pStyle w:val="TableParagraph"/>
              <w:spacing w:before="27"/>
              <w:ind w:right="33"/>
              <w:rPr>
                <w:sz w:val="18"/>
              </w:rPr>
            </w:pPr>
            <w:r>
              <w:rPr>
                <w:sz w:val="18"/>
              </w:rPr>
              <w:t>2</w:t>
            </w:r>
          </w:p>
        </w:tc>
        <w:tc>
          <w:tcPr>
            <w:tcW w:w="596" w:type="dxa"/>
            <w:tcBorders>
              <w:bottom w:val="double" w:sz="4" w:space="0" w:color="000000"/>
            </w:tcBorders>
          </w:tcPr>
          <w:p>
            <w:pPr>
              <w:pStyle w:val="TableParagraph"/>
              <w:spacing w:before="27"/>
              <w:ind w:left="81" w:right="-1"/>
              <w:jc w:val="left"/>
              <w:rPr>
                <w:sz w:val="18"/>
              </w:rPr>
            </w:pPr>
            <w:r>
              <w:rPr>
                <w:sz w:val="18"/>
              </w:rPr>
              <w:t>0.5993</w:t>
            </w:r>
          </w:p>
        </w:tc>
        <w:tc>
          <w:tcPr>
            <w:tcW w:w="754" w:type="dxa"/>
            <w:tcBorders>
              <w:bottom w:val="double" w:sz="4" w:space="0" w:color="000000"/>
            </w:tcBorders>
          </w:tcPr>
          <w:p>
            <w:pPr/>
          </w:p>
        </w:tc>
      </w:tr>
      <w:tr>
        <w:trPr>
          <w:trHeight w:val="331" w:hRule="exact"/>
        </w:trPr>
        <w:tc>
          <w:tcPr>
            <w:tcW w:w="994" w:type="dxa"/>
            <w:tcBorders>
              <w:top w:val="double" w:sz="4" w:space="0" w:color="000000"/>
              <w:bottom w:val="double" w:sz="4" w:space="0" w:color="000000"/>
            </w:tcBorders>
          </w:tcPr>
          <w:p>
            <w:pPr>
              <w:pStyle w:val="TableParagraph"/>
              <w:spacing w:before="40"/>
              <w:ind w:left="64" w:right="49"/>
              <w:rPr>
                <w:sz w:val="18"/>
              </w:rPr>
            </w:pPr>
            <w:r>
              <w:rPr>
                <w:sz w:val="18"/>
              </w:rPr>
              <w:t>Joint</w:t>
            </w:r>
          </w:p>
        </w:tc>
        <w:tc>
          <w:tcPr>
            <w:tcW w:w="1032" w:type="dxa"/>
            <w:tcBorders>
              <w:top w:val="double" w:sz="4" w:space="0" w:color="000000"/>
              <w:bottom w:val="double" w:sz="4" w:space="0" w:color="000000"/>
            </w:tcBorders>
          </w:tcPr>
          <w:p>
            <w:pPr>
              <w:pStyle w:val="TableParagraph"/>
              <w:spacing w:before="40"/>
              <w:ind w:left="50" w:right="30"/>
              <w:rPr>
                <w:sz w:val="18"/>
              </w:rPr>
            </w:pPr>
            <w:r>
              <w:rPr>
                <w:sz w:val="18"/>
              </w:rPr>
              <w:t>116.9202</w:t>
            </w:r>
          </w:p>
        </w:tc>
        <w:tc>
          <w:tcPr>
            <w:tcW w:w="850" w:type="dxa"/>
            <w:tcBorders>
              <w:top w:val="double" w:sz="4" w:space="0" w:color="000000"/>
              <w:bottom w:val="double" w:sz="4" w:space="0" w:color="000000"/>
            </w:tcBorders>
          </w:tcPr>
          <w:p>
            <w:pPr>
              <w:pStyle w:val="TableParagraph"/>
              <w:spacing w:before="40"/>
              <w:ind w:left="271"/>
              <w:jc w:val="left"/>
              <w:rPr>
                <w:sz w:val="18"/>
              </w:rPr>
            </w:pPr>
            <w:r>
              <w:rPr>
                <w:sz w:val="18"/>
              </w:rPr>
              <w:t>105</w:t>
            </w:r>
          </w:p>
        </w:tc>
        <w:tc>
          <w:tcPr>
            <w:tcW w:w="596" w:type="dxa"/>
            <w:tcBorders>
              <w:top w:val="double" w:sz="4" w:space="0" w:color="000000"/>
              <w:bottom w:val="double" w:sz="4" w:space="0" w:color="000000"/>
            </w:tcBorders>
          </w:tcPr>
          <w:p>
            <w:pPr>
              <w:pStyle w:val="TableParagraph"/>
              <w:spacing w:before="40"/>
              <w:ind w:left="105" w:right="-19"/>
              <w:jc w:val="left"/>
              <w:rPr>
                <w:sz w:val="18"/>
              </w:rPr>
            </w:pPr>
            <w:r>
              <w:rPr>
                <w:spacing w:val="-1"/>
                <w:sz w:val="18"/>
              </w:rPr>
              <w:t>0.2007</w:t>
            </w:r>
          </w:p>
        </w:tc>
        <w:tc>
          <w:tcPr>
            <w:tcW w:w="754" w:type="dxa"/>
            <w:tcBorders>
              <w:top w:val="double" w:sz="4" w:space="0" w:color="000000"/>
              <w:bottom w:val="double" w:sz="4" w:space="0" w:color="000000"/>
            </w:tcBorders>
          </w:tcPr>
          <w:p>
            <w:pPr/>
          </w:p>
        </w:tc>
      </w:tr>
    </w:tbl>
    <w:p>
      <w:pPr>
        <w:spacing w:line="202" w:lineRule="exact" w:before="0"/>
        <w:ind w:left="383" w:right="397" w:firstLine="0"/>
        <w:jc w:val="center"/>
        <w:rPr>
          <w:sz w:val="18"/>
        </w:rPr>
      </w:pPr>
      <w:r>
        <w:rPr>
          <w:sz w:val="18"/>
        </w:rPr>
        <w:t>Fuente: Elaboración propia</w:t>
      </w:r>
    </w:p>
    <w:p>
      <w:pPr>
        <w:spacing w:after="0" w:line="202" w:lineRule="exact"/>
        <w:jc w:val="center"/>
        <w:rPr>
          <w:sz w:val="18"/>
        </w:rPr>
        <w:sectPr>
          <w:pgSz w:w="12240" w:h="15840"/>
          <w:pgMar w:header="0" w:footer="1035" w:top="1360" w:bottom="1220" w:left="1600" w:right="1580"/>
        </w:sectPr>
      </w:pPr>
    </w:p>
    <w:p>
      <w:pPr>
        <w:pStyle w:val="BodyText"/>
        <w:spacing w:line="360" w:lineRule="auto" w:before="50"/>
        <w:ind w:left="102" w:right="117"/>
        <w:jc w:val="both"/>
      </w:pPr>
      <w:r>
        <w:rPr/>
        <w:t>Para evaluar la correlación serial se utilizó la prueba de multiplicadores de Lagrange (LM), los resultados de dicha prueba se presentan en el cuadro 5.8; en general se observa que no existe autocorrelación, únicamente existe autocorrelación de orden 4, que puede deberse a que no se utilizaron series desestacionalizadas.</w:t>
      </w:r>
    </w:p>
    <w:p>
      <w:pPr>
        <w:pStyle w:val="BodyText"/>
        <w:spacing w:before="7"/>
        <w:rPr>
          <w:sz w:val="21"/>
        </w:rPr>
      </w:pPr>
    </w:p>
    <w:p>
      <w:pPr>
        <w:pStyle w:val="Heading1"/>
        <w:ind w:left="2867" w:right="119"/>
      </w:pPr>
      <w:r>
        <w:rPr/>
        <w:t>5.8. Prueba de correlación serial</w:t>
      </w:r>
    </w:p>
    <w:p>
      <w:pPr>
        <w:pStyle w:val="BodyText"/>
        <w:spacing w:before="2"/>
        <w:rPr>
          <w:b/>
          <w:sz w:val="12"/>
        </w:rPr>
      </w:pPr>
    </w:p>
    <w:tbl>
      <w:tblPr>
        <w:tblW w:w="0" w:type="auto"/>
        <w:jc w:val="left"/>
        <w:tblInd w:w="2320"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1205"/>
        <w:gridCol w:w="1697"/>
        <w:gridCol w:w="1486"/>
      </w:tblGrid>
      <w:tr>
        <w:trPr>
          <w:trHeight w:val="302" w:hRule="exact"/>
        </w:trPr>
        <w:tc>
          <w:tcPr>
            <w:tcW w:w="4388" w:type="dxa"/>
            <w:gridSpan w:val="3"/>
            <w:tcBorders>
              <w:left w:val="nil"/>
              <w:bottom w:val="nil"/>
              <w:right w:val="nil"/>
            </w:tcBorders>
          </w:tcPr>
          <w:p>
            <w:pPr>
              <w:pStyle w:val="TableParagraph"/>
              <w:spacing w:before="5"/>
              <w:ind w:left="84"/>
              <w:jc w:val="left"/>
              <w:rPr>
                <w:sz w:val="20"/>
              </w:rPr>
            </w:pPr>
            <w:r>
              <w:rPr>
                <w:sz w:val="20"/>
              </w:rPr>
              <w:t>Ho: no hay correlación serial en el rezago de orden h</w:t>
            </w:r>
          </w:p>
        </w:tc>
      </w:tr>
      <w:tr>
        <w:trPr>
          <w:trHeight w:val="306" w:hRule="exact"/>
        </w:trPr>
        <w:tc>
          <w:tcPr>
            <w:tcW w:w="4388" w:type="dxa"/>
            <w:gridSpan w:val="3"/>
            <w:tcBorders>
              <w:top w:val="nil"/>
              <w:left w:val="nil"/>
              <w:bottom w:val="nil"/>
              <w:right w:val="nil"/>
            </w:tcBorders>
          </w:tcPr>
          <w:p>
            <w:pPr>
              <w:pStyle w:val="TableParagraph"/>
              <w:spacing w:before="30"/>
              <w:ind w:left="84"/>
              <w:jc w:val="left"/>
              <w:rPr>
                <w:sz w:val="20"/>
              </w:rPr>
            </w:pPr>
            <w:r>
              <w:rPr>
                <w:sz w:val="20"/>
              </w:rPr>
              <w:t>Muestra: 1993Q1 2014Q4</w:t>
            </w:r>
          </w:p>
        </w:tc>
      </w:tr>
      <w:tr>
        <w:trPr>
          <w:trHeight w:val="283" w:hRule="exact"/>
        </w:trPr>
        <w:tc>
          <w:tcPr>
            <w:tcW w:w="4388" w:type="dxa"/>
            <w:gridSpan w:val="3"/>
            <w:tcBorders>
              <w:top w:val="nil"/>
              <w:left w:val="nil"/>
              <w:bottom w:val="double" w:sz="6" w:space="0" w:color="9BBA58"/>
              <w:right w:val="nil"/>
            </w:tcBorders>
          </w:tcPr>
          <w:p>
            <w:pPr>
              <w:pStyle w:val="TableParagraph"/>
              <w:spacing w:before="24"/>
              <w:ind w:left="84"/>
              <w:jc w:val="left"/>
              <w:rPr>
                <w:sz w:val="20"/>
              </w:rPr>
            </w:pPr>
            <w:r>
              <w:rPr>
                <w:sz w:val="20"/>
              </w:rPr>
              <w:t>Observaciones incluidas: 84</w:t>
            </w:r>
          </w:p>
        </w:tc>
      </w:tr>
      <w:tr>
        <w:trPr>
          <w:trHeight w:val="430" w:hRule="exact"/>
        </w:trPr>
        <w:tc>
          <w:tcPr>
            <w:tcW w:w="1205" w:type="dxa"/>
            <w:tcBorders>
              <w:top w:val="double" w:sz="6" w:space="0" w:color="9BBA58"/>
              <w:left w:val="nil"/>
              <w:right w:val="nil"/>
            </w:tcBorders>
          </w:tcPr>
          <w:p>
            <w:pPr>
              <w:pStyle w:val="TableParagraph"/>
              <w:spacing w:before="156"/>
              <w:ind w:left="347" w:right="428"/>
              <w:rPr>
                <w:sz w:val="20"/>
              </w:rPr>
            </w:pPr>
            <w:r>
              <w:rPr>
                <w:sz w:val="20"/>
              </w:rPr>
              <w:t>Lags</w:t>
            </w:r>
          </w:p>
        </w:tc>
        <w:tc>
          <w:tcPr>
            <w:tcW w:w="1697" w:type="dxa"/>
            <w:tcBorders>
              <w:top w:val="double" w:sz="6" w:space="0" w:color="9BBA58"/>
              <w:left w:val="nil"/>
              <w:right w:val="nil"/>
            </w:tcBorders>
          </w:tcPr>
          <w:p>
            <w:pPr>
              <w:pStyle w:val="TableParagraph"/>
              <w:spacing w:before="156"/>
              <w:ind w:left="432" w:right="472"/>
              <w:rPr>
                <w:sz w:val="20"/>
              </w:rPr>
            </w:pPr>
            <w:r>
              <w:rPr>
                <w:sz w:val="20"/>
              </w:rPr>
              <w:t>LM-Stat</w:t>
            </w:r>
          </w:p>
        </w:tc>
        <w:tc>
          <w:tcPr>
            <w:tcW w:w="1486" w:type="dxa"/>
            <w:tcBorders>
              <w:top w:val="double" w:sz="6" w:space="0" w:color="9BBA58"/>
              <w:left w:val="nil"/>
              <w:right w:val="nil"/>
            </w:tcBorders>
          </w:tcPr>
          <w:p>
            <w:pPr>
              <w:pStyle w:val="TableParagraph"/>
              <w:spacing w:before="156"/>
              <w:ind w:left="474" w:right="421"/>
              <w:rPr>
                <w:sz w:val="20"/>
              </w:rPr>
            </w:pPr>
            <w:r>
              <w:rPr>
                <w:sz w:val="20"/>
              </w:rPr>
              <w:t>Prob</w:t>
            </w:r>
          </w:p>
        </w:tc>
      </w:tr>
      <w:tr>
        <w:trPr>
          <w:trHeight w:val="329" w:hRule="exact"/>
        </w:trPr>
        <w:tc>
          <w:tcPr>
            <w:tcW w:w="1205" w:type="dxa"/>
            <w:tcBorders>
              <w:left w:val="nil"/>
              <w:right w:val="nil"/>
            </w:tcBorders>
          </w:tcPr>
          <w:p>
            <w:pPr>
              <w:pStyle w:val="TableParagraph"/>
              <w:spacing w:before="65"/>
              <w:ind w:right="81"/>
              <w:rPr>
                <w:sz w:val="20"/>
              </w:rPr>
            </w:pPr>
            <w:r>
              <w:rPr>
                <w:w w:val="99"/>
                <w:sz w:val="20"/>
              </w:rPr>
              <w:t>1</w:t>
            </w:r>
          </w:p>
        </w:tc>
        <w:tc>
          <w:tcPr>
            <w:tcW w:w="1697" w:type="dxa"/>
            <w:tcBorders>
              <w:left w:val="nil"/>
              <w:right w:val="nil"/>
            </w:tcBorders>
          </w:tcPr>
          <w:p>
            <w:pPr>
              <w:pStyle w:val="TableParagraph"/>
              <w:spacing w:before="65"/>
              <w:ind w:left="432" w:right="473"/>
              <w:rPr>
                <w:sz w:val="20"/>
              </w:rPr>
            </w:pPr>
            <w:r>
              <w:rPr>
                <w:sz w:val="20"/>
              </w:rPr>
              <w:t>32.63436</w:t>
            </w:r>
          </w:p>
        </w:tc>
        <w:tc>
          <w:tcPr>
            <w:tcW w:w="1486" w:type="dxa"/>
            <w:tcBorders>
              <w:left w:val="nil"/>
              <w:right w:val="nil"/>
            </w:tcBorders>
          </w:tcPr>
          <w:p>
            <w:pPr>
              <w:pStyle w:val="TableParagraph"/>
              <w:spacing w:before="65"/>
              <w:ind w:left="474" w:right="422"/>
              <w:rPr>
                <w:sz w:val="20"/>
              </w:rPr>
            </w:pPr>
            <w:r>
              <w:rPr>
                <w:sz w:val="20"/>
              </w:rPr>
              <w:t>0.1405</w:t>
            </w:r>
          </w:p>
        </w:tc>
      </w:tr>
      <w:tr>
        <w:trPr>
          <w:trHeight w:val="356" w:hRule="exact"/>
        </w:trPr>
        <w:tc>
          <w:tcPr>
            <w:tcW w:w="1205" w:type="dxa"/>
            <w:tcBorders>
              <w:left w:val="nil"/>
              <w:bottom w:val="nil"/>
              <w:right w:val="nil"/>
            </w:tcBorders>
          </w:tcPr>
          <w:p>
            <w:pPr>
              <w:pStyle w:val="TableParagraph"/>
              <w:spacing w:before="65"/>
              <w:ind w:right="81"/>
              <w:rPr>
                <w:sz w:val="20"/>
              </w:rPr>
            </w:pPr>
            <w:r>
              <w:rPr>
                <w:w w:val="99"/>
                <w:sz w:val="20"/>
              </w:rPr>
              <w:t>2</w:t>
            </w:r>
          </w:p>
        </w:tc>
        <w:tc>
          <w:tcPr>
            <w:tcW w:w="1697" w:type="dxa"/>
            <w:tcBorders>
              <w:left w:val="nil"/>
              <w:bottom w:val="nil"/>
              <w:right w:val="nil"/>
            </w:tcBorders>
          </w:tcPr>
          <w:p>
            <w:pPr>
              <w:pStyle w:val="TableParagraph"/>
              <w:spacing w:before="65"/>
              <w:ind w:left="432" w:right="473"/>
              <w:rPr>
                <w:sz w:val="20"/>
              </w:rPr>
            </w:pPr>
            <w:r>
              <w:rPr>
                <w:sz w:val="20"/>
              </w:rPr>
              <w:t>36.38613</w:t>
            </w:r>
          </w:p>
        </w:tc>
        <w:tc>
          <w:tcPr>
            <w:tcW w:w="1486" w:type="dxa"/>
            <w:tcBorders>
              <w:left w:val="nil"/>
              <w:bottom w:val="nil"/>
              <w:right w:val="nil"/>
            </w:tcBorders>
          </w:tcPr>
          <w:p>
            <w:pPr>
              <w:pStyle w:val="TableParagraph"/>
              <w:spacing w:before="65"/>
              <w:ind w:left="474" w:right="422"/>
              <w:rPr>
                <w:sz w:val="20"/>
              </w:rPr>
            </w:pPr>
            <w:r>
              <w:rPr>
                <w:sz w:val="20"/>
              </w:rPr>
              <w:t>0.0659</w:t>
            </w:r>
          </w:p>
        </w:tc>
      </w:tr>
      <w:tr>
        <w:trPr>
          <w:trHeight w:val="300" w:hRule="exact"/>
        </w:trPr>
        <w:tc>
          <w:tcPr>
            <w:tcW w:w="1205" w:type="dxa"/>
            <w:tcBorders>
              <w:top w:val="nil"/>
              <w:left w:val="nil"/>
              <w:bottom w:val="nil"/>
              <w:right w:val="nil"/>
            </w:tcBorders>
          </w:tcPr>
          <w:p>
            <w:pPr>
              <w:pStyle w:val="TableParagraph"/>
              <w:spacing w:before="24"/>
              <w:ind w:right="81"/>
              <w:rPr>
                <w:sz w:val="20"/>
              </w:rPr>
            </w:pPr>
            <w:r>
              <w:rPr>
                <w:w w:val="99"/>
                <w:sz w:val="20"/>
              </w:rPr>
              <w:t>3</w:t>
            </w:r>
          </w:p>
        </w:tc>
        <w:tc>
          <w:tcPr>
            <w:tcW w:w="1697" w:type="dxa"/>
            <w:tcBorders>
              <w:top w:val="nil"/>
              <w:left w:val="nil"/>
              <w:bottom w:val="nil"/>
              <w:right w:val="nil"/>
            </w:tcBorders>
          </w:tcPr>
          <w:p>
            <w:pPr>
              <w:pStyle w:val="TableParagraph"/>
              <w:spacing w:before="24"/>
              <w:ind w:left="432" w:right="473"/>
              <w:rPr>
                <w:sz w:val="20"/>
              </w:rPr>
            </w:pPr>
            <w:r>
              <w:rPr>
                <w:sz w:val="20"/>
              </w:rPr>
              <w:t>16.99236</w:t>
            </w:r>
          </w:p>
        </w:tc>
        <w:tc>
          <w:tcPr>
            <w:tcW w:w="1486" w:type="dxa"/>
            <w:tcBorders>
              <w:top w:val="nil"/>
              <w:left w:val="nil"/>
              <w:bottom w:val="nil"/>
              <w:right w:val="nil"/>
            </w:tcBorders>
          </w:tcPr>
          <w:p>
            <w:pPr>
              <w:pStyle w:val="TableParagraph"/>
              <w:spacing w:before="24"/>
              <w:ind w:left="474" w:right="422"/>
              <w:rPr>
                <w:sz w:val="20"/>
              </w:rPr>
            </w:pPr>
            <w:r>
              <w:rPr>
                <w:sz w:val="20"/>
              </w:rPr>
              <w:t>0.8821</w:t>
            </w:r>
          </w:p>
        </w:tc>
      </w:tr>
      <w:tr>
        <w:trPr>
          <w:trHeight w:val="300" w:hRule="exact"/>
        </w:trPr>
        <w:tc>
          <w:tcPr>
            <w:tcW w:w="1205" w:type="dxa"/>
            <w:tcBorders>
              <w:top w:val="nil"/>
              <w:left w:val="nil"/>
              <w:bottom w:val="nil"/>
              <w:right w:val="nil"/>
            </w:tcBorders>
          </w:tcPr>
          <w:p>
            <w:pPr>
              <w:pStyle w:val="TableParagraph"/>
              <w:spacing w:before="24"/>
              <w:ind w:right="81"/>
              <w:rPr>
                <w:sz w:val="20"/>
              </w:rPr>
            </w:pPr>
            <w:r>
              <w:rPr>
                <w:w w:val="99"/>
                <w:sz w:val="20"/>
              </w:rPr>
              <w:t>4</w:t>
            </w:r>
          </w:p>
        </w:tc>
        <w:tc>
          <w:tcPr>
            <w:tcW w:w="1697" w:type="dxa"/>
            <w:tcBorders>
              <w:top w:val="nil"/>
              <w:left w:val="nil"/>
              <w:bottom w:val="nil"/>
              <w:right w:val="nil"/>
            </w:tcBorders>
          </w:tcPr>
          <w:p>
            <w:pPr>
              <w:pStyle w:val="TableParagraph"/>
              <w:spacing w:before="24"/>
              <w:ind w:left="432" w:right="473"/>
              <w:rPr>
                <w:sz w:val="20"/>
              </w:rPr>
            </w:pPr>
            <w:r>
              <w:rPr>
                <w:sz w:val="20"/>
              </w:rPr>
              <w:t>38.13862</w:t>
            </w:r>
          </w:p>
        </w:tc>
        <w:tc>
          <w:tcPr>
            <w:tcW w:w="1486" w:type="dxa"/>
            <w:tcBorders>
              <w:top w:val="nil"/>
              <w:left w:val="nil"/>
              <w:bottom w:val="nil"/>
              <w:right w:val="nil"/>
            </w:tcBorders>
          </w:tcPr>
          <w:p>
            <w:pPr>
              <w:pStyle w:val="TableParagraph"/>
              <w:spacing w:before="24"/>
              <w:ind w:left="474" w:right="422"/>
              <w:rPr>
                <w:sz w:val="20"/>
              </w:rPr>
            </w:pPr>
            <w:r>
              <w:rPr>
                <w:sz w:val="20"/>
              </w:rPr>
              <w:t>0.0448</w:t>
            </w:r>
          </w:p>
        </w:tc>
      </w:tr>
      <w:tr>
        <w:trPr>
          <w:trHeight w:val="300" w:hRule="exact"/>
        </w:trPr>
        <w:tc>
          <w:tcPr>
            <w:tcW w:w="1205" w:type="dxa"/>
            <w:tcBorders>
              <w:top w:val="nil"/>
              <w:left w:val="nil"/>
              <w:bottom w:val="nil"/>
              <w:right w:val="nil"/>
            </w:tcBorders>
          </w:tcPr>
          <w:p>
            <w:pPr>
              <w:pStyle w:val="TableParagraph"/>
              <w:spacing w:before="24"/>
              <w:ind w:right="81"/>
              <w:rPr>
                <w:sz w:val="20"/>
              </w:rPr>
            </w:pPr>
            <w:r>
              <w:rPr>
                <w:w w:val="99"/>
                <w:sz w:val="20"/>
              </w:rPr>
              <w:t>5</w:t>
            </w:r>
          </w:p>
        </w:tc>
        <w:tc>
          <w:tcPr>
            <w:tcW w:w="1697" w:type="dxa"/>
            <w:tcBorders>
              <w:top w:val="nil"/>
              <w:left w:val="nil"/>
              <w:bottom w:val="nil"/>
              <w:right w:val="nil"/>
            </w:tcBorders>
          </w:tcPr>
          <w:p>
            <w:pPr>
              <w:pStyle w:val="TableParagraph"/>
              <w:spacing w:before="24"/>
              <w:ind w:left="432" w:right="473"/>
              <w:rPr>
                <w:sz w:val="20"/>
              </w:rPr>
            </w:pPr>
            <w:r>
              <w:rPr>
                <w:sz w:val="20"/>
              </w:rPr>
              <w:t>26.9368</w:t>
            </w:r>
          </w:p>
        </w:tc>
        <w:tc>
          <w:tcPr>
            <w:tcW w:w="1486" w:type="dxa"/>
            <w:tcBorders>
              <w:top w:val="nil"/>
              <w:left w:val="nil"/>
              <w:bottom w:val="nil"/>
              <w:right w:val="nil"/>
            </w:tcBorders>
          </w:tcPr>
          <w:p>
            <w:pPr>
              <w:pStyle w:val="TableParagraph"/>
              <w:spacing w:before="24"/>
              <w:ind w:left="474" w:right="419"/>
              <w:rPr>
                <w:sz w:val="20"/>
              </w:rPr>
            </w:pPr>
            <w:r>
              <w:rPr>
                <w:sz w:val="20"/>
              </w:rPr>
              <w:t>0.359</w:t>
            </w:r>
          </w:p>
        </w:tc>
      </w:tr>
      <w:tr>
        <w:trPr>
          <w:trHeight w:val="275" w:hRule="exact"/>
        </w:trPr>
        <w:tc>
          <w:tcPr>
            <w:tcW w:w="1205" w:type="dxa"/>
            <w:tcBorders>
              <w:top w:val="nil"/>
              <w:left w:val="nil"/>
              <w:right w:val="nil"/>
            </w:tcBorders>
          </w:tcPr>
          <w:p>
            <w:pPr>
              <w:pStyle w:val="TableParagraph"/>
              <w:spacing w:before="24"/>
              <w:ind w:right="81"/>
              <w:rPr>
                <w:sz w:val="20"/>
              </w:rPr>
            </w:pPr>
            <w:r>
              <w:rPr>
                <w:w w:val="99"/>
                <w:sz w:val="20"/>
              </w:rPr>
              <w:t>6</w:t>
            </w:r>
          </w:p>
        </w:tc>
        <w:tc>
          <w:tcPr>
            <w:tcW w:w="1697" w:type="dxa"/>
            <w:tcBorders>
              <w:top w:val="nil"/>
              <w:left w:val="nil"/>
              <w:right w:val="nil"/>
            </w:tcBorders>
          </w:tcPr>
          <w:p>
            <w:pPr>
              <w:pStyle w:val="TableParagraph"/>
              <w:spacing w:before="24"/>
              <w:ind w:left="432" w:right="473"/>
              <w:rPr>
                <w:sz w:val="20"/>
              </w:rPr>
            </w:pPr>
            <w:r>
              <w:rPr>
                <w:sz w:val="20"/>
              </w:rPr>
              <w:t>14.17765</w:t>
            </w:r>
          </w:p>
        </w:tc>
        <w:tc>
          <w:tcPr>
            <w:tcW w:w="1486" w:type="dxa"/>
            <w:tcBorders>
              <w:top w:val="nil"/>
              <w:left w:val="nil"/>
              <w:right w:val="nil"/>
            </w:tcBorders>
          </w:tcPr>
          <w:p>
            <w:pPr>
              <w:pStyle w:val="TableParagraph"/>
              <w:spacing w:before="24"/>
              <w:ind w:left="474" w:right="422"/>
              <w:rPr>
                <w:sz w:val="20"/>
              </w:rPr>
            </w:pPr>
            <w:r>
              <w:rPr>
                <w:sz w:val="20"/>
              </w:rPr>
              <w:t>0.9585</w:t>
            </w:r>
          </w:p>
        </w:tc>
      </w:tr>
      <w:tr>
        <w:trPr>
          <w:trHeight w:val="331" w:hRule="exact"/>
        </w:trPr>
        <w:tc>
          <w:tcPr>
            <w:tcW w:w="2902" w:type="dxa"/>
            <w:gridSpan w:val="2"/>
            <w:tcBorders>
              <w:left w:val="nil"/>
              <w:right w:val="nil"/>
            </w:tcBorders>
          </w:tcPr>
          <w:p>
            <w:pPr>
              <w:pStyle w:val="TableParagraph"/>
              <w:spacing w:before="65"/>
              <w:ind w:left="84"/>
              <w:jc w:val="left"/>
              <w:rPr>
                <w:sz w:val="20"/>
              </w:rPr>
            </w:pPr>
            <w:r>
              <w:rPr>
                <w:sz w:val="20"/>
              </w:rPr>
              <w:t>Probs from chi-square with 25 df.</w:t>
            </w:r>
          </w:p>
        </w:tc>
        <w:tc>
          <w:tcPr>
            <w:tcW w:w="1486" w:type="dxa"/>
            <w:tcBorders>
              <w:left w:val="nil"/>
              <w:right w:val="nil"/>
            </w:tcBorders>
          </w:tcPr>
          <w:p>
            <w:pPr/>
          </w:p>
        </w:tc>
      </w:tr>
    </w:tbl>
    <w:p>
      <w:pPr>
        <w:spacing w:line="203" w:lineRule="exact" w:before="0"/>
        <w:ind w:left="2353" w:right="119" w:firstLine="0"/>
        <w:jc w:val="left"/>
        <w:rPr>
          <w:sz w:val="18"/>
        </w:rPr>
      </w:pPr>
      <w:r>
        <w:rPr>
          <w:sz w:val="18"/>
        </w:rPr>
        <w:t>Fuente: Elaboración propia</w:t>
      </w:r>
    </w:p>
    <w:p>
      <w:pPr>
        <w:pStyle w:val="BodyText"/>
        <w:rPr>
          <w:sz w:val="18"/>
        </w:rPr>
      </w:pPr>
    </w:p>
    <w:p>
      <w:pPr>
        <w:pStyle w:val="BodyText"/>
        <w:spacing w:line="360" w:lineRule="auto" w:before="135"/>
        <w:ind w:left="102" w:right="34"/>
      </w:pPr>
      <w:r>
        <w:rPr/>
        <w:t>Asimismo, no se encontraron problemas de heteroscedasticidad, esto se observa en el cuadro 5.9.</w:t>
      </w:r>
    </w:p>
    <w:p>
      <w:pPr>
        <w:pStyle w:val="BodyText"/>
        <w:spacing w:before="7"/>
        <w:rPr>
          <w:sz w:val="21"/>
        </w:rPr>
      </w:pPr>
    </w:p>
    <w:p>
      <w:pPr>
        <w:pStyle w:val="Heading1"/>
        <w:ind w:left="2327" w:right="119"/>
      </w:pPr>
      <w:r>
        <w:rPr/>
        <w:t>Cuadro 5.9. Prueba de heteroscedasticidad</w:t>
      </w:r>
    </w:p>
    <w:p>
      <w:pPr>
        <w:pStyle w:val="BodyText"/>
        <w:spacing w:before="2"/>
        <w:rPr>
          <w:b/>
          <w:sz w:val="12"/>
        </w:rPr>
      </w:pPr>
    </w:p>
    <w:tbl>
      <w:tblPr>
        <w:tblW w:w="0" w:type="auto"/>
        <w:jc w:val="left"/>
        <w:tblInd w:w="2581"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1875"/>
        <w:gridCol w:w="1036"/>
        <w:gridCol w:w="957"/>
      </w:tblGrid>
      <w:tr>
        <w:trPr>
          <w:trHeight w:val="323" w:hRule="exact"/>
        </w:trPr>
        <w:tc>
          <w:tcPr>
            <w:tcW w:w="3867" w:type="dxa"/>
            <w:gridSpan w:val="3"/>
            <w:tcBorders>
              <w:left w:val="nil"/>
              <w:bottom w:val="nil"/>
              <w:right w:val="nil"/>
            </w:tcBorders>
          </w:tcPr>
          <w:p>
            <w:pPr>
              <w:pStyle w:val="TableParagraph"/>
              <w:spacing w:before="63"/>
              <w:ind w:left="83"/>
              <w:jc w:val="left"/>
              <w:rPr>
                <w:sz w:val="20"/>
              </w:rPr>
            </w:pPr>
            <w:r>
              <w:rPr>
                <w:sz w:val="20"/>
              </w:rPr>
              <w:t>Muestra: 1993Q1 2014Q4</w:t>
            </w:r>
          </w:p>
        </w:tc>
      </w:tr>
      <w:tr>
        <w:trPr>
          <w:trHeight w:val="235" w:hRule="exact"/>
        </w:trPr>
        <w:tc>
          <w:tcPr>
            <w:tcW w:w="3867" w:type="dxa"/>
            <w:gridSpan w:val="3"/>
            <w:tcBorders>
              <w:top w:val="nil"/>
              <w:left w:val="nil"/>
              <w:bottom w:val="nil"/>
              <w:right w:val="nil"/>
            </w:tcBorders>
          </w:tcPr>
          <w:p>
            <w:pPr>
              <w:pStyle w:val="TableParagraph"/>
              <w:spacing w:line="224" w:lineRule="exact"/>
              <w:ind w:left="83"/>
              <w:jc w:val="left"/>
              <w:rPr>
                <w:sz w:val="20"/>
              </w:rPr>
            </w:pPr>
            <w:r>
              <w:rPr>
                <w:sz w:val="20"/>
              </w:rPr>
              <w:t>Observaciones incluidas: 84</w:t>
            </w:r>
          </w:p>
        </w:tc>
      </w:tr>
      <w:tr>
        <w:trPr>
          <w:trHeight w:val="241" w:hRule="exact"/>
        </w:trPr>
        <w:tc>
          <w:tcPr>
            <w:tcW w:w="3867" w:type="dxa"/>
            <w:gridSpan w:val="3"/>
            <w:tcBorders>
              <w:top w:val="nil"/>
              <w:left w:val="nil"/>
              <w:right w:val="nil"/>
            </w:tcBorders>
          </w:tcPr>
          <w:p>
            <w:pPr>
              <w:pStyle w:val="TableParagraph"/>
              <w:spacing w:line="219" w:lineRule="exact"/>
              <w:ind w:left="83"/>
              <w:jc w:val="left"/>
              <w:rPr>
                <w:sz w:val="20"/>
              </w:rPr>
            </w:pPr>
            <w:r>
              <w:rPr>
                <w:sz w:val="20"/>
              </w:rPr>
              <w:t>Términos no cruzados (sólo niveles y squares)</w:t>
            </w:r>
          </w:p>
        </w:tc>
      </w:tr>
      <w:tr>
        <w:trPr>
          <w:trHeight w:val="336" w:hRule="exact"/>
        </w:trPr>
        <w:tc>
          <w:tcPr>
            <w:tcW w:w="1875" w:type="dxa"/>
            <w:tcBorders>
              <w:left w:val="nil"/>
              <w:bottom w:val="nil"/>
              <w:right w:val="nil"/>
            </w:tcBorders>
          </w:tcPr>
          <w:p>
            <w:pPr>
              <w:pStyle w:val="TableParagraph"/>
              <w:spacing w:before="70"/>
              <w:ind w:left="613" w:right="465"/>
              <w:rPr>
                <w:b/>
                <w:sz w:val="20"/>
              </w:rPr>
            </w:pPr>
            <w:r>
              <w:rPr>
                <w:b/>
                <w:sz w:val="20"/>
              </w:rPr>
              <w:t>Chi-sq</w:t>
            </w:r>
          </w:p>
        </w:tc>
        <w:tc>
          <w:tcPr>
            <w:tcW w:w="1036" w:type="dxa"/>
            <w:tcBorders>
              <w:left w:val="nil"/>
              <w:bottom w:val="nil"/>
              <w:right w:val="nil"/>
            </w:tcBorders>
          </w:tcPr>
          <w:p>
            <w:pPr>
              <w:pStyle w:val="TableParagraph"/>
              <w:spacing w:before="70"/>
              <w:ind w:left="464" w:right="229"/>
              <w:rPr>
                <w:b/>
                <w:sz w:val="20"/>
              </w:rPr>
            </w:pPr>
            <w:r>
              <w:rPr>
                <w:b/>
                <w:sz w:val="20"/>
              </w:rPr>
              <w:t>df</w:t>
            </w:r>
          </w:p>
        </w:tc>
        <w:tc>
          <w:tcPr>
            <w:tcW w:w="957" w:type="dxa"/>
            <w:tcBorders>
              <w:left w:val="nil"/>
              <w:bottom w:val="nil"/>
              <w:right w:val="nil"/>
            </w:tcBorders>
          </w:tcPr>
          <w:p>
            <w:pPr>
              <w:pStyle w:val="TableParagraph"/>
              <w:spacing w:before="70"/>
              <w:ind w:left="226" w:right="138"/>
              <w:rPr>
                <w:b/>
                <w:sz w:val="20"/>
              </w:rPr>
            </w:pPr>
            <w:r>
              <w:rPr>
                <w:b/>
                <w:sz w:val="20"/>
              </w:rPr>
              <w:t>Prob.</w:t>
            </w:r>
          </w:p>
        </w:tc>
      </w:tr>
      <w:tr>
        <w:trPr>
          <w:trHeight w:val="274" w:hRule="exact"/>
        </w:trPr>
        <w:tc>
          <w:tcPr>
            <w:tcW w:w="1875" w:type="dxa"/>
            <w:tcBorders>
              <w:top w:val="nil"/>
              <w:left w:val="nil"/>
              <w:right w:val="nil"/>
            </w:tcBorders>
          </w:tcPr>
          <w:p>
            <w:pPr>
              <w:pStyle w:val="TableParagraph"/>
              <w:spacing w:line="229" w:lineRule="exact"/>
              <w:ind w:left="618" w:right="465"/>
              <w:rPr>
                <w:sz w:val="20"/>
              </w:rPr>
            </w:pPr>
            <w:r>
              <w:rPr>
                <w:sz w:val="20"/>
              </w:rPr>
              <w:t>609.2971</w:t>
            </w:r>
          </w:p>
        </w:tc>
        <w:tc>
          <w:tcPr>
            <w:tcW w:w="1036" w:type="dxa"/>
            <w:tcBorders>
              <w:top w:val="nil"/>
              <w:left w:val="nil"/>
              <w:right w:val="nil"/>
            </w:tcBorders>
          </w:tcPr>
          <w:p>
            <w:pPr>
              <w:pStyle w:val="TableParagraph"/>
              <w:spacing w:line="229" w:lineRule="exact"/>
              <w:ind w:left="465" w:right="229"/>
              <w:rPr>
                <w:sz w:val="20"/>
              </w:rPr>
            </w:pPr>
            <w:r>
              <w:rPr>
                <w:sz w:val="20"/>
              </w:rPr>
              <w:t>600</w:t>
            </w:r>
          </w:p>
        </w:tc>
        <w:tc>
          <w:tcPr>
            <w:tcW w:w="957" w:type="dxa"/>
            <w:tcBorders>
              <w:top w:val="nil"/>
              <w:left w:val="nil"/>
              <w:right w:val="nil"/>
            </w:tcBorders>
          </w:tcPr>
          <w:p>
            <w:pPr>
              <w:pStyle w:val="TableParagraph"/>
              <w:spacing w:line="229" w:lineRule="exact"/>
              <w:ind w:left="228" w:right="138"/>
              <w:rPr>
                <w:sz w:val="20"/>
              </w:rPr>
            </w:pPr>
            <w:r>
              <w:rPr>
                <w:sz w:val="20"/>
              </w:rPr>
              <w:t>0.3874</w:t>
            </w:r>
          </w:p>
        </w:tc>
      </w:tr>
    </w:tbl>
    <w:p>
      <w:pPr>
        <w:spacing w:line="202" w:lineRule="exact" w:before="0"/>
        <w:ind w:left="2625" w:right="119" w:firstLine="0"/>
        <w:jc w:val="left"/>
        <w:rPr>
          <w:sz w:val="18"/>
        </w:rPr>
      </w:pPr>
      <w:r>
        <w:rPr>
          <w:sz w:val="18"/>
        </w:rPr>
        <w:t>Fuente: Elaboración propia</w:t>
      </w:r>
    </w:p>
    <w:p>
      <w:pPr>
        <w:pStyle w:val="BodyText"/>
        <w:rPr>
          <w:sz w:val="18"/>
        </w:rPr>
      </w:pPr>
    </w:p>
    <w:p>
      <w:pPr>
        <w:pStyle w:val="BodyText"/>
        <w:spacing w:line="360" w:lineRule="auto" w:before="137"/>
        <w:ind w:left="102" w:right="118"/>
        <w:jc w:val="both"/>
      </w:pPr>
      <w:r>
        <w:rPr/>
        <w:t>Una vez que se ha evaluado la correcta especificación del modelo estimado, podemos entonces realizar el análisis de impulso respuesta y conocer entonces los efectos que genera los choques de todas las variables endógenas sobre la manufactura de México.</w:t>
      </w:r>
    </w:p>
    <w:p>
      <w:pPr>
        <w:pStyle w:val="BodyText"/>
        <w:spacing w:before="7"/>
        <w:rPr>
          <w:sz w:val="21"/>
        </w:rPr>
      </w:pPr>
    </w:p>
    <w:p>
      <w:pPr>
        <w:pStyle w:val="Heading1"/>
        <w:numPr>
          <w:ilvl w:val="2"/>
          <w:numId w:val="32"/>
        </w:numPr>
        <w:tabs>
          <w:tab w:pos="702" w:val="left" w:leader="none"/>
        </w:tabs>
        <w:spacing w:line="240" w:lineRule="auto" w:before="0" w:after="0"/>
        <w:ind w:left="702" w:right="0" w:hanging="600"/>
        <w:jc w:val="both"/>
      </w:pPr>
      <w:bookmarkStart w:name="_TOC_250003" w:id="32"/>
      <w:r>
        <w:rPr/>
        <w:t>Análisis de impulso respuesta de la manufactura de</w:t>
      </w:r>
      <w:r>
        <w:rPr>
          <w:spacing w:val="-16"/>
        </w:rPr>
        <w:t> </w:t>
      </w:r>
      <w:bookmarkEnd w:id="32"/>
      <w:r>
        <w:rPr/>
        <w:t>México</w:t>
      </w:r>
    </w:p>
    <w:p>
      <w:pPr>
        <w:pStyle w:val="BodyText"/>
        <w:spacing w:before="6"/>
        <w:rPr>
          <w:b/>
          <w:sz w:val="32"/>
        </w:rPr>
      </w:pPr>
    </w:p>
    <w:p>
      <w:pPr>
        <w:pStyle w:val="BodyText"/>
        <w:spacing w:line="360" w:lineRule="auto" w:before="1"/>
        <w:ind w:left="102" w:right="120"/>
        <w:jc w:val="both"/>
      </w:pPr>
      <w:r>
        <w:rPr/>
        <w:t>El análisis de impulso respuesta indica la respuesta dinámica de la variable dependiente en el sistema del VAR ante choques en los términos de error o innovaciones de todas las</w:t>
      </w:r>
    </w:p>
    <w:p>
      <w:pPr>
        <w:spacing w:after="0" w:line="360" w:lineRule="auto"/>
        <w:jc w:val="both"/>
        <w:sectPr>
          <w:pgSz w:w="12240" w:h="15840"/>
          <w:pgMar w:header="0" w:footer="1035" w:top="1360" w:bottom="1220" w:left="1600" w:right="1580"/>
        </w:sectPr>
      </w:pPr>
    </w:p>
    <w:p>
      <w:pPr>
        <w:pStyle w:val="BodyText"/>
        <w:spacing w:line="360" w:lineRule="auto" w:before="50"/>
        <w:ind w:left="102" w:right="122"/>
        <w:jc w:val="both"/>
      </w:pPr>
      <w:r>
        <w:rPr/>
        <w:t>variables endógenas, excluyendo los efectos de las variables que expresamente asignamos como exógenas, es decir a través de este análisis se puede conocer los efectos que generan las variables especificadas anteriormente sobre la producción manufacturera.</w:t>
      </w:r>
    </w:p>
    <w:p>
      <w:pPr>
        <w:pStyle w:val="BodyText"/>
        <w:spacing w:before="4"/>
        <w:rPr>
          <w:sz w:val="21"/>
        </w:rPr>
      </w:pPr>
    </w:p>
    <w:p>
      <w:pPr>
        <w:pStyle w:val="BodyText"/>
        <w:spacing w:line="360" w:lineRule="auto" w:before="1"/>
        <w:ind w:left="102" w:right="113"/>
        <w:jc w:val="both"/>
      </w:pPr>
      <w:r>
        <w:rPr/>
        <w:t>Una</w:t>
      </w:r>
      <w:r>
        <w:rPr>
          <w:spacing w:val="-10"/>
        </w:rPr>
        <w:t> </w:t>
      </w:r>
      <w:r>
        <w:rPr/>
        <w:t>característica</w:t>
      </w:r>
      <w:r>
        <w:rPr>
          <w:spacing w:val="-8"/>
        </w:rPr>
        <w:t> </w:t>
      </w:r>
      <w:r>
        <w:rPr/>
        <w:t>de</w:t>
      </w:r>
      <w:r>
        <w:rPr>
          <w:spacing w:val="-7"/>
        </w:rPr>
        <w:t> </w:t>
      </w:r>
      <w:r>
        <w:rPr/>
        <w:t>este</w:t>
      </w:r>
      <w:r>
        <w:rPr>
          <w:spacing w:val="-7"/>
        </w:rPr>
        <w:t> </w:t>
      </w:r>
      <w:r>
        <w:rPr/>
        <w:t>análisis</w:t>
      </w:r>
      <w:r>
        <w:rPr>
          <w:spacing w:val="-8"/>
        </w:rPr>
        <w:t> </w:t>
      </w:r>
      <w:r>
        <w:rPr/>
        <w:t>es</w:t>
      </w:r>
      <w:r>
        <w:rPr>
          <w:spacing w:val="-6"/>
        </w:rPr>
        <w:t> </w:t>
      </w:r>
      <w:r>
        <w:rPr/>
        <w:t>que</w:t>
      </w:r>
      <w:r>
        <w:rPr>
          <w:spacing w:val="-10"/>
        </w:rPr>
        <w:t> </w:t>
      </w:r>
      <w:r>
        <w:rPr/>
        <w:t>si</w:t>
      </w:r>
      <w:r>
        <w:rPr>
          <w:spacing w:val="-6"/>
        </w:rPr>
        <w:t> </w:t>
      </w:r>
      <w:r>
        <w:rPr/>
        <w:t>se</w:t>
      </w:r>
      <w:r>
        <w:rPr>
          <w:spacing w:val="-9"/>
        </w:rPr>
        <w:t> </w:t>
      </w:r>
      <w:r>
        <w:rPr/>
        <w:t>utiliza</w:t>
      </w:r>
      <w:r>
        <w:rPr>
          <w:spacing w:val="-10"/>
        </w:rPr>
        <w:t> </w:t>
      </w:r>
      <w:r>
        <w:rPr/>
        <w:t>la</w:t>
      </w:r>
      <w:r>
        <w:rPr>
          <w:spacing w:val="-9"/>
        </w:rPr>
        <w:t> </w:t>
      </w:r>
      <w:r>
        <w:rPr/>
        <w:t>metodología</w:t>
      </w:r>
      <w:r>
        <w:rPr>
          <w:spacing w:val="-9"/>
        </w:rPr>
        <w:t> </w:t>
      </w:r>
      <w:r>
        <w:rPr/>
        <w:t>propuesta</w:t>
      </w:r>
      <w:r>
        <w:rPr>
          <w:spacing w:val="-9"/>
        </w:rPr>
        <w:t> </w:t>
      </w:r>
      <w:r>
        <w:rPr/>
        <w:t>por</w:t>
      </w:r>
      <w:r>
        <w:rPr>
          <w:spacing w:val="-9"/>
        </w:rPr>
        <w:t> </w:t>
      </w:r>
      <w:r>
        <w:rPr/>
        <w:t>Cholesky, el orden en la asignación de las variables es muy importante, </w:t>
      </w:r>
      <w:r>
        <w:rPr>
          <w:spacing w:val="-3"/>
        </w:rPr>
        <w:t>ya </w:t>
      </w:r>
      <w:r>
        <w:rPr/>
        <w:t>que influye directamente sobre los resultados, sin embargo, este problema puede solventarse resolviendo el modelo con la metodología propuesta por Pesaran y Shin (1998), que se conoce comúnmente de impulsos generalizados y es recomendable si no se sabe a ciencia cierta el canal de transmisión de los choques entre las variables (Loría, 2007). Para este análisis se optó por</w:t>
      </w:r>
      <w:r>
        <w:rPr>
          <w:spacing w:val="-15"/>
        </w:rPr>
        <w:t> </w:t>
      </w:r>
      <w:r>
        <w:rPr/>
        <w:t>la opción de los impulsos</w:t>
      </w:r>
      <w:r>
        <w:rPr>
          <w:spacing w:val="-8"/>
        </w:rPr>
        <w:t> </w:t>
      </w:r>
      <w:r>
        <w:rPr/>
        <w:t>generalizados.</w:t>
      </w:r>
    </w:p>
    <w:p>
      <w:pPr>
        <w:pStyle w:val="BodyText"/>
        <w:spacing w:before="2"/>
        <w:rPr>
          <w:sz w:val="21"/>
        </w:rPr>
      </w:pPr>
    </w:p>
    <w:p>
      <w:pPr>
        <w:pStyle w:val="BodyText"/>
        <w:spacing w:line="360" w:lineRule="auto"/>
        <w:ind w:left="102" w:right="113"/>
        <w:jc w:val="both"/>
      </w:pPr>
      <w:r>
        <w:rPr/>
        <w:t>En la gráfica 5.2 se presentan los resultados del análisis de impulso respuesta, donde se observa que en términos generales existe estabilidad dinámica, es decir que las perturbaciones que sufren las variables deben desaparecer asintóticamente, pues muestran efectos transitorios y no explosivos ante un cambio en las innovaciones de una de las variables, lo cual también indica que existe una correcta especificación del modelo (Arias y Torres, 2004).</w:t>
      </w:r>
    </w:p>
    <w:p>
      <w:pPr>
        <w:pStyle w:val="BodyText"/>
        <w:spacing w:before="2"/>
        <w:rPr>
          <w:sz w:val="21"/>
        </w:rPr>
      </w:pPr>
    </w:p>
    <w:p>
      <w:pPr>
        <w:pStyle w:val="BodyText"/>
        <w:spacing w:line="360" w:lineRule="auto"/>
        <w:ind w:left="102" w:right="116"/>
        <w:jc w:val="both"/>
      </w:pPr>
      <w:r>
        <w:rPr/>
        <w:t>El análisis puntualmente indicó que la industria manufacturera de México (lyman) responde positivamente ante una innovación en la industria automotriz (lyauto), diluyéndose el efecto a partir del periodo ocho, es decir dos años después. Este resultado aporta evidencia de que la industria automotriz influye en el crecimiento de la industria manufacturera de México.</w:t>
      </w:r>
    </w:p>
    <w:p>
      <w:pPr>
        <w:pStyle w:val="BodyText"/>
        <w:spacing w:before="3"/>
        <w:rPr>
          <w:sz w:val="21"/>
        </w:rPr>
      </w:pPr>
    </w:p>
    <w:p>
      <w:pPr>
        <w:pStyle w:val="BodyText"/>
        <w:spacing w:line="360" w:lineRule="auto"/>
        <w:ind w:left="102" w:right="116"/>
        <w:jc w:val="both"/>
      </w:pPr>
      <w:r>
        <w:rPr/>
        <w:t>En cuanto al tipo de cambio real (lqreal) se encuentra que genera un efecto negativo en la producción manufacturera y dicho efecto se diluye después del periodo siete, este comportamiento</w:t>
      </w:r>
      <w:r>
        <w:rPr>
          <w:spacing w:val="-3"/>
        </w:rPr>
        <w:t> </w:t>
      </w:r>
      <w:r>
        <w:rPr/>
        <w:t>puede</w:t>
      </w:r>
      <w:r>
        <w:rPr>
          <w:spacing w:val="-5"/>
        </w:rPr>
        <w:t> </w:t>
      </w:r>
      <w:r>
        <w:rPr/>
        <w:t>explicarse</w:t>
      </w:r>
      <w:r>
        <w:rPr>
          <w:spacing w:val="-5"/>
        </w:rPr>
        <w:t> </w:t>
      </w:r>
      <w:r>
        <w:rPr/>
        <w:t>por</w:t>
      </w:r>
      <w:r>
        <w:rPr>
          <w:spacing w:val="-5"/>
        </w:rPr>
        <w:t> </w:t>
      </w:r>
      <w:r>
        <w:rPr/>
        <w:t>la</w:t>
      </w:r>
      <w:r>
        <w:rPr>
          <w:spacing w:val="-4"/>
        </w:rPr>
        <w:t> </w:t>
      </w:r>
      <w:r>
        <w:rPr/>
        <w:t>relación</w:t>
      </w:r>
      <w:r>
        <w:rPr>
          <w:spacing w:val="-2"/>
        </w:rPr>
        <w:t> </w:t>
      </w:r>
      <w:r>
        <w:rPr/>
        <w:t>directa</w:t>
      </w:r>
      <w:r>
        <w:rPr>
          <w:spacing w:val="-4"/>
        </w:rPr>
        <w:t> </w:t>
      </w:r>
      <w:r>
        <w:rPr/>
        <w:t>que</w:t>
      </w:r>
      <w:r>
        <w:rPr>
          <w:spacing w:val="-5"/>
        </w:rPr>
        <w:t> </w:t>
      </w:r>
      <w:r>
        <w:rPr/>
        <w:t>existe</w:t>
      </w:r>
      <w:r>
        <w:rPr>
          <w:spacing w:val="-5"/>
        </w:rPr>
        <w:t> </w:t>
      </w:r>
      <w:r>
        <w:rPr/>
        <w:t>entre</w:t>
      </w:r>
      <w:r>
        <w:rPr>
          <w:spacing w:val="-6"/>
        </w:rPr>
        <w:t> </w:t>
      </w:r>
      <w:r>
        <w:rPr/>
        <w:t>lyman</w:t>
      </w:r>
      <w:r>
        <w:rPr>
          <w:spacing w:val="-1"/>
        </w:rPr>
        <w:t> </w:t>
      </w:r>
      <w:r>
        <w:rPr/>
        <w:t>y</w:t>
      </w:r>
      <w:r>
        <w:rPr>
          <w:spacing w:val="-9"/>
        </w:rPr>
        <w:t> </w:t>
      </w:r>
      <w:r>
        <w:rPr/>
        <w:t>lqreal,</w:t>
      </w:r>
      <w:r>
        <w:rPr>
          <w:spacing w:val="-3"/>
        </w:rPr>
        <w:t> </w:t>
      </w:r>
      <w:r>
        <w:rPr/>
        <w:t>que hace que el crecimiento de la primera variable se asocie a depreciaciones</w:t>
      </w:r>
      <w:r>
        <w:rPr>
          <w:spacing w:val="-18"/>
        </w:rPr>
        <w:t> </w:t>
      </w:r>
      <w:r>
        <w:rPr/>
        <w:t>cambiarias.</w:t>
      </w:r>
    </w:p>
    <w:p>
      <w:pPr>
        <w:pStyle w:val="BodyText"/>
        <w:spacing w:before="2"/>
        <w:rPr>
          <w:sz w:val="21"/>
        </w:rPr>
      </w:pPr>
    </w:p>
    <w:p>
      <w:pPr>
        <w:pStyle w:val="BodyText"/>
        <w:spacing w:line="360" w:lineRule="auto"/>
        <w:ind w:left="102" w:right="120"/>
        <w:jc w:val="both"/>
      </w:pPr>
      <w:r>
        <w:rPr/>
        <w:t>El producto industrial de Estados Unidos (lyindusteu) es la variable de mayor impacto en la producción manufacturera de México (lyman) </w:t>
      </w:r>
      <w:r>
        <w:rPr>
          <w:spacing w:val="-3"/>
        </w:rPr>
        <w:t>ya </w:t>
      </w:r>
      <w:r>
        <w:rPr/>
        <w:t>que su efecto se diluye a partir del</w:t>
      </w:r>
      <w:r>
        <w:rPr>
          <w:spacing w:val="-17"/>
        </w:rPr>
        <w:t> </w:t>
      </w:r>
      <w:r>
        <w:rPr/>
        <w:t>periodo diecisiete, y además genera una dinámica muy positiva en ésta variable, por lo que se puede afirmar</w:t>
      </w:r>
      <w:r>
        <w:rPr>
          <w:spacing w:val="43"/>
        </w:rPr>
        <w:t> </w:t>
      </w:r>
      <w:r>
        <w:rPr/>
        <w:t>que</w:t>
      </w:r>
      <w:r>
        <w:rPr>
          <w:spacing w:val="43"/>
        </w:rPr>
        <w:t> </w:t>
      </w:r>
      <w:r>
        <w:rPr/>
        <w:t>la</w:t>
      </w:r>
      <w:r>
        <w:rPr>
          <w:spacing w:val="43"/>
        </w:rPr>
        <w:t> </w:t>
      </w:r>
      <w:r>
        <w:rPr/>
        <w:t>industria</w:t>
      </w:r>
      <w:r>
        <w:rPr>
          <w:spacing w:val="45"/>
        </w:rPr>
        <w:t> </w:t>
      </w:r>
      <w:r>
        <w:rPr/>
        <w:t>manufacturera</w:t>
      </w:r>
      <w:r>
        <w:rPr>
          <w:spacing w:val="43"/>
        </w:rPr>
        <w:t> </w:t>
      </w:r>
      <w:r>
        <w:rPr/>
        <w:t>de</w:t>
      </w:r>
      <w:r>
        <w:rPr>
          <w:spacing w:val="43"/>
        </w:rPr>
        <w:t> </w:t>
      </w:r>
      <w:r>
        <w:rPr/>
        <w:t>nuestro</w:t>
      </w:r>
      <w:r>
        <w:rPr>
          <w:spacing w:val="43"/>
        </w:rPr>
        <w:t> </w:t>
      </w:r>
      <w:r>
        <w:rPr/>
        <w:t>país</w:t>
      </w:r>
      <w:r>
        <w:rPr>
          <w:spacing w:val="46"/>
        </w:rPr>
        <w:t> </w:t>
      </w:r>
      <w:r>
        <w:rPr/>
        <w:t>es</w:t>
      </w:r>
      <w:r>
        <w:rPr>
          <w:spacing w:val="44"/>
        </w:rPr>
        <w:t> </w:t>
      </w:r>
      <w:r>
        <w:rPr/>
        <w:t>altamente</w:t>
      </w:r>
      <w:r>
        <w:rPr>
          <w:spacing w:val="45"/>
        </w:rPr>
        <w:t> </w:t>
      </w:r>
      <w:r>
        <w:rPr/>
        <w:t>sensible</w:t>
      </w:r>
      <w:r>
        <w:rPr>
          <w:spacing w:val="43"/>
        </w:rPr>
        <w:t> </w:t>
      </w:r>
      <w:r>
        <w:rPr/>
        <w:t>a</w:t>
      </w:r>
      <w:r>
        <w:rPr>
          <w:spacing w:val="43"/>
        </w:rPr>
        <w:t> </w:t>
      </w:r>
      <w:r>
        <w:rPr/>
        <w:t>choques</w:t>
      </w:r>
    </w:p>
    <w:p>
      <w:pPr>
        <w:spacing w:after="0" w:line="360" w:lineRule="auto"/>
        <w:jc w:val="both"/>
        <w:sectPr>
          <w:pgSz w:w="12240" w:h="15840"/>
          <w:pgMar w:header="0" w:footer="1035" w:top="1360" w:bottom="1220" w:left="1600" w:right="1580"/>
        </w:sectPr>
      </w:pPr>
    </w:p>
    <w:p>
      <w:pPr>
        <w:pStyle w:val="BodyText"/>
        <w:spacing w:line="360" w:lineRule="auto" w:before="50"/>
        <w:ind w:left="102" w:right="118"/>
        <w:jc w:val="both"/>
      </w:pPr>
      <w:r>
        <w:rPr/>
        <w:t>externos a través de la producción industrial de nuestro país vecino, lo que puede deberse al hecho de que alrededor del 80% de las exportaciones de la economía mexicana se realizan hacia Estados Unidos, y la manufactura proporciona actualmente poco más del 85% de las exportaciones totales de nuestro país.</w:t>
      </w:r>
    </w:p>
    <w:p>
      <w:pPr>
        <w:pStyle w:val="BodyText"/>
        <w:spacing w:before="2"/>
        <w:rPr>
          <w:sz w:val="21"/>
        </w:rPr>
      </w:pPr>
    </w:p>
    <w:p>
      <w:pPr>
        <w:pStyle w:val="BodyText"/>
        <w:spacing w:line="360" w:lineRule="auto"/>
        <w:ind w:left="102" w:right="121"/>
        <w:jc w:val="both"/>
      </w:pPr>
      <w:r>
        <w:rPr/>
        <w:t>En cuanto a la productividad media del trabajo en la industria automotriz, se encuentra que dicha variable genera un pequeño crecimiento dentro de la manufactura nacional, sin embargo su efecto es el que más rápidamente se diluye pues a partir del séptimo periodo el efecto</w:t>
      </w:r>
      <w:r>
        <w:rPr>
          <w:spacing w:val="-11"/>
        </w:rPr>
        <w:t> </w:t>
      </w:r>
      <w:r>
        <w:rPr/>
        <w:t>desaparece.</w:t>
      </w:r>
      <w:r>
        <w:rPr>
          <w:spacing w:val="-13"/>
        </w:rPr>
        <w:t> </w:t>
      </w:r>
      <w:r>
        <w:rPr/>
        <w:t>En</w:t>
      </w:r>
      <w:r>
        <w:rPr>
          <w:spacing w:val="-12"/>
        </w:rPr>
        <w:t> </w:t>
      </w:r>
      <w:r>
        <w:rPr/>
        <w:t>ese</w:t>
      </w:r>
      <w:r>
        <w:rPr>
          <w:spacing w:val="-12"/>
        </w:rPr>
        <w:t> </w:t>
      </w:r>
      <w:r>
        <w:rPr/>
        <w:t>sentido,</w:t>
      </w:r>
      <w:r>
        <w:rPr>
          <w:spacing w:val="-13"/>
        </w:rPr>
        <w:t> </w:t>
      </w:r>
      <w:r>
        <w:rPr/>
        <w:t>el</w:t>
      </w:r>
      <w:r>
        <w:rPr>
          <w:spacing w:val="-13"/>
        </w:rPr>
        <w:t> </w:t>
      </w:r>
      <w:r>
        <w:rPr/>
        <w:t>análisis</w:t>
      </w:r>
      <w:r>
        <w:rPr>
          <w:spacing w:val="-13"/>
        </w:rPr>
        <w:t> </w:t>
      </w:r>
      <w:r>
        <w:rPr/>
        <w:t>deja</w:t>
      </w:r>
      <w:r>
        <w:rPr>
          <w:spacing w:val="-14"/>
        </w:rPr>
        <w:t> </w:t>
      </w:r>
      <w:r>
        <w:rPr/>
        <w:t>ver</w:t>
      </w:r>
      <w:r>
        <w:rPr>
          <w:spacing w:val="-14"/>
        </w:rPr>
        <w:t> </w:t>
      </w:r>
      <w:r>
        <w:rPr/>
        <w:t>que</w:t>
      </w:r>
      <w:r>
        <w:rPr>
          <w:spacing w:val="-12"/>
        </w:rPr>
        <w:t> </w:t>
      </w:r>
      <w:r>
        <w:rPr/>
        <w:t>la</w:t>
      </w:r>
      <w:r>
        <w:rPr>
          <w:spacing w:val="-14"/>
        </w:rPr>
        <w:t> </w:t>
      </w:r>
      <w:r>
        <w:rPr/>
        <w:t>productividad</w:t>
      </w:r>
      <w:r>
        <w:rPr>
          <w:spacing w:val="-14"/>
        </w:rPr>
        <w:t> </w:t>
      </w:r>
      <w:r>
        <w:rPr/>
        <w:t>de</w:t>
      </w:r>
      <w:r>
        <w:rPr>
          <w:spacing w:val="-14"/>
        </w:rPr>
        <w:t> </w:t>
      </w:r>
      <w:r>
        <w:rPr/>
        <w:t>los</w:t>
      </w:r>
      <w:r>
        <w:rPr>
          <w:spacing w:val="-13"/>
        </w:rPr>
        <w:t> </w:t>
      </w:r>
      <w:r>
        <w:rPr/>
        <w:t>trabajadores de la automotriz es la variable de menor impacto sobre la manufactura de</w:t>
      </w:r>
      <w:r>
        <w:rPr>
          <w:spacing w:val="-13"/>
        </w:rPr>
        <w:t> </w:t>
      </w:r>
      <w:r>
        <w:rPr/>
        <w:t>México.</w:t>
      </w:r>
    </w:p>
    <w:p>
      <w:pPr>
        <w:pStyle w:val="BodyText"/>
        <w:spacing w:before="4"/>
        <w:rPr>
          <w:sz w:val="21"/>
        </w:rPr>
      </w:pPr>
    </w:p>
    <w:p>
      <w:pPr>
        <w:pStyle w:val="BodyText"/>
        <w:spacing w:line="360" w:lineRule="auto" w:before="1"/>
        <w:ind w:left="102" w:right="120"/>
        <w:jc w:val="both"/>
      </w:pPr>
      <w:r>
        <w:rPr/>
        <w:t>Con lo anterior, se aporta evidencia en el sentido de que la industria automotriz ha sido importante en el crecimiento de la industria manufacturera, pues las variables de</w:t>
      </w:r>
      <w:r>
        <w:rPr>
          <w:spacing w:val="-38"/>
        </w:rPr>
        <w:t> </w:t>
      </w:r>
      <w:r>
        <w:rPr/>
        <w:t>producción automotriz y la productividad media del trabajo en el mismo sector, generan impactos positivos sobre la manufactura de México, así, se confirma la hipótesis planteada acerca de que la industria automotriz ha sido un motor de crecimiento dentro de la industria manufacturera.</w:t>
      </w:r>
    </w:p>
    <w:p>
      <w:pPr>
        <w:pStyle w:val="Heading1"/>
        <w:spacing w:before="11"/>
        <w:ind w:left="2526" w:right="119"/>
      </w:pPr>
      <w:r>
        <w:rPr/>
        <w:t>Gráfica 5.2. Análisis impulso respuesta</w:t>
      </w:r>
    </w:p>
    <w:p>
      <w:pPr>
        <w:spacing w:before="130"/>
        <w:ind w:left="2673" w:right="119" w:firstLine="0"/>
        <w:jc w:val="left"/>
        <w:rPr>
          <w:rFonts w:ascii="Arial" w:hAnsi="Arial"/>
          <w:sz w:val="16"/>
        </w:rPr>
      </w:pPr>
      <w:r>
        <w:rPr>
          <w:rFonts w:ascii="Arial" w:hAnsi="Arial"/>
          <w:w w:val="105"/>
          <w:sz w:val="16"/>
        </w:rPr>
        <w:t>Response to Generalized One S.D. Innovations ± 2 S.E.</w:t>
      </w:r>
    </w:p>
    <w:p>
      <w:pPr>
        <w:tabs>
          <w:tab w:pos="5552" w:val="left" w:leader="none"/>
        </w:tabs>
        <w:spacing w:before="105"/>
        <w:ind w:left="1887" w:right="119" w:firstLine="0"/>
        <w:jc w:val="left"/>
        <w:rPr>
          <w:rFonts w:ascii="Arial"/>
          <w:sz w:val="12"/>
        </w:rPr>
      </w:pPr>
      <w:r>
        <w:rPr>
          <w:rFonts w:ascii="Arial"/>
          <w:spacing w:val="4"/>
          <w:w w:val="105"/>
          <w:sz w:val="12"/>
        </w:rPr>
        <w:t>Response </w:t>
      </w:r>
      <w:r>
        <w:rPr>
          <w:rFonts w:ascii="Arial"/>
          <w:w w:val="105"/>
          <w:sz w:val="12"/>
        </w:rPr>
        <w:t>of</w:t>
      </w:r>
      <w:r>
        <w:rPr>
          <w:rFonts w:ascii="Arial"/>
          <w:spacing w:val="-22"/>
          <w:w w:val="105"/>
          <w:sz w:val="12"/>
        </w:rPr>
        <w:t> </w:t>
      </w:r>
      <w:r>
        <w:rPr>
          <w:rFonts w:ascii="Arial"/>
          <w:spacing w:val="-7"/>
          <w:w w:val="105"/>
          <w:sz w:val="12"/>
        </w:rPr>
        <w:t>LYMAN </w:t>
      </w:r>
      <w:r>
        <w:rPr>
          <w:rFonts w:ascii="Arial"/>
          <w:spacing w:val="-3"/>
          <w:w w:val="105"/>
          <w:sz w:val="12"/>
        </w:rPr>
        <w:t>to</w:t>
      </w:r>
      <w:r>
        <w:rPr>
          <w:rFonts w:ascii="Arial"/>
          <w:spacing w:val="-6"/>
          <w:w w:val="105"/>
          <w:sz w:val="12"/>
        </w:rPr>
        <w:t> </w:t>
      </w:r>
      <w:r>
        <w:rPr>
          <w:rFonts w:ascii="Arial"/>
          <w:spacing w:val="-4"/>
          <w:w w:val="105"/>
          <w:sz w:val="12"/>
        </w:rPr>
        <w:t>LYAUTO</w:t>
        <w:tab/>
      </w:r>
      <w:r>
        <w:rPr>
          <w:rFonts w:ascii="Arial"/>
          <w:spacing w:val="3"/>
          <w:w w:val="105"/>
          <w:sz w:val="12"/>
        </w:rPr>
        <w:t>Response </w:t>
      </w:r>
      <w:r>
        <w:rPr>
          <w:rFonts w:ascii="Arial"/>
          <w:w w:val="105"/>
          <w:sz w:val="12"/>
        </w:rPr>
        <w:t>of</w:t>
      </w:r>
      <w:r>
        <w:rPr>
          <w:rFonts w:ascii="Arial"/>
          <w:spacing w:val="-26"/>
          <w:w w:val="105"/>
          <w:sz w:val="12"/>
        </w:rPr>
        <w:t> </w:t>
      </w:r>
      <w:r>
        <w:rPr>
          <w:rFonts w:ascii="Arial"/>
          <w:spacing w:val="-7"/>
          <w:w w:val="105"/>
          <w:sz w:val="12"/>
        </w:rPr>
        <w:t>LYMAN </w:t>
      </w:r>
      <w:r>
        <w:rPr>
          <w:rFonts w:ascii="Arial"/>
          <w:spacing w:val="-3"/>
          <w:w w:val="105"/>
          <w:sz w:val="12"/>
        </w:rPr>
        <w:t>to </w:t>
      </w:r>
      <w:r>
        <w:rPr>
          <w:rFonts w:ascii="Arial"/>
          <w:spacing w:val="-2"/>
          <w:w w:val="105"/>
          <w:sz w:val="12"/>
        </w:rPr>
        <w:t>LQREAL</w:t>
      </w:r>
    </w:p>
    <w:p>
      <w:pPr>
        <w:pStyle w:val="BodyText"/>
        <w:spacing w:before="2"/>
        <w:rPr>
          <w:rFonts w:ascii="Arial"/>
          <w:sz w:val="8"/>
        </w:rPr>
      </w:pPr>
    </w:p>
    <w:p>
      <w:pPr>
        <w:tabs>
          <w:tab w:pos="4735" w:val="left" w:leader="none"/>
        </w:tabs>
        <w:spacing w:before="0"/>
        <w:ind w:left="1065" w:right="119" w:firstLine="0"/>
        <w:jc w:val="left"/>
        <w:rPr>
          <w:rFonts w:ascii="Arial"/>
          <w:sz w:val="10"/>
        </w:rPr>
      </w:pPr>
      <w:r>
        <w:rPr/>
        <w:pict>
          <v:group style="position:absolute;margin-left:142.467438pt;margin-top:3.421631pt;width:152.2pt;height:92.45pt;mso-position-horizontal-relative:page;mso-position-vertical-relative:paragraph;z-index:-488272" coordorigin="2849,68" coordsize="3044,1849">
            <v:rect style="position:absolute;left:2898;top:71;width:2990;height:1791" filled="false" stroked="true" strokeweight=".266898pt" strokecolor="#000000"/>
            <v:shape style="position:absolute;left:258;top:1438;width:3577;height:2189" coordorigin="258,1438" coordsize="3577,2189" path="m2894,1860l2852,1860m2894,1502l2852,1502m2894,1145l2852,1145m2894,788l2852,788m2894,431l2852,431m2894,74l2852,74m2899,1866l2899,1891m2975,1866l2975,1891m3052,1866l3052,1891m3128,1866l3128,1891m3205,1866l3205,1891m3281,1866l3281,1891m3359,1866l3359,1891m3434,1866l3434,1891m3511,1866l3511,1891m3588,1866l3588,1891m3665,1866l3665,1891m3740,1866l3740,1891m3818,1866l3818,1891m3894,1866l3894,1891m3971,1866l3971,1891m4047,1866l4047,1891m4124,1866l4124,1891m4200,1866l4200,1891m4277,1866l4277,1891m4353,1866l4353,1891m4431,1866l4431,1891m4506,1866l4506,1891m4584,1866l4584,1891m4660,1866l4660,1891m4737,1866l4737,1891m4813,1866l4813,1891m4890,1866l4890,1891m4966,1866l4966,1891m5043,1866l5043,1891m5119,1866l5119,1891m5196,1866l5196,1891m5272,1866l5272,1891m5349,1866l5349,1891m5425,1866l5425,1891m5502,1866l5502,1891m5578,1866l5578,1891m5656,1866l5656,1891m5732,1866l5732,1891m5809,1866l5809,1891m5886,1866l5886,1891m3205,1866l3205,1915m3588,1866l3588,1915m3971,1866l3971,1915m4353,1866l4353,1915m4737,1866l4737,1915m5119,1866l5119,1915m5502,1866l5502,1915m5886,1866l5886,1915e" filled="false" stroked="true" strokeweight=".205736pt" strokecolor="#000000">
              <v:path arrowok="t"/>
            </v:shape>
            <v:line style="position:absolute" from="2904,1150" to="5891,1150" stroked="true" strokeweight=".117716pt" strokecolor="#000000"/>
            <v:shape style="position:absolute;left:2899;top:927;width:2988;height:222" coordorigin="2899,927" coordsize="2988,222" path="m2899,988l2975,927,3052,939,3128,1036,3205,995,3281,1024,3359,1062,3434,1129,3511,1116,3588,1110,3665,1091,3740,1105,3818,1094,3894,1080,3971,1058,4047,1055,4124,1047,4200,1046,4277,1039,4353,1039,4431,1039,4506,1044,4584,1047,4660,1051,4737,1055,4813,1063,4890,1069,4966,1076,5043,1083,5119,1090,5196,1098,5272,1105,5349,1112,5425,1119,5502,1124,5578,1129,5656,1135,5732,1141,5809,1145,5886,1149e" filled="false" stroked="true" strokeweight=".266285pt" strokecolor="#0000ff">
              <v:path arrowok="t"/>
            </v:shape>
            <v:line style="position:absolute" from="2899,865" to="2917,839" stroked="true" strokeweight=".26789pt" strokecolor="#ff0000"/>
            <v:shape style="position:absolute;left:344;top:2216;width:3457;height:344" coordorigin="344,2216" coordsize="3457,344" path="m2925,828l2943,802m2951,791l2969,765m2980,756l3011,744m3025,740l3052,729,3055,730m3065,740l3089,762m3100,771l3125,794m3136,792l3164,777m3176,770l3205,755m3218,761l3248,773m3261,778l3281,789,3290,794m3302,800l3330,815m3342,822l3359,833,3368,841m3379,851l3404,873m3415,883l3434,902,3438,901m3452,898l3484,894m3498,891l3511,890,3530,887m3543,886l3575,883m3589,881l3621,873m3634,869l3665,861,3665,861m3678,862l3710,866m3724,868l3740,870,3756,868m3769,865l3801,860m3815,857l3818,857,3847,851m3861,850l3893,844m3906,840l3938,832m3952,828l3971,822,3983,821m3997,821l4030,821m4044,821l4047,821,4077,820m4091,818l4124,818m4138,818l4171,820m4185,820l4200,821,4217,820m4230,820l4264,820m4277,820l4310,821m4324,822l4353,825,4356,825m4370,827l4401,829m4415,829l4431,832,4447,833m4461,836l4493,840m4506,841l4506,843,4538,846m4552,846l4584,849m4596,851l4628,856m4641,857l4660,860,4673,861m4687,862l4719,866m4733,868l4737,869,4764,872m4778,875l4810,879m4824,880l4856,885m4869,887l4890,890,4901,891m4915,893l4946,897m4960,899l4966,901,4992,904m5006,906l5037,910m5051,912l5083,917m5097,919l5119,923,5129,923m5142,926l5174,930m5188,933l5196,934,5220,937m5233,938l5265,944m5279,945l5311,949m5325,951l5349,955,5356,955m5370,957l5402,962m5416,963l5425,966,5447,968m5461,970l5493,974m5507,976l5538,981m5552,982l5578,986,5584,986m5598,988l5630,992m5643,993l5656,996,5675,997m5689,1000l5721,1003m5734,1005l5766,1008m5780,1010l5809,1014,5811,1014m5825,1015l5857,1018e" filled="false" stroked="true" strokeweight=".267457pt" strokecolor="#ff0000">
              <v:path arrowok="t"/>
            </v:shape>
            <v:shape style="position:absolute;left:314;top:2562;width:3522;height:110" coordorigin="314,2562" coordsize="3522,110" path="m5871,1020l5886,1022m2899,1112l2931,1103e" filled="false" stroked="true" strokeweight=".267457pt" strokecolor="#ff0000">
              <v:path arrowok="t"/>
            </v:shape>
            <v:shape style="position:absolute;left:367;top:2650;width:3432;height:315" coordorigin="367,2650" coordsize="3432,315" path="m2944,1100l2975,1094,2976,1094m2987,1102l3013,1121m3025,1129l3051,1149m3058,1161l3074,1189m3082,1201l3099,1229m3107,1241l3124,1269m3135,1269l3164,1253m3176,1248l3205,1233m3219,1237l3251,1247m3265,1251l3281,1256,3295,1262m3309,1267l3339,1280m3352,1285l3359,1289,3376,1305m3387,1314l3412,1336m3422,1346l3434,1358,3448,1354m3462,1351l3494,1345m3507,1342l3511,1342,3540,1341m3554,1339l3588,1339m3601,1335l3633,1329m3647,1325l3665,1322,3678,1325m3692,1328l3724,1335m3738,1339l3740,1341,3769,1336m3783,1334l3815,1329m3829,1326l3861,1322m3874,1320l3894,1317,3906,1313m3920,1307l3952,1298m3965,1293l3971,1292,3997,1289m4011,1289l4044,1288m4058,1285l4090,1281m4103,1280l4124,1277,4135,1276m4149,1274l4181,1272m4195,1270l4200,1270,4226,1266m4240,1263l4272,1258m4286,1256l4317,1253m4331,1253l4353,1252,4363,1251m4377,1249l4409,1248m4424,1247l4431,1247,4457,1247m4470,1247l4503,1247m4517,1245l4550,1244m4564,1243l4584,1243,4597,1243m4611,1243l4644,1243m4658,1243l4660,1243,4691,1243m4705,1243l4737,1243,4737,1243m4751,1243l4784,1244m4798,1244l4813,1245,4831,1245m4844,1245l4877,1247m4891,1248l4925,1248m4938,1249l4966,1251,4971,1251m4985,1251l5018,1252m5032,1252l5043,1253,5065,1253m5079,1255l5112,1256m5126,1258l5159,1259m5173,1259l5196,1260,5206,1260m5220,1260l5252,1263m5265,1263l5272,1265,5298,1265m5312,1266l5345,1266m5359,1267l5392,1269m5406,1269l5425,1270,5439,1270m5453,1270l5486,1270m5500,1270l5502,1272,5532,1272m5545,1273l5578,1273m5591,1274l5624,1274m5638,1274l5656,1274,5671,1274m5685,1274l5718,1274m5732,1274l5732,1276,5763,1276m5777,1276l5809,1276,5809,1276m5823,1276l5856,1276e" filled="false" stroked="true" strokeweight=".267457pt" strokecolor="#ff0000">
              <v:path arrowok="t"/>
            </v:shape>
            <v:line style="position:absolute" from="5869,1276" to="5886,1276" stroked="true" strokeweight=".266272pt" strokecolor="#ff0000"/>
            <v:rect style="position:absolute;left:2898;top:71;width:2990;height:1791" filled="false" stroked="true" strokeweight=".266898pt" strokecolor="#000000"/>
            <w10:wrap type="none"/>
          </v:group>
        </w:pict>
      </w:r>
      <w:r>
        <w:rPr/>
        <w:pict>
          <v:group style="position:absolute;margin-left:325.988678pt;margin-top:3.421631pt;width:152.2pt;height:92.45pt;mso-position-horizontal-relative:page;mso-position-vertical-relative:paragraph;z-index:-488248" coordorigin="6520,68" coordsize="3044,1849">
            <v:rect style="position:absolute;left:6568;top:71;width:2990;height:1791" filled="false" stroked="true" strokeweight=".266898pt" strokecolor="#000000"/>
            <v:shape style="position:absolute;left:4585;top:1438;width:3577;height:2189" coordorigin="4585,1438" coordsize="3577,2189" path="m6564,1860l6522,1860m6564,1502l6522,1502m6564,1145l6522,1145m6564,788l6522,788m6564,431l6522,431m6564,74l6522,74m6569,1866l6569,1891m6645,1866l6645,1891m6722,1866l6722,1891m6798,1866l6798,1891m6875,1866l6875,1891m6951,1866l6951,1891m7029,1866l7029,1891m7104,1866l7104,1891m7182,1866l7182,1891m7258,1866l7258,1891m7335,1866l7335,1891m7410,1866l7410,1891m7488,1866l7488,1891m7564,1866l7564,1891m7641,1866l7641,1891m7717,1866l7717,1891m7795,1866l7795,1891m7870,1866l7870,1891m7947,1866l7947,1891m8023,1866l8023,1891m8101,1866l8101,1891m8176,1866l8176,1891m8254,1866l8254,1891m8330,1866l8330,1891m8407,1866l8407,1891m8483,1866l8483,1891m8560,1866l8560,1891m8636,1866l8636,1891m8713,1866l8713,1891m8789,1866l8789,1891m8866,1866l8866,1891m8942,1866l8942,1891m9020,1866l9020,1891m9096,1866l9096,1891m9173,1866l9173,1891m9248,1866l9248,1891m9326,1866l9326,1891m9402,1866l9402,1891m9479,1866l9479,1891m9556,1866l9556,1891m6875,1866l6875,1915m7258,1866l7258,1915m7641,1866l7641,1915m8023,1866l8023,1915m8407,1866l8407,1915m8789,1866l8789,1915m9173,1866l9173,1915m9556,1866l9556,1915e" filled="false" stroked="true" strokeweight=".205736pt" strokecolor="#000000">
              <v:path arrowok="t"/>
            </v:shape>
            <v:line style="position:absolute" from="6574,1150" to="9562,1150" stroked="true" strokeweight=".117716pt" strokecolor="#000000"/>
            <v:shape style="position:absolute;left:6569;top:1000;width:2976;height:556" coordorigin="6569,1000" coordsize="2976,556" path="m6569,1069l6645,1515,6722,1555,6798,1420,6875,1263,6951,1267,7029,1200,7104,1121,7182,1030,7258,1005,7335,1005,7410,1010,7488,1000,7564,1015,7641,1037,7717,1063,7795,1081,7870,1098,7947,1115,8023,1132,8101,1148,8176,1160,8254,1171,8330,1182,8407,1193,8483,1201,8560,1208,8636,1214,8713,1219,8789,1222,8866,1224,8942,1224,9020,1224,9096,1224,9173,1223,9248,1222,9326,1219,9402,1216,9479,1214,9545,1210e" filled="false" stroked="true" strokeweight=".266352pt" strokecolor="#0000ff">
              <v:path arrowok="t"/>
            </v:shape>
            <v:shape style="position:absolute;left:4640;top:2224;width:3479;height:721" coordorigin="4640,2224" coordsize="3479,721" path="m6569,945l6574,976m6577,991l6583,1022m6586,1036l6591,1067m6594,1081l6601,1113m6602,1127l6609,1158m6612,1172l6617,1204m6620,1218l6626,1249m6628,1263l6634,1295m6637,1309l6643,1341m6655,1342l6687,1336m6700,1334l6722,1331,6725,1321m6731,1309l6744,1278m6750,1265l6762,1234m6768,1222l6780,1191m6786,1179l6798,1153,6798,1150m6804,1138l6817,1107m6823,1095l6835,1065m6841,1053l6853,1022m6859,1010l6872,980m6885,974l6917,971m6931,971l6951,970,6960,962m6971,952l6994,930m7005,920l7029,898m7038,889l7063,866m7073,857l7098,835m7107,824l7131,800m7140,791l7163,767m7172,758l7182,749,7201,745m7215,742l7246,737m7260,736l7292,738m7306,740l7335,744,7338,744m7351,745l7383,749m7397,752l7410,755,7429,754m7442,754l7475,754m7490,754l7521,762m7535,766l7564,775,7565,775m7579,781l7609,792m7622,798l7641,806,7651,810m7665,815l7695,828m7707,833l7717,839,7738,844m7751,849l7782,858m7795,864l7826,872m7840,877l7870,887,7870,887m7884,890l7916,898m7930,901l7947,906,7961,909m7975,913l8005,923m8019,926l8023,929,8050,934m8063,937l8095,944m8109,948l8140,953m8154,956l8176,962,8186,963m8200,964l8232,970m8245,971l8254,974,8277,976m8291,980l8323,985m8337,986l8368,991m8382,993l8407,997,8414,997m8428,1000l8459,1004m8473,1005l8483,1008,8505,1010m8519,1011l8550,1015m8564,1017l8596,1020m8610,1021l8636,1025,8641,1025m8655,1026l8687,1029m8701,1030l8713,1033,8733,1034m8746,1036l8778,1039m8792,1040l8824,1043m8837,1044l8866,1047,8869,1047m8883,1048l8914,1051m8929,1053l8942,1054,8962,1054m8975,1055l9007,1058m9021,1059l9054,1061m9068,1061l9096,1063,9100,1063m9113,1063l9145,1066m9159,1067l9173,1069,9192,1069m9206,1070l9239,1072m9253,1073l9286,1073m9300,1075l9326,1076,9333,1076m9346,1076l9380,1077m9393,1077l9402,1079,9427,1079m9440,1079l9473,1079m9487,1080l9520,1080e" filled="false" stroked="true" strokeweight=".267457pt" strokecolor="#ff0000">
              <v:path arrowok="t"/>
            </v:shape>
            <v:line style="position:absolute" from="9534,1080" to="9545,1080" stroked="true" strokeweight=".266272pt" strokecolor="#ff0000"/>
            <v:shape style="position:absolute;left:4640;top:2770;width:3479;height:697" coordorigin="4640,2770" coordsize="3479,697" path="m6569,1194l6573,1226m6576,1240l6580,1272m6583,1285l6587,1317m6590,1331l6594,1362m6597,1376l6601,1408m6603,1421l6608,1453m6610,1467l6615,1499m6617,1512l6623,1544m6624,1558l6630,1590m6631,1603l6637,1635m6638,1649l6643,1681m6651,1693l6670,1718m6679,1729l6699,1754m6708,1765l6722,1780,6729,1770m6739,1759l6760,1734m6768,1723l6788,1699m6798,1689l6813,1662m6820,1649l6835,1621m6842,1609l6858,1581m6864,1569l6875,1552,6888,1554m6902,1557l6933,1562m6947,1565l6951,1566,6972,1548m6983,1540l7008,1520m7019,1510l7029,1502,7041,1486m7051,1475l7073,1450m7082,1440l7104,1416,7104,1416m7113,1404l7132,1378m7140,1367l7160,1341m7168,1329l7182,1313,7191,1307m7204,1302l7233,1287m7245,1281l7258,1274,7275,1272m7289,1270l7321,1267m7335,1267l7368,1266m7382,1265l7410,1265,7413,1263m7427,1260l7459,1253m7473,1251l7488,1248,7504,1248m7518,1249l7550,1252m7564,1252l7564,1253,7594,1259m7608,1262l7640,1267m7654,1272l7685,1278m7699,1281l7717,1287,7731,1288m7745,1291l7776,1295m7790,1298l7795,1299,7822,1302m7836,1305l7867,1309m7881,1312l7913,1316m7927,1317l7947,1321,7959,1322m7972,1325l8004,1332m8018,1335l8023,1336,8050,1339m8063,1342l8095,1347m8109,1349l8140,1354m8154,1355l8176,1360,8186,1360m8200,1362l8232,1365m8245,1368l8254,1369,8277,1372m8291,1374l8323,1378m8337,1379l8368,1382m8382,1383l8407,1387,8414,1387m8428,1389l8459,1393m8473,1394l8483,1396,8506,1396m8520,1397l8553,1398m8567,1400l8600,1401m8614,1401l8636,1402,8647,1402m8661,1402l8694,1402m8708,1402l8713,1404,8741,1404m8755,1404l8788,1404m8802,1402l8835,1401m8848,1401l8866,1401,8880,1400m8894,1398l8927,1397m8941,1397l8942,1397,8973,1394m8986,1393l9020,1391m9033,1390l9065,1387m9079,1386l9096,1386,9110,1383m9125,1382l9156,1379m9170,1378l9173,1378,9202,1375m9215,1374l9247,1371m9261,1369l9293,1365m9306,1364l9326,1362,9338,1361m9352,1358l9384,1355m9398,1354l9402,1354,9429,1350m9443,1349l9475,1346m9489,1345l9520,1342e" filled="false" stroked="true" strokeweight=".267457pt" strokecolor="#ff0000">
              <v:path arrowok="t"/>
            </v:shape>
            <v:line style="position:absolute" from="9534,1341" to="9545,1340" stroked="true" strokeweight=".266286pt" strokecolor="#ff0000"/>
            <v:rect style="position:absolute;left:6568;top:71;width:2990;height:1791" filled="false" stroked="true" strokeweight=".266898pt" strokecolor="#000000"/>
            <w10:wrap type="none"/>
          </v:group>
        </w:pict>
      </w:r>
      <w:r>
        <w:rPr>
          <w:rFonts w:ascii="Arial"/>
          <w:w w:val="105"/>
          <w:sz w:val="10"/>
        </w:rPr>
        <w:t>.03</w:t>
        <w:tab/>
        <w:t>.03</w:t>
      </w:r>
    </w:p>
    <w:p>
      <w:pPr>
        <w:pStyle w:val="BodyText"/>
        <w:spacing w:before="2"/>
        <w:rPr>
          <w:rFonts w:ascii="Arial"/>
          <w:sz w:val="13"/>
        </w:rPr>
      </w:pPr>
    </w:p>
    <w:p>
      <w:pPr>
        <w:pStyle w:val="BodyText"/>
        <w:spacing w:before="9"/>
        <w:rPr>
          <w:rFonts w:ascii="Arial"/>
          <w:sz w:val="7"/>
        </w:rPr>
      </w:pPr>
    </w:p>
    <w:p>
      <w:pPr>
        <w:tabs>
          <w:tab w:pos="4735" w:val="left" w:leader="none"/>
        </w:tabs>
        <w:spacing w:before="0"/>
        <w:ind w:left="1065" w:right="119" w:firstLine="0"/>
        <w:jc w:val="left"/>
        <w:rPr>
          <w:rFonts w:ascii="Arial"/>
          <w:sz w:val="10"/>
        </w:rPr>
      </w:pPr>
      <w:r>
        <w:rPr>
          <w:rFonts w:ascii="Arial"/>
          <w:w w:val="105"/>
          <w:sz w:val="10"/>
        </w:rPr>
        <w:t>.02</w:t>
        <w:tab/>
        <w:t>.02</w:t>
      </w:r>
    </w:p>
    <w:p>
      <w:pPr>
        <w:pStyle w:val="BodyText"/>
        <w:spacing w:before="3"/>
        <w:rPr>
          <w:rFonts w:ascii="Arial"/>
          <w:sz w:val="13"/>
        </w:rPr>
      </w:pPr>
    </w:p>
    <w:p>
      <w:pPr>
        <w:tabs>
          <w:tab w:pos="4735" w:val="left" w:leader="none"/>
        </w:tabs>
        <w:spacing w:before="89"/>
        <w:ind w:left="1065" w:right="119" w:firstLine="0"/>
        <w:jc w:val="left"/>
        <w:rPr>
          <w:rFonts w:ascii="Arial"/>
          <w:sz w:val="10"/>
        </w:rPr>
      </w:pPr>
      <w:r>
        <w:rPr>
          <w:rFonts w:ascii="Arial"/>
          <w:w w:val="105"/>
          <w:sz w:val="10"/>
        </w:rPr>
        <w:t>.01</w:t>
        <w:tab/>
        <w:t>.01</w:t>
      </w:r>
    </w:p>
    <w:p>
      <w:pPr>
        <w:pStyle w:val="BodyText"/>
        <w:spacing w:before="3"/>
        <w:rPr>
          <w:rFonts w:ascii="Arial"/>
          <w:sz w:val="13"/>
        </w:rPr>
      </w:pPr>
    </w:p>
    <w:p>
      <w:pPr>
        <w:tabs>
          <w:tab w:pos="4735" w:val="left" w:leader="none"/>
        </w:tabs>
        <w:spacing w:before="89"/>
        <w:ind w:left="1065" w:right="119" w:firstLine="0"/>
        <w:jc w:val="left"/>
        <w:rPr>
          <w:rFonts w:ascii="Arial"/>
          <w:sz w:val="10"/>
        </w:rPr>
      </w:pPr>
      <w:r>
        <w:rPr>
          <w:rFonts w:ascii="Arial"/>
          <w:w w:val="105"/>
          <w:sz w:val="10"/>
        </w:rPr>
        <w:t>.00</w:t>
        <w:tab/>
        <w:t>.00</w:t>
      </w:r>
    </w:p>
    <w:p>
      <w:pPr>
        <w:pStyle w:val="BodyText"/>
        <w:spacing w:before="2"/>
        <w:rPr>
          <w:rFonts w:ascii="Arial"/>
          <w:sz w:val="13"/>
        </w:rPr>
      </w:pPr>
    </w:p>
    <w:p>
      <w:pPr>
        <w:pStyle w:val="BodyText"/>
        <w:spacing w:before="9"/>
        <w:rPr>
          <w:rFonts w:ascii="Arial"/>
          <w:sz w:val="7"/>
        </w:rPr>
      </w:pPr>
    </w:p>
    <w:p>
      <w:pPr>
        <w:tabs>
          <w:tab w:pos="4704" w:val="left" w:leader="none"/>
        </w:tabs>
        <w:spacing w:before="0"/>
        <w:ind w:left="1034" w:right="119" w:firstLine="0"/>
        <w:jc w:val="left"/>
        <w:rPr>
          <w:rFonts w:ascii="Arial"/>
          <w:sz w:val="10"/>
        </w:rPr>
      </w:pPr>
      <w:r>
        <w:rPr>
          <w:rFonts w:ascii="Arial"/>
          <w:w w:val="105"/>
          <w:sz w:val="10"/>
        </w:rPr>
        <w:t>-.01</w:t>
        <w:tab/>
        <w:t>-.01</w:t>
      </w:r>
    </w:p>
    <w:p>
      <w:pPr>
        <w:pStyle w:val="BodyText"/>
        <w:spacing w:before="4"/>
        <w:rPr>
          <w:rFonts w:ascii="Arial"/>
          <w:sz w:val="13"/>
        </w:rPr>
      </w:pPr>
    </w:p>
    <w:p>
      <w:pPr>
        <w:spacing w:after="0"/>
        <w:rPr>
          <w:rFonts w:ascii="Arial"/>
          <w:sz w:val="13"/>
        </w:rPr>
        <w:sectPr>
          <w:pgSz w:w="12240" w:h="15840"/>
          <w:pgMar w:header="0" w:footer="1035" w:top="1360" w:bottom="1220" w:left="1600" w:right="1580"/>
        </w:sectPr>
      </w:pPr>
    </w:p>
    <w:p>
      <w:pPr>
        <w:spacing w:before="89"/>
        <w:ind w:left="0" w:right="0" w:firstLine="0"/>
        <w:jc w:val="right"/>
        <w:rPr>
          <w:rFonts w:ascii="Arial"/>
          <w:sz w:val="10"/>
        </w:rPr>
      </w:pPr>
      <w:r>
        <w:rPr>
          <w:rFonts w:ascii="Arial"/>
          <w:sz w:val="10"/>
        </w:rPr>
        <w:t>-.02</w:t>
      </w:r>
    </w:p>
    <w:p>
      <w:pPr>
        <w:pStyle w:val="BodyText"/>
        <w:rPr>
          <w:rFonts w:ascii="Arial"/>
          <w:sz w:val="10"/>
        </w:rPr>
      </w:pPr>
      <w:r>
        <w:rPr/>
        <w:br w:type="column"/>
      </w:r>
      <w:r>
        <w:rPr>
          <w:rFonts w:ascii="Arial"/>
          <w:sz w:val="10"/>
        </w:rPr>
      </w:r>
    </w:p>
    <w:p>
      <w:pPr>
        <w:pStyle w:val="BodyText"/>
        <w:rPr>
          <w:rFonts w:ascii="Arial"/>
          <w:sz w:val="9"/>
        </w:rPr>
      </w:pPr>
    </w:p>
    <w:p>
      <w:pPr>
        <w:tabs>
          <w:tab w:pos="671" w:val="left" w:leader="none"/>
          <w:tab w:pos="1053" w:val="left" w:leader="none"/>
          <w:tab w:pos="1437" w:val="left" w:leader="none"/>
          <w:tab w:pos="1819" w:val="left" w:leader="none"/>
          <w:tab w:pos="2202" w:val="left" w:leader="none"/>
          <w:tab w:pos="2584" w:val="left" w:leader="none"/>
          <w:tab w:pos="2968" w:val="left" w:leader="none"/>
        </w:tabs>
        <w:spacing w:before="1"/>
        <w:ind w:left="319" w:right="0" w:firstLine="0"/>
        <w:jc w:val="left"/>
        <w:rPr>
          <w:rFonts w:ascii="Arial"/>
          <w:sz w:val="10"/>
        </w:rPr>
      </w:pPr>
      <w:r>
        <w:rPr>
          <w:rFonts w:ascii="Arial"/>
          <w:w w:val="105"/>
          <w:sz w:val="10"/>
        </w:rPr>
        <w:t>5</w:t>
        <w:tab/>
        <w:t>10</w:t>
        <w:tab/>
        <w:t>15</w:t>
        <w:tab/>
        <w:t>20</w:t>
        <w:tab/>
        <w:t>25</w:t>
        <w:tab/>
        <w:t>30</w:t>
        <w:tab/>
        <w:t>35</w:t>
        <w:tab/>
      </w:r>
      <w:r>
        <w:rPr>
          <w:rFonts w:ascii="Arial"/>
          <w:spacing w:val="4"/>
          <w:sz w:val="10"/>
        </w:rPr>
        <w:t>40</w:t>
      </w:r>
    </w:p>
    <w:p>
      <w:pPr>
        <w:spacing w:before="89"/>
        <w:ind w:left="316" w:right="-19" w:firstLine="0"/>
        <w:jc w:val="left"/>
        <w:rPr>
          <w:rFonts w:ascii="Arial"/>
          <w:sz w:val="10"/>
        </w:rPr>
      </w:pPr>
      <w:r>
        <w:rPr/>
        <w:br w:type="column"/>
      </w:r>
      <w:r>
        <w:rPr>
          <w:rFonts w:ascii="Arial"/>
          <w:w w:val="105"/>
          <w:sz w:val="10"/>
        </w:rPr>
        <w:t>-.02</w:t>
      </w:r>
    </w:p>
    <w:p>
      <w:pPr>
        <w:pStyle w:val="BodyText"/>
        <w:rPr>
          <w:rFonts w:ascii="Arial"/>
          <w:sz w:val="10"/>
        </w:rPr>
      </w:pPr>
      <w:r>
        <w:rPr/>
        <w:br w:type="column"/>
      </w:r>
      <w:r>
        <w:rPr>
          <w:rFonts w:ascii="Arial"/>
          <w:sz w:val="10"/>
        </w:rPr>
      </w:r>
    </w:p>
    <w:p>
      <w:pPr>
        <w:pStyle w:val="BodyText"/>
        <w:rPr>
          <w:rFonts w:ascii="Arial"/>
          <w:sz w:val="9"/>
        </w:rPr>
      </w:pPr>
    </w:p>
    <w:p>
      <w:pPr>
        <w:tabs>
          <w:tab w:pos="671" w:val="left" w:leader="none"/>
          <w:tab w:pos="1053" w:val="left" w:leader="none"/>
          <w:tab w:pos="1437" w:val="left" w:leader="none"/>
          <w:tab w:pos="1819" w:val="left" w:leader="none"/>
          <w:tab w:pos="2203" w:val="left" w:leader="none"/>
          <w:tab w:pos="2585" w:val="left" w:leader="none"/>
          <w:tab w:pos="2968" w:val="left" w:leader="none"/>
        </w:tabs>
        <w:spacing w:before="1"/>
        <w:ind w:left="319" w:right="0" w:firstLine="0"/>
        <w:jc w:val="left"/>
        <w:rPr>
          <w:rFonts w:ascii="Arial"/>
          <w:sz w:val="10"/>
        </w:rPr>
      </w:pPr>
      <w:r>
        <w:rPr>
          <w:rFonts w:ascii="Arial"/>
          <w:w w:val="105"/>
          <w:sz w:val="10"/>
        </w:rPr>
        <w:t>5</w:t>
        <w:tab/>
        <w:t>10</w:t>
        <w:tab/>
        <w:t>15</w:t>
        <w:tab/>
        <w:t>20</w:t>
        <w:tab/>
        <w:t>25</w:t>
        <w:tab/>
        <w:t>30</w:t>
        <w:tab/>
        <w:t>35</w:t>
        <w:tab/>
      </w:r>
      <w:r>
        <w:rPr>
          <w:rFonts w:ascii="Arial"/>
          <w:spacing w:val="4"/>
          <w:w w:val="105"/>
          <w:sz w:val="10"/>
        </w:rPr>
        <w:t>40</w:t>
      </w:r>
    </w:p>
    <w:p>
      <w:pPr>
        <w:spacing w:after="0"/>
        <w:jc w:val="left"/>
        <w:rPr>
          <w:rFonts w:ascii="Arial"/>
          <w:sz w:val="10"/>
        </w:rPr>
        <w:sectPr>
          <w:type w:val="continuous"/>
          <w:pgSz w:w="12240" w:h="15840"/>
          <w:pgMar w:top="1060" w:bottom="280" w:left="1600" w:right="1580"/>
          <w:cols w:num="4" w:equalWidth="0">
            <w:col w:w="1216" w:space="40"/>
            <w:col w:w="3093" w:space="40"/>
            <w:col w:w="498" w:space="40"/>
            <w:col w:w="4133"/>
          </w:cols>
        </w:sectPr>
      </w:pPr>
    </w:p>
    <w:p>
      <w:pPr>
        <w:pStyle w:val="BodyText"/>
        <w:spacing w:before="1"/>
        <w:rPr>
          <w:rFonts w:ascii="Arial"/>
          <w:sz w:val="17"/>
        </w:rPr>
      </w:pPr>
    </w:p>
    <w:p>
      <w:pPr>
        <w:tabs>
          <w:tab w:pos="5635" w:val="left" w:leader="none"/>
        </w:tabs>
        <w:spacing w:before="87"/>
        <w:ind w:left="1732" w:right="119" w:firstLine="0"/>
        <w:jc w:val="left"/>
        <w:rPr>
          <w:rFonts w:ascii="Arial"/>
          <w:sz w:val="12"/>
        </w:rPr>
      </w:pPr>
      <w:r>
        <w:rPr>
          <w:rFonts w:ascii="Arial"/>
          <w:spacing w:val="3"/>
          <w:w w:val="105"/>
          <w:sz w:val="12"/>
        </w:rPr>
        <w:t>Response </w:t>
      </w:r>
      <w:r>
        <w:rPr>
          <w:rFonts w:ascii="Arial"/>
          <w:w w:val="105"/>
          <w:sz w:val="12"/>
        </w:rPr>
        <w:t>of</w:t>
      </w:r>
      <w:r>
        <w:rPr>
          <w:rFonts w:ascii="Arial"/>
          <w:spacing w:val="-25"/>
          <w:w w:val="105"/>
          <w:sz w:val="12"/>
        </w:rPr>
        <w:t> </w:t>
      </w:r>
      <w:r>
        <w:rPr>
          <w:rFonts w:ascii="Arial"/>
          <w:spacing w:val="-7"/>
          <w:w w:val="105"/>
          <w:sz w:val="12"/>
        </w:rPr>
        <w:t>LYMAN </w:t>
      </w:r>
      <w:r>
        <w:rPr>
          <w:rFonts w:ascii="Arial"/>
          <w:spacing w:val="-3"/>
          <w:w w:val="105"/>
          <w:sz w:val="12"/>
        </w:rPr>
        <w:t>to</w:t>
      </w:r>
      <w:r>
        <w:rPr>
          <w:rFonts w:ascii="Arial"/>
          <w:spacing w:val="-8"/>
          <w:w w:val="105"/>
          <w:sz w:val="12"/>
        </w:rPr>
        <w:t> </w:t>
      </w:r>
      <w:r>
        <w:rPr>
          <w:rFonts w:ascii="Arial"/>
          <w:w w:val="105"/>
          <w:sz w:val="12"/>
        </w:rPr>
        <w:t>LYINDUSTEU</w:t>
        <w:tab/>
      </w:r>
      <w:r>
        <w:rPr>
          <w:rFonts w:ascii="Arial"/>
          <w:spacing w:val="3"/>
          <w:w w:val="105"/>
          <w:sz w:val="12"/>
        </w:rPr>
        <w:t>Response </w:t>
      </w:r>
      <w:r>
        <w:rPr>
          <w:rFonts w:ascii="Arial"/>
          <w:w w:val="105"/>
          <w:sz w:val="12"/>
        </w:rPr>
        <w:t>of </w:t>
      </w:r>
      <w:r>
        <w:rPr>
          <w:rFonts w:ascii="Arial"/>
          <w:spacing w:val="-7"/>
          <w:w w:val="105"/>
          <w:sz w:val="12"/>
        </w:rPr>
        <w:t>LYMAN </w:t>
      </w:r>
      <w:r>
        <w:rPr>
          <w:rFonts w:ascii="Arial"/>
          <w:spacing w:val="-3"/>
          <w:w w:val="105"/>
          <w:sz w:val="12"/>
        </w:rPr>
        <w:t>to</w:t>
      </w:r>
      <w:r>
        <w:rPr>
          <w:rFonts w:ascii="Arial"/>
          <w:spacing w:val="-23"/>
          <w:w w:val="105"/>
          <w:sz w:val="12"/>
        </w:rPr>
        <w:t> </w:t>
      </w:r>
      <w:r>
        <w:rPr>
          <w:rFonts w:ascii="Arial"/>
          <w:spacing w:val="-3"/>
          <w:w w:val="105"/>
          <w:sz w:val="12"/>
        </w:rPr>
        <w:t>LPMT</w:t>
      </w:r>
    </w:p>
    <w:p>
      <w:pPr>
        <w:pStyle w:val="BodyText"/>
        <w:spacing w:before="2"/>
        <w:rPr>
          <w:rFonts w:ascii="Arial"/>
          <w:sz w:val="8"/>
        </w:rPr>
      </w:pPr>
    </w:p>
    <w:p>
      <w:pPr>
        <w:tabs>
          <w:tab w:pos="4735" w:val="left" w:leader="none"/>
        </w:tabs>
        <w:spacing w:before="0"/>
        <w:ind w:left="1065" w:right="119" w:firstLine="0"/>
        <w:jc w:val="left"/>
        <w:rPr>
          <w:rFonts w:ascii="Arial"/>
          <w:sz w:val="10"/>
        </w:rPr>
      </w:pPr>
      <w:r>
        <w:rPr/>
        <w:pict>
          <v:group style="position:absolute;margin-left:142.467453pt;margin-top:3.43846pt;width:152.2pt;height:92.55pt;mso-position-horizontal-relative:page;mso-position-vertical-relative:paragraph;z-index:-488224" coordorigin="2849,69" coordsize="3044,1851">
            <v:rect style="position:absolute;left:2898;top:72;width:2990;height:1792" filled="false" stroked="true" strokeweight=".266899pt" strokecolor="#000000"/>
            <v:shape style="position:absolute;left:258;top:1920;width:3577;height:2191" coordorigin="258,1920" coordsize="3577,2191" path="m2894,1861l2852,1861m2894,1503l2852,1503m2894,1146l2852,1146m2894,788l2852,788m2894,431l2852,431m2894,74l2852,74m2899,1868l2899,1893m2975,1868l2975,1893m3052,1868l3052,1893m3128,1868l3128,1893m3205,1868l3205,1893m3281,1868l3281,1893m3359,1868l3359,1893m3434,1868l3434,1893m3511,1868l3511,1893m3588,1868l3588,1893m3665,1868l3665,1893m3740,1868l3740,1893m3818,1868l3818,1893m3894,1868l3894,1893m3971,1868l3971,1893m4047,1868l4047,1893m4124,1868l4124,1893m4200,1868l4200,1893m4277,1868l4277,1893m4353,1868l4353,1893m4431,1868l4431,1893m4506,1868l4506,1893m4584,1868l4584,1893m4660,1868l4660,1893m4737,1868l4737,1893m4813,1868l4813,1893m4890,1868l4890,1893m4966,1868l4966,1893m5043,1868l5043,1893m5119,1868l5119,1893m5196,1868l5196,1893m5272,1868l5272,1893m5349,1868l5349,1893m5425,1868l5425,1893m5502,1868l5502,1893m5578,1868l5578,1893m5656,1868l5656,1893m5732,1868l5732,1893m5809,1868l5809,1893m5886,1868l5886,1893m3205,1868l3205,1916m3588,1868l3588,1916m3971,1868l3971,1916m4353,1868l4353,1916m4737,1868l4737,1916m5119,1868l5119,1916m5502,1868l5502,1916m5886,1868l5886,1916e" filled="false" stroked="true" strokeweight=".205736pt" strokecolor="#000000">
              <v:path arrowok="t"/>
            </v:shape>
            <v:line style="position:absolute" from="2904,1152" to="5891,1152" stroked="true" strokeweight=".117716pt" strokecolor="#000000"/>
            <v:shape style="position:absolute;left:2899;top:609;width:2988;height:676" coordorigin="2899,609" coordsize="2988,676" path="m2899,1046l2975,740,3052,639,3128,609,3205,686,3281,740,3359,803,3434,842,3511,887,3588,913,3665,938,3740,955,3818,978,3894,1011,3971,1054,4047,1093,4124,1131,4200,1167,4277,1203,4353,1232,4431,1254,4506,1267,4584,1279,4660,1283,4737,1284,4813,1280,4890,1273,4966,1265,5043,1254,5119,1243,5196,1229,5272,1215,5349,1201,5425,1188,5502,1172,5578,1159,5656,1146,5732,1134,5809,1123,5886,1112e" filled="false" stroked="true" strokeweight=".266388pt" strokecolor="#0000ff">
              <v:path arrowok="t"/>
            </v:shape>
            <v:line style="position:absolute" from="2899,920" to="2904,889" stroked="true" strokeweight=".268575pt" strokecolor="#ff0000"/>
            <v:shape style="position:absolute;left:324;top:2247;width:3510;height:749" coordorigin="324,2247" coordsize="3510,749" path="m2907,875l2914,843m2917,830l2924,798m2927,784l2933,752m2936,739l2943,707m2946,693l2953,661m2956,648l2962,616m2965,602l2972,570m2977,558l2992,529m2998,517l3013,488m3019,475l3034,447m3039,434l3052,413,3058,408m3069,399l3094,379m3104,369l3128,350,3129,350m3142,357l3169,372m3182,379l3205,393,3209,394m3223,399l3254,412m3266,418l3281,424,3295,433m3307,440l3335,456m3347,464l3359,473,3376,478m3390,482l3421,493m3434,497l3434,499,3463,510m3476,515l3506,528m3518,533l3550,542m3564,544l3588,551,3596,553m3609,555l3641,561m3655,563l3665,566,3687,568m3701,569l3732,572m3746,573l3778,580m3792,583l3818,588,3824,590m3836,595l3866,606m3878,612l3894,619,3907,625m3920,632l3948,649m3960,656l3971,664,3986,674m3999,681l4025,699m4037,706l4047,714,4064,723m4076,730l4103,748m4116,755l4124,762,4143,773m4156,780l4183,798m4196,805l4200,809,4224,821m4236,830l4264,844m4276,851l4277,854,4303,867m4316,873l4345,887m4358,894l4388,905m4400,911l4431,922m4443,926l4474,936m4489,938l4506,945,4519,948m4533,951l4564,958m4578,960l4584,963,4610,966m4624,969l4655,973m4669,974l4701,977m4715,977l4737,979,4746,978m4760,978l4794,978m4807,978l4813,978,4839,975m4853,973l4884,970m4898,969l4930,963m4944,960l4966,958,4975,955m4989,952l5021,945m5035,942l5043,941,5067,934m5080,930l5112,922m5126,918l5158,909m5171,905l5196,900,5202,897m5216,894l5246,884m5260,880l5272,877,5292,872m5305,869l5337,861m5351,857l5382,850m5396,846l5425,839,5427,838m5440,835l5472,828m5486,825l5502,823,5518,820m5532,817l5563,811m5577,809l5578,809,5609,803m5623,802l5654,798m5668,796l5700,792m5714,791l5732,789,5745,788m5759,787l5791,784m5805,784l5809,784,5838,782m5852,782l5885,782e" filled="false" stroked="true" strokeweight=".267457pt" strokecolor="#ff0000">
              <v:path arrowok="t"/>
            </v:shape>
            <v:line style="position:absolute" from="2899,1170" to="2907,1138" stroked="true" strokeweight=".268488pt" strokecolor="#ff0000"/>
            <v:shape style="position:absolute;left:328;top:2862;width:3502;height:864" coordorigin="328,2862" coordsize="3502,864" path="m2911,1124l2921,1094m2925,1080l2935,1050m2937,1036l2947,1006m2951,992l2961,962m2965,948l2975,918,2975,918m2986,909l3013,891m3026,883l3052,867,3054,867m3067,867l3100,867m3114,867l3128,867,3137,882m3146,894l3164,920m3172,933l3190,960m3198,973l3205,981,3222,996m3231,1006l3255,1028m3265,1037l3281,1056,3288,1061m3298,1070l3321,1094m3331,1103l3354,1127m3365,1136l3393,1155m3405,1163l3432,1181m3442,1189l3469,1208m3480,1217l3506,1236m3517,1243l3546,1257m3559,1262l3588,1276m3600,1281l3629,1295m3641,1301l3665,1312,3670,1313m3684,1317l3714,1327m3728,1331l3740,1336,3759,1343m3772,1349l3803,1361m3816,1367l3818,1368,3845,1381m3858,1386l3887,1400m3899,1405l3928,1420m3940,1426l3970,1441m3982,1447l4012,1457m4025,1463l4047,1473,4055,1476m4069,1480l4099,1491m4113,1495l4124,1500,4143,1506m4157,1510l4188,1519m4200,1525l4232,1535m4245,1539l4276,1548m4290,1552l4322,1561m4335,1565l4353,1571,4367,1572m4381,1575l4413,1580m4426,1583l4431,1584,4458,1586m4472,1587l4505,1588m4519,1590l4552,1591m4566,1591l4584,1593,4597,1591m4611,1591l4644,1591m4658,1591l4660,1591,4691,1590m4705,1588l4737,1588,4737,1588m4751,1587l4782,1584m4796,1583l4813,1581,4828,1580m4841,1579l4873,1576m4887,1576l4890,1576,4919,1573m4933,1573l4966,1572m4980,1571l5013,1569m5027,1568l5043,1568,5060,1567m5073,1565l5106,1564m5120,1562l5153,1561m5167,1560l5196,1558,5199,1557m5213,1557l5244,1554m5258,1552l5272,1552,5290,1550m5304,1548l5336,1546m5349,1544l5381,1540m5395,1538l5425,1535,5427,1533m5440,1532l5472,1528m5486,1525l5502,1524,5518,1521m5532,1518l5563,1513m5577,1510l5578,1510,5609,1503m5623,1500l5654,1495m5668,1492l5700,1485m5714,1481l5732,1478,5745,1474m5759,1472l5791,1465m5805,1460l5809,1460,5836,1453m5850,1449l5882,1441e" filled="false" stroked="true" strokeweight=".267457pt" strokecolor="#ff0000">
              <v:path arrowok="t"/>
            </v:shape>
            <v:rect style="position:absolute;left:2898;top:72;width:2990;height:1792" filled="false" stroked="true" strokeweight=".266899pt" strokecolor="#000000"/>
            <w10:wrap type="none"/>
          </v:group>
        </w:pict>
      </w:r>
      <w:r>
        <w:rPr/>
        <w:pict>
          <v:group style="position:absolute;margin-left:325.988708pt;margin-top:3.43846pt;width:152.2pt;height:92.55pt;mso-position-horizontal-relative:page;mso-position-vertical-relative:paragraph;z-index:-488200" coordorigin="6520,69" coordsize="3044,1851">
            <v:rect style="position:absolute;left:6568;top:72;width:2990;height:1792" filled="false" stroked="true" strokeweight=".266899pt" strokecolor="#000000"/>
            <v:shape style="position:absolute;left:4585;top:1920;width:3577;height:2191" coordorigin="4585,1920" coordsize="3577,2191" path="m6564,1861l6522,1861m6564,1503l6522,1503m6564,1146l6522,1146m6564,788l6522,788m6564,431l6522,431m6564,74l6522,74m6569,1868l6569,1893m6645,1868l6645,1893m6722,1868l6722,1893m6798,1868l6798,1893m6875,1868l6875,1893m6951,1868l6951,1893m7029,1868l7029,1893m7104,1868l7104,1893m7182,1868l7182,1893m7258,1868l7258,1893m7335,1868l7335,1893m7410,1868l7410,1893m7488,1868l7488,1893m7564,1868l7564,1893m7641,1868l7641,1893m7717,1868l7717,1893m7795,1868l7795,1893m7870,1868l7870,1893m7947,1868l7947,1893m8023,1868l8023,1893m8101,1868l8101,1893m8176,1868l8176,1893m8254,1868l8254,1893m8330,1868l8330,1893m8407,1868l8407,1893m8483,1868l8483,1893m8560,1868l8560,1893m8636,1868l8636,1893m8713,1868l8713,1893m8789,1868l8789,1893m8866,1868l8866,1893m8942,1868l8942,1893m9020,1868l9020,1893m9096,1868l9096,1893m9173,1868l9173,1893m9248,1868l9248,1893m9326,1868l9326,1893m9402,1868l9402,1893m9479,1868l9479,1893m9556,1868l9556,1893m6875,1868l6875,1916m7258,1868l7258,1916m7641,1868l7641,1916m8023,1868l8023,1916m8407,1868l8407,1916m8789,1868l8789,1916m9173,1868l9173,1916m9556,1868l9556,1916e" filled="false" stroked="true" strokeweight=".205736pt" strokecolor="#000000">
              <v:path arrowok="t"/>
            </v:shape>
            <v:line style="position:absolute" from="6574,1152" to="9562,1152" stroked="true" strokeweight=".117716pt" strokecolor="#000000"/>
            <v:shape style="position:absolute;left:6569;top:996;width:2976;height:172" coordorigin="6569,996" coordsize="2976,172" path="m6569,1046l6645,1010,6722,1025,6798,1112,6875,1082,6951,1105,7029,1120,7104,1167,7182,1151,7258,1146,7335,1117,7410,1119,7488,1101,7564,1083,7641,1053,7717,1039,7795,1024,7870,1017,7947,1004,8023,999,8101,996,8176,999,8254,1000,8330,1006,8407,1011,8483,1020,8560,1028,8636,1039,8713,1048,8789,1058,8866,1069,8942,1080,9020,1090,9096,1101,9173,1110,9248,1119,9326,1127,9402,1135,9479,1142,9545,1148e" filled="false" stroked="true" strokeweight=".26628pt" strokecolor="#0000ff">
              <v:path arrowok="t"/>
            </v:shape>
            <v:shape style="position:absolute;left:4640;top:2764;width:3494;height:728" coordorigin="4640,2764" coordsize="3494,728" path="m6569,920l6591,896m6601,886l6623,863m6633,851l6645,840,6660,835m6672,830l6703,820m6717,814l6722,813,6744,830m6755,838l6780,857m6791,867l6798,873,6819,865m6831,860l6862,849m6874,843l6875,843,6904,853m6917,858l6947,869m6961,873l6993,882m7006,884l7029,891,7037,896m7049,903l7077,919m7089,926l7104,937,7118,934m7132,932l7164,926m7178,923l7182,923,7209,920m7223,919l7255,916m7269,911l7299,900m7311,894l7335,886,7342,884m7355,884l7389,884m7402,884l7410,884,7434,877m7448,875l7480,867m7494,864l7525,857m7539,854l7564,849,7569,846m7583,840l7614,830m7627,825l7641,820,7659,817m7673,814l7705,810m7718,807l7750,803m7764,801l7795,796,7796,795m7809,795l7842,794m7856,792l7870,792,7888,789m7902,788l7934,785m7947,785l7981,784m7995,784l8023,784,8028,784m8041,784l8074,784m8088,784l8101,784,8121,785m8135,787l8167,789m8181,791l8214,791m8228,792l8254,794,8261,794m8274,795l8306,798m8320,799l8330,801,8352,802m8366,802l8397,805m8411,806l8443,809m8457,810l8483,814,8488,814m8502,815l8534,818m8548,820l8560,823,8579,824m8593,825l8625,830m8639,831l8670,835m8684,836l8713,840,8716,840m8730,842l8762,846m8775,849l8789,851,8807,853m8821,856l8853,860m8866,861l8866,863,8897,867m8910,868l8942,872m8955,875l8986,880m9000,882l9020,886,9032,887m9045,890l9077,894m9091,897l9096,899,9123,903m9137,904l9169,909m9182,912l9214,918m9228,920l9248,925,9260,926m9273,927l9305,933m9319,936l9326,937,9351,940m9365,942l9396,948m9410,949l9442,955m9456,956l9479,960,9487,960m9501,963l9533,969m6569,1170l6601,1172m6615,1174l6645,1178,6646,1178m6657,1186l6682,1205m6693,1214l6719,1233m6728,1246l6746,1273m6754,1286l6772,1312m6780,1324l6798,1349,6800,1348m6813,1342l6843,1331m6858,1327l6875,1320,6888,1323m6902,1325l6933,1332m6947,1336l6951,1338,6979,1342m6993,1343l7024,1349m7037,1354l7065,1371m7077,1379l7104,1396m7117,1393l7148,1386m7163,1383l7182,1379,7194,1378m7208,1377l7241,1375m7255,1375l7258,1375,7285,1365m7299,1361l7329,1350m7343,1349l7376,1350m7390,1352l7410,1353,7422,1350m7436,1346l7467,1339m7481,1336l7488,1335,7513,1328m7527,1325l7559,1319m7571,1313l7601,1302m7614,1296l7641,1286,7642,1284m7656,1281l7688,1276m7702,1273l7717,1270,7734,1266m7747,1262l7779,1254m7793,1251l7795,1251,7825,1246m7838,1244l7870,1240m7884,1236l7916,1230m7930,1226l7947,1223,7961,1221m7975,1219l8007,1215m8021,1214l8023,1214,8052,1211m8066,1210l8098,1207m8111,1207l8145,1207m8159,1207l8176,1208,8190,1207m8204,1207l8237,1207m8251,1207l8254,1207,8284,1208m8298,1208l8330,1211,8330,1211m8343,1211l8375,1214m8389,1215l8407,1217,8421,1218m8435,1219l8466,1223m8480,1225l8483,1226,8512,1229m8526,1230l8557,1233m8571,1236l8603,1240m8617,1241l8636,1246,8648,1247m8662,1248l8694,1252m8708,1254l8713,1255,8739,1258m8753,1261l8785,1265m8799,1266l8831,1270m8844,1272l8866,1276,8876,1276m8890,1279l8922,1283m8935,1284l8942,1286,8967,1287m8981,1288l9012,1292m9026,1294l9058,1298m9072,1299l9096,1302,9104,1302m9117,1303l9149,1306m9163,1308l9173,1309,9195,1310m9208,1310l9240,1313m9254,1315l9287,1316m9301,1317l9326,1319,9334,1319m9348,1319l9380,1321m9393,1321l9402,1323,9427,1323m9440,1323l9473,1324m9487,1325l9520,1325e" filled="false" stroked="true" strokeweight=".267457pt" strokecolor="#ff0000">
              <v:path arrowok="t"/>
            </v:shape>
            <v:line style="position:absolute" from="9534,1325" to="9545,1326" stroked="true" strokeweight=".266285pt" strokecolor="#ff0000"/>
            <v:rect style="position:absolute;left:6568;top:72;width:2990;height:1792" filled="false" stroked="true" strokeweight=".266899pt" strokecolor="#000000"/>
            <w10:wrap type="none"/>
          </v:group>
        </w:pict>
      </w:r>
      <w:r>
        <w:rPr>
          <w:rFonts w:ascii="Arial"/>
          <w:w w:val="105"/>
          <w:sz w:val="10"/>
        </w:rPr>
        <w:t>.03</w:t>
        <w:tab/>
        <w:t>.03</w:t>
      </w:r>
    </w:p>
    <w:p>
      <w:pPr>
        <w:pStyle w:val="BodyText"/>
        <w:spacing w:before="3"/>
        <w:rPr>
          <w:rFonts w:ascii="Arial"/>
          <w:sz w:val="13"/>
        </w:rPr>
      </w:pPr>
    </w:p>
    <w:p>
      <w:pPr>
        <w:tabs>
          <w:tab w:pos="4735" w:val="left" w:leader="none"/>
        </w:tabs>
        <w:spacing w:before="89"/>
        <w:ind w:left="1065" w:right="119" w:firstLine="0"/>
        <w:jc w:val="left"/>
        <w:rPr>
          <w:rFonts w:ascii="Arial"/>
          <w:sz w:val="10"/>
        </w:rPr>
      </w:pPr>
      <w:r>
        <w:rPr>
          <w:rFonts w:ascii="Arial"/>
          <w:w w:val="105"/>
          <w:sz w:val="10"/>
        </w:rPr>
        <w:t>.02</w:t>
        <w:tab/>
        <w:t>.02</w:t>
      </w:r>
    </w:p>
    <w:p>
      <w:pPr>
        <w:pStyle w:val="BodyText"/>
        <w:spacing w:before="2"/>
        <w:rPr>
          <w:rFonts w:ascii="Arial"/>
          <w:sz w:val="13"/>
        </w:rPr>
      </w:pPr>
    </w:p>
    <w:p>
      <w:pPr>
        <w:pStyle w:val="BodyText"/>
        <w:spacing w:before="9"/>
        <w:rPr>
          <w:rFonts w:ascii="Arial"/>
          <w:sz w:val="7"/>
        </w:rPr>
      </w:pPr>
    </w:p>
    <w:p>
      <w:pPr>
        <w:tabs>
          <w:tab w:pos="4735" w:val="left" w:leader="none"/>
        </w:tabs>
        <w:spacing w:before="0"/>
        <w:ind w:left="1065" w:right="119" w:firstLine="0"/>
        <w:jc w:val="left"/>
        <w:rPr>
          <w:rFonts w:ascii="Arial"/>
          <w:sz w:val="10"/>
        </w:rPr>
      </w:pPr>
      <w:r>
        <w:rPr>
          <w:rFonts w:ascii="Arial"/>
          <w:w w:val="105"/>
          <w:sz w:val="10"/>
        </w:rPr>
        <w:t>.01</w:t>
        <w:tab/>
        <w:t>.01</w:t>
      </w:r>
    </w:p>
    <w:p>
      <w:pPr>
        <w:pStyle w:val="BodyText"/>
        <w:spacing w:before="4"/>
        <w:rPr>
          <w:rFonts w:ascii="Arial"/>
          <w:sz w:val="13"/>
        </w:rPr>
      </w:pPr>
    </w:p>
    <w:p>
      <w:pPr>
        <w:tabs>
          <w:tab w:pos="4735" w:val="left" w:leader="none"/>
        </w:tabs>
        <w:spacing w:before="89"/>
        <w:ind w:left="1065" w:right="119" w:firstLine="0"/>
        <w:jc w:val="left"/>
        <w:rPr>
          <w:rFonts w:ascii="Arial"/>
          <w:sz w:val="10"/>
        </w:rPr>
      </w:pPr>
      <w:r>
        <w:rPr>
          <w:rFonts w:ascii="Arial"/>
          <w:w w:val="105"/>
          <w:sz w:val="10"/>
        </w:rPr>
        <w:t>.00</w:t>
        <w:tab/>
        <w:t>.00</w:t>
      </w:r>
    </w:p>
    <w:p>
      <w:pPr>
        <w:pStyle w:val="BodyText"/>
        <w:spacing w:before="3"/>
        <w:rPr>
          <w:rFonts w:ascii="Arial"/>
          <w:sz w:val="13"/>
        </w:rPr>
      </w:pPr>
    </w:p>
    <w:p>
      <w:pPr>
        <w:tabs>
          <w:tab w:pos="4704" w:val="left" w:leader="none"/>
        </w:tabs>
        <w:spacing w:before="89"/>
        <w:ind w:left="1034" w:right="119" w:firstLine="0"/>
        <w:jc w:val="left"/>
        <w:rPr>
          <w:rFonts w:ascii="Arial"/>
          <w:sz w:val="10"/>
        </w:rPr>
      </w:pPr>
      <w:r>
        <w:rPr>
          <w:rFonts w:ascii="Arial"/>
          <w:w w:val="105"/>
          <w:sz w:val="10"/>
        </w:rPr>
        <w:t>-.01</w:t>
        <w:tab/>
        <w:t>-.01</w:t>
      </w:r>
    </w:p>
    <w:p>
      <w:pPr>
        <w:pStyle w:val="BodyText"/>
        <w:spacing w:before="4"/>
        <w:rPr>
          <w:rFonts w:ascii="Arial"/>
          <w:sz w:val="13"/>
        </w:rPr>
      </w:pPr>
    </w:p>
    <w:p>
      <w:pPr>
        <w:spacing w:after="0"/>
        <w:rPr>
          <w:rFonts w:ascii="Arial"/>
          <w:sz w:val="13"/>
        </w:rPr>
        <w:sectPr>
          <w:type w:val="continuous"/>
          <w:pgSz w:w="12240" w:h="15840"/>
          <w:pgMar w:top="1060" w:bottom="280" w:left="1600" w:right="1580"/>
        </w:sectPr>
      </w:pPr>
    </w:p>
    <w:p>
      <w:pPr>
        <w:spacing w:before="89"/>
        <w:ind w:left="0" w:right="0" w:firstLine="0"/>
        <w:jc w:val="right"/>
        <w:rPr>
          <w:rFonts w:ascii="Arial"/>
          <w:sz w:val="10"/>
        </w:rPr>
      </w:pPr>
      <w:r>
        <w:rPr>
          <w:rFonts w:ascii="Arial"/>
          <w:sz w:val="10"/>
        </w:rPr>
        <w:t>-.02</w:t>
      </w:r>
    </w:p>
    <w:p>
      <w:pPr>
        <w:pStyle w:val="BodyText"/>
        <w:rPr>
          <w:rFonts w:ascii="Arial"/>
          <w:sz w:val="10"/>
        </w:rPr>
      </w:pPr>
      <w:r>
        <w:rPr/>
        <w:br w:type="column"/>
      </w:r>
      <w:r>
        <w:rPr>
          <w:rFonts w:ascii="Arial"/>
          <w:sz w:val="10"/>
        </w:rPr>
      </w:r>
    </w:p>
    <w:p>
      <w:pPr>
        <w:pStyle w:val="BodyText"/>
        <w:rPr>
          <w:rFonts w:ascii="Arial"/>
          <w:sz w:val="9"/>
        </w:rPr>
      </w:pPr>
    </w:p>
    <w:p>
      <w:pPr>
        <w:tabs>
          <w:tab w:pos="671" w:val="left" w:leader="none"/>
          <w:tab w:pos="1053" w:val="left" w:leader="none"/>
          <w:tab w:pos="1437" w:val="left" w:leader="none"/>
          <w:tab w:pos="1819" w:val="left" w:leader="none"/>
          <w:tab w:pos="2202" w:val="left" w:leader="none"/>
          <w:tab w:pos="2584" w:val="left" w:leader="none"/>
          <w:tab w:pos="2968" w:val="left" w:leader="none"/>
        </w:tabs>
        <w:spacing w:before="1"/>
        <w:ind w:left="319" w:right="0" w:firstLine="0"/>
        <w:jc w:val="left"/>
        <w:rPr>
          <w:rFonts w:ascii="Arial"/>
          <w:sz w:val="10"/>
        </w:rPr>
      </w:pPr>
      <w:r>
        <w:rPr>
          <w:rFonts w:ascii="Arial"/>
          <w:w w:val="105"/>
          <w:sz w:val="10"/>
        </w:rPr>
        <w:t>5</w:t>
        <w:tab/>
        <w:t>10</w:t>
        <w:tab/>
        <w:t>15</w:t>
        <w:tab/>
        <w:t>20</w:t>
        <w:tab/>
        <w:t>25</w:t>
        <w:tab/>
        <w:t>30</w:t>
        <w:tab/>
        <w:t>35</w:t>
        <w:tab/>
      </w:r>
      <w:r>
        <w:rPr>
          <w:rFonts w:ascii="Arial"/>
          <w:spacing w:val="4"/>
          <w:sz w:val="10"/>
        </w:rPr>
        <w:t>40</w:t>
      </w:r>
    </w:p>
    <w:p>
      <w:pPr>
        <w:spacing w:before="89"/>
        <w:ind w:left="316" w:right="-19" w:firstLine="0"/>
        <w:jc w:val="left"/>
        <w:rPr>
          <w:rFonts w:ascii="Arial"/>
          <w:sz w:val="10"/>
        </w:rPr>
      </w:pPr>
      <w:r>
        <w:rPr/>
        <w:br w:type="column"/>
      </w:r>
      <w:r>
        <w:rPr>
          <w:rFonts w:ascii="Arial"/>
          <w:w w:val="105"/>
          <w:sz w:val="10"/>
        </w:rPr>
        <w:t>-.02</w:t>
      </w:r>
    </w:p>
    <w:p>
      <w:pPr>
        <w:pStyle w:val="BodyText"/>
        <w:rPr>
          <w:rFonts w:ascii="Arial"/>
          <w:sz w:val="10"/>
        </w:rPr>
      </w:pPr>
      <w:r>
        <w:rPr/>
        <w:br w:type="column"/>
      </w:r>
      <w:r>
        <w:rPr>
          <w:rFonts w:ascii="Arial"/>
          <w:sz w:val="10"/>
        </w:rPr>
      </w:r>
    </w:p>
    <w:p>
      <w:pPr>
        <w:pStyle w:val="BodyText"/>
        <w:rPr>
          <w:rFonts w:ascii="Arial"/>
          <w:sz w:val="9"/>
        </w:rPr>
      </w:pPr>
    </w:p>
    <w:p>
      <w:pPr>
        <w:tabs>
          <w:tab w:pos="671" w:val="left" w:leader="none"/>
          <w:tab w:pos="1053" w:val="left" w:leader="none"/>
          <w:tab w:pos="1437" w:val="left" w:leader="none"/>
          <w:tab w:pos="1819" w:val="left" w:leader="none"/>
          <w:tab w:pos="2203" w:val="left" w:leader="none"/>
          <w:tab w:pos="2585" w:val="left" w:leader="none"/>
          <w:tab w:pos="2968" w:val="left" w:leader="none"/>
        </w:tabs>
        <w:spacing w:before="1"/>
        <w:ind w:left="319" w:right="0" w:firstLine="0"/>
        <w:jc w:val="left"/>
        <w:rPr>
          <w:rFonts w:ascii="Arial"/>
          <w:sz w:val="10"/>
        </w:rPr>
      </w:pPr>
      <w:r>
        <w:rPr>
          <w:rFonts w:ascii="Arial"/>
          <w:w w:val="105"/>
          <w:sz w:val="10"/>
        </w:rPr>
        <w:t>5</w:t>
        <w:tab/>
        <w:t>10</w:t>
        <w:tab/>
        <w:t>15</w:t>
        <w:tab/>
        <w:t>20</w:t>
        <w:tab/>
        <w:t>25</w:t>
        <w:tab/>
        <w:t>30</w:t>
        <w:tab/>
        <w:t>35</w:t>
        <w:tab/>
      </w:r>
      <w:r>
        <w:rPr>
          <w:rFonts w:ascii="Arial"/>
          <w:spacing w:val="4"/>
          <w:w w:val="105"/>
          <w:sz w:val="10"/>
        </w:rPr>
        <w:t>40</w:t>
      </w:r>
    </w:p>
    <w:p>
      <w:pPr>
        <w:spacing w:after="0"/>
        <w:jc w:val="left"/>
        <w:rPr>
          <w:rFonts w:ascii="Arial"/>
          <w:sz w:val="10"/>
        </w:rPr>
        <w:sectPr>
          <w:type w:val="continuous"/>
          <w:pgSz w:w="12240" w:h="15840"/>
          <w:pgMar w:top="1060" w:bottom="280" w:left="1600" w:right="1580"/>
          <w:cols w:num="4" w:equalWidth="0">
            <w:col w:w="1216" w:space="40"/>
            <w:col w:w="3093" w:space="40"/>
            <w:col w:w="498" w:space="40"/>
            <w:col w:w="4133"/>
          </w:cols>
        </w:sectPr>
      </w:pPr>
    </w:p>
    <w:p>
      <w:pPr>
        <w:spacing w:before="144"/>
        <w:ind w:left="2351" w:right="119" w:firstLine="0"/>
        <w:jc w:val="left"/>
        <w:rPr>
          <w:sz w:val="20"/>
        </w:rPr>
      </w:pPr>
      <w:r>
        <w:rPr>
          <w:sz w:val="20"/>
        </w:rPr>
        <w:t>Fuente: Elaboración propia con programa E-views 9.0</w:t>
      </w:r>
    </w:p>
    <w:p>
      <w:pPr>
        <w:spacing w:after="0"/>
        <w:jc w:val="left"/>
        <w:rPr>
          <w:sz w:val="20"/>
        </w:rPr>
        <w:sectPr>
          <w:type w:val="continuous"/>
          <w:pgSz w:w="12240" w:h="15840"/>
          <w:pgMar w:top="1060" w:bottom="280" w:left="1600" w:right="1580"/>
        </w:sectPr>
      </w:pPr>
    </w:p>
    <w:p>
      <w:pPr>
        <w:pStyle w:val="Heading1"/>
        <w:numPr>
          <w:ilvl w:val="2"/>
          <w:numId w:val="32"/>
        </w:numPr>
        <w:tabs>
          <w:tab w:pos="702" w:val="left" w:leader="none"/>
        </w:tabs>
        <w:spacing w:line="240" w:lineRule="auto" w:before="55" w:after="0"/>
        <w:ind w:left="702" w:right="0" w:hanging="600"/>
        <w:jc w:val="both"/>
      </w:pPr>
      <w:bookmarkStart w:name="_TOC_250002" w:id="33"/>
      <w:r>
        <w:rPr/>
        <w:t>Análisis de descomposición de</w:t>
      </w:r>
      <w:r>
        <w:rPr>
          <w:spacing w:val="-11"/>
        </w:rPr>
        <w:t> </w:t>
      </w:r>
      <w:bookmarkEnd w:id="33"/>
      <w:r>
        <w:rPr/>
        <w:t>varianza</w:t>
      </w:r>
    </w:p>
    <w:p>
      <w:pPr>
        <w:pStyle w:val="BodyText"/>
        <w:spacing w:before="6"/>
        <w:rPr>
          <w:b/>
          <w:sz w:val="32"/>
        </w:rPr>
      </w:pPr>
    </w:p>
    <w:p>
      <w:pPr>
        <w:pStyle w:val="BodyText"/>
        <w:spacing w:line="360" w:lineRule="auto"/>
        <w:ind w:left="102" w:right="115"/>
        <w:jc w:val="both"/>
      </w:pPr>
      <w:r>
        <w:rPr/>
        <w:t>La</w:t>
      </w:r>
      <w:r>
        <w:rPr>
          <w:spacing w:val="-6"/>
        </w:rPr>
        <w:t> </w:t>
      </w:r>
      <w:r>
        <w:rPr/>
        <w:t>descomposición</w:t>
      </w:r>
      <w:r>
        <w:rPr>
          <w:spacing w:val="-4"/>
        </w:rPr>
        <w:t> </w:t>
      </w:r>
      <w:r>
        <w:rPr/>
        <w:t>de</w:t>
      </w:r>
      <w:r>
        <w:rPr>
          <w:spacing w:val="-6"/>
        </w:rPr>
        <w:t> </w:t>
      </w:r>
      <w:r>
        <w:rPr/>
        <w:t>varianzas</w:t>
      </w:r>
      <w:r>
        <w:rPr>
          <w:spacing w:val="-5"/>
        </w:rPr>
        <w:t> </w:t>
      </w:r>
      <w:r>
        <w:rPr/>
        <w:t>es</w:t>
      </w:r>
      <w:r>
        <w:rPr>
          <w:spacing w:val="-5"/>
        </w:rPr>
        <w:t> </w:t>
      </w:r>
      <w:r>
        <w:rPr/>
        <w:t>un</w:t>
      </w:r>
      <w:r>
        <w:rPr>
          <w:spacing w:val="-5"/>
        </w:rPr>
        <w:t> </w:t>
      </w:r>
      <w:r>
        <w:rPr/>
        <w:t>complemento</w:t>
      </w:r>
      <w:r>
        <w:rPr>
          <w:spacing w:val="-5"/>
        </w:rPr>
        <w:t> </w:t>
      </w:r>
      <w:r>
        <w:rPr/>
        <w:t>muy</w:t>
      </w:r>
      <w:r>
        <w:rPr>
          <w:spacing w:val="-11"/>
        </w:rPr>
        <w:t> </w:t>
      </w:r>
      <w:r>
        <w:rPr/>
        <w:t>importante</w:t>
      </w:r>
      <w:r>
        <w:rPr>
          <w:spacing w:val="-5"/>
        </w:rPr>
        <w:t> </w:t>
      </w:r>
      <w:r>
        <w:rPr/>
        <w:t>del</w:t>
      </w:r>
      <w:r>
        <w:rPr>
          <w:spacing w:val="-4"/>
        </w:rPr>
        <w:t> </w:t>
      </w:r>
      <w:r>
        <w:rPr/>
        <w:t>análisis</w:t>
      </w:r>
      <w:r>
        <w:rPr>
          <w:spacing w:val="-4"/>
        </w:rPr>
        <w:t> </w:t>
      </w:r>
      <w:r>
        <w:rPr/>
        <w:t>de</w:t>
      </w:r>
      <w:r>
        <w:rPr>
          <w:spacing w:val="-6"/>
        </w:rPr>
        <w:t> </w:t>
      </w:r>
      <w:r>
        <w:rPr/>
        <w:t>impulso respuesta, pues permite medir, en diferentes momentos del tiempo, el porcentaje de volatilidad que registra una variable por los choques de las demás. Es decir, indica la proporción</w:t>
      </w:r>
      <w:r>
        <w:rPr>
          <w:spacing w:val="-3"/>
        </w:rPr>
        <w:t> </w:t>
      </w:r>
      <w:r>
        <w:rPr/>
        <w:t>del</w:t>
      </w:r>
      <w:r>
        <w:rPr>
          <w:spacing w:val="-3"/>
        </w:rPr>
        <w:t> </w:t>
      </w:r>
      <w:r>
        <w:rPr/>
        <w:t>efecto</w:t>
      </w:r>
      <w:r>
        <w:rPr>
          <w:spacing w:val="-3"/>
        </w:rPr>
        <w:t> </w:t>
      </w:r>
      <w:r>
        <w:rPr/>
        <w:t>que</w:t>
      </w:r>
      <w:r>
        <w:rPr>
          <w:spacing w:val="-3"/>
        </w:rPr>
        <w:t> </w:t>
      </w:r>
      <w:r>
        <w:rPr/>
        <w:t>tienen</w:t>
      </w:r>
      <w:r>
        <w:rPr>
          <w:spacing w:val="-4"/>
        </w:rPr>
        <w:t> </w:t>
      </w:r>
      <w:r>
        <w:rPr/>
        <w:t>todas</w:t>
      </w:r>
      <w:r>
        <w:rPr>
          <w:spacing w:val="-4"/>
        </w:rPr>
        <w:t> </w:t>
      </w:r>
      <w:r>
        <w:rPr/>
        <w:t>las</w:t>
      </w:r>
      <w:r>
        <w:rPr>
          <w:spacing w:val="-4"/>
        </w:rPr>
        <w:t> </w:t>
      </w:r>
      <w:r>
        <w:rPr/>
        <w:t>perturbaciones</w:t>
      </w:r>
      <w:r>
        <w:rPr>
          <w:spacing w:val="-4"/>
        </w:rPr>
        <w:t> </w:t>
      </w:r>
      <w:r>
        <w:rPr/>
        <w:t>de</w:t>
      </w:r>
      <w:r>
        <w:rPr>
          <w:spacing w:val="-5"/>
        </w:rPr>
        <w:t> </w:t>
      </w:r>
      <w:r>
        <w:rPr/>
        <w:t>las</w:t>
      </w:r>
      <w:r>
        <w:rPr>
          <w:spacing w:val="-4"/>
        </w:rPr>
        <w:t> </w:t>
      </w:r>
      <w:r>
        <w:rPr/>
        <w:t>variables</w:t>
      </w:r>
      <w:r>
        <w:rPr>
          <w:spacing w:val="-4"/>
        </w:rPr>
        <w:t> </w:t>
      </w:r>
      <w:r>
        <w:rPr/>
        <w:t>sobre</w:t>
      </w:r>
      <w:r>
        <w:rPr>
          <w:spacing w:val="-5"/>
        </w:rPr>
        <w:t> </w:t>
      </w:r>
      <w:r>
        <w:rPr/>
        <w:t>las</w:t>
      </w:r>
      <w:r>
        <w:rPr>
          <w:spacing w:val="-4"/>
        </w:rPr>
        <w:t> </w:t>
      </w:r>
      <w:r>
        <w:rPr/>
        <w:t>demás</w:t>
      </w:r>
      <w:r>
        <w:rPr>
          <w:spacing w:val="-4"/>
        </w:rPr>
        <w:t> </w:t>
      </w:r>
      <w:r>
        <w:rPr/>
        <w:t>en forma dinámica, por lo que es posible asignarle un peso específico a cada una en cuanto a la volatilidad que le genera a la variable endógena en cuestión para cada momento del tiempo (Loría,</w:t>
      </w:r>
      <w:r>
        <w:rPr>
          <w:spacing w:val="-5"/>
        </w:rPr>
        <w:t> </w:t>
      </w:r>
      <w:r>
        <w:rPr/>
        <w:t>2007).</w:t>
      </w:r>
    </w:p>
    <w:p>
      <w:pPr>
        <w:pStyle w:val="BodyText"/>
        <w:spacing w:before="2"/>
        <w:rPr>
          <w:sz w:val="21"/>
        </w:rPr>
      </w:pPr>
    </w:p>
    <w:p>
      <w:pPr>
        <w:pStyle w:val="BodyText"/>
        <w:spacing w:line="360" w:lineRule="auto"/>
        <w:ind w:left="102" w:right="115"/>
        <w:jc w:val="both"/>
      </w:pPr>
      <w:r>
        <w:rPr/>
        <w:t>La</w:t>
      </w:r>
      <w:r>
        <w:rPr>
          <w:spacing w:val="-11"/>
        </w:rPr>
        <w:t> </w:t>
      </w:r>
      <w:r>
        <w:rPr/>
        <w:t>descomposición</w:t>
      </w:r>
      <w:r>
        <w:rPr>
          <w:spacing w:val="-13"/>
        </w:rPr>
        <w:t> </w:t>
      </w:r>
      <w:r>
        <w:rPr/>
        <w:t>de</w:t>
      </w:r>
      <w:r>
        <w:rPr>
          <w:spacing w:val="-11"/>
        </w:rPr>
        <w:t> </w:t>
      </w:r>
      <w:r>
        <w:rPr/>
        <w:t>la</w:t>
      </w:r>
      <w:r>
        <w:rPr>
          <w:spacing w:val="-11"/>
        </w:rPr>
        <w:t> </w:t>
      </w:r>
      <w:r>
        <w:rPr/>
        <w:t>varianza</w:t>
      </w:r>
      <w:r>
        <w:rPr>
          <w:spacing w:val="-13"/>
        </w:rPr>
        <w:t> </w:t>
      </w:r>
      <w:r>
        <w:rPr/>
        <w:t>se</w:t>
      </w:r>
      <w:r>
        <w:rPr>
          <w:spacing w:val="-11"/>
        </w:rPr>
        <w:t> </w:t>
      </w:r>
      <w:r>
        <w:rPr/>
        <w:t>realizó</w:t>
      </w:r>
      <w:r>
        <w:rPr>
          <w:spacing w:val="-12"/>
        </w:rPr>
        <w:t> </w:t>
      </w:r>
      <w:r>
        <w:rPr/>
        <w:t>para</w:t>
      </w:r>
      <w:r>
        <w:rPr>
          <w:spacing w:val="-13"/>
        </w:rPr>
        <w:t> </w:t>
      </w:r>
      <w:r>
        <w:rPr/>
        <w:t>un</w:t>
      </w:r>
      <w:r>
        <w:rPr>
          <w:spacing w:val="-12"/>
        </w:rPr>
        <w:t> </w:t>
      </w:r>
      <w:r>
        <w:rPr/>
        <w:t>horizonte</w:t>
      </w:r>
      <w:r>
        <w:rPr>
          <w:spacing w:val="-13"/>
        </w:rPr>
        <w:t> </w:t>
      </w:r>
      <w:r>
        <w:rPr/>
        <w:t>de</w:t>
      </w:r>
      <w:r>
        <w:rPr>
          <w:spacing w:val="-13"/>
        </w:rPr>
        <w:t> </w:t>
      </w:r>
      <w:r>
        <w:rPr/>
        <w:t>30</w:t>
      </w:r>
      <w:r>
        <w:rPr>
          <w:spacing w:val="-10"/>
        </w:rPr>
        <w:t> </w:t>
      </w:r>
      <w:r>
        <w:rPr/>
        <w:t>trimestres,</w:t>
      </w:r>
      <w:r>
        <w:rPr>
          <w:spacing w:val="-12"/>
        </w:rPr>
        <w:t> </w:t>
      </w:r>
      <w:r>
        <w:rPr/>
        <w:t>los</w:t>
      </w:r>
      <w:r>
        <w:rPr>
          <w:spacing w:val="-12"/>
        </w:rPr>
        <w:t> </w:t>
      </w:r>
      <w:r>
        <w:rPr/>
        <w:t>resultados se</w:t>
      </w:r>
      <w:r>
        <w:rPr>
          <w:spacing w:val="-9"/>
        </w:rPr>
        <w:t> </w:t>
      </w:r>
      <w:r>
        <w:rPr/>
        <w:t>presentan</w:t>
      </w:r>
      <w:r>
        <w:rPr>
          <w:spacing w:val="-7"/>
        </w:rPr>
        <w:t> </w:t>
      </w:r>
      <w:r>
        <w:rPr/>
        <w:t>en</w:t>
      </w:r>
      <w:r>
        <w:rPr>
          <w:spacing w:val="-9"/>
        </w:rPr>
        <w:t> </w:t>
      </w:r>
      <w:r>
        <w:rPr/>
        <w:t>el</w:t>
      </w:r>
      <w:r>
        <w:rPr>
          <w:spacing w:val="-8"/>
        </w:rPr>
        <w:t> </w:t>
      </w:r>
      <w:r>
        <w:rPr/>
        <w:t>cuadro</w:t>
      </w:r>
      <w:r>
        <w:rPr>
          <w:spacing w:val="-7"/>
        </w:rPr>
        <w:t> </w:t>
      </w:r>
      <w:r>
        <w:rPr/>
        <w:t>5.10,</w:t>
      </w:r>
      <w:r>
        <w:rPr>
          <w:spacing w:val="43"/>
        </w:rPr>
        <w:t> </w:t>
      </w:r>
      <w:r>
        <w:rPr/>
        <w:t>donde</w:t>
      </w:r>
      <w:r>
        <w:rPr>
          <w:spacing w:val="-10"/>
        </w:rPr>
        <w:t> </w:t>
      </w:r>
      <w:r>
        <w:rPr/>
        <w:t>se</w:t>
      </w:r>
      <w:r>
        <w:rPr>
          <w:spacing w:val="-9"/>
        </w:rPr>
        <w:t> </w:t>
      </w:r>
      <w:r>
        <w:rPr/>
        <w:t>observa</w:t>
      </w:r>
      <w:r>
        <w:rPr>
          <w:spacing w:val="-10"/>
        </w:rPr>
        <w:t> </w:t>
      </w:r>
      <w:r>
        <w:rPr/>
        <w:t>que</w:t>
      </w:r>
      <w:r>
        <w:rPr>
          <w:spacing w:val="-10"/>
        </w:rPr>
        <w:t> </w:t>
      </w:r>
      <w:r>
        <w:rPr/>
        <w:t>todas</w:t>
      </w:r>
      <w:r>
        <w:rPr>
          <w:spacing w:val="-7"/>
        </w:rPr>
        <w:t> </w:t>
      </w:r>
      <w:r>
        <w:rPr/>
        <w:t>y</w:t>
      </w:r>
      <w:r>
        <w:rPr>
          <w:spacing w:val="-11"/>
        </w:rPr>
        <w:t> </w:t>
      </w:r>
      <w:r>
        <w:rPr/>
        <w:t>cada</w:t>
      </w:r>
      <w:r>
        <w:rPr>
          <w:spacing w:val="-10"/>
        </w:rPr>
        <w:t> </w:t>
      </w:r>
      <w:r>
        <w:rPr/>
        <w:t>una</w:t>
      </w:r>
      <w:r>
        <w:rPr>
          <w:spacing w:val="-10"/>
        </w:rPr>
        <w:t> </w:t>
      </w:r>
      <w:r>
        <w:rPr/>
        <w:t>de</w:t>
      </w:r>
      <w:r>
        <w:rPr>
          <w:spacing w:val="-10"/>
        </w:rPr>
        <w:t> </w:t>
      </w:r>
      <w:r>
        <w:rPr/>
        <w:t>las</w:t>
      </w:r>
      <w:r>
        <w:rPr>
          <w:spacing w:val="-7"/>
        </w:rPr>
        <w:t> </w:t>
      </w:r>
      <w:r>
        <w:rPr/>
        <w:t>variables</w:t>
      </w:r>
      <w:r>
        <w:rPr>
          <w:spacing w:val="-9"/>
        </w:rPr>
        <w:t> </w:t>
      </w:r>
      <w:r>
        <w:rPr/>
        <w:t>tienen un fuerte comportamiento autorregresivo destacando el producto industrial de Estados Unidos (lyindusteu) en primer lugar, y en último lugar la productividad media del trabajo</w:t>
      </w:r>
      <w:r>
        <w:rPr>
          <w:spacing w:val="-37"/>
        </w:rPr>
        <w:t> </w:t>
      </w:r>
      <w:r>
        <w:rPr/>
        <w:t>de la</w:t>
      </w:r>
      <w:r>
        <w:rPr>
          <w:spacing w:val="-15"/>
        </w:rPr>
        <w:t> </w:t>
      </w:r>
      <w:r>
        <w:rPr/>
        <w:t>industria</w:t>
      </w:r>
      <w:r>
        <w:rPr>
          <w:spacing w:val="-15"/>
        </w:rPr>
        <w:t> </w:t>
      </w:r>
      <w:r>
        <w:rPr/>
        <w:t>automotriz</w:t>
      </w:r>
      <w:r>
        <w:rPr>
          <w:spacing w:val="-15"/>
        </w:rPr>
        <w:t> </w:t>
      </w:r>
      <w:r>
        <w:rPr/>
        <w:t>(lpmt),</w:t>
      </w:r>
      <w:r>
        <w:rPr>
          <w:spacing w:val="-15"/>
        </w:rPr>
        <w:t> </w:t>
      </w:r>
      <w:r>
        <w:rPr/>
        <w:t>en</w:t>
      </w:r>
      <w:r>
        <w:rPr>
          <w:spacing w:val="-14"/>
        </w:rPr>
        <w:t> </w:t>
      </w:r>
      <w:r>
        <w:rPr/>
        <w:t>virtud</w:t>
      </w:r>
      <w:r>
        <w:rPr>
          <w:spacing w:val="-14"/>
        </w:rPr>
        <w:t> </w:t>
      </w:r>
      <w:r>
        <w:rPr/>
        <w:t>de</w:t>
      </w:r>
      <w:r>
        <w:rPr>
          <w:spacing w:val="-15"/>
        </w:rPr>
        <w:t> </w:t>
      </w:r>
      <w:r>
        <w:rPr/>
        <w:t>que</w:t>
      </w:r>
      <w:r>
        <w:rPr>
          <w:spacing w:val="-15"/>
        </w:rPr>
        <w:t> </w:t>
      </w:r>
      <w:r>
        <w:rPr/>
        <w:t>después</w:t>
      </w:r>
      <w:r>
        <w:rPr>
          <w:spacing w:val="-14"/>
        </w:rPr>
        <w:t> </w:t>
      </w:r>
      <w:r>
        <w:rPr/>
        <w:t>de</w:t>
      </w:r>
      <w:r>
        <w:rPr>
          <w:spacing w:val="-15"/>
        </w:rPr>
        <w:t> </w:t>
      </w:r>
      <w:r>
        <w:rPr/>
        <w:t>25</w:t>
      </w:r>
      <w:r>
        <w:rPr>
          <w:spacing w:val="-14"/>
        </w:rPr>
        <w:t> </w:t>
      </w:r>
      <w:r>
        <w:rPr/>
        <w:t>trimestres</w:t>
      </w:r>
      <w:r>
        <w:rPr>
          <w:spacing w:val="-14"/>
        </w:rPr>
        <w:t> </w:t>
      </w:r>
      <w:r>
        <w:rPr/>
        <w:t>el</w:t>
      </w:r>
      <w:r>
        <w:rPr>
          <w:spacing w:val="-14"/>
        </w:rPr>
        <w:t> </w:t>
      </w:r>
      <w:r>
        <w:rPr/>
        <w:t>79%</w:t>
      </w:r>
      <w:r>
        <w:rPr>
          <w:spacing w:val="-15"/>
        </w:rPr>
        <w:t> </w:t>
      </w:r>
      <w:r>
        <w:rPr/>
        <w:t>de</w:t>
      </w:r>
      <w:r>
        <w:rPr>
          <w:spacing w:val="-15"/>
        </w:rPr>
        <w:t> </w:t>
      </w:r>
      <w:r>
        <w:rPr/>
        <w:t>la</w:t>
      </w:r>
      <w:r>
        <w:rPr>
          <w:spacing w:val="-15"/>
        </w:rPr>
        <w:t> </w:t>
      </w:r>
      <w:r>
        <w:rPr/>
        <w:t>varianza de la primera variable se sigue explicando por ella misma; mientras que en la segunda sólo el</w:t>
      </w:r>
      <w:r>
        <w:rPr>
          <w:spacing w:val="-1"/>
        </w:rPr>
        <w:t> </w:t>
      </w:r>
      <w:r>
        <w:rPr/>
        <w:t>13%.</w:t>
      </w:r>
    </w:p>
    <w:p>
      <w:pPr>
        <w:pStyle w:val="BodyText"/>
        <w:spacing w:before="4"/>
        <w:rPr>
          <w:sz w:val="21"/>
        </w:rPr>
      </w:pPr>
    </w:p>
    <w:p>
      <w:pPr>
        <w:pStyle w:val="BodyText"/>
        <w:spacing w:line="360" w:lineRule="auto" w:before="1"/>
        <w:ind w:left="102" w:right="116"/>
        <w:jc w:val="both"/>
      </w:pPr>
      <w:r>
        <w:rPr/>
        <w:t>En la ecuación central (lyman) destaca que sus propios rezagos pierden rápidamente capacidad explicativa, al pasar del 100% en el periodo uno al 31% en el periodo quince. No sucede</w:t>
      </w:r>
      <w:r>
        <w:rPr>
          <w:spacing w:val="-12"/>
        </w:rPr>
        <w:t> </w:t>
      </w:r>
      <w:r>
        <w:rPr/>
        <w:t>así</w:t>
      </w:r>
      <w:r>
        <w:rPr>
          <w:spacing w:val="-8"/>
        </w:rPr>
        <w:t> </w:t>
      </w:r>
      <w:r>
        <w:rPr/>
        <w:t>con</w:t>
      </w:r>
      <w:r>
        <w:rPr>
          <w:spacing w:val="-11"/>
        </w:rPr>
        <w:t> </w:t>
      </w:r>
      <w:r>
        <w:rPr/>
        <w:t>el</w:t>
      </w:r>
      <w:r>
        <w:rPr>
          <w:spacing w:val="-11"/>
        </w:rPr>
        <w:t> </w:t>
      </w:r>
      <w:r>
        <w:rPr/>
        <w:t>resto</w:t>
      </w:r>
      <w:r>
        <w:rPr>
          <w:spacing w:val="-10"/>
        </w:rPr>
        <w:t> </w:t>
      </w:r>
      <w:r>
        <w:rPr/>
        <w:t>de</w:t>
      </w:r>
      <w:r>
        <w:rPr>
          <w:spacing w:val="-10"/>
        </w:rPr>
        <w:t> </w:t>
      </w:r>
      <w:r>
        <w:rPr/>
        <w:t>las</w:t>
      </w:r>
      <w:r>
        <w:rPr>
          <w:spacing w:val="-11"/>
        </w:rPr>
        <w:t> </w:t>
      </w:r>
      <w:r>
        <w:rPr/>
        <w:t>variables</w:t>
      </w:r>
      <w:r>
        <w:rPr>
          <w:spacing w:val="-11"/>
        </w:rPr>
        <w:t> </w:t>
      </w:r>
      <w:r>
        <w:rPr/>
        <w:t>involucradas</w:t>
      </w:r>
      <w:r>
        <w:rPr>
          <w:spacing w:val="-11"/>
        </w:rPr>
        <w:t> </w:t>
      </w:r>
      <w:r>
        <w:rPr/>
        <w:t>en</w:t>
      </w:r>
      <w:r>
        <w:rPr>
          <w:spacing w:val="-11"/>
        </w:rPr>
        <w:t> </w:t>
      </w:r>
      <w:r>
        <w:rPr/>
        <w:t>la</w:t>
      </w:r>
      <w:r>
        <w:rPr>
          <w:spacing w:val="-12"/>
        </w:rPr>
        <w:t> </w:t>
      </w:r>
      <w:r>
        <w:rPr/>
        <w:t>ecuación,</w:t>
      </w:r>
      <w:r>
        <w:rPr>
          <w:spacing w:val="-11"/>
        </w:rPr>
        <w:t> </w:t>
      </w:r>
      <w:r>
        <w:rPr/>
        <w:t>resaltando</w:t>
      </w:r>
      <w:r>
        <w:rPr>
          <w:spacing w:val="-11"/>
        </w:rPr>
        <w:t> </w:t>
      </w:r>
      <w:r>
        <w:rPr/>
        <w:t>que</w:t>
      </w:r>
      <w:r>
        <w:rPr>
          <w:spacing w:val="-12"/>
        </w:rPr>
        <w:t> </w:t>
      </w:r>
      <w:r>
        <w:rPr/>
        <w:t>la</w:t>
      </w:r>
      <w:r>
        <w:rPr>
          <w:spacing w:val="-12"/>
        </w:rPr>
        <w:t> </w:t>
      </w:r>
      <w:r>
        <w:rPr/>
        <w:t>variable de mayor peso es el producto industrial de Estados Unidos (lyindusteu), seguida por el tipo de cambio real (lqreal), que en conjunto explican casi el 64% de la variación porcentual de lyman, con este resultado se confirma la sensibilidad que tiene la variable a perturbaciones externas, por lo que es importante una política cambiara adecuada que estimule el crecimiento económico del sector manufacturero de nuestro</w:t>
      </w:r>
      <w:r>
        <w:rPr>
          <w:spacing w:val="-13"/>
        </w:rPr>
        <w:t> </w:t>
      </w:r>
      <w:r>
        <w:rPr/>
        <w:t>país.</w:t>
      </w:r>
    </w:p>
    <w:p>
      <w:pPr>
        <w:pStyle w:val="BodyText"/>
        <w:spacing w:before="4"/>
        <w:rPr>
          <w:sz w:val="21"/>
        </w:rPr>
      </w:pPr>
    </w:p>
    <w:p>
      <w:pPr>
        <w:pStyle w:val="BodyText"/>
        <w:spacing w:line="360" w:lineRule="auto" w:before="1"/>
        <w:ind w:left="102" w:right="115"/>
        <w:jc w:val="both"/>
      </w:pPr>
      <w:r>
        <w:rPr/>
        <w:t>En contraste, se observa que al periodo treinta que el producto de la industria automotriz (lyauto),</w:t>
      </w:r>
      <w:r>
        <w:rPr>
          <w:spacing w:val="-13"/>
        </w:rPr>
        <w:t> </w:t>
      </w:r>
      <w:r>
        <w:rPr/>
        <w:t>junto</w:t>
      </w:r>
      <w:r>
        <w:rPr>
          <w:spacing w:val="-12"/>
        </w:rPr>
        <w:t> </w:t>
      </w:r>
      <w:r>
        <w:rPr/>
        <w:t>con</w:t>
      </w:r>
      <w:r>
        <w:rPr>
          <w:spacing w:val="-12"/>
        </w:rPr>
        <w:t> </w:t>
      </w:r>
      <w:r>
        <w:rPr/>
        <w:t>su</w:t>
      </w:r>
      <w:r>
        <w:rPr>
          <w:spacing w:val="-12"/>
        </w:rPr>
        <w:t> </w:t>
      </w:r>
      <w:r>
        <w:rPr/>
        <w:t>productividad</w:t>
      </w:r>
      <w:r>
        <w:rPr>
          <w:spacing w:val="-12"/>
        </w:rPr>
        <w:t> </w:t>
      </w:r>
      <w:r>
        <w:rPr/>
        <w:t>(lpmt),</w:t>
      </w:r>
      <w:r>
        <w:rPr>
          <w:spacing w:val="-13"/>
        </w:rPr>
        <w:t> </w:t>
      </w:r>
      <w:r>
        <w:rPr/>
        <w:t>explican</w:t>
      </w:r>
      <w:r>
        <w:rPr>
          <w:spacing w:val="-12"/>
        </w:rPr>
        <w:t> </w:t>
      </w:r>
      <w:r>
        <w:rPr/>
        <w:t>solo</w:t>
      </w:r>
      <w:r>
        <w:rPr>
          <w:spacing w:val="-11"/>
        </w:rPr>
        <w:t> </w:t>
      </w:r>
      <w:r>
        <w:rPr/>
        <w:t>el</w:t>
      </w:r>
      <w:r>
        <w:rPr>
          <w:spacing w:val="-12"/>
        </w:rPr>
        <w:t> </w:t>
      </w:r>
      <w:r>
        <w:rPr/>
        <w:t>10%</w:t>
      </w:r>
      <w:r>
        <w:rPr>
          <w:spacing w:val="-13"/>
        </w:rPr>
        <w:t> </w:t>
      </w:r>
      <w:r>
        <w:rPr/>
        <w:t>del</w:t>
      </w:r>
      <w:r>
        <w:rPr>
          <w:spacing w:val="-12"/>
        </w:rPr>
        <w:t> </w:t>
      </w:r>
      <w:r>
        <w:rPr/>
        <w:t>producto</w:t>
      </w:r>
      <w:r>
        <w:rPr>
          <w:spacing w:val="-12"/>
        </w:rPr>
        <w:t> </w:t>
      </w:r>
      <w:r>
        <w:rPr/>
        <w:t>manufacturero nacional, si bien este resultado no es muy significativo, ello no significa que la industria automotriz deje de ser importante en el crecimiento de la producción manufacturera, sobre todo por la evidencia presentada</w:t>
      </w:r>
      <w:r>
        <w:rPr>
          <w:spacing w:val="-9"/>
        </w:rPr>
        <w:t> </w:t>
      </w:r>
      <w:r>
        <w:rPr/>
        <w:t>anteriormente.</w:t>
      </w:r>
    </w:p>
    <w:p>
      <w:pPr>
        <w:spacing w:after="0" w:line="360" w:lineRule="auto"/>
        <w:jc w:val="both"/>
        <w:sectPr>
          <w:pgSz w:w="12240" w:h="15840"/>
          <w:pgMar w:header="0" w:footer="1035" w:top="1360" w:bottom="1220" w:left="1600" w:right="1580"/>
        </w:sectPr>
      </w:pPr>
    </w:p>
    <w:p>
      <w:pPr>
        <w:pStyle w:val="BodyText"/>
        <w:spacing w:line="360" w:lineRule="auto" w:before="50"/>
        <w:ind w:left="182" w:right="181"/>
        <w:jc w:val="both"/>
      </w:pPr>
      <w:r>
        <w:rPr/>
        <w:t>Otra manera de contrastar la correcta especificación del modelo consiste en revisar la magnitud</w:t>
      </w:r>
      <w:r>
        <w:rPr>
          <w:spacing w:val="-6"/>
        </w:rPr>
        <w:t> </w:t>
      </w:r>
      <w:r>
        <w:rPr/>
        <w:t>del</w:t>
      </w:r>
      <w:r>
        <w:rPr>
          <w:spacing w:val="-6"/>
        </w:rPr>
        <w:t> </w:t>
      </w:r>
      <w:r>
        <w:rPr/>
        <w:t>error</w:t>
      </w:r>
      <w:r>
        <w:rPr>
          <w:spacing w:val="-5"/>
        </w:rPr>
        <w:t> </w:t>
      </w:r>
      <w:r>
        <w:rPr/>
        <w:t>estándar</w:t>
      </w:r>
      <w:r>
        <w:rPr>
          <w:spacing w:val="-7"/>
        </w:rPr>
        <w:t> </w:t>
      </w:r>
      <w:r>
        <w:rPr/>
        <w:t>de</w:t>
      </w:r>
      <w:r>
        <w:rPr>
          <w:spacing w:val="-5"/>
        </w:rPr>
        <w:t> </w:t>
      </w:r>
      <w:r>
        <w:rPr/>
        <w:t>cada</w:t>
      </w:r>
      <w:r>
        <w:rPr>
          <w:spacing w:val="-5"/>
        </w:rPr>
        <w:t> </w:t>
      </w:r>
      <w:r>
        <w:rPr/>
        <w:t>ecuación</w:t>
      </w:r>
      <w:r>
        <w:rPr>
          <w:spacing w:val="-6"/>
        </w:rPr>
        <w:t> </w:t>
      </w:r>
      <w:r>
        <w:rPr/>
        <w:t>para</w:t>
      </w:r>
      <w:r>
        <w:rPr>
          <w:spacing w:val="-6"/>
        </w:rPr>
        <w:t> </w:t>
      </w:r>
      <w:r>
        <w:rPr/>
        <w:t>los</w:t>
      </w:r>
      <w:r>
        <w:rPr>
          <w:spacing w:val="-6"/>
        </w:rPr>
        <w:t> </w:t>
      </w:r>
      <w:r>
        <w:rPr/>
        <w:t>periodos</w:t>
      </w:r>
      <w:r>
        <w:rPr>
          <w:spacing w:val="-6"/>
        </w:rPr>
        <w:t> </w:t>
      </w:r>
      <w:r>
        <w:rPr/>
        <w:t>considerados,</w:t>
      </w:r>
      <w:r>
        <w:rPr>
          <w:spacing w:val="-6"/>
        </w:rPr>
        <w:t> </w:t>
      </w:r>
      <w:r>
        <w:rPr/>
        <w:t>en</w:t>
      </w:r>
      <w:r>
        <w:rPr>
          <w:spacing w:val="-6"/>
        </w:rPr>
        <w:t> </w:t>
      </w:r>
      <w:r>
        <w:rPr/>
        <w:t>este</w:t>
      </w:r>
      <w:r>
        <w:rPr>
          <w:spacing w:val="-4"/>
        </w:rPr>
        <w:t> </w:t>
      </w:r>
      <w:r>
        <w:rPr/>
        <w:t>sentido destaca</w:t>
      </w:r>
      <w:r>
        <w:rPr>
          <w:spacing w:val="-5"/>
        </w:rPr>
        <w:t> </w:t>
      </w:r>
      <w:r>
        <w:rPr/>
        <w:t>que</w:t>
      </w:r>
      <w:r>
        <w:rPr>
          <w:spacing w:val="-5"/>
        </w:rPr>
        <w:t> </w:t>
      </w:r>
      <w:r>
        <w:rPr/>
        <w:t>la</w:t>
      </w:r>
      <w:r>
        <w:rPr>
          <w:spacing w:val="-4"/>
        </w:rPr>
        <w:t> </w:t>
      </w:r>
      <w:r>
        <w:rPr/>
        <w:t>mejor</w:t>
      </w:r>
      <w:r>
        <w:rPr>
          <w:spacing w:val="-2"/>
        </w:rPr>
        <w:t> </w:t>
      </w:r>
      <w:r>
        <w:rPr/>
        <w:t>especificación</w:t>
      </w:r>
      <w:r>
        <w:rPr>
          <w:spacing w:val="-2"/>
        </w:rPr>
        <w:t> </w:t>
      </w:r>
      <w:r>
        <w:rPr/>
        <w:t>es</w:t>
      </w:r>
      <w:r>
        <w:rPr>
          <w:spacing w:val="-4"/>
        </w:rPr>
        <w:t> </w:t>
      </w:r>
      <w:r>
        <w:rPr/>
        <w:t>la</w:t>
      </w:r>
      <w:r>
        <w:rPr>
          <w:spacing w:val="-4"/>
        </w:rPr>
        <w:t> </w:t>
      </w:r>
      <w:r>
        <w:rPr/>
        <w:t>ecuación</w:t>
      </w:r>
      <w:r>
        <w:rPr>
          <w:spacing w:val="-2"/>
        </w:rPr>
        <w:t> </w:t>
      </w:r>
      <w:r>
        <w:rPr/>
        <w:t>de</w:t>
      </w:r>
      <w:r>
        <w:rPr>
          <w:spacing w:val="-4"/>
        </w:rPr>
        <w:t> </w:t>
      </w:r>
      <w:r>
        <w:rPr/>
        <w:t>lyman,</w:t>
      </w:r>
      <w:r>
        <w:rPr>
          <w:spacing w:val="-4"/>
        </w:rPr>
        <w:t> </w:t>
      </w:r>
      <w:r>
        <w:rPr/>
        <w:t>la</w:t>
      </w:r>
      <w:r>
        <w:rPr>
          <w:spacing w:val="-5"/>
        </w:rPr>
        <w:t> </w:t>
      </w:r>
      <w:r>
        <w:rPr/>
        <w:t>cual</w:t>
      </w:r>
      <w:r>
        <w:rPr>
          <w:spacing w:val="-1"/>
        </w:rPr>
        <w:t> </w:t>
      </w:r>
      <w:r>
        <w:rPr/>
        <w:t>es</w:t>
      </w:r>
      <w:r>
        <w:rPr>
          <w:spacing w:val="-4"/>
        </w:rPr>
        <w:t> </w:t>
      </w:r>
      <w:r>
        <w:rPr/>
        <w:t>la</w:t>
      </w:r>
      <w:r>
        <w:rPr>
          <w:spacing w:val="-4"/>
        </w:rPr>
        <w:t> </w:t>
      </w:r>
      <w:r>
        <w:rPr/>
        <w:t>variable</w:t>
      </w:r>
      <w:r>
        <w:rPr>
          <w:spacing w:val="-4"/>
        </w:rPr>
        <w:t> </w:t>
      </w:r>
      <w:r>
        <w:rPr/>
        <w:t>de</w:t>
      </w:r>
      <w:r>
        <w:rPr>
          <w:spacing w:val="-5"/>
        </w:rPr>
        <w:t> </w:t>
      </w:r>
      <w:r>
        <w:rPr/>
        <w:t>interés.</w:t>
      </w:r>
    </w:p>
    <w:p>
      <w:pPr>
        <w:pStyle w:val="BodyText"/>
        <w:spacing w:before="9"/>
        <w:rPr>
          <w:sz w:val="21"/>
        </w:rPr>
      </w:pPr>
    </w:p>
    <w:p>
      <w:pPr>
        <w:pStyle w:val="Heading1"/>
        <w:ind w:left="1893"/>
      </w:pPr>
      <w:r>
        <w:rPr/>
        <w:t>Cuadro 5.10. Análisis de descomposición de varianza</w:t>
      </w:r>
    </w:p>
    <w:p>
      <w:pPr>
        <w:pStyle w:val="BodyText"/>
        <w:spacing w:before="11"/>
        <w:rPr>
          <w:b/>
          <w:sz w:val="11"/>
        </w:rPr>
      </w:pPr>
    </w:p>
    <w:tbl>
      <w:tblPr>
        <w:tblW w:w="0" w:type="auto"/>
        <w:jc w:val="left"/>
        <w:tblInd w:w="110"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1516"/>
        <w:gridCol w:w="2228"/>
        <w:gridCol w:w="1078"/>
        <w:gridCol w:w="1027"/>
        <w:gridCol w:w="956"/>
        <w:gridCol w:w="1133"/>
        <w:gridCol w:w="1043"/>
      </w:tblGrid>
      <w:tr>
        <w:trPr>
          <w:trHeight w:val="238" w:hRule="exact"/>
        </w:trPr>
        <w:tc>
          <w:tcPr>
            <w:tcW w:w="8982" w:type="dxa"/>
            <w:gridSpan w:val="7"/>
            <w:tcBorders>
              <w:left w:val="nil"/>
              <w:right w:val="nil"/>
            </w:tcBorders>
          </w:tcPr>
          <w:p>
            <w:pPr>
              <w:pStyle w:val="TableParagraph"/>
              <w:spacing w:line="205" w:lineRule="exact"/>
              <w:ind w:left="71"/>
              <w:jc w:val="left"/>
              <w:rPr>
                <w:sz w:val="18"/>
              </w:rPr>
            </w:pPr>
            <w:r>
              <w:rPr>
                <w:sz w:val="18"/>
              </w:rPr>
              <w:t>Descomposición de varianza de lyman:</w:t>
            </w:r>
          </w:p>
        </w:tc>
      </w:tr>
      <w:tr>
        <w:trPr>
          <w:trHeight w:val="238" w:hRule="exact"/>
        </w:trPr>
        <w:tc>
          <w:tcPr>
            <w:tcW w:w="1516" w:type="dxa"/>
            <w:tcBorders>
              <w:left w:val="nil"/>
              <w:right w:val="nil"/>
            </w:tcBorders>
          </w:tcPr>
          <w:p>
            <w:pPr>
              <w:pStyle w:val="TableParagraph"/>
              <w:spacing w:line="205" w:lineRule="exact"/>
              <w:ind w:left="398" w:right="517"/>
              <w:rPr>
                <w:sz w:val="18"/>
              </w:rPr>
            </w:pPr>
            <w:r>
              <w:rPr>
                <w:sz w:val="18"/>
              </w:rPr>
              <w:t>Periodo</w:t>
            </w:r>
          </w:p>
        </w:tc>
        <w:tc>
          <w:tcPr>
            <w:tcW w:w="2228" w:type="dxa"/>
            <w:tcBorders>
              <w:left w:val="nil"/>
              <w:right w:val="nil"/>
            </w:tcBorders>
          </w:tcPr>
          <w:p>
            <w:pPr>
              <w:pStyle w:val="TableParagraph"/>
              <w:spacing w:line="205" w:lineRule="exact"/>
              <w:ind w:left="520" w:right="642"/>
              <w:rPr>
                <w:sz w:val="18"/>
              </w:rPr>
            </w:pPr>
            <w:r>
              <w:rPr>
                <w:sz w:val="18"/>
              </w:rPr>
              <w:t>Error estándar</w:t>
            </w:r>
          </w:p>
        </w:tc>
        <w:tc>
          <w:tcPr>
            <w:tcW w:w="1078" w:type="dxa"/>
            <w:tcBorders>
              <w:left w:val="nil"/>
              <w:right w:val="nil"/>
            </w:tcBorders>
            <w:shd w:val="clear" w:color="auto" w:fill="D9D9D9"/>
          </w:tcPr>
          <w:p>
            <w:pPr>
              <w:pStyle w:val="TableParagraph"/>
              <w:spacing w:line="205" w:lineRule="exact"/>
              <w:ind w:left="292" w:right="296"/>
              <w:rPr>
                <w:sz w:val="18"/>
              </w:rPr>
            </w:pPr>
            <w:r>
              <w:rPr>
                <w:sz w:val="18"/>
              </w:rPr>
              <w:t>lyman</w:t>
            </w:r>
          </w:p>
        </w:tc>
        <w:tc>
          <w:tcPr>
            <w:tcW w:w="1027" w:type="dxa"/>
            <w:tcBorders>
              <w:left w:val="nil"/>
              <w:right w:val="nil"/>
            </w:tcBorders>
          </w:tcPr>
          <w:p>
            <w:pPr>
              <w:pStyle w:val="TableParagraph"/>
              <w:spacing w:line="205" w:lineRule="exact"/>
              <w:ind w:left="268" w:right="269"/>
              <w:rPr>
                <w:sz w:val="18"/>
              </w:rPr>
            </w:pPr>
            <w:r>
              <w:rPr>
                <w:sz w:val="18"/>
              </w:rPr>
              <w:t>lyauto</w:t>
            </w:r>
          </w:p>
        </w:tc>
        <w:tc>
          <w:tcPr>
            <w:tcW w:w="956" w:type="dxa"/>
            <w:tcBorders>
              <w:left w:val="nil"/>
              <w:right w:val="nil"/>
            </w:tcBorders>
          </w:tcPr>
          <w:p>
            <w:pPr>
              <w:pStyle w:val="TableParagraph"/>
              <w:spacing w:line="205" w:lineRule="exact"/>
              <w:ind w:left="253" w:right="252"/>
              <w:rPr>
                <w:sz w:val="18"/>
              </w:rPr>
            </w:pPr>
            <w:r>
              <w:rPr>
                <w:sz w:val="18"/>
              </w:rPr>
              <w:t>lqreal</w:t>
            </w:r>
          </w:p>
        </w:tc>
        <w:tc>
          <w:tcPr>
            <w:tcW w:w="1133" w:type="dxa"/>
            <w:tcBorders>
              <w:left w:val="nil"/>
              <w:right w:val="nil"/>
            </w:tcBorders>
          </w:tcPr>
          <w:p>
            <w:pPr>
              <w:pStyle w:val="TableParagraph"/>
              <w:spacing w:line="205" w:lineRule="exact"/>
              <w:ind w:left="171" w:right="171"/>
              <w:rPr>
                <w:sz w:val="18"/>
              </w:rPr>
            </w:pPr>
            <w:r>
              <w:rPr>
                <w:sz w:val="18"/>
              </w:rPr>
              <w:t>lyindusteu</w:t>
            </w:r>
          </w:p>
        </w:tc>
        <w:tc>
          <w:tcPr>
            <w:tcW w:w="1043" w:type="dxa"/>
            <w:tcBorders>
              <w:left w:val="nil"/>
              <w:right w:val="nil"/>
            </w:tcBorders>
          </w:tcPr>
          <w:p>
            <w:pPr>
              <w:pStyle w:val="TableParagraph"/>
              <w:spacing w:line="205" w:lineRule="exact"/>
              <w:ind w:left="336" w:right="336"/>
              <w:rPr>
                <w:sz w:val="18"/>
              </w:rPr>
            </w:pPr>
            <w:r>
              <w:rPr>
                <w:sz w:val="18"/>
              </w:rPr>
              <w:t>lpmt</w:t>
            </w:r>
          </w:p>
        </w:tc>
      </w:tr>
      <w:tr>
        <w:trPr>
          <w:trHeight w:val="227" w:hRule="exact"/>
        </w:trPr>
        <w:tc>
          <w:tcPr>
            <w:tcW w:w="1516" w:type="dxa"/>
            <w:tcBorders>
              <w:left w:val="nil"/>
              <w:bottom w:val="nil"/>
              <w:right w:val="nil"/>
            </w:tcBorders>
          </w:tcPr>
          <w:p>
            <w:pPr>
              <w:pStyle w:val="TableParagraph"/>
              <w:spacing w:line="202" w:lineRule="exact"/>
              <w:ind w:right="118"/>
              <w:rPr>
                <w:sz w:val="18"/>
              </w:rPr>
            </w:pPr>
            <w:r>
              <w:rPr>
                <w:sz w:val="18"/>
              </w:rPr>
              <w:t>1</w:t>
            </w:r>
          </w:p>
        </w:tc>
        <w:tc>
          <w:tcPr>
            <w:tcW w:w="2228" w:type="dxa"/>
            <w:tcBorders>
              <w:left w:val="nil"/>
              <w:bottom w:val="nil"/>
              <w:right w:val="nil"/>
            </w:tcBorders>
          </w:tcPr>
          <w:p>
            <w:pPr>
              <w:pStyle w:val="TableParagraph"/>
              <w:spacing w:line="202" w:lineRule="exact"/>
              <w:ind w:left="520" w:right="641"/>
              <w:rPr>
                <w:sz w:val="18"/>
              </w:rPr>
            </w:pPr>
            <w:r>
              <w:rPr>
                <w:sz w:val="18"/>
              </w:rPr>
              <w:t>0.0161</w:t>
            </w:r>
          </w:p>
        </w:tc>
        <w:tc>
          <w:tcPr>
            <w:tcW w:w="1078" w:type="dxa"/>
            <w:tcBorders>
              <w:left w:val="nil"/>
              <w:bottom w:val="nil"/>
              <w:right w:val="nil"/>
            </w:tcBorders>
            <w:shd w:val="clear" w:color="auto" w:fill="D9D9D9"/>
          </w:tcPr>
          <w:p>
            <w:pPr>
              <w:pStyle w:val="TableParagraph"/>
              <w:spacing w:line="202" w:lineRule="exact"/>
              <w:ind w:left="292" w:right="293"/>
              <w:rPr>
                <w:sz w:val="18"/>
              </w:rPr>
            </w:pPr>
            <w:r>
              <w:rPr>
                <w:sz w:val="18"/>
              </w:rPr>
              <w:t>100</w:t>
            </w:r>
          </w:p>
        </w:tc>
        <w:tc>
          <w:tcPr>
            <w:tcW w:w="1027" w:type="dxa"/>
            <w:tcBorders>
              <w:left w:val="nil"/>
              <w:bottom w:val="nil"/>
              <w:right w:val="nil"/>
            </w:tcBorders>
          </w:tcPr>
          <w:p>
            <w:pPr>
              <w:pStyle w:val="TableParagraph"/>
              <w:spacing w:line="202" w:lineRule="exact"/>
              <w:ind w:right="1"/>
              <w:rPr>
                <w:sz w:val="18"/>
              </w:rPr>
            </w:pPr>
            <w:r>
              <w:rPr>
                <w:sz w:val="18"/>
              </w:rPr>
              <w:t>0</w:t>
            </w:r>
          </w:p>
        </w:tc>
        <w:tc>
          <w:tcPr>
            <w:tcW w:w="956" w:type="dxa"/>
            <w:tcBorders>
              <w:left w:val="nil"/>
              <w:bottom w:val="nil"/>
              <w:right w:val="nil"/>
            </w:tcBorders>
          </w:tcPr>
          <w:p>
            <w:pPr>
              <w:pStyle w:val="TableParagraph"/>
              <w:spacing w:line="202" w:lineRule="exact"/>
              <w:ind w:left="3"/>
              <w:rPr>
                <w:sz w:val="18"/>
              </w:rPr>
            </w:pPr>
            <w:r>
              <w:rPr>
                <w:sz w:val="18"/>
              </w:rPr>
              <w:t>0</w:t>
            </w:r>
          </w:p>
        </w:tc>
        <w:tc>
          <w:tcPr>
            <w:tcW w:w="1133" w:type="dxa"/>
            <w:tcBorders>
              <w:left w:val="nil"/>
              <w:bottom w:val="nil"/>
              <w:right w:val="nil"/>
            </w:tcBorders>
          </w:tcPr>
          <w:p>
            <w:pPr>
              <w:pStyle w:val="TableParagraph"/>
              <w:spacing w:line="202" w:lineRule="exact"/>
              <w:ind w:left="3"/>
              <w:rPr>
                <w:sz w:val="18"/>
              </w:rPr>
            </w:pPr>
            <w:r>
              <w:rPr>
                <w:sz w:val="18"/>
              </w:rPr>
              <w:t>0</w:t>
            </w:r>
          </w:p>
        </w:tc>
        <w:tc>
          <w:tcPr>
            <w:tcW w:w="1043" w:type="dxa"/>
            <w:tcBorders>
              <w:left w:val="nil"/>
              <w:bottom w:val="nil"/>
              <w:right w:val="nil"/>
            </w:tcBorders>
          </w:tcPr>
          <w:p>
            <w:pPr>
              <w:pStyle w:val="TableParagraph"/>
              <w:spacing w:line="202" w:lineRule="exact"/>
              <w:ind w:left="1"/>
              <w:rPr>
                <w:sz w:val="18"/>
              </w:rPr>
            </w:pPr>
            <w:r>
              <w:rPr>
                <w:sz w:val="18"/>
              </w:rPr>
              <w:t>0</w:t>
            </w:r>
          </w:p>
        </w:tc>
      </w:tr>
      <w:tr>
        <w:trPr>
          <w:trHeight w:val="208" w:hRule="exact"/>
        </w:trPr>
        <w:tc>
          <w:tcPr>
            <w:tcW w:w="1516" w:type="dxa"/>
            <w:tcBorders>
              <w:top w:val="nil"/>
              <w:left w:val="nil"/>
              <w:bottom w:val="nil"/>
              <w:right w:val="nil"/>
            </w:tcBorders>
          </w:tcPr>
          <w:p>
            <w:pPr>
              <w:pStyle w:val="TableParagraph"/>
              <w:spacing w:line="198" w:lineRule="exact"/>
              <w:ind w:right="118"/>
              <w:rPr>
                <w:sz w:val="18"/>
              </w:rPr>
            </w:pPr>
            <w:r>
              <w:rPr>
                <w:sz w:val="18"/>
              </w:rPr>
              <w:t>5</w:t>
            </w:r>
          </w:p>
        </w:tc>
        <w:tc>
          <w:tcPr>
            <w:tcW w:w="2228" w:type="dxa"/>
            <w:tcBorders>
              <w:top w:val="nil"/>
              <w:left w:val="nil"/>
              <w:bottom w:val="nil"/>
              <w:right w:val="nil"/>
            </w:tcBorders>
          </w:tcPr>
          <w:p>
            <w:pPr>
              <w:pStyle w:val="TableParagraph"/>
              <w:spacing w:line="198" w:lineRule="exact"/>
              <w:ind w:left="520" w:right="641"/>
              <w:rPr>
                <w:sz w:val="18"/>
              </w:rPr>
            </w:pPr>
            <w:r>
              <w:rPr>
                <w:sz w:val="18"/>
              </w:rPr>
              <w:t>0.0367</w:t>
            </w:r>
          </w:p>
        </w:tc>
        <w:tc>
          <w:tcPr>
            <w:tcW w:w="1078" w:type="dxa"/>
            <w:tcBorders>
              <w:top w:val="nil"/>
              <w:left w:val="nil"/>
              <w:bottom w:val="nil"/>
              <w:right w:val="nil"/>
            </w:tcBorders>
            <w:shd w:val="clear" w:color="auto" w:fill="D9D9D9"/>
          </w:tcPr>
          <w:p>
            <w:pPr>
              <w:pStyle w:val="TableParagraph"/>
              <w:spacing w:line="198" w:lineRule="exact"/>
              <w:ind w:left="292" w:right="293"/>
              <w:rPr>
                <w:sz w:val="18"/>
              </w:rPr>
            </w:pPr>
            <w:r>
              <w:rPr>
                <w:sz w:val="18"/>
              </w:rPr>
              <w:t>29</w:t>
            </w:r>
          </w:p>
        </w:tc>
        <w:tc>
          <w:tcPr>
            <w:tcW w:w="1027" w:type="dxa"/>
            <w:tcBorders>
              <w:top w:val="nil"/>
              <w:left w:val="nil"/>
              <w:bottom w:val="nil"/>
              <w:right w:val="nil"/>
            </w:tcBorders>
          </w:tcPr>
          <w:p>
            <w:pPr>
              <w:pStyle w:val="TableParagraph"/>
              <w:spacing w:line="198" w:lineRule="exact"/>
              <w:ind w:right="1"/>
              <w:rPr>
                <w:sz w:val="18"/>
              </w:rPr>
            </w:pPr>
            <w:r>
              <w:rPr>
                <w:sz w:val="18"/>
              </w:rPr>
              <w:t>4</w:t>
            </w:r>
          </w:p>
        </w:tc>
        <w:tc>
          <w:tcPr>
            <w:tcW w:w="956" w:type="dxa"/>
            <w:tcBorders>
              <w:top w:val="nil"/>
              <w:left w:val="nil"/>
              <w:bottom w:val="nil"/>
              <w:right w:val="nil"/>
            </w:tcBorders>
          </w:tcPr>
          <w:p>
            <w:pPr>
              <w:pStyle w:val="TableParagraph"/>
              <w:spacing w:line="198" w:lineRule="exact"/>
              <w:ind w:left="253" w:right="249"/>
              <w:rPr>
                <w:sz w:val="18"/>
              </w:rPr>
            </w:pPr>
            <w:r>
              <w:rPr>
                <w:sz w:val="18"/>
              </w:rPr>
              <w:t>23</w:t>
            </w:r>
          </w:p>
        </w:tc>
        <w:tc>
          <w:tcPr>
            <w:tcW w:w="1133" w:type="dxa"/>
            <w:tcBorders>
              <w:top w:val="nil"/>
              <w:left w:val="nil"/>
              <w:bottom w:val="nil"/>
              <w:right w:val="nil"/>
            </w:tcBorders>
          </w:tcPr>
          <w:p>
            <w:pPr>
              <w:pStyle w:val="TableParagraph"/>
              <w:spacing w:line="198" w:lineRule="exact"/>
              <w:ind w:left="171" w:right="167"/>
              <w:rPr>
                <w:sz w:val="18"/>
              </w:rPr>
            </w:pPr>
            <w:r>
              <w:rPr>
                <w:sz w:val="18"/>
              </w:rPr>
              <w:t>44</w:t>
            </w:r>
          </w:p>
        </w:tc>
        <w:tc>
          <w:tcPr>
            <w:tcW w:w="1043" w:type="dxa"/>
            <w:tcBorders>
              <w:top w:val="nil"/>
              <w:left w:val="nil"/>
              <w:bottom w:val="nil"/>
              <w:right w:val="nil"/>
            </w:tcBorders>
          </w:tcPr>
          <w:p>
            <w:pPr>
              <w:pStyle w:val="TableParagraph"/>
              <w:spacing w:line="198" w:lineRule="exact"/>
              <w:ind w:left="1"/>
              <w:rPr>
                <w:sz w:val="18"/>
              </w:rPr>
            </w:pPr>
            <w:r>
              <w:rPr>
                <w:sz w:val="18"/>
              </w:rPr>
              <w:t>0</w:t>
            </w:r>
          </w:p>
        </w:tc>
      </w:tr>
      <w:tr>
        <w:trPr>
          <w:trHeight w:val="207" w:hRule="exact"/>
        </w:trPr>
        <w:tc>
          <w:tcPr>
            <w:tcW w:w="1516" w:type="dxa"/>
            <w:tcBorders>
              <w:top w:val="nil"/>
              <w:left w:val="nil"/>
              <w:bottom w:val="nil"/>
              <w:right w:val="nil"/>
            </w:tcBorders>
          </w:tcPr>
          <w:p>
            <w:pPr>
              <w:pStyle w:val="TableParagraph"/>
              <w:spacing w:line="197" w:lineRule="exact"/>
              <w:ind w:left="398" w:right="515"/>
              <w:rPr>
                <w:sz w:val="18"/>
              </w:rPr>
            </w:pPr>
            <w:r>
              <w:rPr>
                <w:sz w:val="18"/>
              </w:rPr>
              <w:t>10</w:t>
            </w:r>
          </w:p>
        </w:tc>
        <w:tc>
          <w:tcPr>
            <w:tcW w:w="2228" w:type="dxa"/>
            <w:tcBorders>
              <w:top w:val="nil"/>
              <w:left w:val="nil"/>
              <w:bottom w:val="nil"/>
              <w:right w:val="nil"/>
            </w:tcBorders>
          </w:tcPr>
          <w:p>
            <w:pPr>
              <w:pStyle w:val="TableParagraph"/>
              <w:spacing w:line="197" w:lineRule="exact"/>
              <w:ind w:left="520" w:right="641"/>
              <w:rPr>
                <w:sz w:val="18"/>
              </w:rPr>
            </w:pPr>
            <w:r>
              <w:rPr>
                <w:sz w:val="18"/>
              </w:rPr>
              <w:t>0.0437</w:t>
            </w:r>
          </w:p>
        </w:tc>
        <w:tc>
          <w:tcPr>
            <w:tcW w:w="1078" w:type="dxa"/>
            <w:tcBorders>
              <w:top w:val="nil"/>
              <w:left w:val="nil"/>
              <w:bottom w:val="nil"/>
              <w:right w:val="nil"/>
            </w:tcBorders>
            <w:shd w:val="clear" w:color="auto" w:fill="D9D9D9"/>
          </w:tcPr>
          <w:p>
            <w:pPr>
              <w:pStyle w:val="TableParagraph"/>
              <w:spacing w:line="197" w:lineRule="exact"/>
              <w:ind w:left="292" w:right="293"/>
              <w:rPr>
                <w:sz w:val="18"/>
              </w:rPr>
            </w:pPr>
            <w:r>
              <w:rPr>
                <w:sz w:val="18"/>
              </w:rPr>
              <w:t>30</w:t>
            </w:r>
          </w:p>
        </w:tc>
        <w:tc>
          <w:tcPr>
            <w:tcW w:w="1027" w:type="dxa"/>
            <w:tcBorders>
              <w:top w:val="nil"/>
              <w:left w:val="nil"/>
              <w:bottom w:val="nil"/>
              <w:right w:val="nil"/>
            </w:tcBorders>
          </w:tcPr>
          <w:p>
            <w:pPr>
              <w:pStyle w:val="TableParagraph"/>
              <w:spacing w:line="197" w:lineRule="exact"/>
              <w:ind w:right="1"/>
              <w:rPr>
                <w:sz w:val="18"/>
              </w:rPr>
            </w:pPr>
            <w:r>
              <w:rPr>
                <w:sz w:val="18"/>
              </w:rPr>
              <w:t>3</w:t>
            </w:r>
          </w:p>
        </w:tc>
        <w:tc>
          <w:tcPr>
            <w:tcW w:w="956" w:type="dxa"/>
            <w:tcBorders>
              <w:top w:val="nil"/>
              <w:left w:val="nil"/>
              <w:bottom w:val="nil"/>
              <w:right w:val="nil"/>
            </w:tcBorders>
          </w:tcPr>
          <w:p>
            <w:pPr>
              <w:pStyle w:val="TableParagraph"/>
              <w:spacing w:line="197" w:lineRule="exact"/>
              <w:ind w:left="253" w:right="249"/>
              <w:rPr>
                <w:sz w:val="18"/>
              </w:rPr>
            </w:pPr>
            <w:r>
              <w:rPr>
                <w:sz w:val="18"/>
              </w:rPr>
              <w:t>19</w:t>
            </w:r>
          </w:p>
        </w:tc>
        <w:tc>
          <w:tcPr>
            <w:tcW w:w="1133" w:type="dxa"/>
            <w:tcBorders>
              <w:top w:val="nil"/>
              <w:left w:val="nil"/>
              <w:bottom w:val="nil"/>
              <w:right w:val="nil"/>
            </w:tcBorders>
          </w:tcPr>
          <w:p>
            <w:pPr>
              <w:pStyle w:val="TableParagraph"/>
              <w:spacing w:line="197" w:lineRule="exact"/>
              <w:ind w:left="171" w:right="167"/>
              <w:rPr>
                <w:sz w:val="18"/>
              </w:rPr>
            </w:pPr>
            <w:r>
              <w:rPr>
                <w:sz w:val="18"/>
              </w:rPr>
              <w:t>48</w:t>
            </w:r>
          </w:p>
        </w:tc>
        <w:tc>
          <w:tcPr>
            <w:tcW w:w="1043" w:type="dxa"/>
            <w:tcBorders>
              <w:top w:val="nil"/>
              <w:left w:val="nil"/>
              <w:bottom w:val="nil"/>
              <w:right w:val="nil"/>
            </w:tcBorders>
          </w:tcPr>
          <w:p>
            <w:pPr>
              <w:pStyle w:val="TableParagraph"/>
              <w:spacing w:line="197" w:lineRule="exact"/>
              <w:ind w:left="1"/>
              <w:rPr>
                <w:sz w:val="18"/>
              </w:rPr>
            </w:pPr>
            <w:r>
              <w:rPr>
                <w:sz w:val="18"/>
              </w:rPr>
              <w:t>1</w:t>
            </w:r>
          </w:p>
        </w:tc>
      </w:tr>
      <w:tr>
        <w:trPr>
          <w:trHeight w:val="206" w:hRule="exact"/>
        </w:trPr>
        <w:tc>
          <w:tcPr>
            <w:tcW w:w="1516" w:type="dxa"/>
            <w:tcBorders>
              <w:top w:val="nil"/>
              <w:left w:val="nil"/>
              <w:bottom w:val="nil"/>
              <w:right w:val="nil"/>
            </w:tcBorders>
          </w:tcPr>
          <w:p>
            <w:pPr>
              <w:pStyle w:val="TableParagraph"/>
              <w:spacing w:line="197" w:lineRule="exact"/>
              <w:ind w:left="398" w:right="515"/>
              <w:rPr>
                <w:sz w:val="18"/>
              </w:rPr>
            </w:pPr>
            <w:r>
              <w:rPr>
                <w:sz w:val="18"/>
              </w:rPr>
              <w:t>15</w:t>
            </w:r>
          </w:p>
        </w:tc>
        <w:tc>
          <w:tcPr>
            <w:tcW w:w="2228" w:type="dxa"/>
            <w:tcBorders>
              <w:top w:val="nil"/>
              <w:left w:val="nil"/>
              <w:bottom w:val="nil"/>
              <w:right w:val="nil"/>
            </w:tcBorders>
          </w:tcPr>
          <w:p>
            <w:pPr>
              <w:pStyle w:val="TableParagraph"/>
              <w:spacing w:line="197" w:lineRule="exact"/>
              <w:ind w:left="520" w:right="641"/>
              <w:rPr>
                <w:sz w:val="18"/>
              </w:rPr>
            </w:pPr>
            <w:r>
              <w:rPr>
                <w:sz w:val="18"/>
              </w:rPr>
              <w:t>0.0470</w:t>
            </w:r>
          </w:p>
        </w:tc>
        <w:tc>
          <w:tcPr>
            <w:tcW w:w="1078" w:type="dxa"/>
            <w:tcBorders>
              <w:top w:val="nil"/>
              <w:left w:val="nil"/>
              <w:bottom w:val="nil"/>
              <w:right w:val="nil"/>
            </w:tcBorders>
            <w:shd w:val="clear" w:color="auto" w:fill="D9D9D9"/>
          </w:tcPr>
          <w:p>
            <w:pPr>
              <w:pStyle w:val="TableParagraph"/>
              <w:spacing w:line="197" w:lineRule="exact"/>
              <w:ind w:left="292" w:right="293"/>
              <w:rPr>
                <w:sz w:val="18"/>
              </w:rPr>
            </w:pPr>
            <w:r>
              <w:rPr>
                <w:sz w:val="18"/>
              </w:rPr>
              <w:t>31</w:t>
            </w:r>
          </w:p>
        </w:tc>
        <w:tc>
          <w:tcPr>
            <w:tcW w:w="1027" w:type="dxa"/>
            <w:tcBorders>
              <w:top w:val="nil"/>
              <w:left w:val="nil"/>
              <w:bottom w:val="nil"/>
              <w:right w:val="nil"/>
            </w:tcBorders>
          </w:tcPr>
          <w:p>
            <w:pPr>
              <w:pStyle w:val="TableParagraph"/>
              <w:spacing w:line="197" w:lineRule="exact"/>
              <w:ind w:right="1"/>
              <w:rPr>
                <w:sz w:val="18"/>
              </w:rPr>
            </w:pPr>
            <w:r>
              <w:rPr>
                <w:sz w:val="18"/>
              </w:rPr>
              <w:t>3</w:t>
            </w:r>
          </w:p>
        </w:tc>
        <w:tc>
          <w:tcPr>
            <w:tcW w:w="956" w:type="dxa"/>
            <w:tcBorders>
              <w:top w:val="nil"/>
              <w:left w:val="nil"/>
              <w:bottom w:val="nil"/>
              <w:right w:val="nil"/>
            </w:tcBorders>
          </w:tcPr>
          <w:p>
            <w:pPr>
              <w:pStyle w:val="TableParagraph"/>
              <w:spacing w:line="197" w:lineRule="exact"/>
              <w:ind w:left="253" w:right="249"/>
              <w:rPr>
                <w:sz w:val="18"/>
              </w:rPr>
            </w:pPr>
            <w:r>
              <w:rPr>
                <w:sz w:val="18"/>
              </w:rPr>
              <w:t>19</w:t>
            </w:r>
          </w:p>
        </w:tc>
        <w:tc>
          <w:tcPr>
            <w:tcW w:w="1133" w:type="dxa"/>
            <w:tcBorders>
              <w:top w:val="nil"/>
              <w:left w:val="nil"/>
              <w:bottom w:val="nil"/>
              <w:right w:val="nil"/>
            </w:tcBorders>
          </w:tcPr>
          <w:p>
            <w:pPr>
              <w:pStyle w:val="TableParagraph"/>
              <w:spacing w:line="197" w:lineRule="exact"/>
              <w:ind w:left="171" w:right="167"/>
              <w:rPr>
                <w:sz w:val="18"/>
              </w:rPr>
            </w:pPr>
            <w:r>
              <w:rPr>
                <w:sz w:val="18"/>
              </w:rPr>
              <w:t>45</w:t>
            </w:r>
          </w:p>
        </w:tc>
        <w:tc>
          <w:tcPr>
            <w:tcW w:w="1043" w:type="dxa"/>
            <w:tcBorders>
              <w:top w:val="nil"/>
              <w:left w:val="nil"/>
              <w:bottom w:val="nil"/>
              <w:right w:val="nil"/>
            </w:tcBorders>
          </w:tcPr>
          <w:p>
            <w:pPr>
              <w:pStyle w:val="TableParagraph"/>
              <w:spacing w:line="197" w:lineRule="exact"/>
              <w:ind w:left="1"/>
              <w:rPr>
                <w:sz w:val="18"/>
              </w:rPr>
            </w:pPr>
            <w:r>
              <w:rPr>
                <w:sz w:val="18"/>
              </w:rPr>
              <w:t>1</w:t>
            </w:r>
          </w:p>
        </w:tc>
      </w:tr>
      <w:tr>
        <w:trPr>
          <w:trHeight w:val="208" w:hRule="exact"/>
        </w:trPr>
        <w:tc>
          <w:tcPr>
            <w:tcW w:w="1516" w:type="dxa"/>
            <w:tcBorders>
              <w:top w:val="nil"/>
              <w:left w:val="nil"/>
              <w:bottom w:val="nil"/>
              <w:right w:val="nil"/>
            </w:tcBorders>
          </w:tcPr>
          <w:p>
            <w:pPr>
              <w:pStyle w:val="TableParagraph"/>
              <w:spacing w:line="197" w:lineRule="exact"/>
              <w:ind w:left="398" w:right="515"/>
              <w:rPr>
                <w:sz w:val="18"/>
              </w:rPr>
            </w:pPr>
            <w:r>
              <w:rPr>
                <w:sz w:val="18"/>
              </w:rPr>
              <w:t>20</w:t>
            </w:r>
          </w:p>
        </w:tc>
        <w:tc>
          <w:tcPr>
            <w:tcW w:w="2228" w:type="dxa"/>
            <w:tcBorders>
              <w:top w:val="nil"/>
              <w:left w:val="nil"/>
              <w:bottom w:val="nil"/>
              <w:right w:val="nil"/>
            </w:tcBorders>
          </w:tcPr>
          <w:p>
            <w:pPr>
              <w:pStyle w:val="TableParagraph"/>
              <w:spacing w:line="197" w:lineRule="exact"/>
              <w:ind w:left="520" w:right="641"/>
              <w:rPr>
                <w:sz w:val="18"/>
              </w:rPr>
            </w:pPr>
            <w:r>
              <w:rPr>
                <w:sz w:val="18"/>
              </w:rPr>
              <w:t>0.0485</w:t>
            </w:r>
          </w:p>
        </w:tc>
        <w:tc>
          <w:tcPr>
            <w:tcW w:w="1078" w:type="dxa"/>
            <w:tcBorders>
              <w:top w:val="nil"/>
              <w:left w:val="nil"/>
              <w:bottom w:val="nil"/>
              <w:right w:val="nil"/>
            </w:tcBorders>
            <w:shd w:val="clear" w:color="auto" w:fill="D9D9D9"/>
          </w:tcPr>
          <w:p>
            <w:pPr>
              <w:pStyle w:val="TableParagraph"/>
              <w:spacing w:line="197" w:lineRule="exact"/>
              <w:ind w:left="292" w:right="293"/>
              <w:rPr>
                <w:sz w:val="18"/>
              </w:rPr>
            </w:pPr>
            <w:r>
              <w:rPr>
                <w:sz w:val="18"/>
              </w:rPr>
              <w:t>30</w:t>
            </w:r>
          </w:p>
        </w:tc>
        <w:tc>
          <w:tcPr>
            <w:tcW w:w="1027" w:type="dxa"/>
            <w:tcBorders>
              <w:top w:val="nil"/>
              <w:left w:val="nil"/>
              <w:bottom w:val="nil"/>
              <w:right w:val="nil"/>
            </w:tcBorders>
          </w:tcPr>
          <w:p>
            <w:pPr>
              <w:pStyle w:val="TableParagraph"/>
              <w:spacing w:line="197" w:lineRule="exact"/>
              <w:ind w:right="1"/>
              <w:rPr>
                <w:sz w:val="18"/>
              </w:rPr>
            </w:pPr>
            <w:r>
              <w:rPr>
                <w:sz w:val="18"/>
              </w:rPr>
              <w:t>4</w:t>
            </w:r>
          </w:p>
        </w:tc>
        <w:tc>
          <w:tcPr>
            <w:tcW w:w="956" w:type="dxa"/>
            <w:tcBorders>
              <w:top w:val="nil"/>
              <w:left w:val="nil"/>
              <w:bottom w:val="nil"/>
              <w:right w:val="nil"/>
            </w:tcBorders>
          </w:tcPr>
          <w:p>
            <w:pPr>
              <w:pStyle w:val="TableParagraph"/>
              <w:spacing w:line="197" w:lineRule="exact"/>
              <w:ind w:left="253" w:right="249"/>
              <w:rPr>
                <w:sz w:val="18"/>
              </w:rPr>
            </w:pPr>
            <w:r>
              <w:rPr>
                <w:sz w:val="18"/>
              </w:rPr>
              <w:t>20</w:t>
            </w:r>
          </w:p>
        </w:tc>
        <w:tc>
          <w:tcPr>
            <w:tcW w:w="1133" w:type="dxa"/>
            <w:tcBorders>
              <w:top w:val="nil"/>
              <w:left w:val="nil"/>
              <w:bottom w:val="nil"/>
              <w:right w:val="nil"/>
            </w:tcBorders>
          </w:tcPr>
          <w:p>
            <w:pPr>
              <w:pStyle w:val="TableParagraph"/>
              <w:spacing w:line="197" w:lineRule="exact"/>
              <w:ind w:left="171" w:right="167"/>
              <w:rPr>
                <w:sz w:val="18"/>
              </w:rPr>
            </w:pPr>
            <w:r>
              <w:rPr>
                <w:sz w:val="18"/>
              </w:rPr>
              <w:t>44</w:t>
            </w:r>
          </w:p>
        </w:tc>
        <w:tc>
          <w:tcPr>
            <w:tcW w:w="1043" w:type="dxa"/>
            <w:tcBorders>
              <w:top w:val="nil"/>
              <w:left w:val="nil"/>
              <w:bottom w:val="nil"/>
              <w:right w:val="nil"/>
            </w:tcBorders>
          </w:tcPr>
          <w:p>
            <w:pPr>
              <w:pStyle w:val="TableParagraph"/>
              <w:spacing w:line="197" w:lineRule="exact"/>
              <w:ind w:left="1"/>
              <w:rPr>
                <w:sz w:val="18"/>
              </w:rPr>
            </w:pPr>
            <w:r>
              <w:rPr>
                <w:sz w:val="18"/>
              </w:rPr>
              <w:t>3</w:t>
            </w:r>
          </w:p>
        </w:tc>
      </w:tr>
      <w:tr>
        <w:trPr>
          <w:trHeight w:val="209" w:hRule="exact"/>
        </w:trPr>
        <w:tc>
          <w:tcPr>
            <w:tcW w:w="1516" w:type="dxa"/>
            <w:tcBorders>
              <w:top w:val="nil"/>
              <w:left w:val="nil"/>
              <w:bottom w:val="nil"/>
              <w:right w:val="nil"/>
            </w:tcBorders>
          </w:tcPr>
          <w:p>
            <w:pPr>
              <w:pStyle w:val="TableParagraph"/>
              <w:spacing w:line="198" w:lineRule="exact"/>
              <w:ind w:left="398" w:right="515"/>
              <w:rPr>
                <w:sz w:val="18"/>
              </w:rPr>
            </w:pPr>
            <w:r>
              <w:rPr>
                <w:sz w:val="18"/>
              </w:rPr>
              <w:t>25</w:t>
            </w:r>
          </w:p>
        </w:tc>
        <w:tc>
          <w:tcPr>
            <w:tcW w:w="2228" w:type="dxa"/>
            <w:tcBorders>
              <w:top w:val="nil"/>
              <w:left w:val="nil"/>
              <w:bottom w:val="nil"/>
              <w:right w:val="nil"/>
            </w:tcBorders>
          </w:tcPr>
          <w:p>
            <w:pPr>
              <w:pStyle w:val="TableParagraph"/>
              <w:spacing w:line="198" w:lineRule="exact"/>
              <w:ind w:left="520" w:right="641"/>
              <w:rPr>
                <w:sz w:val="18"/>
              </w:rPr>
            </w:pPr>
            <w:r>
              <w:rPr>
                <w:sz w:val="18"/>
              </w:rPr>
              <w:t>0.0503</w:t>
            </w:r>
          </w:p>
        </w:tc>
        <w:tc>
          <w:tcPr>
            <w:tcW w:w="1078" w:type="dxa"/>
            <w:tcBorders>
              <w:top w:val="nil"/>
              <w:left w:val="nil"/>
              <w:bottom w:val="nil"/>
              <w:right w:val="nil"/>
            </w:tcBorders>
            <w:shd w:val="clear" w:color="auto" w:fill="D9D9D9"/>
          </w:tcPr>
          <w:p>
            <w:pPr>
              <w:pStyle w:val="TableParagraph"/>
              <w:spacing w:line="198" w:lineRule="exact"/>
              <w:ind w:left="292" w:right="293"/>
              <w:rPr>
                <w:sz w:val="18"/>
              </w:rPr>
            </w:pPr>
            <w:r>
              <w:rPr>
                <w:sz w:val="18"/>
              </w:rPr>
              <w:t>28</w:t>
            </w:r>
          </w:p>
        </w:tc>
        <w:tc>
          <w:tcPr>
            <w:tcW w:w="1027" w:type="dxa"/>
            <w:tcBorders>
              <w:top w:val="nil"/>
              <w:left w:val="nil"/>
              <w:bottom w:val="nil"/>
              <w:right w:val="nil"/>
            </w:tcBorders>
          </w:tcPr>
          <w:p>
            <w:pPr>
              <w:pStyle w:val="TableParagraph"/>
              <w:spacing w:line="198" w:lineRule="exact"/>
              <w:ind w:right="1"/>
              <w:rPr>
                <w:sz w:val="18"/>
              </w:rPr>
            </w:pPr>
            <w:r>
              <w:rPr>
                <w:sz w:val="18"/>
              </w:rPr>
              <w:t>5</w:t>
            </w:r>
          </w:p>
        </w:tc>
        <w:tc>
          <w:tcPr>
            <w:tcW w:w="956" w:type="dxa"/>
            <w:tcBorders>
              <w:top w:val="nil"/>
              <w:left w:val="nil"/>
              <w:bottom w:val="nil"/>
              <w:right w:val="nil"/>
            </w:tcBorders>
          </w:tcPr>
          <w:p>
            <w:pPr>
              <w:pStyle w:val="TableParagraph"/>
              <w:spacing w:line="198" w:lineRule="exact"/>
              <w:ind w:left="253" w:right="249"/>
              <w:rPr>
                <w:sz w:val="18"/>
              </w:rPr>
            </w:pPr>
            <w:r>
              <w:rPr>
                <w:sz w:val="18"/>
              </w:rPr>
              <w:t>18</w:t>
            </w:r>
          </w:p>
        </w:tc>
        <w:tc>
          <w:tcPr>
            <w:tcW w:w="1133" w:type="dxa"/>
            <w:tcBorders>
              <w:top w:val="nil"/>
              <w:left w:val="nil"/>
              <w:bottom w:val="nil"/>
              <w:right w:val="nil"/>
            </w:tcBorders>
          </w:tcPr>
          <w:p>
            <w:pPr>
              <w:pStyle w:val="TableParagraph"/>
              <w:spacing w:line="198" w:lineRule="exact"/>
              <w:ind w:left="171" w:right="167"/>
              <w:rPr>
                <w:sz w:val="18"/>
              </w:rPr>
            </w:pPr>
            <w:r>
              <w:rPr>
                <w:sz w:val="18"/>
              </w:rPr>
              <w:t>45</w:t>
            </w:r>
          </w:p>
        </w:tc>
        <w:tc>
          <w:tcPr>
            <w:tcW w:w="1043" w:type="dxa"/>
            <w:tcBorders>
              <w:top w:val="nil"/>
              <w:left w:val="nil"/>
              <w:bottom w:val="nil"/>
              <w:right w:val="nil"/>
            </w:tcBorders>
          </w:tcPr>
          <w:p>
            <w:pPr>
              <w:pStyle w:val="TableParagraph"/>
              <w:spacing w:line="198" w:lineRule="exact"/>
              <w:ind w:left="1"/>
              <w:rPr>
                <w:sz w:val="18"/>
              </w:rPr>
            </w:pPr>
            <w:r>
              <w:rPr>
                <w:sz w:val="18"/>
              </w:rPr>
              <w:t>4</w:t>
            </w:r>
          </w:p>
        </w:tc>
      </w:tr>
      <w:tr>
        <w:trPr>
          <w:trHeight w:val="217" w:hRule="exact"/>
        </w:trPr>
        <w:tc>
          <w:tcPr>
            <w:tcW w:w="1516" w:type="dxa"/>
            <w:tcBorders>
              <w:top w:val="nil"/>
              <w:left w:val="nil"/>
              <w:right w:val="nil"/>
            </w:tcBorders>
          </w:tcPr>
          <w:p>
            <w:pPr>
              <w:pStyle w:val="TableParagraph"/>
              <w:spacing w:line="198" w:lineRule="exact"/>
              <w:ind w:left="398" w:right="515"/>
              <w:rPr>
                <w:sz w:val="18"/>
              </w:rPr>
            </w:pPr>
            <w:r>
              <w:rPr>
                <w:sz w:val="18"/>
              </w:rPr>
              <w:t>30</w:t>
            </w:r>
          </w:p>
        </w:tc>
        <w:tc>
          <w:tcPr>
            <w:tcW w:w="2228" w:type="dxa"/>
            <w:tcBorders>
              <w:top w:val="nil"/>
              <w:left w:val="nil"/>
              <w:right w:val="nil"/>
            </w:tcBorders>
          </w:tcPr>
          <w:p>
            <w:pPr>
              <w:pStyle w:val="TableParagraph"/>
              <w:spacing w:line="198" w:lineRule="exact"/>
              <w:ind w:left="520" w:right="641"/>
              <w:rPr>
                <w:sz w:val="18"/>
              </w:rPr>
            </w:pPr>
            <w:r>
              <w:rPr>
                <w:sz w:val="18"/>
              </w:rPr>
              <w:t>0.0516</w:t>
            </w:r>
          </w:p>
        </w:tc>
        <w:tc>
          <w:tcPr>
            <w:tcW w:w="1078" w:type="dxa"/>
            <w:tcBorders>
              <w:top w:val="nil"/>
              <w:left w:val="nil"/>
              <w:right w:val="nil"/>
            </w:tcBorders>
            <w:shd w:val="clear" w:color="auto" w:fill="D9D9D9"/>
          </w:tcPr>
          <w:p>
            <w:pPr>
              <w:pStyle w:val="TableParagraph"/>
              <w:spacing w:line="198" w:lineRule="exact"/>
              <w:ind w:left="292" w:right="293"/>
              <w:rPr>
                <w:sz w:val="18"/>
              </w:rPr>
            </w:pPr>
            <w:r>
              <w:rPr>
                <w:sz w:val="18"/>
              </w:rPr>
              <w:t>27</w:t>
            </w:r>
          </w:p>
        </w:tc>
        <w:tc>
          <w:tcPr>
            <w:tcW w:w="1027" w:type="dxa"/>
            <w:tcBorders>
              <w:top w:val="nil"/>
              <w:left w:val="nil"/>
              <w:right w:val="nil"/>
            </w:tcBorders>
          </w:tcPr>
          <w:p>
            <w:pPr>
              <w:pStyle w:val="TableParagraph"/>
              <w:spacing w:line="198" w:lineRule="exact"/>
              <w:ind w:right="1"/>
              <w:rPr>
                <w:sz w:val="18"/>
              </w:rPr>
            </w:pPr>
            <w:r>
              <w:rPr>
                <w:sz w:val="18"/>
              </w:rPr>
              <w:t>6</w:t>
            </w:r>
          </w:p>
        </w:tc>
        <w:tc>
          <w:tcPr>
            <w:tcW w:w="956" w:type="dxa"/>
            <w:tcBorders>
              <w:top w:val="nil"/>
              <w:left w:val="nil"/>
              <w:right w:val="nil"/>
            </w:tcBorders>
          </w:tcPr>
          <w:p>
            <w:pPr>
              <w:pStyle w:val="TableParagraph"/>
              <w:spacing w:line="198" w:lineRule="exact"/>
              <w:ind w:left="253" w:right="249"/>
              <w:rPr>
                <w:sz w:val="18"/>
              </w:rPr>
            </w:pPr>
            <w:r>
              <w:rPr>
                <w:sz w:val="18"/>
              </w:rPr>
              <w:t>18</w:t>
            </w:r>
          </w:p>
        </w:tc>
        <w:tc>
          <w:tcPr>
            <w:tcW w:w="1133" w:type="dxa"/>
            <w:tcBorders>
              <w:top w:val="nil"/>
              <w:left w:val="nil"/>
              <w:right w:val="nil"/>
            </w:tcBorders>
          </w:tcPr>
          <w:p>
            <w:pPr>
              <w:pStyle w:val="TableParagraph"/>
              <w:spacing w:line="198" w:lineRule="exact"/>
              <w:ind w:left="171" w:right="167"/>
              <w:rPr>
                <w:sz w:val="18"/>
              </w:rPr>
            </w:pPr>
            <w:r>
              <w:rPr>
                <w:sz w:val="18"/>
              </w:rPr>
              <w:t>45</w:t>
            </w:r>
          </w:p>
        </w:tc>
        <w:tc>
          <w:tcPr>
            <w:tcW w:w="1043" w:type="dxa"/>
            <w:tcBorders>
              <w:top w:val="nil"/>
              <w:left w:val="nil"/>
              <w:right w:val="nil"/>
            </w:tcBorders>
          </w:tcPr>
          <w:p>
            <w:pPr>
              <w:pStyle w:val="TableParagraph"/>
              <w:spacing w:line="198" w:lineRule="exact"/>
              <w:ind w:left="1"/>
              <w:rPr>
                <w:sz w:val="18"/>
              </w:rPr>
            </w:pPr>
            <w:r>
              <w:rPr>
                <w:sz w:val="18"/>
              </w:rPr>
              <w:t>4</w:t>
            </w:r>
          </w:p>
        </w:tc>
      </w:tr>
      <w:tr>
        <w:trPr>
          <w:trHeight w:val="238" w:hRule="exact"/>
        </w:trPr>
        <w:tc>
          <w:tcPr>
            <w:tcW w:w="8982" w:type="dxa"/>
            <w:gridSpan w:val="7"/>
            <w:tcBorders>
              <w:left w:val="nil"/>
              <w:right w:val="nil"/>
            </w:tcBorders>
          </w:tcPr>
          <w:p>
            <w:pPr>
              <w:pStyle w:val="TableParagraph"/>
              <w:spacing w:line="202" w:lineRule="exact"/>
              <w:ind w:left="71"/>
              <w:jc w:val="left"/>
              <w:rPr>
                <w:sz w:val="18"/>
              </w:rPr>
            </w:pPr>
            <w:r>
              <w:rPr>
                <w:sz w:val="18"/>
              </w:rPr>
              <w:t>Descomposición de varianza de lyauto:</w:t>
            </w:r>
          </w:p>
        </w:tc>
      </w:tr>
      <w:tr>
        <w:trPr>
          <w:trHeight w:val="235" w:hRule="exact"/>
        </w:trPr>
        <w:tc>
          <w:tcPr>
            <w:tcW w:w="1516" w:type="dxa"/>
            <w:tcBorders>
              <w:left w:val="nil"/>
              <w:right w:val="nil"/>
            </w:tcBorders>
          </w:tcPr>
          <w:p>
            <w:pPr>
              <w:pStyle w:val="TableParagraph"/>
              <w:spacing w:line="202" w:lineRule="exact"/>
              <w:ind w:left="398" w:right="517"/>
              <w:rPr>
                <w:sz w:val="18"/>
              </w:rPr>
            </w:pPr>
            <w:r>
              <w:rPr>
                <w:sz w:val="18"/>
              </w:rPr>
              <w:t>Periodo</w:t>
            </w:r>
          </w:p>
        </w:tc>
        <w:tc>
          <w:tcPr>
            <w:tcW w:w="2228" w:type="dxa"/>
            <w:tcBorders>
              <w:left w:val="nil"/>
              <w:right w:val="nil"/>
            </w:tcBorders>
          </w:tcPr>
          <w:p>
            <w:pPr>
              <w:pStyle w:val="TableParagraph"/>
              <w:spacing w:line="202" w:lineRule="exact"/>
              <w:ind w:left="520" w:right="642"/>
              <w:rPr>
                <w:sz w:val="18"/>
              </w:rPr>
            </w:pPr>
            <w:r>
              <w:rPr>
                <w:sz w:val="18"/>
              </w:rPr>
              <w:t>Error estándar</w:t>
            </w:r>
          </w:p>
        </w:tc>
        <w:tc>
          <w:tcPr>
            <w:tcW w:w="1078" w:type="dxa"/>
            <w:tcBorders>
              <w:left w:val="nil"/>
              <w:right w:val="nil"/>
            </w:tcBorders>
          </w:tcPr>
          <w:p>
            <w:pPr>
              <w:pStyle w:val="TableParagraph"/>
              <w:spacing w:line="202" w:lineRule="exact"/>
              <w:ind w:left="292" w:right="296"/>
              <w:rPr>
                <w:sz w:val="18"/>
              </w:rPr>
            </w:pPr>
            <w:r>
              <w:rPr>
                <w:sz w:val="18"/>
              </w:rPr>
              <w:t>lyman</w:t>
            </w:r>
          </w:p>
        </w:tc>
        <w:tc>
          <w:tcPr>
            <w:tcW w:w="1027" w:type="dxa"/>
            <w:tcBorders>
              <w:left w:val="nil"/>
              <w:right w:val="nil"/>
            </w:tcBorders>
            <w:shd w:val="clear" w:color="auto" w:fill="D9D9D9"/>
          </w:tcPr>
          <w:p>
            <w:pPr>
              <w:pStyle w:val="TableParagraph"/>
              <w:spacing w:line="202" w:lineRule="exact"/>
              <w:ind w:left="268" w:right="269"/>
              <w:rPr>
                <w:sz w:val="18"/>
              </w:rPr>
            </w:pPr>
            <w:r>
              <w:rPr>
                <w:sz w:val="18"/>
              </w:rPr>
              <w:t>lyauto</w:t>
            </w:r>
          </w:p>
        </w:tc>
        <w:tc>
          <w:tcPr>
            <w:tcW w:w="956" w:type="dxa"/>
            <w:tcBorders>
              <w:left w:val="nil"/>
              <w:right w:val="nil"/>
            </w:tcBorders>
          </w:tcPr>
          <w:p>
            <w:pPr>
              <w:pStyle w:val="TableParagraph"/>
              <w:spacing w:line="202" w:lineRule="exact"/>
              <w:ind w:left="253" w:right="252"/>
              <w:rPr>
                <w:sz w:val="18"/>
              </w:rPr>
            </w:pPr>
            <w:r>
              <w:rPr>
                <w:sz w:val="18"/>
              </w:rPr>
              <w:t>lqreal</w:t>
            </w:r>
          </w:p>
        </w:tc>
        <w:tc>
          <w:tcPr>
            <w:tcW w:w="1133" w:type="dxa"/>
            <w:tcBorders>
              <w:left w:val="nil"/>
              <w:right w:val="nil"/>
            </w:tcBorders>
          </w:tcPr>
          <w:p>
            <w:pPr>
              <w:pStyle w:val="TableParagraph"/>
              <w:spacing w:line="202" w:lineRule="exact"/>
              <w:ind w:left="171" w:right="171"/>
              <w:rPr>
                <w:sz w:val="18"/>
              </w:rPr>
            </w:pPr>
            <w:r>
              <w:rPr>
                <w:sz w:val="18"/>
              </w:rPr>
              <w:t>lyindusteu</w:t>
            </w:r>
          </w:p>
        </w:tc>
        <w:tc>
          <w:tcPr>
            <w:tcW w:w="1043" w:type="dxa"/>
            <w:tcBorders>
              <w:left w:val="nil"/>
              <w:right w:val="nil"/>
            </w:tcBorders>
          </w:tcPr>
          <w:p>
            <w:pPr>
              <w:pStyle w:val="TableParagraph"/>
              <w:spacing w:line="202" w:lineRule="exact"/>
              <w:ind w:left="336" w:right="336"/>
              <w:rPr>
                <w:sz w:val="18"/>
              </w:rPr>
            </w:pPr>
            <w:r>
              <w:rPr>
                <w:sz w:val="18"/>
              </w:rPr>
              <w:t>lpmt</w:t>
            </w:r>
          </w:p>
        </w:tc>
      </w:tr>
      <w:tr>
        <w:trPr>
          <w:trHeight w:val="228" w:hRule="exact"/>
        </w:trPr>
        <w:tc>
          <w:tcPr>
            <w:tcW w:w="1516" w:type="dxa"/>
            <w:tcBorders>
              <w:left w:val="nil"/>
              <w:bottom w:val="nil"/>
              <w:right w:val="nil"/>
            </w:tcBorders>
          </w:tcPr>
          <w:p>
            <w:pPr>
              <w:pStyle w:val="TableParagraph"/>
              <w:spacing w:line="205" w:lineRule="exact"/>
              <w:ind w:right="118"/>
              <w:rPr>
                <w:sz w:val="18"/>
              </w:rPr>
            </w:pPr>
            <w:r>
              <w:rPr>
                <w:sz w:val="18"/>
              </w:rPr>
              <w:t>1</w:t>
            </w:r>
          </w:p>
        </w:tc>
        <w:tc>
          <w:tcPr>
            <w:tcW w:w="2228" w:type="dxa"/>
            <w:tcBorders>
              <w:left w:val="nil"/>
              <w:bottom w:val="nil"/>
              <w:right w:val="nil"/>
            </w:tcBorders>
          </w:tcPr>
          <w:p>
            <w:pPr>
              <w:pStyle w:val="TableParagraph"/>
              <w:spacing w:line="205" w:lineRule="exact"/>
              <w:ind w:left="520" w:right="641"/>
              <w:rPr>
                <w:sz w:val="18"/>
              </w:rPr>
            </w:pPr>
            <w:r>
              <w:rPr>
                <w:sz w:val="18"/>
              </w:rPr>
              <w:t>0.0642</w:t>
            </w:r>
          </w:p>
        </w:tc>
        <w:tc>
          <w:tcPr>
            <w:tcW w:w="1078" w:type="dxa"/>
            <w:tcBorders>
              <w:left w:val="nil"/>
              <w:bottom w:val="nil"/>
              <w:right w:val="nil"/>
            </w:tcBorders>
          </w:tcPr>
          <w:p>
            <w:pPr>
              <w:pStyle w:val="TableParagraph"/>
              <w:spacing w:line="205" w:lineRule="exact"/>
              <w:ind w:right="1"/>
              <w:rPr>
                <w:sz w:val="18"/>
              </w:rPr>
            </w:pPr>
            <w:r>
              <w:rPr>
                <w:sz w:val="18"/>
              </w:rPr>
              <w:t>7</w:t>
            </w:r>
          </w:p>
        </w:tc>
        <w:tc>
          <w:tcPr>
            <w:tcW w:w="1027" w:type="dxa"/>
            <w:tcBorders>
              <w:left w:val="nil"/>
              <w:bottom w:val="nil"/>
              <w:right w:val="nil"/>
            </w:tcBorders>
            <w:shd w:val="clear" w:color="auto" w:fill="D9D9D9"/>
          </w:tcPr>
          <w:p>
            <w:pPr>
              <w:pStyle w:val="TableParagraph"/>
              <w:spacing w:line="205" w:lineRule="exact"/>
              <w:ind w:left="268" w:right="268"/>
              <w:rPr>
                <w:sz w:val="18"/>
              </w:rPr>
            </w:pPr>
            <w:r>
              <w:rPr>
                <w:sz w:val="18"/>
              </w:rPr>
              <w:t>93</w:t>
            </w:r>
          </w:p>
        </w:tc>
        <w:tc>
          <w:tcPr>
            <w:tcW w:w="956" w:type="dxa"/>
            <w:tcBorders>
              <w:left w:val="nil"/>
              <w:bottom w:val="nil"/>
              <w:right w:val="nil"/>
            </w:tcBorders>
          </w:tcPr>
          <w:p>
            <w:pPr>
              <w:pStyle w:val="TableParagraph"/>
              <w:spacing w:line="205" w:lineRule="exact"/>
              <w:ind w:left="3"/>
              <w:rPr>
                <w:sz w:val="18"/>
              </w:rPr>
            </w:pPr>
            <w:r>
              <w:rPr>
                <w:sz w:val="18"/>
              </w:rPr>
              <w:t>0</w:t>
            </w:r>
          </w:p>
        </w:tc>
        <w:tc>
          <w:tcPr>
            <w:tcW w:w="1133" w:type="dxa"/>
            <w:tcBorders>
              <w:left w:val="nil"/>
              <w:bottom w:val="nil"/>
              <w:right w:val="nil"/>
            </w:tcBorders>
          </w:tcPr>
          <w:p>
            <w:pPr>
              <w:pStyle w:val="TableParagraph"/>
              <w:spacing w:line="205" w:lineRule="exact"/>
              <w:ind w:left="3"/>
              <w:rPr>
                <w:sz w:val="18"/>
              </w:rPr>
            </w:pPr>
            <w:r>
              <w:rPr>
                <w:sz w:val="18"/>
              </w:rPr>
              <w:t>0</w:t>
            </w:r>
          </w:p>
        </w:tc>
        <w:tc>
          <w:tcPr>
            <w:tcW w:w="1043" w:type="dxa"/>
            <w:tcBorders>
              <w:left w:val="nil"/>
              <w:bottom w:val="nil"/>
              <w:right w:val="nil"/>
            </w:tcBorders>
          </w:tcPr>
          <w:p>
            <w:pPr>
              <w:pStyle w:val="TableParagraph"/>
              <w:spacing w:line="205" w:lineRule="exact"/>
              <w:ind w:left="1"/>
              <w:rPr>
                <w:sz w:val="18"/>
              </w:rPr>
            </w:pPr>
            <w:r>
              <w:rPr>
                <w:sz w:val="18"/>
              </w:rPr>
              <w:t>0</w:t>
            </w:r>
          </w:p>
        </w:tc>
      </w:tr>
      <w:tr>
        <w:trPr>
          <w:trHeight w:val="206" w:hRule="exact"/>
        </w:trPr>
        <w:tc>
          <w:tcPr>
            <w:tcW w:w="1516" w:type="dxa"/>
            <w:tcBorders>
              <w:top w:val="nil"/>
              <w:left w:val="nil"/>
              <w:bottom w:val="nil"/>
              <w:right w:val="nil"/>
            </w:tcBorders>
          </w:tcPr>
          <w:p>
            <w:pPr>
              <w:pStyle w:val="TableParagraph"/>
              <w:spacing w:line="197" w:lineRule="exact"/>
              <w:ind w:right="118"/>
              <w:rPr>
                <w:sz w:val="18"/>
              </w:rPr>
            </w:pPr>
            <w:r>
              <w:rPr>
                <w:sz w:val="18"/>
              </w:rPr>
              <w:t>5</w:t>
            </w:r>
          </w:p>
        </w:tc>
        <w:tc>
          <w:tcPr>
            <w:tcW w:w="2228" w:type="dxa"/>
            <w:tcBorders>
              <w:top w:val="nil"/>
              <w:left w:val="nil"/>
              <w:bottom w:val="nil"/>
              <w:right w:val="nil"/>
            </w:tcBorders>
          </w:tcPr>
          <w:p>
            <w:pPr>
              <w:pStyle w:val="TableParagraph"/>
              <w:spacing w:line="197" w:lineRule="exact"/>
              <w:ind w:left="520" w:right="641"/>
              <w:rPr>
                <w:sz w:val="18"/>
              </w:rPr>
            </w:pPr>
            <w:r>
              <w:rPr>
                <w:sz w:val="18"/>
              </w:rPr>
              <w:t>0.1519</w:t>
            </w:r>
          </w:p>
        </w:tc>
        <w:tc>
          <w:tcPr>
            <w:tcW w:w="1078" w:type="dxa"/>
            <w:tcBorders>
              <w:top w:val="nil"/>
              <w:left w:val="nil"/>
              <w:bottom w:val="nil"/>
              <w:right w:val="nil"/>
            </w:tcBorders>
          </w:tcPr>
          <w:p>
            <w:pPr>
              <w:pStyle w:val="TableParagraph"/>
              <w:spacing w:line="197" w:lineRule="exact"/>
              <w:ind w:right="1"/>
              <w:rPr>
                <w:sz w:val="18"/>
              </w:rPr>
            </w:pPr>
            <w:r>
              <w:rPr>
                <w:sz w:val="18"/>
              </w:rPr>
              <w:t>6</w:t>
            </w:r>
          </w:p>
        </w:tc>
        <w:tc>
          <w:tcPr>
            <w:tcW w:w="1027" w:type="dxa"/>
            <w:tcBorders>
              <w:top w:val="nil"/>
              <w:left w:val="nil"/>
              <w:bottom w:val="nil"/>
              <w:right w:val="nil"/>
            </w:tcBorders>
            <w:shd w:val="clear" w:color="auto" w:fill="D9D9D9"/>
          </w:tcPr>
          <w:p>
            <w:pPr>
              <w:pStyle w:val="TableParagraph"/>
              <w:spacing w:line="197" w:lineRule="exact"/>
              <w:ind w:left="268" w:right="268"/>
              <w:rPr>
                <w:sz w:val="18"/>
              </w:rPr>
            </w:pPr>
            <w:r>
              <w:rPr>
                <w:sz w:val="18"/>
              </w:rPr>
              <w:t>43</w:t>
            </w:r>
          </w:p>
        </w:tc>
        <w:tc>
          <w:tcPr>
            <w:tcW w:w="956" w:type="dxa"/>
            <w:tcBorders>
              <w:top w:val="nil"/>
              <w:left w:val="nil"/>
              <w:bottom w:val="nil"/>
              <w:right w:val="nil"/>
            </w:tcBorders>
          </w:tcPr>
          <w:p>
            <w:pPr>
              <w:pStyle w:val="TableParagraph"/>
              <w:spacing w:line="197" w:lineRule="exact"/>
              <w:ind w:left="253" w:right="249"/>
              <w:rPr>
                <w:sz w:val="18"/>
              </w:rPr>
            </w:pPr>
            <w:r>
              <w:rPr>
                <w:sz w:val="18"/>
              </w:rPr>
              <w:t>10</w:t>
            </w:r>
          </w:p>
        </w:tc>
        <w:tc>
          <w:tcPr>
            <w:tcW w:w="1133" w:type="dxa"/>
            <w:tcBorders>
              <w:top w:val="nil"/>
              <w:left w:val="nil"/>
              <w:bottom w:val="nil"/>
              <w:right w:val="nil"/>
            </w:tcBorders>
          </w:tcPr>
          <w:p>
            <w:pPr>
              <w:pStyle w:val="TableParagraph"/>
              <w:spacing w:line="197" w:lineRule="exact"/>
              <w:ind w:left="171" w:right="167"/>
              <w:rPr>
                <w:sz w:val="18"/>
              </w:rPr>
            </w:pPr>
            <w:r>
              <w:rPr>
                <w:sz w:val="18"/>
              </w:rPr>
              <w:t>40</w:t>
            </w:r>
          </w:p>
        </w:tc>
        <w:tc>
          <w:tcPr>
            <w:tcW w:w="1043" w:type="dxa"/>
            <w:tcBorders>
              <w:top w:val="nil"/>
              <w:left w:val="nil"/>
              <w:bottom w:val="nil"/>
              <w:right w:val="nil"/>
            </w:tcBorders>
          </w:tcPr>
          <w:p>
            <w:pPr>
              <w:pStyle w:val="TableParagraph"/>
              <w:spacing w:line="197" w:lineRule="exact"/>
              <w:ind w:left="1"/>
              <w:rPr>
                <w:sz w:val="18"/>
              </w:rPr>
            </w:pPr>
            <w:r>
              <w:rPr>
                <w:sz w:val="18"/>
              </w:rPr>
              <w:t>0</w:t>
            </w:r>
          </w:p>
        </w:tc>
      </w:tr>
      <w:tr>
        <w:trPr>
          <w:trHeight w:val="208" w:hRule="exact"/>
        </w:trPr>
        <w:tc>
          <w:tcPr>
            <w:tcW w:w="1516" w:type="dxa"/>
            <w:tcBorders>
              <w:top w:val="nil"/>
              <w:left w:val="nil"/>
              <w:bottom w:val="nil"/>
              <w:right w:val="nil"/>
            </w:tcBorders>
          </w:tcPr>
          <w:p>
            <w:pPr>
              <w:pStyle w:val="TableParagraph"/>
              <w:spacing w:line="197" w:lineRule="exact"/>
              <w:ind w:left="398" w:right="515"/>
              <w:rPr>
                <w:sz w:val="18"/>
              </w:rPr>
            </w:pPr>
            <w:r>
              <w:rPr>
                <w:sz w:val="18"/>
              </w:rPr>
              <w:t>10</w:t>
            </w:r>
          </w:p>
        </w:tc>
        <w:tc>
          <w:tcPr>
            <w:tcW w:w="2228" w:type="dxa"/>
            <w:tcBorders>
              <w:top w:val="nil"/>
              <w:left w:val="nil"/>
              <w:bottom w:val="nil"/>
              <w:right w:val="nil"/>
            </w:tcBorders>
          </w:tcPr>
          <w:p>
            <w:pPr>
              <w:pStyle w:val="TableParagraph"/>
              <w:spacing w:line="197" w:lineRule="exact"/>
              <w:ind w:left="520" w:right="641"/>
              <w:rPr>
                <w:sz w:val="18"/>
              </w:rPr>
            </w:pPr>
            <w:r>
              <w:rPr>
                <w:sz w:val="18"/>
              </w:rPr>
              <w:t>0.1704</w:t>
            </w:r>
          </w:p>
        </w:tc>
        <w:tc>
          <w:tcPr>
            <w:tcW w:w="1078" w:type="dxa"/>
            <w:tcBorders>
              <w:top w:val="nil"/>
              <w:left w:val="nil"/>
              <w:bottom w:val="nil"/>
              <w:right w:val="nil"/>
            </w:tcBorders>
          </w:tcPr>
          <w:p>
            <w:pPr>
              <w:pStyle w:val="TableParagraph"/>
              <w:spacing w:line="197" w:lineRule="exact"/>
              <w:ind w:left="292" w:right="293"/>
              <w:rPr>
                <w:sz w:val="18"/>
              </w:rPr>
            </w:pPr>
            <w:r>
              <w:rPr>
                <w:sz w:val="18"/>
              </w:rPr>
              <w:t>14</w:t>
            </w:r>
          </w:p>
        </w:tc>
        <w:tc>
          <w:tcPr>
            <w:tcW w:w="1027" w:type="dxa"/>
            <w:tcBorders>
              <w:top w:val="nil"/>
              <w:left w:val="nil"/>
              <w:bottom w:val="nil"/>
              <w:right w:val="nil"/>
            </w:tcBorders>
            <w:shd w:val="clear" w:color="auto" w:fill="D9D9D9"/>
          </w:tcPr>
          <w:p>
            <w:pPr>
              <w:pStyle w:val="TableParagraph"/>
              <w:spacing w:line="197" w:lineRule="exact"/>
              <w:ind w:left="268" w:right="268"/>
              <w:rPr>
                <w:sz w:val="18"/>
              </w:rPr>
            </w:pPr>
            <w:r>
              <w:rPr>
                <w:sz w:val="18"/>
              </w:rPr>
              <w:t>38</w:t>
            </w:r>
          </w:p>
        </w:tc>
        <w:tc>
          <w:tcPr>
            <w:tcW w:w="956" w:type="dxa"/>
            <w:tcBorders>
              <w:top w:val="nil"/>
              <w:left w:val="nil"/>
              <w:bottom w:val="nil"/>
              <w:right w:val="nil"/>
            </w:tcBorders>
          </w:tcPr>
          <w:p>
            <w:pPr>
              <w:pStyle w:val="TableParagraph"/>
              <w:spacing w:line="197" w:lineRule="exact"/>
              <w:ind w:left="253" w:right="249"/>
              <w:rPr>
                <w:sz w:val="18"/>
              </w:rPr>
            </w:pPr>
            <w:r>
              <w:rPr>
                <w:sz w:val="18"/>
              </w:rPr>
              <w:t>11</w:t>
            </w:r>
          </w:p>
        </w:tc>
        <w:tc>
          <w:tcPr>
            <w:tcW w:w="1133" w:type="dxa"/>
            <w:tcBorders>
              <w:top w:val="nil"/>
              <w:left w:val="nil"/>
              <w:bottom w:val="nil"/>
              <w:right w:val="nil"/>
            </w:tcBorders>
          </w:tcPr>
          <w:p>
            <w:pPr>
              <w:pStyle w:val="TableParagraph"/>
              <w:spacing w:line="197" w:lineRule="exact"/>
              <w:ind w:left="171" w:right="167"/>
              <w:rPr>
                <w:sz w:val="18"/>
              </w:rPr>
            </w:pPr>
            <w:r>
              <w:rPr>
                <w:sz w:val="18"/>
              </w:rPr>
              <w:t>37</w:t>
            </w:r>
          </w:p>
        </w:tc>
        <w:tc>
          <w:tcPr>
            <w:tcW w:w="1043" w:type="dxa"/>
            <w:tcBorders>
              <w:top w:val="nil"/>
              <w:left w:val="nil"/>
              <w:bottom w:val="nil"/>
              <w:right w:val="nil"/>
            </w:tcBorders>
          </w:tcPr>
          <w:p>
            <w:pPr>
              <w:pStyle w:val="TableParagraph"/>
              <w:spacing w:line="197" w:lineRule="exact"/>
              <w:ind w:left="1"/>
              <w:rPr>
                <w:sz w:val="18"/>
              </w:rPr>
            </w:pPr>
            <w:r>
              <w:rPr>
                <w:sz w:val="18"/>
              </w:rPr>
              <w:t>0</w:t>
            </w:r>
          </w:p>
        </w:tc>
      </w:tr>
      <w:tr>
        <w:trPr>
          <w:trHeight w:val="208" w:hRule="exact"/>
        </w:trPr>
        <w:tc>
          <w:tcPr>
            <w:tcW w:w="1516" w:type="dxa"/>
            <w:tcBorders>
              <w:top w:val="nil"/>
              <w:left w:val="nil"/>
              <w:bottom w:val="nil"/>
              <w:right w:val="nil"/>
            </w:tcBorders>
          </w:tcPr>
          <w:p>
            <w:pPr>
              <w:pStyle w:val="TableParagraph"/>
              <w:spacing w:line="198" w:lineRule="exact"/>
              <w:ind w:left="398" w:right="515"/>
              <w:rPr>
                <w:sz w:val="18"/>
              </w:rPr>
            </w:pPr>
            <w:r>
              <w:rPr>
                <w:sz w:val="18"/>
              </w:rPr>
              <w:t>15</w:t>
            </w:r>
          </w:p>
        </w:tc>
        <w:tc>
          <w:tcPr>
            <w:tcW w:w="2228" w:type="dxa"/>
            <w:tcBorders>
              <w:top w:val="nil"/>
              <w:left w:val="nil"/>
              <w:bottom w:val="nil"/>
              <w:right w:val="nil"/>
            </w:tcBorders>
          </w:tcPr>
          <w:p>
            <w:pPr>
              <w:pStyle w:val="TableParagraph"/>
              <w:spacing w:line="198" w:lineRule="exact"/>
              <w:ind w:left="520" w:right="641"/>
              <w:rPr>
                <w:sz w:val="18"/>
              </w:rPr>
            </w:pPr>
            <w:r>
              <w:rPr>
                <w:sz w:val="18"/>
              </w:rPr>
              <w:t>0.1864</w:t>
            </w:r>
          </w:p>
        </w:tc>
        <w:tc>
          <w:tcPr>
            <w:tcW w:w="1078" w:type="dxa"/>
            <w:tcBorders>
              <w:top w:val="nil"/>
              <w:left w:val="nil"/>
              <w:bottom w:val="nil"/>
              <w:right w:val="nil"/>
            </w:tcBorders>
          </w:tcPr>
          <w:p>
            <w:pPr>
              <w:pStyle w:val="TableParagraph"/>
              <w:spacing w:line="198" w:lineRule="exact"/>
              <w:ind w:left="292" w:right="293"/>
              <w:rPr>
                <w:sz w:val="18"/>
              </w:rPr>
            </w:pPr>
            <w:r>
              <w:rPr>
                <w:sz w:val="18"/>
              </w:rPr>
              <w:t>19</w:t>
            </w:r>
          </w:p>
        </w:tc>
        <w:tc>
          <w:tcPr>
            <w:tcW w:w="1027" w:type="dxa"/>
            <w:tcBorders>
              <w:top w:val="nil"/>
              <w:left w:val="nil"/>
              <w:bottom w:val="nil"/>
              <w:right w:val="nil"/>
            </w:tcBorders>
            <w:shd w:val="clear" w:color="auto" w:fill="D9D9D9"/>
          </w:tcPr>
          <w:p>
            <w:pPr>
              <w:pStyle w:val="TableParagraph"/>
              <w:spacing w:line="198" w:lineRule="exact"/>
              <w:ind w:left="268" w:right="268"/>
              <w:rPr>
                <w:sz w:val="18"/>
              </w:rPr>
            </w:pPr>
            <w:r>
              <w:rPr>
                <w:sz w:val="18"/>
              </w:rPr>
              <w:t>34</w:t>
            </w:r>
          </w:p>
        </w:tc>
        <w:tc>
          <w:tcPr>
            <w:tcW w:w="956" w:type="dxa"/>
            <w:tcBorders>
              <w:top w:val="nil"/>
              <w:left w:val="nil"/>
              <w:bottom w:val="nil"/>
              <w:right w:val="nil"/>
            </w:tcBorders>
          </w:tcPr>
          <w:p>
            <w:pPr>
              <w:pStyle w:val="TableParagraph"/>
              <w:spacing w:line="198" w:lineRule="exact"/>
              <w:ind w:left="253" w:right="249"/>
              <w:rPr>
                <w:sz w:val="18"/>
              </w:rPr>
            </w:pPr>
            <w:r>
              <w:rPr>
                <w:sz w:val="18"/>
              </w:rPr>
              <w:t>15</w:t>
            </w:r>
          </w:p>
        </w:tc>
        <w:tc>
          <w:tcPr>
            <w:tcW w:w="1133" w:type="dxa"/>
            <w:tcBorders>
              <w:top w:val="nil"/>
              <w:left w:val="nil"/>
              <w:bottom w:val="nil"/>
              <w:right w:val="nil"/>
            </w:tcBorders>
          </w:tcPr>
          <w:p>
            <w:pPr>
              <w:pStyle w:val="TableParagraph"/>
              <w:spacing w:line="198" w:lineRule="exact"/>
              <w:ind w:left="171" w:right="167"/>
              <w:rPr>
                <w:sz w:val="18"/>
              </w:rPr>
            </w:pPr>
            <w:r>
              <w:rPr>
                <w:sz w:val="18"/>
              </w:rPr>
              <w:t>31</w:t>
            </w:r>
          </w:p>
        </w:tc>
        <w:tc>
          <w:tcPr>
            <w:tcW w:w="1043" w:type="dxa"/>
            <w:tcBorders>
              <w:top w:val="nil"/>
              <w:left w:val="nil"/>
              <w:bottom w:val="nil"/>
              <w:right w:val="nil"/>
            </w:tcBorders>
          </w:tcPr>
          <w:p>
            <w:pPr>
              <w:pStyle w:val="TableParagraph"/>
              <w:spacing w:line="198" w:lineRule="exact"/>
              <w:ind w:left="1"/>
              <w:rPr>
                <w:sz w:val="18"/>
              </w:rPr>
            </w:pPr>
            <w:r>
              <w:rPr>
                <w:sz w:val="18"/>
              </w:rPr>
              <w:t>1</w:t>
            </w:r>
          </w:p>
        </w:tc>
      </w:tr>
      <w:tr>
        <w:trPr>
          <w:trHeight w:val="206" w:hRule="exact"/>
        </w:trPr>
        <w:tc>
          <w:tcPr>
            <w:tcW w:w="1516" w:type="dxa"/>
            <w:tcBorders>
              <w:top w:val="nil"/>
              <w:left w:val="nil"/>
              <w:bottom w:val="nil"/>
              <w:right w:val="nil"/>
            </w:tcBorders>
          </w:tcPr>
          <w:p>
            <w:pPr>
              <w:pStyle w:val="TableParagraph"/>
              <w:spacing w:line="197" w:lineRule="exact"/>
              <w:ind w:left="398" w:right="515"/>
              <w:rPr>
                <w:sz w:val="18"/>
              </w:rPr>
            </w:pPr>
            <w:r>
              <w:rPr>
                <w:sz w:val="18"/>
              </w:rPr>
              <w:t>20</w:t>
            </w:r>
          </w:p>
        </w:tc>
        <w:tc>
          <w:tcPr>
            <w:tcW w:w="2228" w:type="dxa"/>
            <w:tcBorders>
              <w:top w:val="nil"/>
              <w:left w:val="nil"/>
              <w:bottom w:val="nil"/>
              <w:right w:val="nil"/>
            </w:tcBorders>
          </w:tcPr>
          <w:p>
            <w:pPr>
              <w:pStyle w:val="TableParagraph"/>
              <w:spacing w:line="197" w:lineRule="exact"/>
              <w:ind w:left="520" w:right="641"/>
              <w:rPr>
                <w:sz w:val="18"/>
              </w:rPr>
            </w:pPr>
            <w:r>
              <w:rPr>
                <w:sz w:val="18"/>
              </w:rPr>
              <w:t>0.2023</w:t>
            </w:r>
          </w:p>
        </w:tc>
        <w:tc>
          <w:tcPr>
            <w:tcW w:w="1078" w:type="dxa"/>
            <w:tcBorders>
              <w:top w:val="nil"/>
              <w:left w:val="nil"/>
              <w:bottom w:val="nil"/>
              <w:right w:val="nil"/>
            </w:tcBorders>
          </w:tcPr>
          <w:p>
            <w:pPr>
              <w:pStyle w:val="TableParagraph"/>
              <w:spacing w:line="197" w:lineRule="exact"/>
              <w:ind w:left="292" w:right="293"/>
              <w:rPr>
                <w:sz w:val="18"/>
              </w:rPr>
            </w:pPr>
            <w:r>
              <w:rPr>
                <w:sz w:val="18"/>
              </w:rPr>
              <w:t>18</w:t>
            </w:r>
          </w:p>
        </w:tc>
        <w:tc>
          <w:tcPr>
            <w:tcW w:w="1027" w:type="dxa"/>
            <w:tcBorders>
              <w:top w:val="nil"/>
              <w:left w:val="nil"/>
              <w:bottom w:val="nil"/>
              <w:right w:val="nil"/>
            </w:tcBorders>
            <w:shd w:val="clear" w:color="auto" w:fill="D9D9D9"/>
          </w:tcPr>
          <w:p>
            <w:pPr>
              <w:pStyle w:val="TableParagraph"/>
              <w:spacing w:line="197" w:lineRule="exact"/>
              <w:ind w:left="268" w:right="268"/>
              <w:rPr>
                <w:sz w:val="18"/>
              </w:rPr>
            </w:pPr>
            <w:r>
              <w:rPr>
                <w:sz w:val="18"/>
              </w:rPr>
              <w:t>32</w:t>
            </w:r>
          </w:p>
        </w:tc>
        <w:tc>
          <w:tcPr>
            <w:tcW w:w="956" w:type="dxa"/>
            <w:tcBorders>
              <w:top w:val="nil"/>
              <w:left w:val="nil"/>
              <w:bottom w:val="nil"/>
              <w:right w:val="nil"/>
            </w:tcBorders>
          </w:tcPr>
          <w:p>
            <w:pPr>
              <w:pStyle w:val="TableParagraph"/>
              <w:spacing w:line="197" w:lineRule="exact"/>
              <w:ind w:left="253" w:right="249"/>
              <w:rPr>
                <w:sz w:val="18"/>
              </w:rPr>
            </w:pPr>
            <w:r>
              <w:rPr>
                <w:sz w:val="18"/>
              </w:rPr>
              <w:t>16</w:t>
            </w:r>
          </w:p>
        </w:tc>
        <w:tc>
          <w:tcPr>
            <w:tcW w:w="1133" w:type="dxa"/>
            <w:tcBorders>
              <w:top w:val="nil"/>
              <w:left w:val="nil"/>
              <w:bottom w:val="nil"/>
              <w:right w:val="nil"/>
            </w:tcBorders>
          </w:tcPr>
          <w:p>
            <w:pPr>
              <w:pStyle w:val="TableParagraph"/>
              <w:spacing w:line="197" w:lineRule="exact"/>
              <w:ind w:left="171" w:right="167"/>
              <w:rPr>
                <w:sz w:val="18"/>
              </w:rPr>
            </w:pPr>
            <w:r>
              <w:rPr>
                <w:sz w:val="18"/>
              </w:rPr>
              <w:t>32</w:t>
            </w:r>
          </w:p>
        </w:tc>
        <w:tc>
          <w:tcPr>
            <w:tcW w:w="1043" w:type="dxa"/>
            <w:tcBorders>
              <w:top w:val="nil"/>
              <w:left w:val="nil"/>
              <w:bottom w:val="nil"/>
              <w:right w:val="nil"/>
            </w:tcBorders>
          </w:tcPr>
          <w:p>
            <w:pPr>
              <w:pStyle w:val="TableParagraph"/>
              <w:spacing w:line="197" w:lineRule="exact"/>
              <w:ind w:left="1"/>
              <w:rPr>
                <w:sz w:val="18"/>
              </w:rPr>
            </w:pPr>
            <w:r>
              <w:rPr>
                <w:sz w:val="18"/>
              </w:rPr>
              <w:t>3</w:t>
            </w:r>
          </w:p>
        </w:tc>
      </w:tr>
      <w:tr>
        <w:trPr>
          <w:trHeight w:val="206" w:hRule="exact"/>
        </w:trPr>
        <w:tc>
          <w:tcPr>
            <w:tcW w:w="1516" w:type="dxa"/>
            <w:tcBorders>
              <w:top w:val="nil"/>
              <w:left w:val="nil"/>
              <w:bottom w:val="nil"/>
              <w:right w:val="nil"/>
            </w:tcBorders>
          </w:tcPr>
          <w:p>
            <w:pPr>
              <w:pStyle w:val="TableParagraph"/>
              <w:spacing w:line="197" w:lineRule="exact"/>
              <w:ind w:left="398" w:right="515"/>
              <w:rPr>
                <w:sz w:val="18"/>
              </w:rPr>
            </w:pPr>
            <w:r>
              <w:rPr>
                <w:sz w:val="18"/>
              </w:rPr>
              <w:t>25</w:t>
            </w:r>
          </w:p>
        </w:tc>
        <w:tc>
          <w:tcPr>
            <w:tcW w:w="2228" w:type="dxa"/>
            <w:tcBorders>
              <w:top w:val="nil"/>
              <w:left w:val="nil"/>
              <w:bottom w:val="nil"/>
              <w:right w:val="nil"/>
            </w:tcBorders>
          </w:tcPr>
          <w:p>
            <w:pPr>
              <w:pStyle w:val="TableParagraph"/>
              <w:spacing w:line="197" w:lineRule="exact"/>
              <w:ind w:left="520" w:right="641"/>
              <w:rPr>
                <w:sz w:val="18"/>
              </w:rPr>
            </w:pPr>
            <w:r>
              <w:rPr>
                <w:sz w:val="18"/>
              </w:rPr>
              <w:t>0.2197</w:t>
            </w:r>
          </w:p>
        </w:tc>
        <w:tc>
          <w:tcPr>
            <w:tcW w:w="1078" w:type="dxa"/>
            <w:tcBorders>
              <w:top w:val="nil"/>
              <w:left w:val="nil"/>
              <w:bottom w:val="nil"/>
              <w:right w:val="nil"/>
            </w:tcBorders>
          </w:tcPr>
          <w:p>
            <w:pPr>
              <w:pStyle w:val="TableParagraph"/>
              <w:spacing w:line="197" w:lineRule="exact"/>
              <w:ind w:left="292" w:right="293"/>
              <w:rPr>
                <w:sz w:val="18"/>
              </w:rPr>
            </w:pPr>
            <w:r>
              <w:rPr>
                <w:sz w:val="18"/>
              </w:rPr>
              <w:t>15</w:t>
            </w:r>
          </w:p>
        </w:tc>
        <w:tc>
          <w:tcPr>
            <w:tcW w:w="1027" w:type="dxa"/>
            <w:tcBorders>
              <w:top w:val="nil"/>
              <w:left w:val="nil"/>
              <w:bottom w:val="nil"/>
              <w:right w:val="nil"/>
            </w:tcBorders>
            <w:shd w:val="clear" w:color="auto" w:fill="D9D9D9"/>
          </w:tcPr>
          <w:p>
            <w:pPr>
              <w:pStyle w:val="TableParagraph"/>
              <w:spacing w:line="197" w:lineRule="exact"/>
              <w:ind w:left="268" w:right="268"/>
              <w:rPr>
                <w:sz w:val="18"/>
              </w:rPr>
            </w:pPr>
            <w:r>
              <w:rPr>
                <w:sz w:val="18"/>
              </w:rPr>
              <w:t>29</w:t>
            </w:r>
          </w:p>
        </w:tc>
        <w:tc>
          <w:tcPr>
            <w:tcW w:w="956" w:type="dxa"/>
            <w:tcBorders>
              <w:top w:val="nil"/>
              <w:left w:val="nil"/>
              <w:bottom w:val="nil"/>
              <w:right w:val="nil"/>
            </w:tcBorders>
          </w:tcPr>
          <w:p>
            <w:pPr>
              <w:pStyle w:val="TableParagraph"/>
              <w:spacing w:line="197" w:lineRule="exact"/>
              <w:ind w:left="253" w:right="249"/>
              <w:rPr>
                <w:sz w:val="18"/>
              </w:rPr>
            </w:pPr>
            <w:r>
              <w:rPr>
                <w:sz w:val="18"/>
              </w:rPr>
              <w:t>15</w:t>
            </w:r>
          </w:p>
        </w:tc>
        <w:tc>
          <w:tcPr>
            <w:tcW w:w="1133" w:type="dxa"/>
            <w:tcBorders>
              <w:top w:val="nil"/>
              <w:left w:val="nil"/>
              <w:bottom w:val="nil"/>
              <w:right w:val="nil"/>
            </w:tcBorders>
          </w:tcPr>
          <w:p>
            <w:pPr>
              <w:pStyle w:val="TableParagraph"/>
              <w:spacing w:line="197" w:lineRule="exact"/>
              <w:ind w:left="171" w:right="167"/>
              <w:rPr>
                <w:sz w:val="18"/>
              </w:rPr>
            </w:pPr>
            <w:r>
              <w:rPr>
                <w:sz w:val="18"/>
              </w:rPr>
              <w:t>37</w:t>
            </w:r>
          </w:p>
        </w:tc>
        <w:tc>
          <w:tcPr>
            <w:tcW w:w="1043" w:type="dxa"/>
            <w:tcBorders>
              <w:top w:val="nil"/>
              <w:left w:val="nil"/>
              <w:bottom w:val="nil"/>
              <w:right w:val="nil"/>
            </w:tcBorders>
          </w:tcPr>
          <w:p>
            <w:pPr>
              <w:pStyle w:val="TableParagraph"/>
              <w:spacing w:line="197" w:lineRule="exact"/>
              <w:ind w:left="1"/>
              <w:rPr>
                <w:sz w:val="18"/>
              </w:rPr>
            </w:pPr>
            <w:r>
              <w:rPr>
                <w:sz w:val="18"/>
              </w:rPr>
              <w:t>4</w:t>
            </w:r>
          </w:p>
        </w:tc>
      </w:tr>
      <w:tr>
        <w:trPr>
          <w:trHeight w:val="218" w:hRule="exact"/>
        </w:trPr>
        <w:tc>
          <w:tcPr>
            <w:tcW w:w="1516" w:type="dxa"/>
            <w:tcBorders>
              <w:top w:val="nil"/>
              <w:left w:val="nil"/>
              <w:right w:val="nil"/>
            </w:tcBorders>
          </w:tcPr>
          <w:p>
            <w:pPr>
              <w:pStyle w:val="TableParagraph"/>
              <w:spacing w:line="197" w:lineRule="exact"/>
              <w:ind w:left="398" w:right="515"/>
              <w:rPr>
                <w:sz w:val="18"/>
              </w:rPr>
            </w:pPr>
            <w:r>
              <w:rPr>
                <w:sz w:val="18"/>
              </w:rPr>
              <w:t>30</w:t>
            </w:r>
          </w:p>
        </w:tc>
        <w:tc>
          <w:tcPr>
            <w:tcW w:w="2228" w:type="dxa"/>
            <w:tcBorders>
              <w:top w:val="nil"/>
              <w:left w:val="nil"/>
              <w:right w:val="nil"/>
            </w:tcBorders>
          </w:tcPr>
          <w:p>
            <w:pPr>
              <w:pStyle w:val="TableParagraph"/>
              <w:spacing w:line="197" w:lineRule="exact"/>
              <w:ind w:left="520" w:right="641"/>
              <w:rPr>
                <w:sz w:val="18"/>
              </w:rPr>
            </w:pPr>
            <w:r>
              <w:rPr>
                <w:sz w:val="18"/>
              </w:rPr>
              <w:t>0.2322</w:t>
            </w:r>
          </w:p>
        </w:tc>
        <w:tc>
          <w:tcPr>
            <w:tcW w:w="1078" w:type="dxa"/>
            <w:tcBorders>
              <w:top w:val="nil"/>
              <w:left w:val="nil"/>
              <w:right w:val="nil"/>
            </w:tcBorders>
          </w:tcPr>
          <w:p>
            <w:pPr>
              <w:pStyle w:val="TableParagraph"/>
              <w:spacing w:line="197" w:lineRule="exact"/>
              <w:ind w:left="292" w:right="293"/>
              <w:rPr>
                <w:sz w:val="18"/>
              </w:rPr>
            </w:pPr>
            <w:r>
              <w:rPr>
                <w:sz w:val="18"/>
              </w:rPr>
              <w:t>14</w:t>
            </w:r>
          </w:p>
        </w:tc>
        <w:tc>
          <w:tcPr>
            <w:tcW w:w="1027" w:type="dxa"/>
            <w:tcBorders>
              <w:top w:val="nil"/>
              <w:left w:val="nil"/>
              <w:right w:val="nil"/>
            </w:tcBorders>
            <w:shd w:val="clear" w:color="auto" w:fill="D9D9D9"/>
          </w:tcPr>
          <w:p>
            <w:pPr>
              <w:pStyle w:val="TableParagraph"/>
              <w:spacing w:line="197" w:lineRule="exact"/>
              <w:ind w:left="268" w:right="268"/>
              <w:rPr>
                <w:sz w:val="18"/>
              </w:rPr>
            </w:pPr>
            <w:r>
              <w:rPr>
                <w:sz w:val="18"/>
              </w:rPr>
              <w:t>28</w:t>
            </w:r>
          </w:p>
        </w:tc>
        <w:tc>
          <w:tcPr>
            <w:tcW w:w="956" w:type="dxa"/>
            <w:tcBorders>
              <w:top w:val="nil"/>
              <w:left w:val="nil"/>
              <w:right w:val="nil"/>
            </w:tcBorders>
          </w:tcPr>
          <w:p>
            <w:pPr>
              <w:pStyle w:val="TableParagraph"/>
              <w:spacing w:line="197" w:lineRule="exact"/>
              <w:ind w:left="253" w:right="249"/>
              <w:rPr>
                <w:sz w:val="18"/>
              </w:rPr>
            </w:pPr>
            <w:r>
              <w:rPr>
                <w:sz w:val="18"/>
              </w:rPr>
              <w:t>13</w:t>
            </w:r>
          </w:p>
        </w:tc>
        <w:tc>
          <w:tcPr>
            <w:tcW w:w="1133" w:type="dxa"/>
            <w:tcBorders>
              <w:top w:val="nil"/>
              <w:left w:val="nil"/>
              <w:right w:val="nil"/>
            </w:tcBorders>
          </w:tcPr>
          <w:p>
            <w:pPr>
              <w:pStyle w:val="TableParagraph"/>
              <w:spacing w:line="197" w:lineRule="exact"/>
              <w:ind w:left="171" w:right="167"/>
              <w:rPr>
                <w:sz w:val="18"/>
              </w:rPr>
            </w:pPr>
            <w:r>
              <w:rPr>
                <w:sz w:val="18"/>
              </w:rPr>
              <w:t>40</w:t>
            </w:r>
          </w:p>
        </w:tc>
        <w:tc>
          <w:tcPr>
            <w:tcW w:w="1043" w:type="dxa"/>
            <w:tcBorders>
              <w:top w:val="nil"/>
              <w:left w:val="nil"/>
              <w:right w:val="nil"/>
            </w:tcBorders>
          </w:tcPr>
          <w:p>
            <w:pPr>
              <w:pStyle w:val="TableParagraph"/>
              <w:spacing w:line="197" w:lineRule="exact"/>
              <w:ind w:left="1"/>
              <w:rPr>
                <w:sz w:val="18"/>
              </w:rPr>
            </w:pPr>
            <w:r>
              <w:rPr>
                <w:sz w:val="18"/>
              </w:rPr>
              <w:t>5</w:t>
            </w:r>
          </w:p>
        </w:tc>
      </w:tr>
      <w:tr>
        <w:trPr>
          <w:trHeight w:val="236" w:hRule="exact"/>
        </w:trPr>
        <w:tc>
          <w:tcPr>
            <w:tcW w:w="8982" w:type="dxa"/>
            <w:gridSpan w:val="7"/>
            <w:tcBorders>
              <w:left w:val="nil"/>
              <w:bottom w:val="thickThinMediumGap" w:sz="9" w:space="0" w:color="9BBA58"/>
              <w:right w:val="nil"/>
            </w:tcBorders>
          </w:tcPr>
          <w:p>
            <w:pPr>
              <w:pStyle w:val="TableParagraph"/>
              <w:spacing w:line="203" w:lineRule="exact"/>
              <w:ind w:left="71"/>
              <w:jc w:val="left"/>
              <w:rPr>
                <w:sz w:val="18"/>
              </w:rPr>
            </w:pPr>
            <w:r>
              <w:rPr>
                <w:sz w:val="18"/>
              </w:rPr>
              <w:t>Descomposición de varianza de lqreal:</w:t>
            </w:r>
          </w:p>
        </w:tc>
      </w:tr>
      <w:tr>
        <w:trPr>
          <w:trHeight w:val="252" w:hRule="exact"/>
        </w:trPr>
        <w:tc>
          <w:tcPr>
            <w:tcW w:w="1516" w:type="dxa"/>
            <w:tcBorders>
              <w:left w:val="nil"/>
              <w:right w:val="nil"/>
            </w:tcBorders>
          </w:tcPr>
          <w:p>
            <w:pPr>
              <w:pStyle w:val="TableParagraph"/>
              <w:spacing w:before="12"/>
              <w:ind w:left="398" w:right="517"/>
              <w:rPr>
                <w:sz w:val="18"/>
              </w:rPr>
            </w:pPr>
            <w:r>
              <w:rPr>
                <w:sz w:val="18"/>
              </w:rPr>
              <w:t>Periodo</w:t>
            </w:r>
          </w:p>
        </w:tc>
        <w:tc>
          <w:tcPr>
            <w:tcW w:w="2228" w:type="dxa"/>
            <w:tcBorders>
              <w:left w:val="nil"/>
              <w:right w:val="nil"/>
            </w:tcBorders>
          </w:tcPr>
          <w:p>
            <w:pPr>
              <w:pStyle w:val="TableParagraph"/>
              <w:spacing w:before="12"/>
              <w:ind w:left="520" w:right="642"/>
              <w:rPr>
                <w:sz w:val="18"/>
              </w:rPr>
            </w:pPr>
            <w:r>
              <w:rPr>
                <w:sz w:val="18"/>
              </w:rPr>
              <w:t>Error estándar</w:t>
            </w:r>
          </w:p>
        </w:tc>
        <w:tc>
          <w:tcPr>
            <w:tcW w:w="1078" w:type="dxa"/>
            <w:tcBorders>
              <w:left w:val="nil"/>
              <w:right w:val="nil"/>
            </w:tcBorders>
          </w:tcPr>
          <w:p>
            <w:pPr>
              <w:pStyle w:val="TableParagraph"/>
              <w:spacing w:before="12"/>
              <w:ind w:left="292" w:right="296"/>
              <w:rPr>
                <w:sz w:val="18"/>
              </w:rPr>
            </w:pPr>
            <w:r>
              <w:rPr>
                <w:sz w:val="18"/>
              </w:rPr>
              <w:t>lyman</w:t>
            </w:r>
          </w:p>
        </w:tc>
        <w:tc>
          <w:tcPr>
            <w:tcW w:w="1027" w:type="dxa"/>
            <w:tcBorders>
              <w:left w:val="nil"/>
              <w:right w:val="nil"/>
            </w:tcBorders>
          </w:tcPr>
          <w:p>
            <w:pPr>
              <w:pStyle w:val="TableParagraph"/>
              <w:spacing w:before="12"/>
              <w:ind w:left="268" w:right="269"/>
              <w:rPr>
                <w:sz w:val="18"/>
              </w:rPr>
            </w:pPr>
            <w:r>
              <w:rPr>
                <w:sz w:val="18"/>
              </w:rPr>
              <w:t>lyauto</w:t>
            </w:r>
          </w:p>
        </w:tc>
        <w:tc>
          <w:tcPr>
            <w:tcW w:w="956" w:type="dxa"/>
            <w:tcBorders>
              <w:left w:val="nil"/>
              <w:right w:val="nil"/>
            </w:tcBorders>
            <w:shd w:val="clear" w:color="auto" w:fill="D9D9D9"/>
          </w:tcPr>
          <w:p>
            <w:pPr>
              <w:pStyle w:val="TableParagraph"/>
              <w:spacing w:before="12"/>
              <w:ind w:left="253" w:right="252"/>
              <w:rPr>
                <w:sz w:val="18"/>
              </w:rPr>
            </w:pPr>
            <w:r>
              <w:rPr>
                <w:sz w:val="18"/>
              </w:rPr>
              <w:t>lqreal</w:t>
            </w:r>
          </w:p>
        </w:tc>
        <w:tc>
          <w:tcPr>
            <w:tcW w:w="1133" w:type="dxa"/>
            <w:tcBorders>
              <w:left w:val="nil"/>
              <w:right w:val="nil"/>
            </w:tcBorders>
          </w:tcPr>
          <w:p>
            <w:pPr>
              <w:pStyle w:val="TableParagraph"/>
              <w:spacing w:before="12"/>
              <w:ind w:left="171" w:right="171"/>
              <w:rPr>
                <w:sz w:val="18"/>
              </w:rPr>
            </w:pPr>
            <w:r>
              <w:rPr>
                <w:sz w:val="18"/>
              </w:rPr>
              <w:t>lyindusteu</w:t>
            </w:r>
          </w:p>
        </w:tc>
        <w:tc>
          <w:tcPr>
            <w:tcW w:w="1043" w:type="dxa"/>
            <w:tcBorders>
              <w:top w:val="double" w:sz="6" w:space="0" w:color="9BBA58"/>
              <w:left w:val="nil"/>
              <w:right w:val="nil"/>
            </w:tcBorders>
          </w:tcPr>
          <w:p>
            <w:pPr>
              <w:pStyle w:val="TableParagraph"/>
              <w:spacing w:before="4"/>
              <w:ind w:left="336" w:right="336"/>
              <w:rPr>
                <w:sz w:val="18"/>
              </w:rPr>
            </w:pPr>
            <w:r>
              <w:rPr>
                <w:sz w:val="18"/>
              </w:rPr>
              <w:t>lpmt</w:t>
            </w:r>
          </w:p>
        </w:tc>
      </w:tr>
      <w:tr>
        <w:trPr>
          <w:trHeight w:val="228" w:hRule="exact"/>
        </w:trPr>
        <w:tc>
          <w:tcPr>
            <w:tcW w:w="1516" w:type="dxa"/>
            <w:tcBorders>
              <w:left w:val="nil"/>
              <w:bottom w:val="nil"/>
              <w:right w:val="nil"/>
            </w:tcBorders>
          </w:tcPr>
          <w:p>
            <w:pPr>
              <w:pStyle w:val="TableParagraph"/>
              <w:spacing w:line="205" w:lineRule="exact"/>
              <w:ind w:right="118"/>
              <w:rPr>
                <w:sz w:val="18"/>
              </w:rPr>
            </w:pPr>
            <w:r>
              <w:rPr>
                <w:sz w:val="18"/>
              </w:rPr>
              <w:t>1</w:t>
            </w:r>
          </w:p>
        </w:tc>
        <w:tc>
          <w:tcPr>
            <w:tcW w:w="2228" w:type="dxa"/>
            <w:tcBorders>
              <w:left w:val="nil"/>
              <w:bottom w:val="nil"/>
              <w:right w:val="nil"/>
            </w:tcBorders>
          </w:tcPr>
          <w:p>
            <w:pPr>
              <w:pStyle w:val="TableParagraph"/>
              <w:spacing w:line="205" w:lineRule="exact"/>
              <w:ind w:left="520" w:right="641"/>
              <w:rPr>
                <w:sz w:val="18"/>
              </w:rPr>
            </w:pPr>
            <w:r>
              <w:rPr>
                <w:sz w:val="18"/>
              </w:rPr>
              <w:t>0.0626</w:t>
            </w:r>
          </w:p>
        </w:tc>
        <w:tc>
          <w:tcPr>
            <w:tcW w:w="1078" w:type="dxa"/>
            <w:tcBorders>
              <w:left w:val="nil"/>
              <w:bottom w:val="nil"/>
              <w:right w:val="nil"/>
            </w:tcBorders>
          </w:tcPr>
          <w:p>
            <w:pPr>
              <w:pStyle w:val="TableParagraph"/>
              <w:spacing w:line="205" w:lineRule="exact"/>
              <w:ind w:right="1"/>
              <w:rPr>
                <w:sz w:val="18"/>
              </w:rPr>
            </w:pPr>
            <w:r>
              <w:rPr>
                <w:sz w:val="18"/>
              </w:rPr>
              <w:t>2</w:t>
            </w:r>
          </w:p>
        </w:tc>
        <w:tc>
          <w:tcPr>
            <w:tcW w:w="1027" w:type="dxa"/>
            <w:tcBorders>
              <w:left w:val="nil"/>
              <w:bottom w:val="nil"/>
              <w:right w:val="nil"/>
            </w:tcBorders>
          </w:tcPr>
          <w:p>
            <w:pPr>
              <w:pStyle w:val="TableParagraph"/>
              <w:spacing w:line="205" w:lineRule="exact"/>
              <w:ind w:left="268" w:right="268"/>
              <w:rPr>
                <w:sz w:val="18"/>
              </w:rPr>
            </w:pPr>
            <w:r>
              <w:rPr>
                <w:sz w:val="18"/>
              </w:rPr>
              <w:t>25</w:t>
            </w:r>
          </w:p>
        </w:tc>
        <w:tc>
          <w:tcPr>
            <w:tcW w:w="956" w:type="dxa"/>
            <w:tcBorders>
              <w:left w:val="nil"/>
              <w:bottom w:val="nil"/>
              <w:right w:val="nil"/>
            </w:tcBorders>
            <w:shd w:val="clear" w:color="auto" w:fill="D9D9D9"/>
          </w:tcPr>
          <w:p>
            <w:pPr>
              <w:pStyle w:val="TableParagraph"/>
              <w:spacing w:line="205" w:lineRule="exact"/>
              <w:ind w:left="253" w:right="249"/>
              <w:rPr>
                <w:sz w:val="18"/>
              </w:rPr>
            </w:pPr>
            <w:r>
              <w:rPr>
                <w:sz w:val="18"/>
              </w:rPr>
              <w:t>73</w:t>
            </w:r>
          </w:p>
        </w:tc>
        <w:tc>
          <w:tcPr>
            <w:tcW w:w="1133" w:type="dxa"/>
            <w:tcBorders>
              <w:left w:val="nil"/>
              <w:bottom w:val="nil"/>
              <w:right w:val="nil"/>
            </w:tcBorders>
          </w:tcPr>
          <w:p>
            <w:pPr>
              <w:pStyle w:val="TableParagraph"/>
              <w:spacing w:line="205" w:lineRule="exact"/>
              <w:ind w:left="3"/>
              <w:rPr>
                <w:sz w:val="18"/>
              </w:rPr>
            </w:pPr>
            <w:r>
              <w:rPr>
                <w:sz w:val="18"/>
              </w:rPr>
              <w:t>0</w:t>
            </w:r>
          </w:p>
        </w:tc>
        <w:tc>
          <w:tcPr>
            <w:tcW w:w="1043" w:type="dxa"/>
            <w:tcBorders>
              <w:left w:val="nil"/>
              <w:bottom w:val="nil"/>
              <w:right w:val="nil"/>
            </w:tcBorders>
          </w:tcPr>
          <w:p>
            <w:pPr>
              <w:pStyle w:val="TableParagraph"/>
              <w:spacing w:line="205" w:lineRule="exact"/>
              <w:ind w:left="1"/>
              <w:rPr>
                <w:sz w:val="18"/>
              </w:rPr>
            </w:pPr>
            <w:r>
              <w:rPr>
                <w:sz w:val="18"/>
              </w:rPr>
              <w:t>0</w:t>
            </w:r>
          </w:p>
        </w:tc>
      </w:tr>
      <w:tr>
        <w:trPr>
          <w:trHeight w:val="206" w:hRule="exact"/>
        </w:trPr>
        <w:tc>
          <w:tcPr>
            <w:tcW w:w="1516" w:type="dxa"/>
            <w:tcBorders>
              <w:top w:val="nil"/>
              <w:left w:val="nil"/>
              <w:bottom w:val="nil"/>
              <w:right w:val="nil"/>
            </w:tcBorders>
          </w:tcPr>
          <w:p>
            <w:pPr>
              <w:pStyle w:val="TableParagraph"/>
              <w:spacing w:line="197" w:lineRule="exact"/>
              <w:ind w:right="118"/>
              <w:rPr>
                <w:sz w:val="18"/>
              </w:rPr>
            </w:pPr>
            <w:r>
              <w:rPr>
                <w:sz w:val="18"/>
              </w:rPr>
              <w:t>5</w:t>
            </w:r>
          </w:p>
        </w:tc>
        <w:tc>
          <w:tcPr>
            <w:tcW w:w="2228" w:type="dxa"/>
            <w:tcBorders>
              <w:top w:val="nil"/>
              <w:left w:val="nil"/>
              <w:bottom w:val="nil"/>
              <w:right w:val="nil"/>
            </w:tcBorders>
          </w:tcPr>
          <w:p>
            <w:pPr>
              <w:pStyle w:val="TableParagraph"/>
              <w:spacing w:line="197" w:lineRule="exact"/>
              <w:ind w:left="520" w:right="641"/>
              <w:rPr>
                <w:sz w:val="18"/>
              </w:rPr>
            </w:pPr>
            <w:r>
              <w:rPr>
                <w:sz w:val="18"/>
              </w:rPr>
              <w:t>0.1137</w:t>
            </w:r>
          </w:p>
        </w:tc>
        <w:tc>
          <w:tcPr>
            <w:tcW w:w="1078" w:type="dxa"/>
            <w:tcBorders>
              <w:top w:val="nil"/>
              <w:left w:val="nil"/>
              <w:bottom w:val="nil"/>
              <w:right w:val="nil"/>
            </w:tcBorders>
          </w:tcPr>
          <w:p>
            <w:pPr>
              <w:pStyle w:val="TableParagraph"/>
              <w:spacing w:line="197" w:lineRule="exact"/>
              <w:ind w:right="1"/>
              <w:rPr>
                <w:sz w:val="18"/>
              </w:rPr>
            </w:pPr>
            <w:r>
              <w:rPr>
                <w:sz w:val="18"/>
              </w:rPr>
              <w:t>4</w:t>
            </w:r>
          </w:p>
        </w:tc>
        <w:tc>
          <w:tcPr>
            <w:tcW w:w="1027" w:type="dxa"/>
            <w:tcBorders>
              <w:top w:val="nil"/>
              <w:left w:val="nil"/>
              <w:bottom w:val="nil"/>
              <w:right w:val="nil"/>
            </w:tcBorders>
          </w:tcPr>
          <w:p>
            <w:pPr>
              <w:pStyle w:val="TableParagraph"/>
              <w:spacing w:line="197" w:lineRule="exact"/>
              <w:ind w:left="268" w:right="268"/>
              <w:rPr>
                <w:sz w:val="18"/>
              </w:rPr>
            </w:pPr>
            <w:r>
              <w:rPr>
                <w:sz w:val="18"/>
              </w:rPr>
              <w:t>15</w:t>
            </w:r>
          </w:p>
        </w:tc>
        <w:tc>
          <w:tcPr>
            <w:tcW w:w="956" w:type="dxa"/>
            <w:tcBorders>
              <w:top w:val="nil"/>
              <w:left w:val="nil"/>
              <w:bottom w:val="nil"/>
              <w:right w:val="nil"/>
            </w:tcBorders>
            <w:shd w:val="clear" w:color="auto" w:fill="D9D9D9"/>
          </w:tcPr>
          <w:p>
            <w:pPr>
              <w:pStyle w:val="TableParagraph"/>
              <w:spacing w:line="197" w:lineRule="exact"/>
              <w:ind w:left="253" w:right="249"/>
              <w:rPr>
                <w:sz w:val="18"/>
              </w:rPr>
            </w:pPr>
            <w:r>
              <w:rPr>
                <w:sz w:val="18"/>
              </w:rPr>
              <w:t>76</w:t>
            </w:r>
          </w:p>
        </w:tc>
        <w:tc>
          <w:tcPr>
            <w:tcW w:w="1133" w:type="dxa"/>
            <w:tcBorders>
              <w:top w:val="nil"/>
              <w:left w:val="nil"/>
              <w:bottom w:val="nil"/>
              <w:right w:val="nil"/>
            </w:tcBorders>
          </w:tcPr>
          <w:p>
            <w:pPr>
              <w:pStyle w:val="TableParagraph"/>
              <w:spacing w:line="197" w:lineRule="exact"/>
              <w:ind w:left="3"/>
              <w:rPr>
                <w:sz w:val="18"/>
              </w:rPr>
            </w:pPr>
            <w:r>
              <w:rPr>
                <w:sz w:val="18"/>
              </w:rPr>
              <w:t>4</w:t>
            </w:r>
          </w:p>
        </w:tc>
        <w:tc>
          <w:tcPr>
            <w:tcW w:w="1043" w:type="dxa"/>
            <w:tcBorders>
              <w:top w:val="nil"/>
              <w:left w:val="nil"/>
              <w:bottom w:val="nil"/>
              <w:right w:val="nil"/>
            </w:tcBorders>
          </w:tcPr>
          <w:p>
            <w:pPr>
              <w:pStyle w:val="TableParagraph"/>
              <w:spacing w:line="197" w:lineRule="exact"/>
              <w:ind w:left="1"/>
              <w:rPr>
                <w:sz w:val="18"/>
              </w:rPr>
            </w:pPr>
            <w:r>
              <w:rPr>
                <w:sz w:val="18"/>
              </w:rPr>
              <w:t>1</w:t>
            </w:r>
          </w:p>
        </w:tc>
      </w:tr>
      <w:tr>
        <w:trPr>
          <w:trHeight w:val="208" w:hRule="exact"/>
        </w:trPr>
        <w:tc>
          <w:tcPr>
            <w:tcW w:w="1516" w:type="dxa"/>
            <w:tcBorders>
              <w:top w:val="nil"/>
              <w:left w:val="nil"/>
              <w:bottom w:val="nil"/>
              <w:right w:val="nil"/>
            </w:tcBorders>
          </w:tcPr>
          <w:p>
            <w:pPr>
              <w:pStyle w:val="TableParagraph"/>
              <w:spacing w:line="197" w:lineRule="exact"/>
              <w:ind w:left="398" w:right="515"/>
              <w:rPr>
                <w:sz w:val="18"/>
              </w:rPr>
            </w:pPr>
            <w:r>
              <w:rPr>
                <w:sz w:val="18"/>
              </w:rPr>
              <w:t>10</w:t>
            </w:r>
          </w:p>
        </w:tc>
        <w:tc>
          <w:tcPr>
            <w:tcW w:w="2228" w:type="dxa"/>
            <w:tcBorders>
              <w:top w:val="nil"/>
              <w:left w:val="nil"/>
              <w:bottom w:val="nil"/>
              <w:right w:val="nil"/>
            </w:tcBorders>
          </w:tcPr>
          <w:p>
            <w:pPr>
              <w:pStyle w:val="TableParagraph"/>
              <w:spacing w:line="197" w:lineRule="exact"/>
              <w:ind w:left="520" w:right="641"/>
              <w:rPr>
                <w:sz w:val="18"/>
              </w:rPr>
            </w:pPr>
            <w:r>
              <w:rPr>
                <w:sz w:val="18"/>
              </w:rPr>
              <w:t>0.1308</w:t>
            </w:r>
          </w:p>
        </w:tc>
        <w:tc>
          <w:tcPr>
            <w:tcW w:w="1078" w:type="dxa"/>
            <w:tcBorders>
              <w:top w:val="nil"/>
              <w:left w:val="nil"/>
              <w:bottom w:val="nil"/>
              <w:right w:val="nil"/>
            </w:tcBorders>
          </w:tcPr>
          <w:p>
            <w:pPr>
              <w:pStyle w:val="TableParagraph"/>
              <w:spacing w:line="197" w:lineRule="exact"/>
              <w:ind w:right="1"/>
              <w:rPr>
                <w:sz w:val="18"/>
              </w:rPr>
            </w:pPr>
            <w:r>
              <w:rPr>
                <w:sz w:val="18"/>
              </w:rPr>
              <w:t>3</w:t>
            </w:r>
          </w:p>
        </w:tc>
        <w:tc>
          <w:tcPr>
            <w:tcW w:w="1027" w:type="dxa"/>
            <w:tcBorders>
              <w:top w:val="nil"/>
              <w:left w:val="nil"/>
              <w:bottom w:val="nil"/>
              <w:right w:val="nil"/>
            </w:tcBorders>
          </w:tcPr>
          <w:p>
            <w:pPr>
              <w:pStyle w:val="TableParagraph"/>
              <w:spacing w:line="197" w:lineRule="exact"/>
              <w:ind w:left="268" w:right="268"/>
              <w:rPr>
                <w:sz w:val="18"/>
              </w:rPr>
            </w:pPr>
            <w:r>
              <w:rPr>
                <w:sz w:val="18"/>
              </w:rPr>
              <w:t>13</w:t>
            </w:r>
          </w:p>
        </w:tc>
        <w:tc>
          <w:tcPr>
            <w:tcW w:w="956" w:type="dxa"/>
            <w:tcBorders>
              <w:top w:val="nil"/>
              <w:left w:val="nil"/>
              <w:bottom w:val="nil"/>
              <w:right w:val="nil"/>
            </w:tcBorders>
            <w:shd w:val="clear" w:color="auto" w:fill="D9D9D9"/>
          </w:tcPr>
          <w:p>
            <w:pPr>
              <w:pStyle w:val="TableParagraph"/>
              <w:spacing w:line="197" w:lineRule="exact"/>
              <w:ind w:left="253" w:right="249"/>
              <w:rPr>
                <w:sz w:val="18"/>
              </w:rPr>
            </w:pPr>
            <w:r>
              <w:rPr>
                <w:sz w:val="18"/>
              </w:rPr>
              <w:t>64</w:t>
            </w:r>
          </w:p>
        </w:tc>
        <w:tc>
          <w:tcPr>
            <w:tcW w:w="1133" w:type="dxa"/>
            <w:tcBorders>
              <w:top w:val="nil"/>
              <w:left w:val="nil"/>
              <w:bottom w:val="nil"/>
              <w:right w:val="nil"/>
            </w:tcBorders>
          </w:tcPr>
          <w:p>
            <w:pPr>
              <w:pStyle w:val="TableParagraph"/>
              <w:spacing w:line="197" w:lineRule="exact"/>
              <w:ind w:left="171" w:right="167"/>
              <w:rPr>
                <w:sz w:val="18"/>
              </w:rPr>
            </w:pPr>
            <w:r>
              <w:rPr>
                <w:sz w:val="18"/>
              </w:rPr>
              <w:t>17</w:t>
            </w:r>
          </w:p>
        </w:tc>
        <w:tc>
          <w:tcPr>
            <w:tcW w:w="1043" w:type="dxa"/>
            <w:tcBorders>
              <w:top w:val="nil"/>
              <w:left w:val="nil"/>
              <w:bottom w:val="nil"/>
              <w:right w:val="nil"/>
            </w:tcBorders>
          </w:tcPr>
          <w:p>
            <w:pPr>
              <w:pStyle w:val="TableParagraph"/>
              <w:spacing w:line="197" w:lineRule="exact"/>
              <w:ind w:left="1"/>
              <w:rPr>
                <w:sz w:val="18"/>
              </w:rPr>
            </w:pPr>
            <w:r>
              <w:rPr>
                <w:sz w:val="18"/>
              </w:rPr>
              <w:t>1</w:t>
            </w:r>
          </w:p>
        </w:tc>
      </w:tr>
      <w:tr>
        <w:trPr>
          <w:trHeight w:val="208" w:hRule="exact"/>
        </w:trPr>
        <w:tc>
          <w:tcPr>
            <w:tcW w:w="1516" w:type="dxa"/>
            <w:tcBorders>
              <w:top w:val="nil"/>
              <w:left w:val="nil"/>
              <w:bottom w:val="nil"/>
              <w:right w:val="nil"/>
            </w:tcBorders>
          </w:tcPr>
          <w:p>
            <w:pPr>
              <w:pStyle w:val="TableParagraph"/>
              <w:spacing w:line="198" w:lineRule="exact"/>
              <w:ind w:left="398" w:right="515"/>
              <w:rPr>
                <w:sz w:val="18"/>
              </w:rPr>
            </w:pPr>
            <w:r>
              <w:rPr>
                <w:sz w:val="18"/>
              </w:rPr>
              <w:t>15</w:t>
            </w:r>
          </w:p>
        </w:tc>
        <w:tc>
          <w:tcPr>
            <w:tcW w:w="2228" w:type="dxa"/>
            <w:tcBorders>
              <w:top w:val="nil"/>
              <w:left w:val="nil"/>
              <w:bottom w:val="nil"/>
              <w:right w:val="nil"/>
            </w:tcBorders>
          </w:tcPr>
          <w:p>
            <w:pPr>
              <w:pStyle w:val="TableParagraph"/>
              <w:spacing w:line="198" w:lineRule="exact"/>
              <w:ind w:left="520" w:right="641"/>
              <w:rPr>
                <w:sz w:val="18"/>
              </w:rPr>
            </w:pPr>
            <w:r>
              <w:rPr>
                <w:sz w:val="18"/>
              </w:rPr>
              <w:t>0.1514</w:t>
            </w:r>
          </w:p>
        </w:tc>
        <w:tc>
          <w:tcPr>
            <w:tcW w:w="1078" w:type="dxa"/>
            <w:tcBorders>
              <w:top w:val="nil"/>
              <w:left w:val="nil"/>
              <w:bottom w:val="nil"/>
              <w:right w:val="nil"/>
            </w:tcBorders>
          </w:tcPr>
          <w:p>
            <w:pPr>
              <w:pStyle w:val="TableParagraph"/>
              <w:spacing w:line="198" w:lineRule="exact"/>
              <w:ind w:right="1"/>
              <w:rPr>
                <w:sz w:val="18"/>
              </w:rPr>
            </w:pPr>
            <w:r>
              <w:rPr>
                <w:sz w:val="18"/>
              </w:rPr>
              <w:t>5</w:t>
            </w:r>
          </w:p>
        </w:tc>
        <w:tc>
          <w:tcPr>
            <w:tcW w:w="1027" w:type="dxa"/>
            <w:tcBorders>
              <w:top w:val="nil"/>
              <w:left w:val="nil"/>
              <w:bottom w:val="nil"/>
              <w:right w:val="nil"/>
            </w:tcBorders>
          </w:tcPr>
          <w:p>
            <w:pPr>
              <w:pStyle w:val="TableParagraph"/>
              <w:spacing w:line="198" w:lineRule="exact"/>
              <w:ind w:left="268" w:right="268"/>
              <w:rPr>
                <w:sz w:val="18"/>
              </w:rPr>
            </w:pPr>
            <w:r>
              <w:rPr>
                <w:sz w:val="18"/>
              </w:rPr>
              <w:t>12</w:t>
            </w:r>
          </w:p>
        </w:tc>
        <w:tc>
          <w:tcPr>
            <w:tcW w:w="956" w:type="dxa"/>
            <w:tcBorders>
              <w:top w:val="nil"/>
              <w:left w:val="nil"/>
              <w:bottom w:val="nil"/>
              <w:right w:val="nil"/>
            </w:tcBorders>
            <w:shd w:val="clear" w:color="auto" w:fill="D9D9D9"/>
          </w:tcPr>
          <w:p>
            <w:pPr>
              <w:pStyle w:val="TableParagraph"/>
              <w:spacing w:line="198" w:lineRule="exact"/>
              <w:ind w:left="253" w:right="249"/>
              <w:rPr>
                <w:sz w:val="18"/>
              </w:rPr>
            </w:pPr>
            <w:r>
              <w:rPr>
                <w:sz w:val="18"/>
              </w:rPr>
              <w:t>48</w:t>
            </w:r>
          </w:p>
        </w:tc>
        <w:tc>
          <w:tcPr>
            <w:tcW w:w="1133" w:type="dxa"/>
            <w:tcBorders>
              <w:top w:val="nil"/>
              <w:left w:val="nil"/>
              <w:bottom w:val="nil"/>
              <w:right w:val="nil"/>
            </w:tcBorders>
          </w:tcPr>
          <w:p>
            <w:pPr>
              <w:pStyle w:val="TableParagraph"/>
              <w:spacing w:line="198" w:lineRule="exact"/>
              <w:ind w:left="171" w:right="167"/>
              <w:rPr>
                <w:sz w:val="18"/>
              </w:rPr>
            </w:pPr>
            <w:r>
              <w:rPr>
                <w:sz w:val="18"/>
              </w:rPr>
              <w:t>34</w:t>
            </w:r>
          </w:p>
        </w:tc>
        <w:tc>
          <w:tcPr>
            <w:tcW w:w="1043" w:type="dxa"/>
            <w:tcBorders>
              <w:top w:val="nil"/>
              <w:left w:val="nil"/>
              <w:bottom w:val="nil"/>
              <w:right w:val="nil"/>
            </w:tcBorders>
          </w:tcPr>
          <w:p>
            <w:pPr>
              <w:pStyle w:val="TableParagraph"/>
              <w:spacing w:line="198" w:lineRule="exact"/>
              <w:ind w:left="1"/>
              <w:rPr>
                <w:sz w:val="18"/>
              </w:rPr>
            </w:pPr>
            <w:r>
              <w:rPr>
                <w:sz w:val="18"/>
              </w:rPr>
              <w:t>1</w:t>
            </w:r>
          </w:p>
        </w:tc>
      </w:tr>
      <w:tr>
        <w:trPr>
          <w:trHeight w:val="206" w:hRule="exact"/>
        </w:trPr>
        <w:tc>
          <w:tcPr>
            <w:tcW w:w="1516" w:type="dxa"/>
            <w:tcBorders>
              <w:top w:val="nil"/>
              <w:left w:val="nil"/>
              <w:bottom w:val="nil"/>
              <w:right w:val="nil"/>
            </w:tcBorders>
          </w:tcPr>
          <w:p>
            <w:pPr>
              <w:pStyle w:val="TableParagraph"/>
              <w:spacing w:line="197" w:lineRule="exact"/>
              <w:ind w:left="398" w:right="515"/>
              <w:rPr>
                <w:sz w:val="18"/>
              </w:rPr>
            </w:pPr>
            <w:r>
              <w:rPr>
                <w:sz w:val="18"/>
              </w:rPr>
              <w:t>20</w:t>
            </w:r>
          </w:p>
        </w:tc>
        <w:tc>
          <w:tcPr>
            <w:tcW w:w="2228" w:type="dxa"/>
            <w:tcBorders>
              <w:top w:val="nil"/>
              <w:left w:val="nil"/>
              <w:bottom w:val="nil"/>
              <w:right w:val="nil"/>
            </w:tcBorders>
          </w:tcPr>
          <w:p>
            <w:pPr>
              <w:pStyle w:val="TableParagraph"/>
              <w:spacing w:line="197" w:lineRule="exact"/>
              <w:ind w:left="520" w:right="641"/>
              <w:rPr>
                <w:sz w:val="18"/>
              </w:rPr>
            </w:pPr>
            <w:r>
              <w:rPr>
                <w:sz w:val="18"/>
              </w:rPr>
              <w:t>0.1581</w:t>
            </w:r>
          </w:p>
        </w:tc>
        <w:tc>
          <w:tcPr>
            <w:tcW w:w="1078" w:type="dxa"/>
            <w:tcBorders>
              <w:top w:val="nil"/>
              <w:left w:val="nil"/>
              <w:bottom w:val="nil"/>
              <w:right w:val="nil"/>
            </w:tcBorders>
          </w:tcPr>
          <w:p>
            <w:pPr>
              <w:pStyle w:val="TableParagraph"/>
              <w:spacing w:line="197" w:lineRule="exact"/>
              <w:ind w:right="1"/>
              <w:rPr>
                <w:sz w:val="18"/>
              </w:rPr>
            </w:pPr>
            <w:r>
              <w:rPr>
                <w:sz w:val="18"/>
              </w:rPr>
              <w:t>6</w:t>
            </w:r>
          </w:p>
        </w:tc>
        <w:tc>
          <w:tcPr>
            <w:tcW w:w="1027" w:type="dxa"/>
            <w:tcBorders>
              <w:top w:val="nil"/>
              <w:left w:val="nil"/>
              <w:bottom w:val="nil"/>
              <w:right w:val="nil"/>
            </w:tcBorders>
          </w:tcPr>
          <w:p>
            <w:pPr>
              <w:pStyle w:val="TableParagraph"/>
              <w:spacing w:line="197" w:lineRule="exact"/>
              <w:ind w:left="268" w:right="268"/>
              <w:rPr>
                <w:sz w:val="18"/>
              </w:rPr>
            </w:pPr>
            <w:r>
              <w:rPr>
                <w:sz w:val="18"/>
              </w:rPr>
              <w:t>11</w:t>
            </w:r>
          </w:p>
        </w:tc>
        <w:tc>
          <w:tcPr>
            <w:tcW w:w="956" w:type="dxa"/>
            <w:tcBorders>
              <w:top w:val="nil"/>
              <w:left w:val="nil"/>
              <w:bottom w:val="nil"/>
              <w:right w:val="nil"/>
            </w:tcBorders>
            <w:shd w:val="clear" w:color="auto" w:fill="D9D9D9"/>
          </w:tcPr>
          <w:p>
            <w:pPr>
              <w:pStyle w:val="TableParagraph"/>
              <w:spacing w:line="197" w:lineRule="exact"/>
              <w:ind w:left="253" w:right="249"/>
              <w:rPr>
                <w:sz w:val="18"/>
              </w:rPr>
            </w:pPr>
            <w:r>
              <w:rPr>
                <w:sz w:val="18"/>
              </w:rPr>
              <w:t>45</w:t>
            </w:r>
          </w:p>
        </w:tc>
        <w:tc>
          <w:tcPr>
            <w:tcW w:w="1133" w:type="dxa"/>
            <w:tcBorders>
              <w:top w:val="nil"/>
              <w:left w:val="nil"/>
              <w:bottom w:val="nil"/>
              <w:right w:val="nil"/>
            </w:tcBorders>
          </w:tcPr>
          <w:p>
            <w:pPr>
              <w:pStyle w:val="TableParagraph"/>
              <w:spacing w:line="197" w:lineRule="exact"/>
              <w:ind w:left="171" w:right="167"/>
              <w:rPr>
                <w:sz w:val="18"/>
              </w:rPr>
            </w:pPr>
            <w:r>
              <w:rPr>
                <w:sz w:val="18"/>
              </w:rPr>
              <w:t>37</w:t>
            </w:r>
          </w:p>
        </w:tc>
        <w:tc>
          <w:tcPr>
            <w:tcW w:w="1043" w:type="dxa"/>
            <w:tcBorders>
              <w:top w:val="nil"/>
              <w:left w:val="nil"/>
              <w:bottom w:val="nil"/>
              <w:right w:val="nil"/>
            </w:tcBorders>
          </w:tcPr>
          <w:p>
            <w:pPr>
              <w:pStyle w:val="TableParagraph"/>
              <w:spacing w:line="197" w:lineRule="exact"/>
              <w:ind w:left="1"/>
              <w:rPr>
                <w:sz w:val="18"/>
              </w:rPr>
            </w:pPr>
            <w:r>
              <w:rPr>
                <w:sz w:val="18"/>
              </w:rPr>
              <w:t>1</w:t>
            </w:r>
          </w:p>
        </w:tc>
      </w:tr>
      <w:tr>
        <w:trPr>
          <w:trHeight w:val="206" w:hRule="exact"/>
        </w:trPr>
        <w:tc>
          <w:tcPr>
            <w:tcW w:w="1516" w:type="dxa"/>
            <w:tcBorders>
              <w:top w:val="nil"/>
              <w:left w:val="nil"/>
              <w:bottom w:val="nil"/>
              <w:right w:val="nil"/>
            </w:tcBorders>
          </w:tcPr>
          <w:p>
            <w:pPr>
              <w:pStyle w:val="TableParagraph"/>
              <w:spacing w:line="197" w:lineRule="exact"/>
              <w:ind w:left="398" w:right="515"/>
              <w:rPr>
                <w:sz w:val="18"/>
              </w:rPr>
            </w:pPr>
            <w:r>
              <w:rPr>
                <w:sz w:val="18"/>
              </w:rPr>
              <w:t>25</w:t>
            </w:r>
          </w:p>
        </w:tc>
        <w:tc>
          <w:tcPr>
            <w:tcW w:w="2228" w:type="dxa"/>
            <w:tcBorders>
              <w:top w:val="nil"/>
              <w:left w:val="nil"/>
              <w:bottom w:val="nil"/>
              <w:right w:val="nil"/>
            </w:tcBorders>
          </w:tcPr>
          <w:p>
            <w:pPr>
              <w:pStyle w:val="TableParagraph"/>
              <w:spacing w:line="197" w:lineRule="exact"/>
              <w:ind w:left="520" w:right="641"/>
              <w:rPr>
                <w:sz w:val="18"/>
              </w:rPr>
            </w:pPr>
            <w:r>
              <w:rPr>
                <w:sz w:val="18"/>
              </w:rPr>
              <w:t>0.1593</w:t>
            </w:r>
          </w:p>
        </w:tc>
        <w:tc>
          <w:tcPr>
            <w:tcW w:w="1078" w:type="dxa"/>
            <w:tcBorders>
              <w:top w:val="nil"/>
              <w:left w:val="nil"/>
              <w:bottom w:val="nil"/>
              <w:right w:val="nil"/>
            </w:tcBorders>
          </w:tcPr>
          <w:p>
            <w:pPr>
              <w:pStyle w:val="TableParagraph"/>
              <w:spacing w:line="197" w:lineRule="exact"/>
              <w:ind w:right="1"/>
              <w:rPr>
                <w:sz w:val="18"/>
              </w:rPr>
            </w:pPr>
            <w:r>
              <w:rPr>
                <w:sz w:val="18"/>
              </w:rPr>
              <w:t>6</w:t>
            </w:r>
          </w:p>
        </w:tc>
        <w:tc>
          <w:tcPr>
            <w:tcW w:w="1027" w:type="dxa"/>
            <w:tcBorders>
              <w:top w:val="nil"/>
              <w:left w:val="nil"/>
              <w:bottom w:val="nil"/>
              <w:right w:val="nil"/>
            </w:tcBorders>
          </w:tcPr>
          <w:p>
            <w:pPr>
              <w:pStyle w:val="TableParagraph"/>
              <w:spacing w:line="197" w:lineRule="exact"/>
              <w:ind w:left="268" w:right="268"/>
              <w:rPr>
                <w:sz w:val="18"/>
              </w:rPr>
            </w:pPr>
            <w:r>
              <w:rPr>
                <w:sz w:val="18"/>
              </w:rPr>
              <w:t>11</w:t>
            </w:r>
          </w:p>
        </w:tc>
        <w:tc>
          <w:tcPr>
            <w:tcW w:w="956" w:type="dxa"/>
            <w:tcBorders>
              <w:top w:val="nil"/>
              <w:left w:val="nil"/>
              <w:bottom w:val="nil"/>
              <w:right w:val="nil"/>
            </w:tcBorders>
            <w:shd w:val="clear" w:color="auto" w:fill="D9D9D9"/>
          </w:tcPr>
          <w:p>
            <w:pPr>
              <w:pStyle w:val="TableParagraph"/>
              <w:spacing w:line="197" w:lineRule="exact"/>
              <w:ind w:left="253" w:right="249"/>
              <w:rPr>
                <w:sz w:val="18"/>
              </w:rPr>
            </w:pPr>
            <w:r>
              <w:rPr>
                <w:sz w:val="18"/>
              </w:rPr>
              <w:t>45</w:t>
            </w:r>
          </w:p>
        </w:tc>
        <w:tc>
          <w:tcPr>
            <w:tcW w:w="1133" w:type="dxa"/>
            <w:tcBorders>
              <w:top w:val="nil"/>
              <w:left w:val="nil"/>
              <w:bottom w:val="nil"/>
              <w:right w:val="nil"/>
            </w:tcBorders>
          </w:tcPr>
          <w:p>
            <w:pPr>
              <w:pStyle w:val="TableParagraph"/>
              <w:spacing w:line="197" w:lineRule="exact"/>
              <w:ind w:left="171" w:right="167"/>
              <w:rPr>
                <w:sz w:val="18"/>
              </w:rPr>
            </w:pPr>
            <w:r>
              <w:rPr>
                <w:sz w:val="18"/>
              </w:rPr>
              <w:t>37</w:t>
            </w:r>
          </w:p>
        </w:tc>
        <w:tc>
          <w:tcPr>
            <w:tcW w:w="1043" w:type="dxa"/>
            <w:tcBorders>
              <w:top w:val="nil"/>
              <w:left w:val="nil"/>
              <w:bottom w:val="nil"/>
              <w:right w:val="nil"/>
            </w:tcBorders>
          </w:tcPr>
          <w:p>
            <w:pPr>
              <w:pStyle w:val="TableParagraph"/>
              <w:spacing w:line="197" w:lineRule="exact"/>
              <w:ind w:left="1"/>
              <w:rPr>
                <w:sz w:val="18"/>
              </w:rPr>
            </w:pPr>
            <w:r>
              <w:rPr>
                <w:sz w:val="18"/>
              </w:rPr>
              <w:t>1</w:t>
            </w:r>
          </w:p>
        </w:tc>
      </w:tr>
      <w:tr>
        <w:trPr>
          <w:trHeight w:val="218" w:hRule="exact"/>
        </w:trPr>
        <w:tc>
          <w:tcPr>
            <w:tcW w:w="1516" w:type="dxa"/>
            <w:tcBorders>
              <w:top w:val="nil"/>
              <w:left w:val="nil"/>
              <w:right w:val="nil"/>
            </w:tcBorders>
          </w:tcPr>
          <w:p>
            <w:pPr>
              <w:pStyle w:val="TableParagraph"/>
              <w:spacing w:line="197" w:lineRule="exact"/>
              <w:ind w:left="398" w:right="515"/>
              <w:rPr>
                <w:sz w:val="18"/>
              </w:rPr>
            </w:pPr>
            <w:r>
              <w:rPr>
                <w:sz w:val="18"/>
              </w:rPr>
              <w:t>30</w:t>
            </w:r>
          </w:p>
        </w:tc>
        <w:tc>
          <w:tcPr>
            <w:tcW w:w="2228" w:type="dxa"/>
            <w:tcBorders>
              <w:top w:val="nil"/>
              <w:left w:val="nil"/>
              <w:right w:val="nil"/>
            </w:tcBorders>
          </w:tcPr>
          <w:p>
            <w:pPr>
              <w:pStyle w:val="TableParagraph"/>
              <w:spacing w:line="197" w:lineRule="exact"/>
              <w:ind w:left="520" w:right="641"/>
              <w:rPr>
                <w:sz w:val="18"/>
              </w:rPr>
            </w:pPr>
            <w:r>
              <w:rPr>
                <w:sz w:val="18"/>
              </w:rPr>
              <w:t>0.1605</w:t>
            </w:r>
          </w:p>
        </w:tc>
        <w:tc>
          <w:tcPr>
            <w:tcW w:w="1078" w:type="dxa"/>
            <w:tcBorders>
              <w:top w:val="nil"/>
              <w:left w:val="nil"/>
              <w:right w:val="nil"/>
            </w:tcBorders>
          </w:tcPr>
          <w:p>
            <w:pPr>
              <w:pStyle w:val="TableParagraph"/>
              <w:spacing w:line="197" w:lineRule="exact"/>
              <w:ind w:right="1"/>
              <w:rPr>
                <w:sz w:val="18"/>
              </w:rPr>
            </w:pPr>
            <w:r>
              <w:rPr>
                <w:sz w:val="18"/>
              </w:rPr>
              <w:t>6</w:t>
            </w:r>
          </w:p>
        </w:tc>
        <w:tc>
          <w:tcPr>
            <w:tcW w:w="1027" w:type="dxa"/>
            <w:tcBorders>
              <w:top w:val="nil"/>
              <w:left w:val="nil"/>
              <w:right w:val="nil"/>
            </w:tcBorders>
          </w:tcPr>
          <w:p>
            <w:pPr>
              <w:pStyle w:val="TableParagraph"/>
              <w:spacing w:line="197" w:lineRule="exact"/>
              <w:ind w:left="268" w:right="268"/>
              <w:rPr>
                <w:sz w:val="18"/>
              </w:rPr>
            </w:pPr>
            <w:r>
              <w:rPr>
                <w:sz w:val="18"/>
              </w:rPr>
              <w:t>11</w:t>
            </w:r>
          </w:p>
        </w:tc>
        <w:tc>
          <w:tcPr>
            <w:tcW w:w="956" w:type="dxa"/>
            <w:tcBorders>
              <w:top w:val="nil"/>
              <w:left w:val="nil"/>
              <w:right w:val="nil"/>
            </w:tcBorders>
            <w:shd w:val="clear" w:color="auto" w:fill="D9D9D9"/>
          </w:tcPr>
          <w:p>
            <w:pPr>
              <w:pStyle w:val="TableParagraph"/>
              <w:spacing w:line="197" w:lineRule="exact"/>
              <w:ind w:left="253" w:right="249"/>
              <w:rPr>
                <w:sz w:val="18"/>
              </w:rPr>
            </w:pPr>
            <w:r>
              <w:rPr>
                <w:sz w:val="18"/>
              </w:rPr>
              <w:t>45</w:t>
            </w:r>
          </w:p>
        </w:tc>
        <w:tc>
          <w:tcPr>
            <w:tcW w:w="1133" w:type="dxa"/>
            <w:tcBorders>
              <w:top w:val="nil"/>
              <w:left w:val="nil"/>
              <w:right w:val="nil"/>
            </w:tcBorders>
          </w:tcPr>
          <w:p>
            <w:pPr>
              <w:pStyle w:val="TableParagraph"/>
              <w:spacing w:line="197" w:lineRule="exact"/>
              <w:ind w:left="171" w:right="167"/>
              <w:rPr>
                <w:sz w:val="18"/>
              </w:rPr>
            </w:pPr>
            <w:r>
              <w:rPr>
                <w:sz w:val="18"/>
              </w:rPr>
              <w:t>37</w:t>
            </w:r>
          </w:p>
        </w:tc>
        <w:tc>
          <w:tcPr>
            <w:tcW w:w="1043" w:type="dxa"/>
            <w:tcBorders>
              <w:top w:val="nil"/>
              <w:left w:val="nil"/>
              <w:right w:val="nil"/>
            </w:tcBorders>
          </w:tcPr>
          <w:p>
            <w:pPr>
              <w:pStyle w:val="TableParagraph"/>
              <w:spacing w:line="197" w:lineRule="exact"/>
              <w:ind w:left="1"/>
              <w:rPr>
                <w:sz w:val="18"/>
              </w:rPr>
            </w:pPr>
            <w:r>
              <w:rPr>
                <w:sz w:val="18"/>
              </w:rPr>
              <w:t>1</w:t>
            </w:r>
          </w:p>
        </w:tc>
      </w:tr>
      <w:tr>
        <w:trPr>
          <w:trHeight w:val="235" w:hRule="exact"/>
        </w:trPr>
        <w:tc>
          <w:tcPr>
            <w:tcW w:w="8982" w:type="dxa"/>
            <w:gridSpan w:val="7"/>
            <w:tcBorders>
              <w:left w:val="nil"/>
              <w:right w:val="nil"/>
            </w:tcBorders>
          </w:tcPr>
          <w:p>
            <w:pPr>
              <w:pStyle w:val="TableParagraph"/>
              <w:spacing w:line="202" w:lineRule="exact"/>
              <w:ind w:left="71"/>
              <w:jc w:val="left"/>
              <w:rPr>
                <w:sz w:val="18"/>
              </w:rPr>
            </w:pPr>
            <w:r>
              <w:rPr>
                <w:sz w:val="18"/>
              </w:rPr>
              <w:t>Descomposición de varianza de lyindusteu:</w:t>
            </w:r>
          </w:p>
        </w:tc>
      </w:tr>
      <w:tr>
        <w:trPr>
          <w:trHeight w:val="238" w:hRule="exact"/>
        </w:trPr>
        <w:tc>
          <w:tcPr>
            <w:tcW w:w="1516" w:type="dxa"/>
            <w:tcBorders>
              <w:left w:val="nil"/>
              <w:right w:val="nil"/>
            </w:tcBorders>
          </w:tcPr>
          <w:p>
            <w:pPr>
              <w:pStyle w:val="TableParagraph"/>
              <w:spacing w:line="205" w:lineRule="exact"/>
              <w:ind w:left="398" w:right="517"/>
              <w:rPr>
                <w:sz w:val="18"/>
              </w:rPr>
            </w:pPr>
            <w:r>
              <w:rPr>
                <w:sz w:val="18"/>
              </w:rPr>
              <w:t>Periodo</w:t>
            </w:r>
          </w:p>
        </w:tc>
        <w:tc>
          <w:tcPr>
            <w:tcW w:w="2228" w:type="dxa"/>
            <w:tcBorders>
              <w:left w:val="nil"/>
              <w:right w:val="nil"/>
            </w:tcBorders>
          </w:tcPr>
          <w:p>
            <w:pPr>
              <w:pStyle w:val="TableParagraph"/>
              <w:spacing w:line="205" w:lineRule="exact"/>
              <w:ind w:left="520" w:right="642"/>
              <w:rPr>
                <w:sz w:val="18"/>
              </w:rPr>
            </w:pPr>
            <w:r>
              <w:rPr>
                <w:sz w:val="18"/>
              </w:rPr>
              <w:t>Error estándar</w:t>
            </w:r>
          </w:p>
        </w:tc>
        <w:tc>
          <w:tcPr>
            <w:tcW w:w="1078" w:type="dxa"/>
            <w:tcBorders>
              <w:left w:val="nil"/>
              <w:right w:val="nil"/>
            </w:tcBorders>
          </w:tcPr>
          <w:p>
            <w:pPr>
              <w:pStyle w:val="TableParagraph"/>
              <w:spacing w:line="205" w:lineRule="exact"/>
              <w:ind w:left="292" w:right="296"/>
              <w:rPr>
                <w:sz w:val="18"/>
              </w:rPr>
            </w:pPr>
            <w:r>
              <w:rPr>
                <w:sz w:val="18"/>
              </w:rPr>
              <w:t>lyman</w:t>
            </w:r>
          </w:p>
        </w:tc>
        <w:tc>
          <w:tcPr>
            <w:tcW w:w="1027" w:type="dxa"/>
            <w:tcBorders>
              <w:left w:val="nil"/>
              <w:right w:val="nil"/>
            </w:tcBorders>
          </w:tcPr>
          <w:p>
            <w:pPr>
              <w:pStyle w:val="TableParagraph"/>
              <w:spacing w:line="205" w:lineRule="exact"/>
              <w:ind w:left="268" w:right="269"/>
              <w:rPr>
                <w:sz w:val="18"/>
              </w:rPr>
            </w:pPr>
            <w:r>
              <w:rPr>
                <w:sz w:val="18"/>
              </w:rPr>
              <w:t>lyauto</w:t>
            </w:r>
          </w:p>
        </w:tc>
        <w:tc>
          <w:tcPr>
            <w:tcW w:w="956" w:type="dxa"/>
            <w:tcBorders>
              <w:left w:val="nil"/>
              <w:right w:val="nil"/>
            </w:tcBorders>
          </w:tcPr>
          <w:p>
            <w:pPr>
              <w:pStyle w:val="TableParagraph"/>
              <w:spacing w:line="205" w:lineRule="exact"/>
              <w:ind w:left="253" w:right="252"/>
              <w:rPr>
                <w:sz w:val="18"/>
              </w:rPr>
            </w:pPr>
            <w:r>
              <w:rPr>
                <w:sz w:val="18"/>
              </w:rPr>
              <w:t>lqreal</w:t>
            </w:r>
          </w:p>
        </w:tc>
        <w:tc>
          <w:tcPr>
            <w:tcW w:w="1133" w:type="dxa"/>
            <w:tcBorders>
              <w:left w:val="nil"/>
              <w:right w:val="nil"/>
            </w:tcBorders>
            <w:shd w:val="clear" w:color="auto" w:fill="D9D9D9"/>
          </w:tcPr>
          <w:p>
            <w:pPr>
              <w:pStyle w:val="TableParagraph"/>
              <w:spacing w:line="205" w:lineRule="exact"/>
              <w:ind w:left="171" w:right="171"/>
              <w:rPr>
                <w:sz w:val="18"/>
              </w:rPr>
            </w:pPr>
            <w:r>
              <w:rPr>
                <w:sz w:val="18"/>
              </w:rPr>
              <w:t>lyindusteu</w:t>
            </w:r>
          </w:p>
        </w:tc>
        <w:tc>
          <w:tcPr>
            <w:tcW w:w="1043" w:type="dxa"/>
            <w:tcBorders>
              <w:left w:val="nil"/>
              <w:right w:val="nil"/>
            </w:tcBorders>
          </w:tcPr>
          <w:p>
            <w:pPr>
              <w:pStyle w:val="TableParagraph"/>
              <w:spacing w:line="205" w:lineRule="exact"/>
              <w:ind w:left="336" w:right="336"/>
              <w:rPr>
                <w:sz w:val="18"/>
              </w:rPr>
            </w:pPr>
            <w:r>
              <w:rPr>
                <w:sz w:val="18"/>
              </w:rPr>
              <w:t>lpmt</w:t>
            </w:r>
          </w:p>
        </w:tc>
      </w:tr>
      <w:tr>
        <w:trPr>
          <w:trHeight w:val="227" w:hRule="exact"/>
        </w:trPr>
        <w:tc>
          <w:tcPr>
            <w:tcW w:w="1516" w:type="dxa"/>
            <w:tcBorders>
              <w:left w:val="nil"/>
              <w:bottom w:val="nil"/>
              <w:right w:val="nil"/>
            </w:tcBorders>
          </w:tcPr>
          <w:p>
            <w:pPr>
              <w:pStyle w:val="TableParagraph"/>
              <w:spacing w:line="202" w:lineRule="exact"/>
              <w:ind w:right="118"/>
              <w:rPr>
                <w:sz w:val="18"/>
              </w:rPr>
            </w:pPr>
            <w:r>
              <w:rPr>
                <w:sz w:val="18"/>
              </w:rPr>
              <w:t>1</w:t>
            </w:r>
          </w:p>
        </w:tc>
        <w:tc>
          <w:tcPr>
            <w:tcW w:w="2228" w:type="dxa"/>
            <w:tcBorders>
              <w:left w:val="nil"/>
              <w:bottom w:val="nil"/>
              <w:right w:val="nil"/>
            </w:tcBorders>
          </w:tcPr>
          <w:p>
            <w:pPr>
              <w:pStyle w:val="TableParagraph"/>
              <w:spacing w:line="202" w:lineRule="exact"/>
              <w:ind w:left="520" w:right="641"/>
              <w:rPr>
                <w:sz w:val="18"/>
              </w:rPr>
            </w:pPr>
            <w:r>
              <w:rPr>
                <w:sz w:val="18"/>
              </w:rPr>
              <w:t>0.0076</w:t>
            </w:r>
          </w:p>
        </w:tc>
        <w:tc>
          <w:tcPr>
            <w:tcW w:w="1078" w:type="dxa"/>
            <w:tcBorders>
              <w:left w:val="nil"/>
              <w:bottom w:val="nil"/>
              <w:right w:val="nil"/>
            </w:tcBorders>
          </w:tcPr>
          <w:p>
            <w:pPr>
              <w:pStyle w:val="TableParagraph"/>
              <w:spacing w:line="202" w:lineRule="exact"/>
              <w:ind w:right="1"/>
              <w:rPr>
                <w:sz w:val="18"/>
              </w:rPr>
            </w:pPr>
            <w:r>
              <w:rPr>
                <w:sz w:val="18"/>
              </w:rPr>
              <w:t>3</w:t>
            </w:r>
          </w:p>
        </w:tc>
        <w:tc>
          <w:tcPr>
            <w:tcW w:w="1027" w:type="dxa"/>
            <w:tcBorders>
              <w:left w:val="nil"/>
              <w:bottom w:val="nil"/>
              <w:right w:val="nil"/>
            </w:tcBorders>
          </w:tcPr>
          <w:p>
            <w:pPr>
              <w:pStyle w:val="TableParagraph"/>
              <w:spacing w:line="202" w:lineRule="exact"/>
              <w:ind w:right="1"/>
              <w:rPr>
                <w:sz w:val="18"/>
              </w:rPr>
            </w:pPr>
            <w:r>
              <w:rPr>
                <w:sz w:val="18"/>
              </w:rPr>
              <w:t>7</w:t>
            </w:r>
          </w:p>
        </w:tc>
        <w:tc>
          <w:tcPr>
            <w:tcW w:w="956" w:type="dxa"/>
            <w:tcBorders>
              <w:left w:val="nil"/>
              <w:bottom w:val="nil"/>
              <w:right w:val="nil"/>
            </w:tcBorders>
          </w:tcPr>
          <w:p>
            <w:pPr>
              <w:pStyle w:val="TableParagraph"/>
              <w:spacing w:line="202" w:lineRule="exact"/>
              <w:ind w:left="3"/>
              <w:rPr>
                <w:sz w:val="18"/>
              </w:rPr>
            </w:pPr>
            <w:r>
              <w:rPr>
                <w:sz w:val="18"/>
              </w:rPr>
              <w:t>0</w:t>
            </w:r>
          </w:p>
        </w:tc>
        <w:tc>
          <w:tcPr>
            <w:tcW w:w="1133" w:type="dxa"/>
            <w:tcBorders>
              <w:left w:val="nil"/>
              <w:bottom w:val="nil"/>
              <w:right w:val="nil"/>
            </w:tcBorders>
            <w:shd w:val="clear" w:color="auto" w:fill="D9D9D9"/>
          </w:tcPr>
          <w:p>
            <w:pPr>
              <w:pStyle w:val="TableParagraph"/>
              <w:spacing w:line="202" w:lineRule="exact"/>
              <w:ind w:left="171" w:right="167"/>
              <w:rPr>
                <w:sz w:val="18"/>
              </w:rPr>
            </w:pPr>
            <w:r>
              <w:rPr>
                <w:sz w:val="18"/>
              </w:rPr>
              <w:t>89</w:t>
            </w:r>
          </w:p>
        </w:tc>
        <w:tc>
          <w:tcPr>
            <w:tcW w:w="1043" w:type="dxa"/>
            <w:tcBorders>
              <w:left w:val="nil"/>
              <w:bottom w:val="nil"/>
              <w:right w:val="nil"/>
            </w:tcBorders>
          </w:tcPr>
          <w:p>
            <w:pPr>
              <w:pStyle w:val="TableParagraph"/>
              <w:spacing w:line="202" w:lineRule="exact"/>
              <w:ind w:left="1"/>
              <w:rPr>
                <w:sz w:val="18"/>
              </w:rPr>
            </w:pPr>
            <w:r>
              <w:rPr>
                <w:sz w:val="18"/>
              </w:rPr>
              <w:t>0</w:t>
            </w:r>
          </w:p>
        </w:tc>
      </w:tr>
      <w:tr>
        <w:trPr>
          <w:trHeight w:val="208" w:hRule="exact"/>
        </w:trPr>
        <w:tc>
          <w:tcPr>
            <w:tcW w:w="1516" w:type="dxa"/>
            <w:tcBorders>
              <w:top w:val="nil"/>
              <w:left w:val="nil"/>
              <w:bottom w:val="nil"/>
              <w:right w:val="nil"/>
            </w:tcBorders>
          </w:tcPr>
          <w:p>
            <w:pPr>
              <w:pStyle w:val="TableParagraph"/>
              <w:spacing w:line="198" w:lineRule="exact"/>
              <w:ind w:right="118"/>
              <w:rPr>
                <w:sz w:val="18"/>
              </w:rPr>
            </w:pPr>
            <w:r>
              <w:rPr>
                <w:sz w:val="18"/>
              </w:rPr>
              <w:t>5</w:t>
            </w:r>
          </w:p>
        </w:tc>
        <w:tc>
          <w:tcPr>
            <w:tcW w:w="2228" w:type="dxa"/>
            <w:tcBorders>
              <w:top w:val="nil"/>
              <w:left w:val="nil"/>
              <w:bottom w:val="nil"/>
              <w:right w:val="nil"/>
            </w:tcBorders>
          </w:tcPr>
          <w:p>
            <w:pPr>
              <w:pStyle w:val="TableParagraph"/>
              <w:spacing w:line="198" w:lineRule="exact"/>
              <w:ind w:left="520" w:right="641"/>
              <w:rPr>
                <w:sz w:val="18"/>
              </w:rPr>
            </w:pPr>
            <w:r>
              <w:rPr>
                <w:sz w:val="18"/>
              </w:rPr>
              <w:t>0.0430</w:t>
            </w:r>
          </w:p>
        </w:tc>
        <w:tc>
          <w:tcPr>
            <w:tcW w:w="1078" w:type="dxa"/>
            <w:tcBorders>
              <w:top w:val="nil"/>
              <w:left w:val="nil"/>
              <w:bottom w:val="nil"/>
              <w:right w:val="nil"/>
            </w:tcBorders>
          </w:tcPr>
          <w:p>
            <w:pPr>
              <w:pStyle w:val="TableParagraph"/>
              <w:spacing w:line="198" w:lineRule="exact"/>
              <w:ind w:right="1"/>
              <w:rPr>
                <w:sz w:val="18"/>
              </w:rPr>
            </w:pPr>
            <w:r>
              <w:rPr>
                <w:sz w:val="18"/>
              </w:rPr>
              <w:t>4</w:t>
            </w:r>
          </w:p>
        </w:tc>
        <w:tc>
          <w:tcPr>
            <w:tcW w:w="1027" w:type="dxa"/>
            <w:tcBorders>
              <w:top w:val="nil"/>
              <w:left w:val="nil"/>
              <w:bottom w:val="nil"/>
              <w:right w:val="nil"/>
            </w:tcBorders>
          </w:tcPr>
          <w:p>
            <w:pPr>
              <w:pStyle w:val="TableParagraph"/>
              <w:spacing w:line="198" w:lineRule="exact"/>
              <w:ind w:right="1"/>
              <w:rPr>
                <w:sz w:val="18"/>
              </w:rPr>
            </w:pPr>
            <w:r>
              <w:rPr>
                <w:sz w:val="18"/>
              </w:rPr>
              <w:t>2</w:t>
            </w:r>
          </w:p>
        </w:tc>
        <w:tc>
          <w:tcPr>
            <w:tcW w:w="956" w:type="dxa"/>
            <w:tcBorders>
              <w:top w:val="nil"/>
              <w:left w:val="nil"/>
              <w:bottom w:val="nil"/>
              <w:right w:val="nil"/>
            </w:tcBorders>
          </w:tcPr>
          <w:p>
            <w:pPr>
              <w:pStyle w:val="TableParagraph"/>
              <w:spacing w:line="198" w:lineRule="exact"/>
              <w:ind w:left="3"/>
              <w:rPr>
                <w:sz w:val="18"/>
              </w:rPr>
            </w:pPr>
            <w:r>
              <w:rPr>
                <w:sz w:val="18"/>
              </w:rPr>
              <w:t>3</w:t>
            </w:r>
          </w:p>
        </w:tc>
        <w:tc>
          <w:tcPr>
            <w:tcW w:w="1133" w:type="dxa"/>
            <w:tcBorders>
              <w:top w:val="nil"/>
              <w:left w:val="nil"/>
              <w:bottom w:val="nil"/>
              <w:right w:val="nil"/>
            </w:tcBorders>
            <w:shd w:val="clear" w:color="auto" w:fill="D9D9D9"/>
          </w:tcPr>
          <w:p>
            <w:pPr>
              <w:pStyle w:val="TableParagraph"/>
              <w:spacing w:line="198" w:lineRule="exact"/>
              <w:ind w:left="171" w:right="167"/>
              <w:rPr>
                <w:sz w:val="18"/>
              </w:rPr>
            </w:pPr>
            <w:r>
              <w:rPr>
                <w:sz w:val="18"/>
              </w:rPr>
              <w:t>90</w:t>
            </w:r>
          </w:p>
        </w:tc>
        <w:tc>
          <w:tcPr>
            <w:tcW w:w="1043" w:type="dxa"/>
            <w:tcBorders>
              <w:top w:val="nil"/>
              <w:left w:val="nil"/>
              <w:bottom w:val="nil"/>
              <w:right w:val="nil"/>
            </w:tcBorders>
          </w:tcPr>
          <w:p>
            <w:pPr>
              <w:pStyle w:val="TableParagraph"/>
              <w:spacing w:line="198" w:lineRule="exact"/>
              <w:ind w:left="1"/>
              <w:rPr>
                <w:sz w:val="18"/>
              </w:rPr>
            </w:pPr>
            <w:r>
              <w:rPr>
                <w:sz w:val="18"/>
              </w:rPr>
              <w:t>0</w:t>
            </w:r>
          </w:p>
        </w:tc>
      </w:tr>
      <w:tr>
        <w:trPr>
          <w:trHeight w:val="207" w:hRule="exact"/>
        </w:trPr>
        <w:tc>
          <w:tcPr>
            <w:tcW w:w="1516" w:type="dxa"/>
            <w:tcBorders>
              <w:top w:val="nil"/>
              <w:left w:val="nil"/>
              <w:bottom w:val="nil"/>
              <w:right w:val="nil"/>
            </w:tcBorders>
          </w:tcPr>
          <w:p>
            <w:pPr>
              <w:pStyle w:val="TableParagraph"/>
              <w:spacing w:line="197" w:lineRule="exact"/>
              <w:ind w:left="398" w:right="515"/>
              <w:rPr>
                <w:sz w:val="18"/>
              </w:rPr>
            </w:pPr>
            <w:r>
              <w:rPr>
                <w:sz w:val="18"/>
              </w:rPr>
              <w:t>10</w:t>
            </w:r>
          </w:p>
        </w:tc>
        <w:tc>
          <w:tcPr>
            <w:tcW w:w="2228" w:type="dxa"/>
            <w:tcBorders>
              <w:top w:val="nil"/>
              <w:left w:val="nil"/>
              <w:bottom w:val="nil"/>
              <w:right w:val="nil"/>
            </w:tcBorders>
          </w:tcPr>
          <w:p>
            <w:pPr>
              <w:pStyle w:val="TableParagraph"/>
              <w:spacing w:line="197" w:lineRule="exact"/>
              <w:ind w:left="520" w:right="641"/>
              <w:rPr>
                <w:sz w:val="18"/>
              </w:rPr>
            </w:pPr>
            <w:r>
              <w:rPr>
                <w:sz w:val="18"/>
              </w:rPr>
              <w:t>0.0567</w:t>
            </w:r>
          </w:p>
        </w:tc>
        <w:tc>
          <w:tcPr>
            <w:tcW w:w="1078" w:type="dxa"/>
            <w:tcBorders>
              <w:top w:val="nil"/>
              <w:left w:val="nil"/>
              <w:bottom w:val="nil"/>
              <w:right w:val="nil"/>
            </w:tcBorders>
          </w:tcPr>
          <w:p>
            <w:pPr>
              <w:pStyle w:val="TableParagraph"/>
              <w:spacing w:line="197" w:lineRule="exact"/>
              <w:ind w:right="1"/>
              <w:rPr>
                <w:sz w:val="18"/>
              </w:rPr>
            </w:pPr>
            <w:r>
              <w:rPr>
                <w:sz w:val="18"/>
              </w:rPr>
              <w:t>6</w:t>
            </w:r>
          </w:p>
        </w:tc>
        <w:tc>
          <w:tcPr>
            <w:tcW w:w="1027" w:type="dxa"/>
            <w:tcBorders>
              <w:top w:val="nil"/>
              <w:left w:val="nil"/>
              <w:bottom w:val="nil"/>
              <w:right w:val="nil"/>
            </w:tcBorders>
          </w:tcPr>
          <w:p>
            <w:pPr>
              <w:pStyle w:val="TableParagraph"/>
              <w:spacing w:line="197" w:lineRule="exact"/>
              <w:ind w:right="1"/>
              <w:rPr>
                <w:sz w:val="18"/>
              </w:rPr>
            </w:pPr>
            <w:r>
              <w:rPr>
                <w:sz w:val="18"/>
              </w:rPr>
              <w:t>2</w:t>
            </w:r>
          </w:p>
        </w:tc>
        <w:tc>
          <w:tcPr>
            <w:tcW w:w="956" w:type="dxa"/>
            <w:tcBorders>
              <w:top w:val="nil"/>
              <w:left w:val="nil"/>
              <w:bottom w:val="nil"/>
              <w:right w:val="nil"/>
            </w:tcBorders>
          </w:tcPr>
          <w:p>
            <w:pPr>
              <w:pStyle w:val="TableParagraph"/>
              <w:spacing w:line="197" w:lineRule="exact"/>
              <w:ind w:left="3"/>
              <w:rPr>
                <w:sz w:val="18"/>
              </w:rPr>
            </w:pPr>
            <w:r>
              <w:rPr>
                <w:sz w:val="18"/>
              </w:rPr>
              <w:t>2</w:t>
            </w:r>
          </w:p>
        </w:tc>
        <w:tc>
          <w:tcPr>
            <w:tcW w:w="1133" w:type="dxa"/>
            <w:tcBorders>
              <w:top w:val="nil"/>
              <w:left w:val="nil"/>
              <w:bottom w:val="nil"/>
              <w:right w:val="nil"/>
            </w:tcBorders>
            <w:shd w:val="clear" w:color="auto" w:fill="D9D9D9"/>
          </w:tcPr>
          <w:p>
            <w:pPr>
              <w:pStyle w:val="TableParagraph"/>
              <w:spacing w:line="197" w:lineRule="exact"/>
              <w:ind w:left="171" w:right="167"/>
              <w:rPr>
                <w:sz w:val="18"/>
              </w:rPr>
            </w:pPr>
            <w:r>
              <w:rPr>
                <w:sz w:val="18"/>
              </w:rPr>
              <w:t>89</w:t>
            </w:r>
          </w:p>
        </w:tc>
        <w:tc>
          <w:tcPr>
            <w:tcW w:w="1043" w:type="dxa"/>
            <w:tcBorders>
              <w:top w:val="nil"/>
              <w:left w:val="nil"/>
              <w:bottom w:val="nil"/>
              <w:right w:val="nil"/>
            </w:tcBorders>
          </w:tcPr>
          <w:p>
            <w:pPr>
              <w:pStyle w:val="TableParagraph"/>
              <w:spacing w:line="197" w:lineRule="exact"/>
              <w:ind w:left="1"/>
              <w:rPr>
                <w:sz w:val="18"/>
              </w:rPr>
            </w:pPr>
            <w:r>
              <w:rPr>
                <w:sz w:val="18"/>
              </w:rPr>
              <w:t>0</w:t>
            </w:r>
          </w:p>
        </w:tc>
      </w:tr>
      <w:tr>
        <w:trPr>
          <w:trHeight w:val="206" w:hRule="exact"/>
        </w:trPr>
        <w:tc>
          <w:tcPr>
            <w:tcW w:w="1516" w:type="dxa"/>
            <w:tcBorders>
              <w:top w:val="nil"/>
              <w:left w:val="nil"/>
              <w:bottom w:val="nil"/>
              <w:right w:val="nil"/>
            </w:tcBorders>
          </w:tcPr>
          <w:p>
            <w:pPr>
              <w:pStyle w:val="TableParagraph"/>
              <w:spacing w:line="197" w:lineRule="exact"/>
              <w:ind w:left="398" w:right="515"/>
              <w:rPr>
                <w:sz w:val="18"/>
              </w:rPr>
            </w:pPr>
            <w:r>
              <w:rPr>
                <w:sz w:val="18"/>
              </w:rPr>
              <w:t>15</w:t>
            </w:r>
          </w:p>
        </w:tc>
        <w:tc>
          <w:tcPr>
            <w:tcW w:w="2228" w:type="dxa"/>
            <w:tcBorders>
              <w:top w:val="nil"/>
              <w:left w:val="nil"/>
              <w:bottom w:val="nil"/>
              <w:right w:val="nil"/>
            </w:tcBorders>
          </w:tcPr>
          <w:p>
            <w:pPr>
              <w:pStyle w:val="TableParagraph"/>
              <w:spacing w:line="197" w:lineRule="exact"/>
              <w:ind w:left="520" w:right="641"/>
              <w:rPr>
                <w:sz w:val="18"/>
              </w:rPr>
            </w:pPr>
            <w:r>
              <w:rPr>
                <w:sz w:val="18"/>
              </w:rPr>
              <w:t>0.0601</w:t>
            </w:r>
          </w:p>
        </w:tc>
        <w:tc>
          <w:tcPr>
            <w:tcW w:w="1078" w:type="dxa"/>
            <w:tcBorders>
              <w:top w:val="nil"/>
              <w:left w:val="nil"/>
              <w:bottom w:val="nil"/>
              <w:right w:val="nil"/>
            </w:tcBorders>
          </w:tcPr>
          <w:p>
            <w:pPr>
              <w:pStyle w:val="TableParagraph"/>
              <w:spacing w:line="197" w:lineRule="exact"/>
              <w:ind w:right="1"/>
              <w:rPr>
                <w:sz w:val="18"/>
              </w:rPr>
            </w:pPr>
            <w:r>
              <w:rPr>
                <w:sz w:val="18"/>
              </w:rPr>
              <w:t>9</w:t>
            </w:r>
          </w:p>
        </w:tc>
        <w:tc>
          <w:tcPr>
            <w:tcW w:w="1027" w:type="dxa"/>
            <w:tcBorders>
              <w:top w:val="nil"/>
              <w:left w:val="nil"/>
              <w:bottom w:val="nil"/>
              <w:right w:val="nil"/>
            </w:tcBorders>
          </w:tcPr>
          <w:p>
            <w:pPr>
              <w:pStyle w:val="TableParagraph"/>
              <w:spacing w:line="197" w:lineRule="exact"/>
              <w:ind w:right="1"/>
              <w:rPr>
                <w:sz w:val="18"/>
              </w:rPr>
            </w:pPr>
            <w:r>
              <w:rPr>
                <w:sz w:val="18"/>
              </w:rPr>
              <w:t>2</w:t>
            </w:r>
          </w:p>
        </w:tc>
        <w:tc>
          <w:tcPr>
            <w:tcW w:w="956" w:type="dxa"/>
            <w:tcBorders>
              <w:top w:val="nil"/>
              <w:left w:val="nil"/>
              <w:bottom w:val="nil"/>
              <w:right w:val="nil"/>
            </w:tcBorders>
          </w:tcPr>
          <w:p>
            <w:pPr>
              <w:pStyle w:val="TableParagraph"/>
              <w:spacing w:line="197" w:lineRule="exact"/>
              <w:ind w:left="3"/>
              <w:rPr>
                <w:sz w:val="18"/>
              </w:rPr>
            </w:pPr>
            <w:r>
              <w:rPr>
                <w:sz w:val="18"/>
              </w:rPr>
              <w:t>3</w:t>
            </w:r>
          </w:p>
        </w:tc>
        <w:tc>
          <w:tcPr>
            <w:tcW w:w="1133" w:type="dxa"/>
            <w:tcBorders>
              <w:top w:val="nil"/>
              <w:left w:val="nil"/>
              <w:bottom w:val="nil"/>
              <w:right w:val="nil"/>
            </w:tcBorders>
            <w:shd w:val="clear" w:color="auto" w:fill="D9D9D9"/>
          </w:tcPr>
          <w:p>
            <w:pPr>
              <w:pStyle w:val="TableParagraph"/>
              <w:spacing w:line="197" w:lineRule="exact"/>
              <w:ind w:left="171" w:right="167"/>
              <w:rPr>
                <w:sz w:val="18"/>
              </w:rPr>
            </w:pPr>
            <w:r>
              <w:rPr>
                <w:sz w:val="18"/>
              </w:rPr>
              <w:t>86</w:t>
            </w:r>
          </w:p>
        </w:tc>
        <w:tc>
          <w:tcPr>
            <w:tcW w:w="1043" w:type="dxa"/>
            <w:tcBorders>
              <w:top w:val="nil"/>
              <w:left w:val="nil"/>
              <w:bottom w:val="nil"/>
              <w:right w:val="nil"/>
            </w:tcBorders>
          </w:tcPr>
          <w:p>
            <w:pPr>
              <w:pStyle w:val="TableParagraph"/>
              <w:spacing w:line="197" w:lineRule="exact"/>
              <w:ind w:left="1"/>
              <w:rPr>
                <w:sz w:val="18"/>
              </w:rPr>
            </w:pPr>
            <w:r>
              <w:rPr>
                <w:sz w:val="18"/>
              </w:rPr>
              <w:t>0</w:t>
            </w:r>
          </w:p>
        </w:tc>
      </w:tr>
      <w:tr>
        <w:trPr>
          <w:trHeight w:val="208" w:hRule="exact"/>
        </w:trPr>
        <w:tc>
          <w:tcPr>
            <w:tcW w:w="1516" w:type="dxa"/>
            <w:tcBorders>
              <w:top w:val="nil"/>
              <w:left w:val="nil"/>
              <w:bottom w:val="nil"/>
              <w:right w:val="nil"/>
            </w:tcBorders>
          </w:tcPr>
          <w:p>
            <w:pPr>
              <w:pStyle w:val="TableParagraph"/>
              <w:spacing w:line="197" w:lineRule="exact"/>
              <w:ind w:left="398" w:right="515"/>
              <w:rPr>
                <w:sz w:val="18"/>
              </w:rPr>
            </w:pPr>
            <w:r>
              <w:rPr>
                <w:sz w:val="18"/>
              </w:rPr>
              <w:t>20</w:t>
            </w:r>
          </w:p>
        </w:tc>
        <w:tc>
          <w:tcPr>
            <w:tcW w:w="2228" w:type="dxa"/>
            <w:tcBorders>
              <w:top w:val="nil"/>
              <w:left w:val="nil"/>
              <w:bottom w:val="nil"/>
              <w:right w:val="nil"/>
            </w:tcBorders>
          </w:tcPr>
          <w:p>
            <w:pPr>
              <w:pStyle w:val="TableParagraph"/>
              <w:spacing w:line="197" w:lineRule="exact"/>
              <w:ind w:left="520" w:right="641"/>
              <w:rPr>
                <w:sz w:val="18"/>
              </w:rPr>
            </w:pPr>
            <w:r>
              <w:rPr>
                <w:sz w:val="18"/>
              </w:rPr>
              <w:t>0.0616</w:t>
            </w:r>
          </w:p>
        </w:tc>
        <w:tc>
          <w:tcPr>
            <w:tcW w:w="1078" w:type="dxa"/>
            <w:tcBorders>
              <w:top w:val="nil"/>
              <w:left w:val="nil"/>
              <w:bottom w:val="nil"/>
              <w:right w:val="nil"/>
            </w:tcBorders>
          </w:tcPr>
          <w:p>
            <w:pPr>
              <w:pStyle w:val="TableParagraph"/>
              <w:spacing w:line="197" w:lineRule="exact"/>
              <w:ind w:left="292" w:right="293"/>
              <w:rPr>
                <w:sz w:val="18"/>
              </w:rPr>
            </w:pPr>
            <w:r>
              <w:rPr>
                <w:sz w:val="18"/>
              </w:rPr>
              <w:t>10</w:t>
            </w:r>
          </w:p>
        </w:tc>
        <w:tc>
          <w:tcPr>
            <w:tcW w:w="1027" w:type="dxa"/>
            <w:tcBorders>
              <w:top w:val="nil"/>
              <w:left w:val="nil"/>
              <w:bottom w:val="nil"/>
              <w:right w:val="nil"/>
            </w:tcBorders>
          </w:tcPr>
          <w:p>
            <w:pPr>
              <w:pStyle w:val="TableParagraph"/>
              <w:spacing w:line="197" w:lineRule="exact"/>
              <w:ind w:right="1"/>
              <w:rPr>
                <w:sz w:val="18"/>
              </w:rPr>
            </w:pPr>
            <w:r>
              <w:rPr>
                <w:sz w:val="18"/>
              </w:rPr>
              <w:t>3</w:t>
            </w:r>
          </w:p>
        </w:tc>
        <w:tc>
          <w:tcPr>
            <w:tcW w:w="956" w:type="dxa"/>
            <w:tcBorders>
              <w:top w:val="nil"/>
              <w:left w:val="nil"/>
              <w:bottom w:val="nil"/>
              <w:right w:val="nil"/>
            </w:tcBorders>
          </w:tcPr>
          <w:p>
            <w:pPr>
              <w:pStyle w:val="TableParagraph"/>
              <w:spacing w:line="197" w:lineRule="exact"/>
              <w:ind w:left="3"/>
              <w:rPr>
                <w:sz w:val="18"/>
              </w:rPr>
            </w:pPr>
            <w:r>
              <w:rPr>
                <w:sz w:val="18"/>
              </w:rPr>
              <w:t>4</w:t>
            </w:r>
          </w:p>
        </w:tc>
        <w:tc>
          <w:tcPr>
            <w:tcW w:w="1133" w:type="dxa"/>
            <w:tcBorders>
              <w:top w:val="nil"/>
              <w:left w:val="nil"/>
              <w:bottom w:val="nil"/>
              <w:right w:val="nil"/>
            </w:tcBorders>
            <w:shd w:val="clear" w:color="auto" w:fill="D9D9D9"/>
          </w:tcPr>
          <w:p>
            <w:pPr>
              <w:pStyle w:val="TableParagraph"/>
              <w:spacing w:line="197" w:lineRule="exact"/>
              <w:ind w:left="171" w:right="167"/>
              <w:rPr>
                <w:sz w:val="18"/>
              </w:rPr>
            </w:pPr>
            <w:r>
              <w:rPr>
                <w:sz w:val="18"/>
              </w:rPr>
              <w:t>82</w:t>
            </w:r>
          </w:p>
        </w:tc>
        <w:tc>
          <w:tcPr>
            <w:tcW w:w="1043" w:type="dxa"/>
            <w:tcBorders>
              <w:top w:val="nil"/>
              <w:left w:val="nil"/>
              <w:bottom w:val="nil"/>
              <w:right w:val="nil"/>
            </w:tcBorders>
          </w:tcPr>
          <w:p>
            <w:pPr>
              <w:pStyle w:val="TableParagraph"/>
              <w:spacing w:line="197" w:lineRule="exact"/>
              <w:ind w:left="1"/>
              <w:rPr>
                <w:sz w:val="18"/>
              </w:rPr>
            </w:pPr>
            <w:r>
              <w:rPr>
                <w:sz w:val="18"/>
              </w:rPr>
              <w:t>1</w:t>
            </w:r>
          </w:p>
        </w:tc>
      </w:tr>
      <w:tr>
        <w:trPr>
          <w:trHeight w:val="208" w:hRule="exact"/>
        </w:trPr>
        <w:tc>
          <w:tcPr>
            <w:tcW w:w="1516" w:type="dxa"/>
            <w:tcBorders>
              <w:top w:val="nil"/>
              <w:left w:val="nil"/>
              <w:bottom w:val="nil"/>
              <w:right w:val="nil"/>
            </w:tcBorders>
          </w:tcPr>
          <w:p>
            <w:pPr>
              <w:pStyle w:val="TableParagraph"/>
              <w:spacing w:line="198" w:lineRule="exact"/>
              <w:ind w:left="398" w:right="515"/>
              <w:rPr>
                <w:sz w:val="18"/>
              </w:rPr>
            </w:pPr>
            <w:r>
              <w:rPr>
                <w:sz w:val="18"/>
              </w:rPr>
              <w:t>25</w:t>
            </w:r>
          </w:p>
        </w:tc>
        <w:tc>
          <w:tcPr>
            <w:tcW w:w="2228" w:type="dxa"/>
            <w:tcBorders>
              <w:top w:val="nil"/>
              <w:left w:val="nil"/>
              <w:bottom w:val="nil"/>
              <w:right w:val="nil"/>
            </w:tcBorders>
          </w:tcPr>
          <w:p>
            <w:pPr>
              <w:pStyle w:val="TableParagraph"/>
              <w:spacing w:line="198" w:lineRule="exact"/>
              <w:ind w:left="520" w:right="641"/>
              <w:rPr>
                <w:sz w:val="18"/>
              </w:rPr>
            </w:pPr>
            <w:r>
              <w:rPr>
                <w:sz w:val="18"/>
              </w:rPr>
              <w:t>0.0629</w:t>
            </w:r>
          </w:p>
        </w:tc>
        <w:tc>
          <w:tcPr>
            <w:tcW w:w="1078" w:type="dxa"/>
            <w:tcBorders>
              <w:top w:val="nil"/>
              <w:left w:val="nil"/>
              <w:bottom w:val="nil"/>
              <w:right w:val="nil"/>
            </w:tcBorders>
          </w:tcPr>
          <w:p>
            <w:pPr>
              <w:pStyle w:val="TableParagraph"/>
              <w:spacing w:line="198" w:lineRule="exact"/>
              <w:ind w:left="292" w:right="293"/>
              <w:rPr>
                <w:sz w:val="18"/>
              </w:rPr>
            </w:pPr>
            <w:r>
              <w:rPr>
                <w:sz w:val="18"/>
              </w:rPr>
              <w:t>10</w:t>
            </w:r>
          </w:p>
        </w:tc>
        <w:tc>
          <w:tcPr>
            <w:tcW w:w="1027" w:type="dxa"/>
            <w:tcBorders>
              <w:top w:val="nil"/>
              <w:left w:val="nil"/>
              <w:bottom w:val="nil"/>
              <w:right w:val="nil"/>
            </w:tcBorders>
          </w:tcPr>
          <w:p>
            <w:pPr>
              <w:pStyle w:val="TableParagraph"/>
              <w:spacing w:line="198" w:lineRule="exact"/>
              <w:ind w:right="1"/>
              <w:rPr>
                <w:sz w:val="18"/>
              </w:rPr>
            </w:pPr>
            <w:r>
              <w:rPr>
                <w:sz w:val="18"/>
              </w:rPr>
              <w:t>4</w:t>
            </w:r>
          </w:p>
        </w:tc>
        <w:tc>
          <w:tcPr>
            <w:tcW w:w="956" w:type="dxa"/>
            <w:tcBorders>
              <w:top w:val="nil"/>
              <w:left w:val="nil"/>
              <w:bottom w:val="nil"/>
              <w:right w:val="nil"/>
            </w:tcBorders>
          </w:tcPr>
          <w:p>
            <w:pPr>
              <w:pStyle w:val="TableParagraph"/>
              <w:spacing w:line="198" w:lineRule="exact"/>
              <w:ind w:left="3"/>
              <w:rPr>
                <w:sz w:val="18"/>
              </w:rPr>
            </w:pPr>
            <w:r>
              <w:rPr>
                <w:sz w:val="18"/>
              </w:rPr>
              <w:t>5</w:t>
            </w:r>
          </w:p>
        </w:tc>
        <w:tc>
          <w:tcPr>
            <w:tcW w:w="1133" w:type="dxa"/>
            <w:tcBorders>
              <w:top w:val="nil"/>
              <w:left w:val="nil"/>
              <w:bottom w:val="nil"/>
              <w:right w:val="nil"/>
            </w:tcBorders>
            <w:shd w:val="clear" w:color="auto" w:fill="D9D9D9"/>
          </w:tcPr>
          <w:p>
            <w:pPr>
              <w:pStyle w:val="TableParagraph"/>
              <w:spacing w:line="198" w:lineRule="exact"/>
              <w:ind w:left="171" w:right="167"/>
              <w:rPr>
                <w:sz w:val="18"/>
              </w:rPr>
            </w:pPr>
            <w:r>
              <w:rPr>
                <w:sz w:val="18"/>
              </w:rPr>
              <w:t>80</w:t>
            </w:r>
          </w:p>
        </w:tc>
        <w:tc>
          <w:tcPr>
            <w:tcW w:w="1043" w:type="dxa"/>
            <w:tcBorders>
              <w:top w:val="nil"/>
              <w:left w:val="nil"/>
              <w:bottom w:val="nil"/>
              <w:right w:val="nil"/>
            </w:tcBorders>
          </w:tcPr>
          <w:p>
            <w:pPr>
              <w:pStyle w:val="TableParagraph"/>
              <w:spacing w:line="198" w:lineRule="exact"/>
              <w:ind w:left="1"/>
              <w:rPr>
                <w:sz w:val="18"/>
              </w:rPr>
            </w:pPr>
            <w:r>
              <w:rPr>
                <w:sz w:val="18"/>
              </w:rPr>
              <w:t>2</w:t>
            </w:r>
          </w:p>
        </w:tc>
      </w:tr>
      <w:tr>
        <w:trPr>
          <w:trHeight w:val="216" w:hRule="exact"/>
        </w:trPr>
        <w:tc>
          <w:tcPr>
            <w:tcW w:w="1516" w:type="dxa"/>
            <w:tcBorders>
              <w:top w:val="nil"/>
              <w:left w:val="nil"/>
              <w:right w:val="nil"/>
            </w:tcBorders>
          </w:tcPr>
          <w:p>
            <w:pPr>
              <w:pStyle w:val="TableParagraph"/>
              <w:spacing w:line="197" w:lineRule="exact"/>
              <w:ind w:left="398" w:right="515"/>
              <w:rPr>
                <w:sz w:val="18"/>
              </w:rPr>
            </w:pPr>
            <w:r>
              <w:rPr>
                <w:sz w:val="18"/>
              </w:rPr>
              <w:t>30</w:t>
            </w:r>
          </w:p>
        </w:tc>
        <w:tc>
          <w:tcPr>
            <w:tcW w:w="2228" w:type="dxa"/>
            <w:tcBorders>
              <w:top w:val="nil"/>
              <w:left w:val="nil"/>
              <w:right w:val="nil"/>
            </w:tcBorders>
          </w:tcPr>
          <w:p>
            <w:pPr>
              <w:pStyle w:val="TableParagraph"/>
              <w:spacing w:line="197" w:lineRule="exact"/>
              <w:ind w:left="520" w:right="641"/>
              <w:rPr>
                <w:sz w:val="18"/>
              </w:rPr>
            </w:pPr>
            <w:r>
              <w:rPr>
                <w:sz w:val="18"/>
              </w:rPr>
              <w:t>0.0642</w:t>
            </w:r>
          </w:p>
        </w:tc>
        <w:tc>
          <w:tcPr>
            <w:tcW w:w="1078" w:type="dxa"/>
            <w:tcBorders>
              <w:top w:val="nil"/>
              <w:left w:val="nil"/>
              <w:right w:val="nil"/>
            </w:tcBorders>
          </w:tcPr>
          <w:p>
            <w:pPr>
              <w:pStyle w:val="TableParagraph"/>
              <w:spacing w:line="197" w:lineRule="exact"/>
              <w:ind w:right="1"/>
              <w:rPr>
                <w:sz w:val="18"/>
              </w:rPr>
            </w:pPr>
            <w:r>
              <w:rPr>
                <w:sz w:val="18"/>
              </w:rPr>
              <w:t>9</w:t>
            </w:r>
          </w:p>
        </w:tc>
        <w:tc>
          <w:tcPr>
            <w:tcW w:w="1027" w:type="dxa"/>
            <w:tcBorders>
              <w:top w:val="nil"/>
              <w:left w:val="nil"/>
              <w:right w:val="nil"/>
            </w:tcBorders>
          </w:tcPr>
          <w:p>
            <w:pPr>
              <w:pStyle w:val="TableParagraph"/>
              <w:spacing w:line="197" w:lineRule="exact"/>
              <w:ind w:right="1"/>
              <w:rPr>
                <w:sz w:val="18"/>
              </w:rPr>
            </w:pPr>
            <w:r>
              <w:rPr>
                <w:sz w:val="18"/>
              </w:rPr>
              <w:t>5</w:t>
            </w:r>
          </w:p>
        </w:tc>
        <w:tc>
          <w:tcPr>
            <w:tcW w:w="956" w:type="dxa"/>
            <w:tcBorders>
              <w:top w:val="nil"/>
              <w:left w:val="nil"/>
              <w:right w:val="nil"/>
            </w:tcBorders>
          </w:tcPr>
          <w:p>
            <w:pPr>
              <w:pStyle w:val="TableParagraph"/>
              <w:spacing w:line="197" w:lineRule="exact"/>
              <w:ind w:left="3"/>
              <w:rPr>
                <w:sz w:val="18"/>
              </w:rPr>
            </w:pPr>
            <w:r>
              <w:rPr>
                <w:sz w:val="18"/>
              </w:rPr>
              <w:t>5</w:t>
            </w:r>
          </w:p>
        </w:tc>
        <w:tc>
          <w:tcPr>
            <w:tcW w:w="1133" w:type="dxa"/>
            <w:tcBorders>
              <w:top w:val="nil"/>
              <w:left w:val="nil"/>
              <w:right w:val="nil"/>
            </w:tcBorders>
            <w:shd w:val="clear" w:color="auto" w:fill="D9D9D9"/>
          </w:tcPr>
          <w:p>
            <w:pPr>
              <w:pStyle w:val="TableParagraph"/>
              <w:spacing w:line="197" w:lineRule="exact"/>
              <w:ind w:left="171" w:right="167"/>
              <w:rPr>
                <w:sz w:val="18"/>
              </w:rPr>
            </w:pPr>
            <w:r>
              <w:rPr>
                <w:sz w:val="18"/>
              </w:rPr>
              <w:t>79</w:t>
            </w:r>
          </w:p>
        </w:tc>
        <w:tc>
          <w:tcPr>
            <w:tcW w:w="1043" w:type="dxa"/>
            <w:tcBorders>
              <w:top w:val="nil"/>
              <w:left w:val="nil"/>
              <w:right w:val="nil"/>
            </w:tcBorders>
          </w:tcPr>
          <w:p>
            <w:pPr>
              <w:pStyle w:val="TableParagraph"/>
              <w:spacing w:line="197" w:lineRule="exact"/>
              <w:ind w:left="1"/>
              <w:rPr>
                <w:sz w:val="18"/>
              </w:rPr>
            </w:pPr>
            <w:r>
              <w:rPr>
                <w:sz w:val="18"/>
              </w:rPr>
              <w:t>2</w:t>
            </w:r>
          </w:p>
        </w:tc>
      </w:tr>
      <w:tr>
        <w:trPr>
          <w:trHeight w:val="238" w:hRule="exact"/>
        </w:trPr>
        <w:tc>
          <w:tcPr>
            <w:tcW w:w="8982" w:type="dxa"/>
            <w:gridSpan w:val="7"/>
            <w:tcBorders>
              <w:left w:val="nil"/>
              <w:right w:val="nil"/>
            </w:tcBorders>
          </w:tcPr>
          <w:p>
            <w:pPr>
              <w:pStyle w:val="TableParagraph"/>
              <w:spacing w:line="205" w:lineRule="exact"/>
              <w:ind w:left="71"/>
              <w:jc w:val="left"/>
              <w:rPr>
                <w:sz w:val="18"/>
              </w:rPr>
            </w:pPr>
            <w:r>
              <w:rPr>
                <w:sz w:val="18"/>
              </w:rPr>
              <w:t>Descomposición de varianza de lpmt:</w:t>
            </w:r>
          </w:p>
        </w:tc>
      </w:tr>
      <w:tr>
        <w:trPr>
          <w:trHeight w:val="238" w:hRule="exact"/>
        </w:trPr>
        <w:tc>
          <w:tcPr>
            <w:tcW w:w="1516" w:type="dxa"/>
            <w:tcBorders>
              <w:left w:val="nil"/>
              <w:right w:val="nil"/>
            </w:tcBorders>
          </w:tcPr>
          <w:p>
            <w:pPr>
              <w:pStyle w:val="TableParagraph"/>
              <w:spacing w:line="202" w:lineRule="exact"/>
              <w:ind w:left="398" w:right="517"/>
              <w:rPr>
                <w:sz w:val="18"/>
              </w:rPr>
            </w:pPr>
            <w:r>
              <w:rPr>
                <w:sz w:val="18"/>
              </w:rPr>
              <w:t>Periodo</w:t>
            </w:r>
          </w:p>
        </w:tc>
        <w:tc>
          <w:tcPr>
            <w:tcW w:w="2228" w:type="dxa"/>
            <w:tcBorders>
              <w:left w:val="nil"/>
              <w:right w:val="nil"/>
            </w:tcBorders>
          </w:tcPr>
          <w:p>
            <w:pPr>
              <w:pStyle w:val="TableParagraph"/>
              <w:spacing w:line="202" w:lineRule="exact"/>
              <w:ind w:left="520" w:right="642"/>
              <w:rPr>
                <w:sz w:val="18"/>
              </w:rPr>
            </w:pPr>
            <w:r>
              <w:rPr>
                <w:sz w:val="18"/>
              </w:rPr>
              <w:t>Error estándar</w:t>
            </w:r>
          </w:p>
        </w:tc>
        <w:tc>
          <w:tcPr>
            <w:tcW w:w="1078" w:type="dxa"/>
            <w:tcBorders>
              <w:left w:val="nil"/>
              <w:right w:val="nil"/>
            </w:tcBorders>
          </w:tcPr>
          <w:p>
            <w:pPr>
              <w:pStyle w:val="TableParagraph"/>
              <w:spacing w:line="202" w:lineRule="exact"/>
              <w:ind w:left="292" w:right="296"/>
              <w:rPr>
                <w:sz w:val="18"/>
              </w:rPr>
            </w:pPr>
            <w:r>
              <w:rPr>
                <w:sz w:val="18"/>
              </w:rPr>
              <w:t>lyman</w:t>
            </w:r>
          </w:p>
        </w:tc>
        <w:tc>
          <w:tcPr>
            <w:tcW w:w="1027" w:type="dxa"/>
            <w:tcBorders>
              <w:left w:val="nil"/>
              <w:right w:val="nil"/>
            </w:tcBorders>
          </w:tcPr>
          <w:p>
            <w:pPr>
              <w:pStyle w:val="TableParagraph"/>
              <w:spacing w:line="202" w:lineRule="exact"/>
              <w:ind w:left="268" w:right="269"/>
              <w:rPr>
                <w:sz w:val="18"/>
              </w:rPr>
            </w:pPr>
            <w:r>
              <w:rPr>
                <w:sz w:val="18"/>
              </w:rPr>
              <w:t>lyauto</w:t>
            </w:r>
          </w:p>
        </w:tc>
        <w:tc>
          <w:tcPr>
            <w:tcW w:w="956" w:type="dxa"/>
            <w:tcBorders>
              <w:left w:val="nil"/>
              <w:right w:val="nil"/>
            </w:tcBorders>
          </w:tcPr>
          <w:p>
            <w:pPr>
              <w:pStyle w:val="TableParagraph"/>
              <w:spacing w:line="202" w:lineRule="exact"/>
              <w:ind w:left="253" w:right="252"/>
              <w:rPr>
                <w:sz w:val="18"/>
              </w:rPr>
            </w:pPr>
            <w:r>
              <w:rPr>
                <w:sz w:val="18"/>
              </w:rPr>
              <w:t>lqreal</w:t>
            </w:r>
          </w:p>
        </w:tc>
        <w:tc>
          <w:tcPr>
            <w:tcW w:w="1133" w:type="dxa"/>
            <w:tcBorders>
              <w:left w:val="nil"/>
              <w:right w:val="nil"/>
            </w:tcBorders>
          </w:tcPr>
          <w:p>
            <w:pPr>
              <w:pStyle w:val="TableParagraph"/>
              <w:spacing w:line="202" w:lineRule="exact"/>
              <w:ind w:left="171" w:right="171"/>
              <w:rPr>
                <w:sz w:val="18"/>
              </w:rPr>
            </w:pPr>
            <w:r>
              <w:rPr>
                <w:sz w:val="18"/>
              </w:rPr>
              <w:t>lyindusteu</w:t>
            </w:r>
          </w:p>
        </w:tc>
        <w:tc>
          <w:tcPr>
            <w:tcW w:w="1043" w:type="dxa"/>
            <w:tcBorders>
              <w:left w:val="nil"/>
              <w:right w:val="nil"/>
            </w:tcBorders>
            <w:shd w:val="clear" w:color="auto" w:fill="D9D9D9"/>
          </w:tcPr>
          <w:p>
            <w:pPr>
              <w:pStyle w:val="TableParagraph"/>
              <w:spacing w:line="202" w:lineRule="exact"/>
              <w:ind w:left="336" w:right="336"/>
              <w:rPr>
                <w:sz w:val="18"/>
              </w:rPr>
            </w:pPr>
            <w:r>
              <w:rPr>
                <w:sz w:val="18"/>
              </w:rPr>
              <w:t>lpmt</w:t>
            </w:r>
          </w:p>
        </w:tc>
      </w:tr>
      <w:tr>
        <w:trPr>
          <w:trHeight w:val="226" w:hRule="exact"/>
        </w:trPr>
        <w:tc>
          <w:tcPr>
            <w:tcW w:w="1516" w:type="dxa"/>
            <w:tcBorders>
              <w:left w:val="nil"/>
              <w:bottom w:val="nil"/>
              <w:right w:val="nil"/>
            </w:tcBorders>
          </w:tcPr>
          <w:p>
            <w:pPr>
              <w:pStyle w:val="TableParagraph"/>
              <w:spacing w:line="202" w:lineRule="exact"/>
              <w:ind w:right="118"/>
              <w:rPr>
                <w:sz w:val="18"/>
              </w:rPr>
            </w:pPr>
            <w:r>
              <w:rPr>
                <w:sz w:val="18"/>
              </w:rPr>
              <w:t>1</w:t>
            </w:r>
          </w:p>
        </w:tc>
        <w:tc>
          <w:tcPr>
            <w:tcW w:w="2228" w:type="dxa"/>
            <w:tcBorders>
              <w:left w:val="nil"/>
              <w:bottom w:val="nil"/>
              <w:right w:val="nil"/>
            </w:tcBorders>
          </w:tcPr>
          <w:p>
            <w:pPr>
              <w:pStyle w:val="TableParagraph"/>
              <w:spacing w:line="202" w:lineRule="exact"/>
              <w:ind w:left="520" w:right="641"/>
              <w:rPr>
                <w:sz w:val="18"/>
              </w:rPr>
            </w:pPr>
            <w:r>
              <w:rPr>
                <w:sz w:val="18"/>
              </w:rPr>
              <w:t>0.0562</w:t>
            </w:r>
          </w:p>
        </w:tc>
        <w:tc>
          <w:tcPr>
            <w:tcW w:w="1078" w:type="dxa"/>
            <w:tcBorders>
              <w:left w:val="nil"/>
              <w:bottom w:val="nil"/>
              <w:right w:val="nil"/>
            </w:tcBorders>
          </w:tcPr>
          <w:p>
            <w:pPr>
              <w:pStyle w:val="TableParagraph"/>
              <w:spacing w:line="202" w:lineRule="exact"/>
              <w:ind w:right="1"/>
              <w:rPr>
                <w:sz w:val="18"/>
              </w:rPr>
            </w:pPr>
            <w:r>
              <w:rPr>
                <w:sz w:val="18"/>
              </w:rPr>
              <w:t>3</w:t>
            </w:r>
          </w:p>
        </w:tc>
        <w:tc>
          <w:tcPr>
            <w:tcW w:w="1027" w:type="dxa"/>
            <w:tcBorders>
              <w:left w:val="nil"/>
              <w:bottom w:val="nil"/>
              <w:right w:val="nil"/>
            </w:tcBorders>
          </w:tcPr>
          <w:p>
            <w:pPr>
              <w:pStyle w:val="TableParagraph"/>
              <w:spacing w:line="202" w:lineRule="exact"/>
              <w:ind w:left="268" w:right="268"/>
              <w:rPr>
                <w:sz w:val="18"/>
              </w:rPr>
            </w:pPr>
            <w:r>
              <w:rPr>
                <w:sz w:val="18"/>
              </w:rPr>
              <w:t>86</w:t>
            </w:r>
          </w:p>
        </w:tc>
        <w:tc>
          <w:tcPr>
            <w:tcW w:w="956" w:type="dxa"/>
            <w:tcBorders>
              <w:left w:val="nil"/>
              <w:bottom w:val="nil"/>
              <w:right w:val="nil"/>
            </w:tcBorders>
          </w:tcPr>
          <w:p>
            <w:pPr>
              <w:pStyle w:val="TableParagraph"/>
              <w:spacing w:line="202" w:lineRule="exact"/>
              <w:ind w:left="3"/>
              <w:rPr>
                <w:sz w:val="18"/>
              </w:rPr>
            </w:pPr>
            <w:r>
              <w:rPr>
                <w:sz w:val="18"/>
              </w:rPr>
              <w:t>0</w:t>
            </w:r>
          </w:p>
        </w:tc>
        <w:tc>
          <w:tcPr>
            <w:tcW w:w="1133" w:type="dxa"/>
            <w:tcBorders>
              <w:left w:val="nil"/>
              <w:bottom w:val="nil"/>
              <w:right w:val="nil"/>
            </w:tcBorders>
          </w:tcPr>
          <w:p>
            <w:pPr>
              <w:pStyle w:val="TableParagraph"/>
              <w:spacing w:line="202" w:lineRule="exact"/>
              <w:ind w:left="3"/>
              <w:rPr>
                <w:sz w:val="18"/>
              </w:rPr>
            </w:pPr>
            <w:r>
              <w:rPr>
                <w:sz w:val="18"/>
              </w:rPr>
              <w:t>2</w:t>
            </w:r>
          </w:p>
        </w:tc>
        <w:tc>
          <w:tcPr>
            <w:tcW w:w="1043" w:type="dxa"/>
            <w:tcBorders>
              <w:left w:val="nil"/>
              <w:bottom w:val="nil"/>
              <w:right w:val="nil"/>
            </w:tcBorders>
            <w:shd w:val="clear" w:color="auto" w:fill="D9D9D9"/>
          </w:tcPr>
          <w:p>
            <w:pPr>
              <w:pStyle w:val="TableParagraph"/>
              <w:spacing w:line="202" w:lineRule="exact"/>
              <w:ind w:left="1"/>
              <w:rPr>
                <w:sz w:val="18"/>
              </w:rPr>
            </w:pPr>
            <w:r>
              <w:rPr>
                <w:sz w:val="18"/>
              </w:rPr>
              <w:t>9</w:t>
            </w:r>
          </w:p>
        </w:tc>
      </w:tr>
      <w:tr>
        <w:trPr>
          <w:trHeight w:val="208" w:hRule="exact"/>
        </w:trPr>
        <w:tc>
          <w:tcPr>
            <w:tcW w:w="1516" w:type="dxa"/>
            <w:tcBorders>
              <w:top w:val="nil"/>
              <w:left w:val="nil"/>
              <w:bottom w:val="nil"/>
              <w:right w:val="nil"/>
            </w:tcBorders>
          </w:tcPr>
          <w:p>
            <w:pPr>
              <w:pStyle w:val="TableParagraph"/>
              <w:spacing w:line="197" w:lineRule="exact"/>
              <w:ind w:right="118"/>
              <w:rPr>
                <w:sz w:val="18"/>
              </w:rPr>
            </w:pPr>
            <w:r>
              <w:rPr>
                <w:sz w:val="18"/>
              </w:rPr>
              <w:t>5</w:t>
            </w:r>
          </w:p>
        </w:tc>
        <w:tc>
          <w:tcPr>
            <w:tcW w:w="2228" w:type="dxa"/>
            <w:tcBorders>
              <w:top w:val="nil"/>
              <w:left w:val="nil"/>
              <w:bottom w:val="nil"/>
              <w:right w:val="nil"/>
            </w:tcBorders>
          </w:tcPr>
          <w:p>
            <w:pPr>
              <w:pStyle w:val="TableParagraph"/>
              <w:spacing w:line="197" w:lineRule="exact"/>
              <w:ind w:left="520" w:right="641"/>
              <w:rPr>
                <w:sz w:val="18"/>
              </w:rPr>
            </w:pPr>
            <w:r>
              <w:rPr>
                <w:sz w:val="18"/>
              </w:rPr>
              <w:t>0.0966</w:t>
            </w:r>
          </w:p>
        </w:tc>
        <w:tc>
          <w:tcPr>
            <w:tcW w:w="1078" w:type="dxa"/>
            <w:tcBorders>
              <w:top w:val="nil"/>
              <w:left w:val="nil"/>
              <w:bottom w:val="nil"/>
              <w:right w:val="nil"/>
            </w:tcBorders>
          </w:tcPr>
          <w:p>
            <w:pPr>
              <w:pStyle w:val="TableParagraph"/>
              <w:spacing w:line="197" w:lineRule="exact"/>
              <w:ind w:right="1"/>
              <w:rPr>
                <w:sz w:val="18"/>
              </w:rPr>
            </w:pPr>
            <w:r>
              <w:rPr>
                <w:sz w:val="18"/>
              </w:rPr>
              <w:t>2</w:t>
            </w:r>
          </w:p>
        </w:tc>
        <w:tc>
          <w:tcPr>
            <w:tcW w:w="1027" w:type="dxa"/>
            <w:tcBorders>
              <w:top w:val="nil"/>
              <w:left w:val="nil"/>
              <w:bottom w:val="nil"/>
              <w:right w:val="nil"/>
            </w:tcBorders>
          </w:tcPr>
          <w:p>
            <w:pPr>
              <w:pStyle w:val="TableParagraph"/>
              <w:spacing w:line="197" w:lineRule="exact"/>
              <w:ind w:left="268" w:right="268"/>
              <w:rPr>
                <w:sz w:val="18"/>
              </w:rPr>
            </w:pPr>
            <w:r>
              <w:rPr>
                <w:sz w:val="18"/>
              </w:rPr>
              <w:t>67</w:t>
            </w:r>
          </w:p>
        </w:tc>
        <w:tc>
          <w:tcPr>
            <w:tcW w:w="956" w:type="dxa"/>
            <w:tcBorders>
              <w:top w:val="nil"/>
              <w:left w:val="nil"/>
              <w:bottom w:val="nil"/>
              <w:right w:val="nil"/>
            </w:tcBorders>
          </w:tcPr>
          <w:p>
            <w:pPr>
              <w:pStyle w:val="TableParagraph"/>
              <w:spacing w:line="197" w:lineRule="exact"/>
              <w:ind w:left="3"/>
              <w:rPr>
                <w:sz w:val="18"/>
              </w:rPr>
            </w:pPr>
            <w:r>
              <w:rPr>
                <w:sz w:val="18"/>
              </w:rPr>
              <w:t>9</w:t>
            </w:r>
          </w:p>
        </w:tc>
        <w:tc>
          <w:tcPr>
            <w:tcW w:w="1133" w:type="dxa"/>
            <w:tcBorders>
              <w:top w:val="nil"/>
              <w:left w:val="nil"/>
              <w:bottom w:val="nil"/>
              <w:right w:val="nil"/>
            </w:tcBorders>
          </w:tcPr>
          <w:p>
            <w:pPr>
              <w:pStyle w:val="TableParagraph"/>
              <w:spacing w:line="197" w:lineRule="exact"/>
              <w:ind w:left="171" w:right="167"/>
              <w:rPr>
                <w:sz w:val="18"/>
              </w:rPr>
            </w:pPr>
            <w:r>
              <w:rPr>
                <w:sz w:val="18"/>
              </w:rPr>
              <w:t>14</w:t>
            </w:r>
          </w:p>
        </w:tc>
        <w:tc>
          <w:tcPr>
            <w:tcW w:w="1043" w:type="dxa"/>
            <w:tcBorders>
              <w:top w:val="nil"/>
              <w:left w:val="nil"/>
              <w:bottom w:val="nil"/>
              <w:right w:val="nil"/>
            </w:tcBorders>
            <w:shd w:val="clear" w:color="auto" w:fill="D9D9D9"/>
          </w:tcPr>
          <w:p>
            <w:pPr>
              <w:pStyle w:val="TableParagraph"/>
              <w:spacing w:line="197" w:lineRule="exact"/>
              <w:ind w:left="1"/>
              <w:rPr>
                <w:sz w:val="18"/>
              </w:rPr>
            </w:pPr>
            <w:r>
              <w:rPr>
                <w:sz w:val="18"/>
              </w:rPr>
              <w:t>8</w:t>
            </w:r>
          </w:p>
        </w:tc>
      </w:tr>
      <w:tr>
        <w:trPr>
          <w:trHeight w:val="208" w:hRule="exact"/>
        </w:trPr>
        <w:tc>
          <w:tcPr>
            <w:tcW w:w="1516" w:type="dxa"/>
            <w:tcBorders>
              <w:top w:val="nil"/>
              <w:left w:val="nil"/>
              <w:bottom w:val="nil"/>
              <w:right w:val="nil"/>
            </w:tcBorders>
          </w:tcPr>
          <w:p>
            <w:pPr>
              <w:pStyle w:val="TableParagraph"/>
              <w:spacing w:line="198" w:lineRule="exact"/>
              <w:ind w:left="398" w:right="515"/>
              <w:rPr>
                <w:sz w:val="18"/>
              </w:rPr>
            </w:pPr>
            <w:r>
              <w:rPr>
                <w:sz w:val="18"/>
              </w:rPr>
              <w:t>10</w:t>
            </w:r>
          </w:p>
        </w:tc>
        <w:tc>
          <w:tcPr>
            <w:tcW w:w="2228" w:type="dxa"/>
            <w:tcBorders>
              <w:top w:val="nil"/>
              <w:left w:val="nil"/>
              <w:bottom w:val="nil"/>
              <w:right w:val="nil"/>
            </w:tcBorders>
          </w:tcPr>
          <w:p>
            <w:pPr>
              <w:pStyle w:val="TableParagraph"/>
              <w:spacing w:line="198" w:lineRule="exact"/>
              <w:ind w:left="520" w:right="641"/>
              <w:rPr>
                <w:sz w:val="18"/>
              </w:rPr>
            </w:pPr>
            <w:r>
              <w:rPr>
                <w:sz w:val="18"/>
              </w:rPr>
              <w:t>0.1077</w:t>
            </w:r>
          </w:p>
        </w:tc>
        <w:tc>
          <w:tcPr>
            <w:tcW w:w="1078" w:type="dxa"/>
            <w:tcBorders>
              <w:top w:val="nil"/>
              <w:left w:val="nil"/>
              <w:bottom w:val="nil"/>
              <w:right w:val="nil"/>
            </w:tcBorders>
          </w:tcPr>
          <w:p>
            <w:pPr>
              <w:pStyle w:val="TableParagraph"/>
              <w:spacing w:line="198" w:lineRule="exact"/>
              <w:ind w:right="1"/>
              <w:rPr>
                <w:sz w:val="18"/>
              </w:rPr>
            </w:pPr>
            <w:r>
              <w:rPr>
                <w:sz w:val="18"/>
              </w:rPr>
              <w:t>3</w:t>
            </w:r>
          </w:p>
        </w:tc>
        <w:tc>
          <w:tcPr>
            <w:tcW w:w="1027" w:type="dxa"/>
            <w:tcBorders>
              <w:top w:val="nil"/>
              <w:left w:val="nil"/>
              <w:bottom w:val="nil"/>
              <w:right w:val="nil"/>
            </w:tcBorders>
          </w:tcPr>
          <w:p>
            <w:pPr>
              <w:pStyle w:val="TableParagraph"/>
              <w:spacing w:line="198" w:lineRule="exact"/>
              <w:ind w:left="268" w:right="268"/>
              <w:rPr>
                <w:sz w:val="18"/>
              </w:rPr>
            </w:pPr>
            <w:r>
              <w:rPr>
                <w:sz w:val="18"/>
              </w:rPr>
              <w:t>61</w:t>
            </w:r>
          </w:p>
        </w:tc>
        <w:tc>
          <w:tcPr>
            <w:tcW w:w="956" w:type="dxa"/>
            <w:tcBorders>
              <w:top w:val="nil"/>
              <w:left w:val="nil"/>
              <w:bottom w:val="nil"/>
              <w:right w:val="nil"/>
            </w:tcBorders>
          </w:tcPr>
          <w:p>
            <w:pPr>
              <w:pStyle w:val="TableParagraph"/>
              <w:spacing w:line="198" w:lineRule="exact"/>
              <w:ind w:left="3"/>
              <w:rPr>
                <w:sz w:val="18"/>
              </w:rPr>
            </w:pPr>
            <w:r>
              <w:rPr>
                <w:sz w:val="18"/>
              </w:rPr>
              <w:t>8</w:t>
            </w:r>
          </w:p>
        </w:tc>
        <w:tc>
          <w:tcPr>
            <w:tcW w:w="1133" w:type="dxa"/>
            <w:tcBorders>
              <w:top w:val="nil"/>
              <w:left w:val="nil"/>
              <w:bottom w:val="nil"/>
              <w:right w:val="nil"/>
            </w:tcBorders>
          </w:tcPr>
          <w:p>
            <w:pPr>
              <w:pStyle w:val="TableParagraph"/>
              <w:spacing w:line="198" w:lineRule="exact"/>
              <w:ind w:left="171" w:right="167"/>
              <w:rPr>
                <w:sz w:val="18"/>
              </w:rPr>
            </w:pPr>
            <w:r>
              <w:rPr>
                <w:sz w:val="18"/>
              </w:rPr>
              <w:t>18</w:t>
            </w:r>
          </w:p>
        </w:tc>
        <w:tc>
          <w:tcPr>
            <w:tcW w:w="1043" w:type="dxa"/>
            <w:tcBorders>
              <w:top w:val="nil"/>
              <w:left w:val="nil"/>
              <w:bottom w:val="nil"/>
              <w:right w:val="nil"/>
            </w:tcBorders>
            <w:shd w:val="clear" w:color="auto" w:fill="D9D9D9"/>
          </w:tcPr>
          <w:p>
            <w:pPr>
              <w:pStyle w:val="TableParagraph"/>
              <w:spacing w:line="198" w:lineRule="exact"/>
              <w:ind w:left="336" w:right="333"/>
              <w:rPr>
                <w:sz w:val="18"/>
              </w:rPr>
            </w:pPr>
            <w:r>
              <w:rPr>
                <w:sz w:val="18"/>
              </w:rPr>
              <w:t>10</w:t>
            </w:r>
          </w:p>
        </w:tc>
      </w:tr>
      <w:tr>
        <w:trPr>
          <w:trHeight w:val="206" w:hRule="exact"/>
        </w:trPr>
        <w:tc>
          <w:tcPr>
            <w:tcW w:w="1516" w:type="dxa"/>
            <w:tcBorders>
              <w:top w:val="nil"/>
              <w:left w:val="nil"/>
              <w:bottom w:val="nil"/>
              <w:right w:val="nil"/>
            </w:tcBorders>
          </w:tcPr>
          <w:p>
            <w:pPr>
              <w:pStyle w:val="TableParagraph"/>
              <w:spacing w:line="197" w:lineRule="exact"/>
              <w:ind w:left="398" w:right="515"/>
              <w:rPr>
                <w:sz w:val="18"/>
              </w:rPr>
            </w:pPr>
            <w:r>
              <w:rPr>
                <w:sz w:val="18"/>
              </w:rPr>
              <w:t>15</w:t>
            </w:r>
          </w:p>
        </w:tc>
        <w:tc>
          <w:tcPr>
            <w:tcW w:w="2228" w:type="dxa"/>
            <w:tcBorders>
              <w:top w:val="nil"/>
              <w:left w:val="nil"/>
              <w:bottom w:val="nil"/>
              <w:right w:val="nil"/>
            </w:tcBorders>
          </w:tcPr>
          <w:p>
            <w:pPr>
              <w:pStyle w:val="TableParagraph"/>
              <w:spacing w:line="197" w:lineRule="exact"/>
              <w:ind w:left="520" w:right="641"/>
              <w:rPr>
                <w:sz w:val="18"/>
              </w:rPr>
            </w:pPr>
            <w:r>
              <w:rPr>
                <w:sz w:val="18"/>
              </w:rPr>
              <w:t>0.1133</w:t>
            </w:r>
          </w:p>
        </w:tc>
        <w:tc>
          <w:tcPr>
            <w:tcW w:w="1078" w:type="dxa"/>
            <w:tcBorders>
              <w:top w:val="nil"/>
              <w:left w:val="nil"/>
              <w:bottom w:val="nil"/>
              <w:right w:val="nil"/>
            </w:tcBorders>
          </w:tcPr>
          <w:p>
            <w:pPr>
              <w:pStyle w:val="TableParagraph"/>
              <w:spacing w:line="197" w:lineRule="exact"/>
              <w:ind w:right="1"/>
              <w:rPr>
                <w:sz w:val="18"/>
              </w:rPr>
            </w:pPr>
            <w:r>
              <w:rPr>
                <w:sz w:val="18"/>
              </w:rPr>
              <w:t>3</w:t>
            </w:r>
          </w:p>
        </w:tc>
        <w:tc>
          <w:tcPr>
            <w:tcW w:w="1027" w:type="dxa"/>
            <w:tcBorders>
              <w:top w:val="nil"/>
              <w:left w:val="nil"/>
              <w:bottom w:val="nil"/>
              <w:right w:val="nil"/>
            </w:tcBorders>
          </w:tcPr>
          <w:p>
            <w:pPr>
              <w:pStyle w:val="TableParagraph"/>
              <w:spacing w:line="197" w:lineRule="exact"/>
              <w:ind w:left="268" w:right="268"/>
              <w:rPr>
                <w:sz w:val="18"/>
              </w:rPr>
            </w:pPr>
            <w:r>
              <w:rPr>
                <w:sz w:val="18"/>
              </w:rPr>
              <w:t>60</w:t>
            </w:r>
          </w:p>
        </w:tc>
        <w:tc>
          <w:tcPr>
            <w:tcW w:w="956" w:type="dxa"/>
            <w:tcBorders>
              <w:top w:val="nil"/>
              <w:left w:val="nil"/>
              <w:bottom w:val="nil"/>
              <w:right w:val="nil"/>
            </w:tcBorders>
          </w:tcPr>
          <w:p>
            <w:pPr>
              <w:pStyle w:val="TableParagraph"/>
              <w:spacing w:line="197" w:lineRule="exact"/>
              <w:ind w:left="3"/>
              <w:rPr>
                <w:sz w:val="18"/>
              </w:rPr>
            </w:pPr>
            <w:r>
              <w:rPr>
                <w:sz w:val="18"/>
              </w:rPr>
              <w:t>7</w:t>
            </w:r>
          </w:p>
        </w:tc>
        <w:tc>
          <w:tcPr>
            <w:tcW w:w="1133" w:type="dxa"/>
            <w:tcBorders>
              <w:top w:val="nil"/>
              <w:left w:val="nil"/>
              <w:bottom w:val="nil"/>
              <w:right w:val="nil"/>
            </w:tcBorders>
          </w:tcPr>
          <w:p>
            <w:pPr>
              <w:pStyle w:val="TableParagraph"/>
              <w:spacing w:line="197" w:lineRule="exact"/>
              <w:ind w:left="171" w:right="167"/>
              <w:rPr>
                <w:sz w:val="18"/>
              </w:rPr>
            </w:pPr>
            <w:r>
              <w:rPr>
                <w:sz w:val="18"/>
              </w:rPr>
              <w:t>19</w:t>
            </w:r>
          </w:p>
        </w:tc>
        <w:tc>
          <w:tcPr>
            <w:tcW w:w="1043" w:type="dxa"/>
            <w:tcBorders>
              <w:top w:val="nil"/>
              <w:left w:val="nil"/>
              <w:bottom w:val="nil"/>
              <w:right w:val="nil"/>
            </w:tcBorders>
            <w:shd w:val="clear" w:color="auto" w:fill="D9D9D9"/>
          </w:tcPr>
          <w:p>
            <w:pPr>
              <w:pStyle w:val="TableParagraph"/>
              <w:spacing w:line="197" w:lineRule="exact"/>
              <w:ind w:left="336" w:right="333"/>
              <w:rPr>
                <w:sz w:val="18"/>
              </w:rPr>
            </w:pPr>
            <w:r>
              <w:rPr>
                <w:sz w:val="18"/>
              </w:rPr>
              <w:t>11</w:t>
            </w:r>
          </w:p>
        </w:tc>
      </w:tr>
      <w:tr>
        <w:trPr>
          <w:trHeight w:val="206" w:hRule="exact"/>
        </w:trPr>
        <w:tc>
          <w:tcPr>
            <w:tcW w:w="1516" w:type="dxa"/>
            <w:tcBorders>
              <w:top w:val="nil"/>
              <w:left w:val="nil"/>
              <w:bottom w:val="nil"/>
              <w:right w:val="nil"/>
            </w:tcBorders>
          </w:tcPr>
          <w:p>
            <w:pPr>
              <w:pStyle w:val="TableParagraph"/>
              <w:spacing w:line="197" w:lineRule="exact"/>
              <w:ind w:left="398" w:right="515"/>
              <w:rPr>
                <w:sz w:val="18"/>
              </w:rPr>
            </w:pPr>
            <w:r>
              <w:rPr>
                <w:sz w:val="18"/>
              </w:rPr>
              <w:t>20</w:t>
            </w:r>
          </w:p>
        </w:tc>
        <w:tc>
          <w:tcPr>
            <w:tcW w:w="2228" w:type="dxa"/>
            <w:tcBorders>
              <w:top w:val="nil"/>
              <w:left w:val="nil"/>
              <w:bottom w:val="nil"/>
              <w:right w:val="nil"/>
            </w:tcBorders>
          </w:tcPr>
          <w:p>
            <w:pPr>
              <w:pStyle w:val="TableParagraph"/>
              <w:spacing w:line="197" w:lineRule="exact"/>
              <w:ind w:left="520" w:right="641"/>
              <w:rPr>
                <w:sz w:val="18"/>
              </w:rPr>
            </w:pPr>
            <w:r>
              <w:rPr>
                <w:sz w:val="18"/>
              </w:rPr>
              <w:t>0.1166</w:t>
            </w:r>
          </w:p>
        </w:tc>
        <w:tc>
          <w:tcPr>
            <w:tcW w:w="1078" w:type="dxa"/>
            <w:tcBorders>
              <w:top w:val="nil"/>
              <w:left w:val="nil"/>
              <w:bottom w:val="nil"/>
              <w:right w:val="nil"/>
            </w:tcBorders>
          </w:tcPr>
          <w:p>
            <w:pPr>
              <w:pStyle w:val="TableParagraph"/>
              <w:spacing w:line="197" w:lineRule="exact"/>
              <w:ind w:right="1"/>
              <w:rPr>
                <w:sz w:val="18"/>
              </w:rPr>
            </w:pPr>
            <w:r>
              <w:rPr>
                <w:sz w:val="18"/>
              </w:rPr>
              <w:t>3</w:t>
            </w:r>
          </w:p>
        </w:tc>
        <w:tc>
          <w:tcPr>
            <w:tcW w:w="1027" w:type="dxa"/>
            <w:tcBorders>
              <w:top w:val="nil"/>
              <w:left w:val="nil"/>
              <w:bottom w:val="nil"/>
              <w:right w:val="nil"/>
            </w:tcBorders>
          </w:tcPr>
          <w:p>
            <w:pPr>
              <w:pStyle w:val="TableParagraph"/>
              <w:spacing w:line="197" w:lineRule="exact"/>
              <w:ind w:left="268" w:right="268"/>
              <w:rPr>
                <w:sz w:val="18"/>
              </w:rPr>
            </w:pPr>
            <w:r>
              <w:rPr>
                <w:sz w:val="18"/>
              </w:rPr>
              <w:t>59</w:t>
            </w:r>
          </w:p>
        </w:tc>
        <w:tc>
          <w:tcPr>
            <w:tcW w:w="956" w:type="dxa"/>
            <w:tcBorders>
              <w:top w:val="nil"/>
              <w:left w:val="nil"/>
              <w:bottom w:val="nil"/>
              <w:right w:val="nil"/>
            </w:tcBorders>
          </w:tcPr>
          <w:p>
            <w:pPr>
              <w:pStyle w:val="TableParagraph"/>
              <w:spacing w:line="197" w:lineRule="exact"/>
              <w:ind w:left="3"/>
              <w:rPr>
                <w:sz w:val="18"/>
              </w:rPr>
            </w:pPr>
            <w:r>
              <w:rPr>
                <w:sz w:val="18"/>
              </w:rPr>
              <w:t>7</w:t>
            </w:r>
          </w:p>
        </w:tc>
        <w:tc>
          <w:tcPr>
            <w:tcW w:w="1133" w:type="dxa"/>
            <w:tcBorders>
              <w:top w:val="nil"/>
              <w:left w:val="nil"/>
              <w:bottom w:val="nil"/>
              <w:right w:val="nil"/>
            </w:tcBorders>
          </w:tcPr>
          <w:p>
            <w:pPr>
              <w:pStyle w:val="TableParagraph"/>
              <w:spacing w:line="197" w:lineRule="exact"/>
              <w:ind w:left="171" w:right="167"/>
              <w:rPr>
                <w:sz w:val="18"/>
              </w:rPr>
            </w:pPr>
            <w:r>
              <w:rPr>
                <w:sz w:val="18"/>
              </w:rPr>
              <w:t>19</w:t>
            </w:r>
          </w:p>
        </w:tc>
        <w:tc>
          <w:tcPr>
            <w:tcW w:w="1043" w:type="dxa"/>
            <w:tcBorders>
              <w:top w:val="nil"/>
              <w:left w:val="nil"/>
              <w:bottom w:val="nil"/>
              <w:right w:val="nil"/>
            </w:tcBorders>
            <w:shd w:val="clear" w:color="auto" w:fill="D9D9D9"/>
          </w:tcPr>
          <w:p>
            <w:pPr>
              <w:pStyle w:val="TableParagraph"/>
              <w:spacing w:line="197" w:lineRule="exact"/>
              <w:ind w:left="336" w:right="333"/>
              <w:rPr>
                <w:sz w:val="18"/>
              </w:rPr>
            </w:pPr>
            <w:r>
              <w:rPr>
                <w:sz w:val="18"/>
              </w:rPr>
              <w:t>12</w:t>
            </w:r>
          </w:p>
        </w:tc>
      </w:tr>
      <w:tr>
        <w:trPr>
          <w:trHeight w:val="208" w:hRule="exact"/>
        </w:trPr>
        <w:tc>
          <w:tcPr>
            <w:tcW w:w="1516" w:type="dxa"/>
            <w:tcBorders>
              <w:top w:val="nil"/>
              <w:left w:val="nil"/>
              <w:bottom w:val="nil"/>
              <w:right w:val="nil"/>
            </w:tcBorders>
          </w:tcPr>
          <w:p>
            <w:pPr>
              <w:pStyle w:val="TableParagraph"/>
              <w:spacing w:line="197" w:lineRule="exact"/>
              <w:ind w:left="398" w:right="515"/>
              <w:rPr>
                <w:sz w:val="18"/>
              </w:rPr>
            </w:pPr>
            <w:r>
              <w:rPr>
                <w:sz w:val="18"/>
              </w:rPr>
              <w:t>25</w:t>
            </w:r>
          </w:p>
        </w:tc>
        <w:tc>
          <w:tcPr>
            <w:tcW w:w="2228" w:type="dxa"/>
            <w:tcBorders>
              <w:top w:val="nil"/>
              <w:left w:val="nil"/>
              <w:bottom w:val="nil"/>
              <w:right w:val="nil"/>
            </w:tcBorders>
          </w:tcPr>
          <w:p>
            <w:pPr>
              <w:pStyle w:val="TableParagraph"/>
              <w:spacing w:line="197" w:lineRule="exact"/>
              <w:ind w:left="520" w:right="641"/>
              <w:rPr>
                <w:sz w:val="18"/>
              </w:rPr>
            </w:pPr>
            <w:r>
              <w:rPr>
                <w:sz w:val="18"/>
              </w:rPr>
              <w:t>0.1182</w:t>
            </w:r>
          </w:p>
        </w:tc>
        <w:tc>
          <w:tcPr>
            <w:tcW w:w="1078" w:type="dxa"/>
            <w:tcBorders>
              <w:top w:val="nil"/>
              <w:left w:val="nil"/>
              <w:bottom w:val="nil"/>
              <w:right w:val="nil"/>
            </w:tcBorders>
          </w:tcPr>
          <w:p>
            <w:pPr>
              <w:pStyle w:val="TableParagraph"/>
              <w:spacing w:line="197" w:lineRule="exact"/>
              <w:ind w:right="1"/>
              <w:rPr>
                <w:sz w:val="18"/>
              </w:rPr>
            </w:pPr>
            <w:r>
              <w:rPr>
                <w:sz w:val="18"/>
              </w:rPr>
              <w:t>3</w:t>
            </w:r>
          </w:p>
        </w:tc>
        <w:tc>
          <w:tcPr>
            <w:tcW w:w="1027" w:type="dxa"/>
            <w:tcBorders>
              <w:top w:val="nil"/>
              <w:left w:val="nil"/>
              <w:bottom w:val="nil"/>
              <w:right w:val="nil"/>
            </w:tcBorders>
          </w:tcPr>
          <w:p>
            <w:pPr>
              <w:pStyle w:val="TableParagraph"/>
              <w:spacing w:line="197" w:lineRule="exact"/>
              <w:ind w:left="268" w:right="268"/>
              <w:rPr>
                <w:sz w:val="18"/>
              </w:rPr>
            </w:pPr>
            <w:r>
              <w:rPr>
                <w:sz w:val="18"/>
              </w:rPr>
              <w:t>58</w:t>
            </w:r>
          </w:p>
        </w:tc>
        <w:tc>
          <w:tcPr>
            <w:tcW w:w="956" w:type="dxa"/>
            <w:tcBorders>
              <w:top w:val="nil"/>
              <w:left w:val="nil"/>
              <w:bottom w:val="nil"/>
              <w:right w:val="nil"/>
            </w:tcBorders>
          </w:tcPr>
          <w:p>
            <w:pPr>
              <w:pStyle w:val="TableParagraph"/>
              <w:spacing w:line="197" w:lineRule="exact"/>
              <w:ind w:left="3"/>
              <w:rPr>
                <w:sz w:val="18"/>
              </w:rPr>
            </w:pPr>
            <w:r>
              <w:rPr>
                <w:sz w:val="18"/>
              </w:rPr>
              <w:t>7</w:t>
            </w:r>
          </w:p>
        </w:tc>
        <w:tc>
          <w:tcPr>
            <w:tcW w:w="1133" w:type="dxa"/>
            <w:tcBorders>
              <w:top w:val="nil"/>
              <w:left w:val="nil"/>
              <w:bottom w:val="nil"/>
              <w:right w:val="nil"/>
            </w:tcBorders>
          </w:tcPr>
          <w:p>
            <w:pPr>
              <w:pStyle w:val="TableParagraph"/>
              <w:spacing w:line="197" w:lineRule="exact"/>
              <w:ind w:left="171" w:right="167"/>
              <w:rPr>
                <w:sz w:val="18"/>
              </w:rPr>
            </w:pPr>
            <w:r>
              <w:rPr>
                <w:sz w:val="18"/>
              </w:rPr>
              <w:t>19</w:t>
            </w:r>
          </w:p>
        </w:tc>
        <w:tc>
          <w:tcPr>
            <w:tcW w:w="1043" w:type="dxa"/>
            <w:tcBorders>
              <w:top w:val="nil"/>
              <w:left w:val="nil"/>
              <w:bottom w:val="nil"/>
              <w:right w:val="nil"/>
            </w:tcBorders>
            <w:shd w:val="clear" w:color="auto" w:fill="D9D9D9"/>
          </w:tcPr>
          <w:p>
            <w:pPr>
              <w:pStyle w:val="TableParagraph"/>
              <w:spacing w:line="197" w:lineRule="exact"/>
              <w:ind w:left="336" w:right="333"/>
              <w:rPr>
                <w:sz w:val="18"/>
              </w:rPr>
            </w:pPr>
            <w:r>
              <w:rPr>
                <w:sz w:val="18"/>
              </w:rPr>
              <w:t>13</w:t>
            </w:r>
          </w:p>
        </w:tc>
      </w:tr>
      <w:tr>
        <w:trPr>
          <w:trHeight w:val="217" w:hRule="exact"/>
        </w:trPr>
        <w:tc>
          <w:tcPr>
            <w:tcW w:w="1516" w:type="dxa"/>
            <w:tcBorders>
              <w:top w:val="nil"/>
              <w:left w:val="nil"/>
              <w:right w:val="nil"/>
            </w:tcBorders>
          </w:tcPr>
          <w:p>
            <w:pPr>
              <w:pStyle w:val="TableParagraph"/>
              <w:spacing w:line="198" w:lineRule="exact"/>
              <w:ind w:left="398" w:right="515"/>
              <w:rPr>
                <w:sz w:val="18"/>
              </w:rPr>
            </w:pPr>
            <w:r>
              <w:rPr>
                <w:sz w:val="18"/>
              </w:rPr>
              <w:t>30</w:t>
            </w:r>
          </w:p>
        </w:tc>
        <w:tc>
          <w:tcPr>
            <w:tcW w:w="2228" w:type="dxa"/>
            <w:tcBorders>
              <w:top w:val="nil"/>
              <w:left w:val="nil"/>
              <w:right w:val="nil"/>
            </w:tcBorders>
          </w:tcPr>
          <w:p>
            <w:pPr>
              <w:pStyle w:val="TableParagraph"/>
              <w:spacing w:line="198" w:lineRule="exact"/>
              <w:ind w:left="520" w:right="641"/>
              <w:rPr>
                <w:sz w:val="18"/>
              </w:rPr>
            </w:pPr>
            <w:r>
              <w:rPr>
                <w:sz w:val="18"/>
              </w:rPr>
              <w:t>0.1191</w:t>
            </w:r>
          </w:p>
        </w:tc>
        <w:tc>
          <w:tcPr>
            <w:tcW w:w="1078" w:type="dxa"/>
            <w:tcBorders>
              <w:top w:val="nil"/>
              <w:left w:val="nil"/>
              <w:right w:val="nil"/>
            </w:tcBorders>
          </w:tcPr>
          <w:p>
            <w:pPr>
              <w:pStyle w:val="TableParagraph"/>
              <w:spacing w:line="198" w:lineRule="exact"/>
              <w:ind w:right="1"/>
              <w:rPr>
                <w:sz w:val="18"/>
              </w:rPr>
            </w:pPr>
            <w:r>
              <w:rPr>
                <w:sz w:val="18"/>
              </w:rPr>
              <w:t>3</w:t>
            </w:r>
          </w:p>
        </w:tc>
        <w:tc>
          <w:tcPr>
            <w:tcW w:w="1027" w:type="dxa"/>
            <w:tcBorders>
              <w:top w:val="nil"/>
              <w:left w:val="nil"/>
              <w:right w:val="nil"/>
            </w:tcBorders>
          </w:tcPr>
          <w:p>
            <w:pPr>
              <w:pStyle w:val="TableParagraph"/>
              <w:spacing w:line="198" w:lineRule="exact"/>
              <w:ind w:left="268" w:right="268"/>
              <w:rPr>
                <w:sz w:val="18"/>
              </w:rPr>
            </w:pPr>
            <w:r>
              <w:rPr>
                <w:sz w:val="18"/>
              </w:rPr>
              <w:t>58</w:t>
            </w:r>
          </w:p>
        </w:tc>
        <w:tc>
          <w:tcPr>
            <w:tcW w:w="956" w:type="dxa"/>
            <w:tcBorders>
              <w:top w:val="nil"/>
              <w:left w:val="nil"/>
              <w:right w:val="nil"/>
            </w:tcBorders>
          </w:tcPr>
          <w:p>
            <w:pPr>
              <w:pStyle w:val="TableParagraph"/>
              <w:spacing w:line="198" w:lineRule="exact"/>
              <w:ind w:left="3"/>
              <w:rPr>
                <w:sz w:val="18"/>
              </w:rPr>
            </w:pPr>
            <w:r>
              <w:rPr>
                <w:sz w:val="18"/>
              </w:rPr>
              <w:t>8</w:t>
            </w:r>
          </w:p>
        </w:tc>
        <w:tc>
          <w:tcPr>
            <w:tcW w:w="1133" w:type="dxa"/>
            <w:tcBorders>
              <w:top w:val="nil"/>
              <w:left w:val="nil"/>
              <w:right w:val="nil"/>
            </w:tcBorders>
          </w:tcPr>
          <w:p>
            <w:pPr>
              <w:pStyle w:val="TableParagraph"/>
              <w:spacing w:line="198" w:lineRule="exact"/>
              <w:ind w:left="171" w:right="167"/>
              <w:rPr>
                <w:sz w:val="18"/>
              </w:rPr>
            </w:pPr>
            <w:r>
              <w:rPr>
                <w:sz w:val="18"/>
              </w:rPr>
              <w:t>19</w:t>
            </w:r>
          </w:p>
        </w:tc>
        <w:tc>
          <w:tcPr>
            <w:tcW w:w="1043" w:type="dxa"/>
            <w:tcBorders>
              <w:top w:val="nil"/>
              <w:left w:val="nil"/>
              <w:right w:val="nil"/>
            </w:tcBorders>
            <w:shd w:val="clear" w:color="auto" w:fill="D9D9D9"/>
          </w:tcPr>
          <w:p>
            <w:pPr>
              <w:pStyle w:val="TableParagraph"/>
              <w:spacing w:line="198" w:lineRule="exact"/>
              <w:ind w:left="336" w:right="333"/>
              <w:rPr>
                <w:sz w:val="18"/>
              </w:rPr>
            </w:pPr>
            <w:r>
              <w:rPr>
                <w:sz w:val="18"/>
              </w:rPr>
              <w:t>13</w:t>
            </w:r>
          </w:p>
        </w:tc>
      </w:tr>
      <w:tr>
        <w:trPr>
          <w:trHeight w:val="213" w:hRule="exact"/>
        </w:trPr>
        <w:tc>
          <w:tcPr>
            <w:tcW w:w="8982" w:type="dxa"/>
            <w:gridSpan w:val="7"/>
            <w:tcBorders>
              <w:left w:val="nil"/>
              <w:bottom w:val="nil"/>
              <w:right w:val="nil"/>
            </w:tcBorders>
          </w:tcPr>
          <w:p>
            <w:pPr>
              <w:pStyle w:val="TableParagraph"/>
              <w:spacing w:line="203" w:lineRule="exact"/>
              <w:ind w:left="71"/>
              <w:jc w:val="left"/>
              <w:rPr>
                <w:sz w:val="18"/>
              </w:rPr>
            </w:pPr>
            <w:r>
              <w:rPr>
                <w:sz w:val="18"/>
              </w:rPr>
              <w:t>Cholesky Ordering: lyman lyauto lqreal lyindusteu lpmt</w:t>
            </w:r>
          </w:p>
        </w:tc>
      </w:tr>
    </w:tbl>
    <w:p>
      <w:pPr>
        <w:spacing w:after="0" w:line="203" w:lineRule="exact"/>
        <w:jc w:val="left"/>
        <w:rPr>
          <w:sz w:val="18"/>
        </w:rPr>
        <w:sectPr>
          <w:pgSz w:w="12240" w:h="15840"/>
          <w:pgMar w:header="0" w:footer="1035" w:top="1360" w:bottom="1220" w:left="1520" w:right="1520"/>
        </w:sectPr>
      </w:pPr>
    </w:p>
    <w:p>
      <w:pPr>
        <w:pStyle w:val="BodyText"/>
        <w:spacing w:line="360" w:lineRule="auto" w:before="50"/>
        <w:ind w:left="102" w:right="118"/>
        <w:jc w:val="both"/>
      </w:pPr>
      <w:r>
        <w:rPr/>
        <w:t>Los</w:t>
      </w:r>
      <w:r>
        <w:rPr>
          <w:spacing w:val="-6"/>
        </w:rPr>
        <w:t> </w:t>
      </w:r>
      <w:r>
        <w:rPr/>
        <w:t>modelos</w:t>
      </w:r>
      <w:r>
        <w:rPr>
          <w:spacing w:val="-6"/>
        </w:rPr>
        <w:t> </w:t>
      </w:r>
      <w:r>
        <w:rPr/>
        <w:t>VAR,</w:t>
      </w:r>
      <w:r>
        <w:rPr>
          <w:spacing w:val="-6"/>
        </w:rPr>
        <w:t> </w:t>
      </w:r>
      <w:r>
        <w:rPr/>
        <w:t>tienen</w:t>
      </w:r>
      <w:r>
        <w:rPr>
          <w:spacing w:val="-6"/>
        </w:rPr>
        <w:t> </w:t>
      </w:r>
      <w:r>
        <w:rPr/>
        <w:t>un</w:t>
      </w:r>
      <w:r>
        <w:rPr>
          <w:spacing w:val="-6"/>
        </w:rPr>
        <w:t> </w:t>
      </w:r>
      <w:r>
        <w:rPr/>
        <w:t>gran</w:t>
      </w:r>
      <w:r>
        <w:rPr>
          <w:spacing w:val="-6"/>
        </w:rPr>
        <w:t> </w:t>
      </w:r>
      <w:r>
        <w:rPr/>
        <w:t>poder</w:t>
      </w:r>
      <w:r>
        <w:rPr>
          <w:spacing w:val="-7"/>
        </w:rPr>
        <w:t> </w:t>
      </w:r>
      <w:r>
        <w:rPr/>
        <w:t>de</w:t>
      </w:r>
      <w:r>
        <w:rPr>
          <w:spacing w:val="-7"/>
        </w:rPr>
        <w:t> </w:t>
      </w:r>
      <w:r>
        <w:rPr/>
        <w:t>introspección,</w:t>
      </w:r>
      <w:r>
        <w:rPr>
          <w:spacing w:val="-6"/>
        </w:rPr>
        <w:t> </w:t>
      </w:r>
      <w:r>
        <w:rPr/>
        <w:t>que</w:t>
      </w:r>
      <w:r>
        <w:rPr>
          <w:spacing w:val="-7"/>
        </w:rPr>
        <w:t> </w:t>
      </w:r>
      <w:r>
        <w:rPr/>
        <w:t>para</w:t>
      </w:r>
      <w:r>
        <w:rPr>
          <w:spacing w:val="-6"/>
        </w:rPr>
        <w:t> </w:t>
      </w:r>
      <w:r>
        <w:rPr/>
        <w:t>el</w:t>
      </w:r>
      <w:r>
        <w:rPr>
          <w:spacing w:val="-6"/>
        </w:rPr>
        <w:t> </w:t>
      </w:r>
      <w:r>
        <w:rPr/>
        <w:t>análisis</w:t>
      </w:r>
      <w:r>
        <w:rPr>
          <w:spacing w:val="-6"/>
        </w:rPr>
        <w:t> </w:t>
      </w:r>
      <w:r>
        <w:rPr/>
        <w:t>de</w:t>
      </w:r>
      <w:r>
        <w:rPr>
          <w:spacing w:val="-7"/>
        </w:rPr>
        <w:t> </w:t>
      </w:r>
      <w:r>
        <w:rPr/>
        <w:t>corto</w:t>
      </w:r>
      <w:r>
        <w:rPr>
          <w:spacing w:val="-6"/>
        </w:rPr>
        <w:t> </w:t>
      </w:r>
      <w:r>
        <w:rPr/>
        <w:t>plazo son muy eficientes, en virtud de su carácter autorregresivo. El análisis de impulso respuesta y la descomposición de varianza dejan ver la importancia que tienen las variables externas (lyindusteu y lqreal) en el comportamiento de la manufactura de México y que las variables correspondientes a la industria automotriz (lyauto y lpmt), si provocan efectos positivos de la variable de</w:t>
      </w:r>
      <w:r>
        <w:rPr>
          <w:spacing w:val="-7"/>
        </w:rPr>
        <w:t> </w:t>
      </w:r>
      <w:r>
        <w:rPr/>
        <w:t>análisis.</w:t>
      </w:r>
    </w:p>
    <w:p>
      <w:pPr>
        <w:spacing w:after="0" w:line="360" w:lineRule="auto"/>
        <w:jc w:val="both"/>
        <w:sectPr>
          <w:pgSz w:w="12240" w:h="15840"/>
          <w:pgMar w:header="0" w:footer="1035" w:top="1360" w:bottom="1220" w:left="1600" w:right="1580"/>
        </w:sectPr>
      </w:pPr>
    </w:p>
    <w:p>
      <w:pPr>
        <w:spacing w:before="54"/>
        <w:ind w:left="383" w:right="404" w:firstLine="0"/>
        <w:jc w:val="center"/>
        <w:rPr>
          <w:b/>
          <w:sz w:val="20"/>
        </w:rPr>
      </w:pPr>
      <w:r>
        <w:rPr>
          <w:b/>
          <w:sz w:val="20"/>
        </w:rPr>
        <w:t>CONCLUSIONES</w:t>
      </w:r>
    </w:p>
    <w:p>
      <w:pPr>
        <w:pStyle w:val="BodyText"/>
        <w:rPr>
          <w:b/>
          <w:sz w:val="20"/>
        </w:rPr>
      </w:pPr>
    </w:p>
    <w:p>
      <w:pPr>
        <w:pStyle w:val="BodyText"/>
        <w:spacing w:line="360" w:lineRule="auto" w:before="122"/>
        <w:ind w:left="102" w:right="119"/>
        <w:jc w:val="both"/>
      </w:pPr>
      <w:r>
        <w:rPr/>
        <w:t>La evidencia teórica presentada ha permitido vislumbrar la importancia del estudio del crecimiento</w:t>
      </w:r>
      <w:r>
        <w:rPr>
          <w:spacing w:val="-4"/>
        </w:rPr>
        <w:t> </w:t>
      </w:r>
      <w:r>
        <w:rPr/>
        <w:t>económico,</w:t>
      </w:r>
      <w:r>
        <w:rPr>
          <w:spacing w:val="-4"/>
        </w:rPr>
        <w:t> </w:t>
      </w:r>
      <w:r>
        <w:rPr/>
        <w:t>pues</w:t>
      </w:r>
      <w:r>
        <w:rPr>
          <w:spacing w:val="-6"/>
        </w:rPr>
        <w:t> </w:t>
      </w:r>
      <w:r>
        <w:rPr/>
        <w:t>se</w:t>
      </w:r>
      <w:r>
        <w:rPr>
          <w:spacing w:val="-7"/>
        </w:rPr>
        <w:t> </w:t>
      </w:r>
      <w:r>
        <w:rPr/>
        <w:t>trata</w:t>
      </w:r>
      <w:r>
        <w:rPr>
          <w:spacing w:val="-7"/>
        </w:rPr>
        <w:t> </w:t>
      </w:r>
      <w:r>
        <w:rPr/>
        <w:t>de</w:t>
      </w:r>
      <w:r>
        <w:rPr>
          <w:spacing w:val="-5"/>
        </w:rPr>
        <w:t> </w:t>
      </w:r>
      <w:r>
        <w:rPr/>
        <w:t>un</w:t>
      </w:r>
      <w:r>
        <w:rPr>
          <w:spacing w:val="-6"/>
        </w:rPr>
        <w:t> </w:t>
      </w:r>
      <w:r>
        <w:rPr/>
        <w:t>término</w:t>
      </w:r>
      <w:r>
        <w:rPr>
          <w:spacing w:val="-6"/>
        </w:rPr>
        <w:t> </w:t>
      </w:r>
      <w:r>
        <w:rPr/>
        <w:t>que</w:t>
      </w:r>
      <w:r>
        <w:rPr>
          <w:spacing w:val="-7"/>
        </w:rPr>
        <w:t> </w:t>
      </w:r>
      <w:r>
        <w:rPr/>
        <w:t>con</w:t>
      </w:r>
      <w:r>
        <w:rPr>
          <w:spacing w:val="-4"/>
        </w:rPr>
        <w:t> </w:t>
      </w:r>
      <w:r>
        <w:rPr/>
        <w:t>frecuencia</w:t>
      </w:r>
      <w:r>
        <w:rPr>
          <w:spacing w:val="-7"/>
        </w:rPr>
        <w:t> </w:t>
      </w:r>
      <w:r>
        <w:rPr/>
        <w:t>se</w:t>
      </w:r>
      <w:r>
        <w:rPr>
          <w:spacing w:val="-7"/>
        </w:rPr>
        <w:t> </w:t>
      </w:r>
      <w:r>
        <w:rPr/>
        <w:t>asocia</w:t>
      </w:r>
      <w:r>
        <w:rPr>
          <w:spacing w:val="-7"/>
        </w:rPr>
        <w:t> </w:t>
      </w:r>
      <w:r>
        <w:rPr/>
        <w:t>al</w:t>
      </w:r>
      <w:r>
        <w:rPr>
          <w:spacing w:val="-6"/>
        </w:rPr>
        <w:t> </w:t>
      </w:r>
      <w:r>
        <w:rPr/>
        <w:t>bienestar de un país. En específico se mostró el impacto que genera la composición sectorial del producto de una economía sobre el fenómeno del crecimiento, lo que permitió resaltar la importancia que tiene el sector manufacturero y las industrias que lo conforman en el crecimiento</w:t>
      </w:r>
      <w:r>
        <w:rPr>
          <w:spacing w:val="-9"/>
        </w:rPr>
        <w:t> </w:t>
      </w:r>
      <w:r>
        <w:rPr/>
        <w:t>de</w:t>
      </w:r>
      <w:r>
        <w:rPr>
          <w:spacing w:val="-10"/>
        </w:rPr>
        <w:t> </w:t>
      </w:r>
      <w:r>
        <w:rPr/>
        <w:t>una</w:t>
      </w:r>
      <w:r>
        <w:rPr>
          <w:spacing w:val="-7"/>
        </w:rPr>
        <w:t> </w:t>
      </w:r>
      <w:r>
        <w:rPr/>
        <w:t>economía</w:t>
      </w:r>
      <w:r>
        <w:rPr>
          <w:spacing w:val="-10"/>
        </w:rPr>
        <w:t> </w:t>
      </w:r>
      <w:r>
        <w:rPr/>
        <w:t>a</w:t>
      </w:r>
      <w:r>
        <w:rPr>
          <w:spacing w:val="-10"/>
        </w:rPr>
        <w:t> </w:t>
      </w:r>
      <w:r>
        <w:rPr/>
        <w:t>través</w:t>
      </w:r>
      <w:r>
        <w:rPr>
          <w:spacing w:val="-6"/>
        </w:rPr>
        <w:t> </w:t>
      </w:r>
      <w:r>
        <w:rPr/>
        <w:t>de</w:t>
      </w:r>
      <w:r>
        <w:rPr>
          <w:spacing w:val="-10"/>
        </w:rPr>
        <w:t> </w:t>
      </w:r>
      <w:r>
        <w:rPr/>
        <w:t>los</w:t>
      </w:r>
      <w:r>
        <w:rPr>
          <w:spacing w:val="-6"/>
        </w:rPr>
        <w:t> </w:t>
      </w:r>
      <w:r>
        <w:rPr/>
        <w:t>argumentos</w:t>
      </w:r>
      <w:r>
        <w:rPr>
          <w:spacing w:val="-8"/>
        </w:rPr>
        <w:t> </w:t>
      </w:r>
      <w:r>
        <w:rPr/>
        <w:t>teóricos</w:t>
      </w:r>
      <w:r>
        <w:rPr>
          <w:spacing w:val="-6"/>
        </w:rPr>
        <w:t> </w:t>
      </w:r>
      <w:r>
        <w:rPr/>
        <w:t>de</w:t>
      </w:r>
      <w:r>
        <w:rPr>
          <w:spacing w:val="-7"/>
        </w:rPr>
        <w:t> </w:t>
      </w:r>
      <w:r>
        <w:rPr/>
        <w:t>Nicholas</w:t>
      </w:r>
      <w:r>
        <w:rPr>
          <w:spacing w:val="-8"/>
        </w:rPr>
        <w:t> </w:t>
      </w:r>
      <w:r>
        <w:rPr/>
        <w:t>Kaldor,</w:t>
      </w:r>
      <w:r>
        <w:rPr>
          <w:spacing w:val="-7"/>
        </w:rPr>
        <w:t> </w:t>
      </w:r>
      <w:r>
        <w:rPr/>
        <w:t>el</w:t>
      </w:r>
      <w:r>
        <w:rPr>
          <w:spacing w:val="-6"/>
        </w:rPr>
        <w:t> </w:t>
      </w:r>
      <w:r>
        <w:rPr/>
        <w:t>cual sostiene que las manufacturas son el motor de crecimiento económico debido a la presencia de rendimientos</w:t>
      </w:r>
      <w:r>
        <w:rPr>
          <w:spacing w:val="-5"/>
        </w:rPr>
        <w:t> </w:t>
      </w:r>
      <w:r>
        <w:rPr/>
        <w:t>crecientes.</w:t>
      </w:r>
    </w:p>
    <w:p>
      <w:pPr>
        <w:pStyle w:val="BodyText"/>
        <w:spacing w:before="2"/>
        <w:rPr>
          <w:sz w:val="21"/>
        </w:rPr>
      </w:pPr>
    </w:p>
    <w:p>
      <w:pPr>
        <w:pStyle w:val="BodyText"/>
        <w:spacing w:line="360" w:lineRule="auto"/>
        <w:ind w:left="102" w:right="115"/>
        <w:jc w:val="both"/>
      </w:pPr>
      <w:r>
        <w:rPr/>
        <w:t>Lo</w:t>
      </w:r>
      <w:r>
        <w:rPr>
          <w:spacing w:val="-6"/>
        </w:rPr>
        <w:t> </w:t>
      </w:r>
      <w:r>
        <w:rPr/>
        <w:t>anterior</w:t>
      </w:r>
      <w:r>
        <w:rPr>
          <w:spacing w:val="-9"/>
        </w:rPr>
        <w:t> </w:t>
      </w:r>
      <w:r>
        <w:rPr/>
        <w:t>dio</w:t>
      </w:r>
      <w:r>
        <w:rPr>
          <w:spacing w:val="-8"/>
        </w:rPr>
        <w:t> </w:t>
      </w:r>
      <w:r>
        <w:rPr/>
        <w:t>pauta</w:t>
      </w:r>
      <w:r>
        <w:rPr>
          <w:spacing w:val="-10"/>
        </w:rPr>
        <w:t> </w:t>
      </w:r>
      <w:r>
        <w:rPr/>
        <w:t>para</w:t>
      </w:r>
      <w:r>
        <w:rPr>
          <w:spacing w:val="-10"/>
        </w:rPr>
        <w:t> </w:t>
      </w:r>
      <w:r>
        <w:rPr/>
        <w:t>realizar</w:t>
      </w:r>
      <w:r>
        <w:rPr>
          <w:spacing w:val="-9"/>
        </w:rPr>
        <w:t> </w:t>
      </w:r>
      <w:r>
        <w:rPr/>
        <w:t>un</w:t>
      </w:r>
      <w:r>
        <w:rPr>
          <w:spacing w:val="-9"/>
        </w:rPr>
        <w:t> </w:t>
      </w:r>
      <w:r>
        <w:rPr/>
        <w:t>análisis</w:t>
      </w:r>
      <w:r>
        <w:rPr>
          <w:spacing w:val="-8"/>
        </w:rPr>
        <w:t> </w:t>
      </w:r>
      <w:r>
        <w:rPr/>
        <w:t>al</w:t>
      </w:r>
      <w:r>
        <w:rPr>
          <w:spacing w:val="-8"/>
        </w:rPr>
        <w:t> </w:t>
      </w:r>
      <w:r>
        <w:rPr/>
        <w:t>interior</w:t>
      </w:r>
      <w:r>
        <w:rPr>
          <w:spacing w:val="-10"/>
        </w:rPr>
        <w:t> </w:t>
      </w:r>
      <w:r>
        <w:rPr/>
        <w:t>del</w:t>
      </w:r>
      <w:r>
        <w:rPr>
          <w:spacing w:val="-8"/>
        </w:rPr>
        <w:t> </w:t>
      </w:r>
      <w:r>
        <w:rPr/>
        <w:t>sector</w:t>
      </w:r>
      <w:r>
        <w:rPr>
          <w:spacing w:val="-9"/>
        </w:rPr>
        <w:t> </w:t>
      </w:r>
      <w:r>
        <w:rPr/>
        <w:t>manufacturero</w:t>
      </w:r>
      <w:r>
        <w:rPr>
          <w:spacing w:val="-6"/>
        </w:rPr>
        <w:t> </w:t>
      </w:r>
      <w:r>
        <w:rPr/>
        <w:t>de</w:t>
      </w:r>
      <w:r>
        <w:rPr>
          <w:spacing w:val="-7"/>
        </w:rPr>
        <w:t> </w:t>
      </w:r>
      <w:r>
        <w:rPr/>
        <w:t>México, donde se observó que la industria automotriz juega un papel muy importante dentro del sector. Al respecto se presentó la dinámica que tiene la industria automotriz tanto a nivel mundial como</w:t>
      </w:r>
      <w:r>
        <w:rPr>
          <w:spacing w:val="-4"/>
        </w:rPr>
        <w:t> </w:t>
      </w:r>
      <w:r>
        <w:rPr/>
        <w:t>nacional.</w:t>
      </w:r>
    </w:p>
    <w:p>
      <w:pPr>
        <w:pStyle w:val="BodyText"/>
        <w:spacing w:before="5"/>
        <w:rPr>
          <w:sz w:val="21"/>
        </w:rPr>
      </w:pPr>
    </w:p>
    <w:p>
      <w:pPr>
        <w:pStyle w:val="BodyText"/>
        <w:spacing w:line="360" w:lineRule="auto"/>
        <w:ind w:left="102" w:right="119"/>
        <w:jc w:val="both"/>
      </w:pPr>
      <w:r>
        <w:rPr/>
        <w:t>En específico a nivel mundial, la industria automotriz sobresale como la rama pionera en la creación de innovaciones que han impactado directamente a la manufactura en general, además</w:t>
      </w:r>
      <w:r>
        <w:rPr>
          <w:spacing w:val="-13"/>
        </w:rPr>
        <w:t> </w:t>
      </w:r>
      <w:r>
        <w:rPr/>
        <w:t>de</w:t>
      </w:r>
      <w:r>
        <w:rPr>
          <w:spacing w:val="-13"/>
        </w:rPr>
        <w:t> </w:t>
      </w:r>
      <w:r>
        <w:rPr/>
        <w:t>que</w:t>
      </w:r>
      <w:r>
        <w:rPr>
          <w:spacing w:val="-13"/>
        </w:rPr>
        <w:t> </w:t>
      </w:r>
      <w:r>
        <w:rPr/>
        <w:t>se</w:t>
      </w:r>
      <w:r>
        <w:rPr>
          <w:spacing w:val="-11"/>
        </w:rPr>
        <w:t> </w:t>
      </w:r>
      <w:r>
        <w:rPr/>
        <w:t>ha</w:t>
      </w:r>
      <w:r>
        <w:rPr>
          <w:spacing w:val="-11"/>
        </w:rPr>
        <w:t> </w:t>
      </w:r>
      <w:r>
        <w:rPr/>
        <w:t>convertido</w:t>
      </w:r>
      <w:r>
        <w:rPr>
          <w:spacing w:val="-12"/>
        </w:rPr>
        <w:t> </w:t>
      </w:r>
      <w:r>
        <w:rPr/>
        <w:t>en</w:t>
      </w:r>
      <w:r>
        <w:rPr>
          <w:spacing w:val="-10"/>
        </w:rPr>
        <w:t> </w:t>
      </w:r>
      <w:r>
        <w:rPr/>
        <w:t>una</w:t>
      </w:r>
      <w:r>
        <w:rPr>
          <w:spacing w:val="-13"/>
        </w:rPr>
        <w:t> </w:t>
      </w:r>
      <w:r>
        <w:rPr/>
        <w:t>de</w:t>
      </w:r>
      <w:r>
        <w:rPr>
          <w:spacing w:val="-13"/>
        </w:rPr>
        <w:t> </w:t>
      </w:r>
      <w:r>
        <w:rPr/>
        <w:t>las</w:t>
      </w:r>
      <w:r>
        <w:rPr>
          <w:spacing w:val="-12"/>
        </w:rPr>
        <w:t> </w:t>
      </w:r>
      <w:r>
        <w:rPr/>
        <w:t>industrias</w:t>
      </w:r>
      <w:r>
        <w:rPr>
          <w:spacing w:val="-12"/>
        </w:rPr>
        <w:t> </w:t>
      </w:r>
      <w:r>
        <w:rPr/>
        <w:t>más</w:t>
      </w:r>
      <w:r>
        <w:rPr>
          <w:spacing w:val="-13"/>
        </w:rPr>
        <w:t> </w:t>
      </w:r>
      <w:r>
        <w:rPr/>
        <w:t>dinámicas,</w:t>
      </w:r>
      <w:r>
        <w:rPr>
          <w:spacing w:val="-12"/>
        </w:rPr>
        <w:t> </w:t>
      </w:r>
      <w:r>
        <w:rPr/>
        <w:t>generando</w:t>
      </w:r>
      <w:r>
        <w:rPr>
          <w:spacing w:val="-12"/>
        </w:rPr>
        <w:t> </w:t>
      </w:r>
      <w:r>
        <w:rPr/>
        <w:t>beneficios en</w:t>
      </w:r>
      <w:r>
        <w:rPr>
          <w:spacing w:val="-17"/>
        </w:rPr>
        <w:t> </w:t>
      </w:r>
      <w:r>
        <w:rPr/>
        <w:t>los</w:t>
      </w:r>
      <w:r>
        <w:rPr>
          <w:spacing w:val="-16"/>
        </w:rPr>
        <w:t> </w:t>
      </w:r>
      <w:r>
        <w:rPr/>
        <w:t>países</w:t>
      </w:r>
      <w:r>
        <w:rPr>
          <w:spacing w:val="-17"/>
        </w:rPr>
        <w:t> </w:t>
      </w:r>
      <w:r>
        <w:rPr/>
        <w:t>donde</w:t>
      </w:r>
      <w:r>
        <w:rPr>
          <w:spacing w:val="-17"/>
        </w:rPr>
        <w:t> </w:t>
      </w:r>
      <w:r>
        <w:rPr/>
        <w:t>se</w:t>
      </w:r>
      <w:r>
        <w:rPr>
          <w:spacing w:val="-17"/>
        </w:rPr>
        <w:t> </w:t>
      </w:r>
      <w:r>
        <w:rPr/>
        <w:t>ha</w:t>
      </w:r>
      <w:r>
        <w:rPr>
          <w:spacing w:val="-15"/>
        </w:rPr>
        <w:t> </w:t>
      </w:r>
      <w:r>
        <w:rPr/>
        <w:t>establecido,</w:t>
      </w:r>
      <w:r>
        <w:rPr>
          <w:spacing w:val="-16"/>
        </w:rPr>
        <w:t> </w:t>
      </w:r>
      <w:r>
        <w:rPr/>
        <w:t>es</w:t>
      </w:r>
      <w:r>
        <w:rPr>
          <w:spacing w:val="-17"/>
        </w:rPr>
        <w:t> </w:t>
      </w:r>
      <w:r>
        <w:rPr/>
        <w:t>el</w:t>
      </w:r>
      <w:r>
        <w:rPr>
          <w:spacing w:val="-14"/>
        </w:rPr>
        <w:t> </w:t>
      </w:r>
      <w:r>
        <w:rPr/>
        <w:t>caso</w:t>
      </w:r>
      <w:r>
        <w:rPr>
          <w:spacing w:val="-16"/>
        </w:rPr>
        <w:t> </w:t>
      </w:r>
      <w:r>
        <w:rPr/>
        <w:t>de</w:t>
      </w:r>
      <w:r>
        <w:rPr>
          <w:spacing w:val="-15"/>
        </w:rPr>
        <w:t> </w:t>
      </w:r>
      <w:r>
        <w:rPr/>
        <w:t>países</w:t>
      </w:r>
      <w:r>
        <w:rPr>
          <w:spacing w:val="-17"/>
        </w:rPr>
        <w:t> </w:t>
      </w:r>
      <w:r>
        <w:rPr/>
        <w:t>como</w:t>
      </w:r>
      <w:r>
        <w:rPr>
          <w:spacing w:val="-16"/>
        </w:rPr>
        <w:t> </w:t>
      </w:r>
      <w:r>
        <w:rPr/>
        <w:t>China,</w:t>
      </w:r>
      <w:r>
        <w:rPr>
          <w:spacing w:val="-15"/>
        </w:rPr>
        <w:t> </w:t>
      </w:r>
      <w:r>
        <w:rPr/>
        <w:t>India,</w:t>
      </w:r>
      <w:r>
        <w:rPr>
          <w:spacing w:val="-15"/>
        </w:rPr>
        <w:t> </w:t>
      </w:r>
      <w:r>
        <w:rPr/>
        <w:t>Brasil</w:t>
      </w:r>
      <w:r>
        <w:rPr>
          <w:spacing w:val="-13"/>
        </w:rPr>
        <w:t> </w:t>
      </w:r>
      <w:r>
        <w:rPr/>
        <w:t>y</w:t>
      </w:r>
      <w:r>
        <w:rPr>
          <w:spacing w:val="-21"/>
        </w:rPr>
        <w:t> </w:t>
      </w:r>
      <w:r>
        <w:rPr/>
        <w:t>México. Además se observó que la industria automotriz Japonesa es la líder en el mundo en cuanto a ventas y producción de automóviles dejando atrás a las grandes empresas</w:t>
      </w:r>
      <w:r>
        <w:rPr>
          <w:spacing w:val="-18"/>
        </w:rPr>
        <w:t> </w:t>
      </w:r>
      <w:r>
        <w:rPr/>
        <w:t>norteamericanas.</w:t>
      </w:r>
    </w:p>
    <w:p>
      <w:pPr>
        <w:pStyle w:val="BodyText"/>
        <w:spacing w:before="5"/>
        <w:rPr>
          <w:sz w:val="21"/>
        </w:rPr>
      </w:pPr>
    </w:p>
    <w:p>
      <w:pPr>
        <w:pStyle w:val="BodyText"/>
        <w:spacing w:line="360" w:lineRule="auto"/>
        <w:ind w:left="102" w:right="118"/>
        <w:jc w:val="both"/>
      </w:pPr>
      <w:r>
        <w:rPr/>
        <w:t>En cuanto a la industria automotriz en México, se encontró que ha representado un sector estratégico</w:t>
      </w:r>
      <w:r>
        <w:rPr>
          <w:spacing w:val="-6"/>
        </w:rPr>
        <w:t> </w:t>
      </w:r>
      <w:r>
        <w:rPr/>
        <w:t>para</w:t>
      </w:r>
      <w:r>
        <w:rPr>
          <w:spacing w:val="-6"/>
        </w:rPr>
        <w:t> </w:t>
      </w:r>
      <w:r>
        <w:rPr/>
        <w:t>el</w:t>
      </w:r>
      <w:r>
        <w:rPr>
          <w:spacing w:val="-6"/>
        </w:rPr>
        <w:t> </w:t>
      </w:r>
      <w:r>
        <w:rPr/>
        <w:t>desarrollo</w:t>
      </w:r>
      <w:r>
        <w:rPr>
          <w:spacing w:val="-6"/>
        </w:rPr>
        <w:t> </w:t>
      </w:r>
      <w:r>
        <w:rPr/>
        <w:t>del</w:t>
      </w:r>
      <w:r>
        <w:rPr>
          <w:spacing w:val="-6"/>
        </w:rPr>
        <w:t> </w:t>
      </w:r>
      <w:r>
        <w:rPr/>
        <w:t>país</w:t>
      </w:r>
      <w:r>
        <w:rPr>
          <w:spacing w:val="-6"/>
        </w:rPr>
        <w:t> </w:t>
      </w:r>
      <w:r>
        <w:rPr/>
        <w:t>en</w:t>
      </w:r>
      <w:r>
        <w:rPr>
          <w:spacing w:val="-6"/>
        </w:rPr>
        <w:t> </w:t>
      </w:r>
      <w:r>
        <w:rPr/>
        <w:t>virtud</w:t>
      </w:r>
      <w:r>
        <w:rPr>
          <w:spacing w:val="-6"/>
        </w:rPr>
        <w:t> </w:t>
      </w:r>
      <w:r>
        <w:rPr/>
        <w:t>de</w:t>
      </w:r>
      <w:r>
        <w:rPr>
          <w:spacing w:val="-5"/>
        </w:rPr>
        <w:t> </w:t>
      </w:r>
      <w:r>
        <w:rPr/>
        <w:t>los</w:t>
      </w:r>
      <w:r>
        <w:rPr>
          <w:spacing w:val="-6"/>
        </w:rPr>
        <w:t> </w:t>
      </w:r>
      <w:r>
        <w:rPr/>
        <w:t>beneficios</w:t>
      </w:r>
      <w:r>
        <w:rPr>
          <w:spacing w:val="-6"/>
        </w:rPr>
        <w:t> </w:t>
      </w:r>
      <w:r>
        <w:rPr/>
        <w:t>que</w:t>
      </w:r>
      <w:r>
        <w:rPr>
          <w:spacing w:val="-7"/>
        </w:rPr>
        <w:t> </w:t>
      </w:r>
      <w:r>
        <w:rPr/>
        <w:t>genera</w:t>
      </w:r>
      <w:r>
        <w:rPr>
          <w:spacing w:val="-5"/>
        </w:rPr>
        <w:t> </w:t>
      </w:r>
      <w:r>
        <w:rPr/>
        <w:t>derivados</w:t>
      </w:r>
      <w:r>
        <w:rPr>
          <w:spacing w:val="-6"/>
        </w:rPr>
        <w:t> </w:t>
      </w:r>
      <w:r>
        <w:rPr/>
        <w:t>de</w:t>
      </w:r>
      <w:r>
        <w:rPr>
          <w:spacing w:val="-7"/>
        </w:rPr>
        <w:t> </w:t>
      </w:r>
      <w:r>
        <w:rPr/>
        <w:t>sus operaciones comerciales, por el número de empleos que genera directa e indirectamente y por los encadenamientos productivos que tiene con otras industrias como la del hule y el acero.</w:t>
      </w:r>
    </w:p>
    <w:p>
      <w:pPr>
        <w:pStyle w:val="BodyText"/>
        <w:spacing w:before="2"/>
        <w:rPr>
          <w:sz w:val="21"/>
        </w:rPr>
      </w:pPr>
    </w:p>
    <w:p>
      <w:pPr>
        <w:pStyle w:val="BodyText"/>
        <w:spacing w:line="360" w:lineRule="auto"/>
        <w:ind w:left="102" w:right="118"/>
        <w:jc w:val="both"/>
      </w:pPr>
      <w:r>
        <w:rPr/>
        <w:t>La</w:t>
      </w:r>
      <w:r>
        <w:rPr>
          <w:spacing w:val="-5"/>
        </w:rPr>
        <w:t> </w:t>
      </w:r>
      <w:r>
        <w:rPr/>
        <w:t>consolidación</w:t>
      </w:r>
      <w:r>
        <w:rPr>
          <w:spacing w:val="-6"/>
        </w:rPr>
        <w:t> </w:t>
      </w:r>
      <w:r>
        <w:rPr/>
        <w:t>de</w:t>
      </w:r>
      <w:r>
        <w:rPr>
          <w:spacing w:val="-7"/>
        </w:rPr>
        <w:t> </w:t>
      </w:r>
      <w:r>
        <w:rPr/>
        <w:t>la</w:t>
      </w:r>
      <w:r>
        <w:rPr>
          <w:spacing w:val="-7"/>
        </w:rPr>
        <w:t> </w:t>
      </w:r>
      <w:r>
        <w:rPr/>
        <w:t>industria</w:t>
      </w:r>
      <w:r>
        <w:rPr>
          <w:spacing w:val="-7"/>
        </w:rPr>
        <w:t> </w:t>
      </w:r>
      <w:r>
        <w:rPr/>
        <w:t>automotriz</w:t>
      </w:r>
      <w:r>
        <w:rPr>
          <w:spacing w:val="-5"/>
        </w:rPr>
        <w:t> </w:t>
      </w:r>
      <w:r>
        <w:rPr/>
        <w:t>a</w:t>
      </w:r>
      <w:r>
        <w:rPr>
          <w:spacing w:val="-5"/>
        </w:rPr>
        <w:t> </w:t>
      </w:r>
      <w:r>
        <w:rPr/>
        <w:t>poco</w:t>
      </w:r>
      <w:r>
        <w:rPr>
          <w:spacing w:val="-6"/>
        </w:rPr>
        <w:t> </w:t>
      </w:r>
      <w:r>
        <w:rPr/>
        <w:t>más</w:t>
      </w:r>
      <w:r>
        <w:rPr>
          <w:spacing w:val="-7"/>
        </w:rPr>
        <w:t> </w:t>
      </w:r>
      <w:r>
        <w:rPr/>
        <w:t>de</w:t>
      </w:r>
      <w:r>
        <w:rPr>
          <w:spacing w:val="-7"/>
        </w:rPr>
        <w:t> </w:t>
      </w:r>
      <w:r>
        <w:rPr/>
        <w:t>90</w:t>
      </w:r>
      <w:r>
        <w:rPr>
          <w:spacing w:val="-6"/>
        </w:rPr>
        <w:t> </w:t>
      </w:r>
      <w:r>
        <w:rPr/>
        <w:t>años</w:t>
      </w:r>
      <w:r>
        <w:rPr>
          <w:spacing w:val="-6"/>
        </w:rPr>
        <w:t> </w:t>
      </w:r>
      <w:r>
        <w:rPr/>
        <w:t>desde</w:t>
      </w:r>
      <w:r>
        <w:rPr>
          <w:spacing w:val="-7"/>
        </w:rPr>
        <w:t> </w:t>
      </w:r>
      <w:r>
        <w:rPr/>
        <w:t>que</w:t>
      </w:r>
      <w:r>
        <w:rPr>
          <w:spacing w:val="-7"/>
        </w:rPr>
        <w:t> </w:t>
      </w:r>
      <w:r>
        <w:rPr/>
        <w:t>se</w:t>
      </w:r>
      <w:r>
        <w:rPr>
          <w:spacing w:val="-7"/>
        </w:rPr>
        <w:t> </w:t>
      </w:r>
      <w:r>
        <w:rPr/>
        <w:t>estableció</w:t>
      </w:r>
      <w:r>
        <w:rPr>
          <w:spacing w:val="-6"/>
        </w:rPr>
        <w:t> </w:t>
      </w:r>
      <w:r>
        <w:rPr/>
        <w:t>la primera</w:t>
      </w:r>
      <w:r>
        <w:rPr>
          <w:spacing w:val="-8"/>
        </w:rPr>
        <w:t> </w:t>
      </w:r>
      <w:r>
        <w:rPr/>
        <w:t>planta</w:t>
      </w:r>
      <w:r>
        <w:rPr>
          <w:spacing w:val="-7"/>
        </w:rPr>
        <w:t> </w:t>
      </w:r>
      <w:r>
        <w:rPr/>
        <w:t>en</w:t>
      </w:r>
      <w:r>
        <w:rPr>
          <w:spacing w:val="-6"/>
        </w:rPr>
        <w:t> </w:t>
      </w:r>
      <w:r>
        <w:rPr/>
        <w:t>México,</w:t>
      </w:r>
      <w:r>
        <w:rPr>
          <w:spacing w:val="-6"/>
        </w:rPr>
        <w:t> </w:t>
      </w:r>
      <w:r>
        <w:rPr/>
        <w:t>ha</w:t>
      </w:r>
      <w:r>
        <w:rPr>
          <w:spacing w:val="-7"/>
        </w:rPr>
        <w:t> </w:t>
      </w:r>
      <w:r>
        <w:rPr/>
        <w:t>permitido</w:t>
      </w:r>
      <w:r>
        <w:rPr>
          <w:spacing w:val="-6"/>
        </w:rPr>
        <w:t> </w:t>
      </w:r>
      <w:r>
        <w:rPr/>
        <w:t>que</w:t>
      </w:r>
      <w:r>
        <w:rPr>
          <w:spacing w:val="-7"/>
        </w:rPr>
        <w:t> </w:t>
      </w:r>
      <w:r>
        <w:rPr/>
        <w:t>este</w:t>
      </w:r>
      <w:r>
        <w:rPr>
          <w:spacing w:val="-6"/>
        </w:rPr>
        <w:t> </w:t>
      </w:r>
      <w:r>
        <w:rPr/>
        <w:t>país</w:t>
      </w:r>
      <w:r>
        <w:rPr>
          <w:spacing w:val="-6"/>
        </w:rPr>
        <w:t> </w:t>
      </w:r>
      <w:r>
        <w:rPr/>
        <w:t>sea</w:t>
      </w:r>
      <w:r>
        <w:rPr>
          <w:spacing w:val="-7"/>
        </w:rPr>
        <w:t> </w:t>
      </w:r>
      <w:r>
        <w:rPr/>
        <w:t>el</w:t>
      </w:r>
      <w:r>
        <w:rPr>
          <w:spacing w:val="-6"/>
        </w:rPr>
        <w:t> </w:t>
      </w:r>
      <w:r>
        <w:rPr/>
        <w:t>primer</w:t>
      </w:r>
      <w:r>
        <w:rPr>
          <w:spacing w:val="-7"/>
        </w:rPr>
        <w:t> </w:t>
      </w:r>
      <w:r>
        <w:rPr/>
        <w:t>productor</w:t>
      </w:r>
      <w:r>
        <w:rPr>
          <w:spacing w:val="-7"/>
        </w:rPr>
        <w:t> </w:t>
      </w:r>
      <w:r>
        <w:rPr/>
        <w:t>de</w:t>
      </w:r>
      <w:r>
        <w:rPr>
          <w:spacing w:val="-7"/>
        </w:rPr>
        <w:t> </w:t>
      </w:r>
      <w:r>
        <w:rPr/>
        <w:t>automóviles en América Latina y el séptimo a nivel mundial. Ésta consolidación ha favorecido tanto a la industria automotriz nacional como regional y ha sido resultado de la emisión de diversas políticas y estrategias para su</w:t>
      </w:r>
      <w:r>
        <w:rPr>
          <w:spacing w:val="-7"/>
        </w:rPr>
        <w:t> </w:t>
      </w:r>
      <w:r>
        <w:rPr/>
        <w:t>fomento.</w:t>
      </w:r>
    </w:p>
    <w:p>
      <w:pPr>
        <w:spacing w:after="0" w:line="360" w:lineRule="auto"/>
        <w:jc w:val="both"/>
        <w:sectPr>
          <w:pgSz w:w="12240" w:h="15840"/>
          <w:pgMar w:header="0" w:footer="1035" w:top="1360" w:bottom="1220" w:left="1600" w:right="1580"/>
        </w:sectPr>
      </w:pPr>
    </w:p>
    <w:p>
      <w:pPr>
        <w:pStyle w:val="BodyText"/>
        <w:spacing w:line="360" w:lineRule="auto" w:before="50"/>
        <w:ind w:left="102" w:right="114"/>
        <w:jc w:val="both"/>
      </w:pPr>
      <w:r>
        <w:rPr/>
        <w:t>La entra en vigor del TLCAN en 1994, propició el desplazamiento de las grandes empresas automotrices hacia otras regiones de México que se apuntalaron como polos de desarrollo ante la necesidad de abastecer a un creciente mercado externo, provocando una reconfiguración espacial de la industria automotriz en el país. Actualmente se identifican cuatro regiones donde se ha concentrado ésta industria: la región centro, la región norte, la región centro-norte y la región occidente.</w:t>
      </w:r>
    </w:p>
    <w:p>
      <w:pPr>
        <w:pStyle w:val="BodyText"/>
        <w:spacing w:before="3"/>
        <w:rPr>
          <w:sz w:val="21"/>
        </w:rPr>
      </w:pPr>
    </w:p>
    <w:p>
      <w:pPr>
        <w:pStyle w:val="BodyText"/>
        <w:spacing w:line="360" w:lineRule="auto"/>
        <w:ind w:left="102" w:right="115"/>
        <w:jc w:val="both"/>
      </w:pPr>
      <w:r>
        <w:rPr/>
        <w:t>Dentro</w:t>
      </w:r>
      <w:r>
        <w:rPr>
          <w:spacing w:val="-6"/>
        </w:rPr>
        <w:t> </w:t>
      </w:r>
      <w:r>
        <w:rPr/>
        <w:t>de</w:t>
      </w:r>
      <w:r>
        <w:rPr>
          <w:spacing w:val="-7"/>
        </w:rPr>
        <w:t> </w:t>
      </w:r>
      <w:r>
        <w:rPr/>
        <w:t>las</w:t>
      </w:r>
      <w:r>
        <w:rPr>
          <w:spacing w:val="-7"/>
        </w:rPr>
        <w:t> </w:t>
      </w:r>
      <w:r>
        <w:rPr/>
        <w:t>regiones</w:t>
      </w:r>
      <w:r>
        <w:rPr>
          <w:spacing w:val="-6"/>
        </w:rPr>
        <w:t> </w:t>
      </w:r>
      <w:r>
        <w:rPr/>
        <w:t>destaca</w:t>
      </w:r>
      <w:r>
        <w:rPr>
          <w:spacing w:val="-7"/>
        </w:rPr>
        <w:t> </w:t>
      </w:r>
      <w:r>
        <w:rPr/>
        <w:t>el</w:t>
      </w:r>
      <w:r>
        <w:rPr>
          <w:spacing w:val="-6"/>
        </w:rPr>
        <w:t> </w:t>
      </w:r>
      <w:r>
        <w:rPr/>
        <w:t>caso</w:t>
      </w:r>
      <w:r>
        <w:rPr>
          <w:spacing w:val="-6"/>
        </w:rPr>
        <w:t> </w:t>
      </w:r>
      <w:r>
        <w:rPr/>
        <w:t>de</w:t>
      </w:r>
      <w:r>
        <w:rPr>
          <w:spacing w:val="-7"/>
        </w:rPr>
        <w:t> </w:t>
      </w:r>
      <w:r>
        <w:rPr/>
        <w:t>la</w:t>
      </w:r>
      <w:r>
        <w:rPr>
          <w:spacing w:val="-6"/>
        </w:rPr>
        <w:t> </w:t>
      </w:r>
      <w:r>
        <w:rPr/>
        <w:t>región</w:t>
      </w:r>
      <w:r>
        <w:rPr>
          <w:spacing w:val="-6"/>
        </w:rPr>
        <w:t> </w:t>
      </w:r>
      <w:r>
        <w:rPr/>
        <w:t>norte,</w:t>
      </w:r>
      <w:r>
        <w:rPr>
          <w:spacing w:val="-6"/>
        </w:rPr>
        <w:t> </w:t>
      </w:r>
      <w:r>
        <w:rPr/>
        <w:t>pues</w:t>
      </w:r>
      <w:r>
        <w:rPr>
          <w:spacing w:val="-6"/>
        </w:rPr>
        <w:t> </w:t>
      </w:r>
      <w:r>
        <w:rPr/>
        <w:t>la</w:t>
      </w:r>
      <w:r>
        <w:rPr>
          <w:spacing w:val="-7"/>
        </w:rPr>
        <w:t> </w:t>
      </w:r>
      <w:r>
        <w:rPr/>
        <w:t>industria</w:t>
      </w:r>
      <w:r>
        <w:rPr>
          <w:spacing w:val="-7"/>
        </w:rPr>
        <w:t> </w:t>
      </w:r>
      <w:r>
        <w:rPr/>
        <w:t>automotriz</w:t>
      </w:r>
      <w:r>
        <w:rPr>
          <w:spacing w:val="-5"/>
        </w:rPr>
        <w:t> </w:t>
      </w:r>
      <w:r>
        <w:rPr/>
        <w:t>ha</w:t>
      </w:r>
      <w:r>
        <w:rPr>
          <w:spacing w:val="-7"/>
        </w:rPr>
        <w:t> </w:t>
      </w:r>
      <w:r>
        <w:rPr/>
        <w:t>sido la de mayor crecimiento dentro del sector manufacturero a nivel regional e incluso</w:t>
      </w:r>
      <w:r>
        <w:rPr>
          <w:spacing w:val="-21"/>
        </w:rPr>
        <w:t> </w:t>
      </w:r>
      <w:r>
        <w:rPr/>
        <w:t>nacional, </w:t>
      </w:r>
      <w:r>
        <w:rPr>
          <w:spacing w:val="-3"/>
        </w:rPr>
        <w:t>ya </w:t>
      </w:r>
      <w:r>
        <w:rPr/>
        <w:t>que el gran número de empresas armadoras y autopartes ubicadas en la región la han consolidado como la que más aporta en términos de empleo y valor agregado censal bruto a la manufactura de México, gracias a su mano de obra barata y a su cercanía con los Estados Unidos, reduciendo los costos de transporte para la exportación de los</w:t>
      </w:r>
      <w:r>
        <w:rPr>
          <w:spacing w:val="-10"/>
        </w:rPr>
        <w:t> </w:t>
      </w:r>
      <w:r>
        <w:rPr/>
        <w:t>vehículos.</w:t>
      </w:r>
    </w:p>
    <w:p>
      <w:pPr>
        <w:pStyle w:val="BodyText"/>
        <w:spacing w:before="2"/>
        <w:rPr>
          <w:sz w:val="21"/>
        </w:rPr>
      </w:pPr>
    </w:p>
    <w:p>
      <w:pPr>
        <w:pStyle w:val="BodyText"/>
        <w:spacing w:line="360" w:lineRule="auto"/>
        <w:ind w:left="102" w:right="114"/>
        <w:jc w:val="both"/>
      </w:pPr>
      <w:r>
        <w:rPr/>
        <w:t>En contraste se encuentra la región centro, pues se observó una pérdida de dinamismo de la industria automotriz y su participación dentro de la manufactura regional, sin embargo esto no ha permitido que dicha industria deje de ser importante para la región y entidades que la conforman, pues sigue siendo una industria que aun genera un impacto positivo sobre las manufacturas, por lo que se deben realizar esfuerzos para que la región sea atractiva para la inversiones en este sector.</w:t>
      </w:r>
    </w:p>
    <w:p>
      <w:pPr>
        <w:pStyle w:val="BodyText"/>
        <w:spacing w:before="2"/>
        <w:rPr>
          <w:sz w:val="21"/>
        </w:rPr>
      </w:pPr>
    </w:p>
    <w:p>
      <w:pPr>
        <w:pStyle w:val="BodyText"/>
        <w:spacing w:line="360" w:lineRule="auto"/>
        <w:ind w:left="102" w:right="117"/>
        <w:jc w:val="both"/>
      </w:pPr>
      <w:r>
        <w:rPr/>
        <w:t>Otra región que sobresale es la región centro-norte, pese a que se trata de una región nueva en términos de experiencia automotriz la evidencia encontrada permite afirmar que la industria automotriz ha funcionado como un motor de crecimiento en la manufactura de la región sobre todo en los últimos años, lo que se debe en gran parte a la conformación de clusters, pues las empresas terminales ubicadas en la región han generado la atracción de empresas de autopartes, y han estimulado también la instalación de otro tipo de industrias que son proveedoras de la industria automotriz.</w:t>
      </w:r>
    </w:p>
    <w:p>
      <w:pPr>
        <w:pStyle w:val="BodyText"/>
        <w:spacing w:before="4"/>
        <w:rPr>
          <w:sz w:val="21"/>
        </w:rPr>
      </w:pPr>
    </w:p>
    <w:p>
      <w:pPr>
        <w:pStyle w:val="BodyText"/>
        <w:spacing w:line="360" w:lineRule="auto" w:before="1"/>
        <w:ind w:left="102" w:right="118"/>
        <w:jc w:val="both"/>
      </w:pPr>
      <w:r>
        <w:rPr/>
        <w:t>A nivel de entidades federativas es importante resaltar que en general los estados más favorecidos con el establecimiento de la industria automotriz han sido Puebla, Chihuahua, Coahuila, Guanajuato, Querétaro y Aguascalientes donde, sin duda, la industria  automotriz</w:t>
      </w:r>
    </w:p>
    <w:p>
      <w:pPr>
        <w:spacing w:after="0" w:line="360" w:lineRule="auto"/>
        <w:jc w:val="both"/>
        <w:sectPr>
          <w:pgSz w:w="12240" w:h="15840"/>
          <w:pgMar w:header="0" w:footer="1035" w:top="1360" w:bottom="1220" w:left="1600" w:right="1580"/>
        </w:sectPr>
      </w:pPr>
    </w:p>
    <w:p>
      <w:pPr>
        <w:pStyle w:val="BodyText"/>
        <w:spacing w:line="360" w:lineRule="auto" w:before="50"/>
        <w:ind w:left="102" w:right="123"/>
        <w:jc w:val="both"/>
      </w:pPr>
      <w:r>
        <w:rPr/>
        <w:t>ha sido el motor de crecimiento de la manufactura e incluso de la economía estatal, convirtiéndose en la actividad más importante de las entidades.</w:t>
      </w:r>
    </w:p>
    <w:p>
      <w:pPr>
        <w:pStyle w:val="BodyText"/>
        <w:spacing w:before="2"/>
        <w:rPr>
          <w:sz w:val="21"/>
        </w:rPr>
      </w:pPr>
    </w:p>
    <w:p>
      <w:pPr>
        <w:pStyle w:val="BodyText"/>
        <w:spacing w:line="360" w:lineRule="auto"/>
        <w:ind w:left="102" w:right="117"/>
        <w:jc w:val="both"/>
      </w:pPr>
      <w:r>
        <w:rPr/>
        <w:t>Un punto importante de resaltar es que la industria automotriz ha representado para las entidades federativas que conforman estas regiones una oportunidad de dinamizar su actividad</w:t>
      </w:r>
      <w:r>
        <w:rPr>
          <w:spacing w:val="-4"/>
        </w:rPr>
        <w:t> </w:t>
      </w:r>
      <w:r>
        <w:rPr/>
        <w:t>económica,</w:t>
      </w:r>
      <w:r>
        <w:rPr>
          <w:spacing w:val="-4"/>
        </w:rPr>
        <w:t> </w:t>
      </w:r>
      <w:r>
        <w:rPr/>
        <w:t>pues,</w:t>
      </w:r>
      <w:r>
        <w:rPr>
          <w:spacing w:val="-4"/>
        </w:rPr>
        <w:t> </w:t>
      </w:r>
      <w:r>
        <w:rPr/>
        <w:t>la</w:t>
      </w:r>
      <w:r>
        <w:rPr>
          <w:spacing w:val="-4"/>
        </w:rPr>
        <w:t> </w:t>
      </w:r>
      <w:r>
        <w:rPr/>
        <w:t>evidencia</w:t>
      </w:r>
      <w:r>
        <w:rPr>
          <w:spacing w:val="-4"/>
        </w:rPr>
        <w:t> </w:t>
      </w:r>
      <w:r>
        <w:rPr/>
        <w:t>muestra</w:t>
      </w:r>
      <w:r>
        <w:rPr>
          <w:spacing w:val="-5"/>
        </w:rPr>
        <w:t> </w:t>
      </w:r>
      <w:r>
        <w:rPr/>
        <w:t>que</w:t>
      </w:r>
      <w:r>
        <w:rPr>
          <w:spacing w:val="-5"/>
        </w:rPr>
        <w:t> </w:t>
      </w:r>
      <w:r>
        <w:rPr/>
        <w:t>la</w:t>
      </w:r>
      <w:r>
        <w:rPr>
          <w:spacing w:val="-4"/>
        </w:rPr>
        <w:t> </w:t>
      </w:r>
      <w:r>
        <w:rPr/>
        <w:t>participación</w:t>
      </w:r>
      <w:r>
        <w:rPr>
          <w:spacing w:val="-3"/>
        </w:rPr>
        <w:t> </w:t>
      </w:r>
      <w:r>
        <w:rPr/>
        <w:t>que</w:t>
      </w:r>
      <w:r>
        <w:rPr>
          <w:spacing w:val="-5"/>
        </w:rPr>
        <w:t> </w:t>
      </w:r>
      <w:r>
        <w:rPr/>
        <w:t>este</w:t>
      </w:r>
      <w:r>
        <w:rPr>
          <w:spacing w:val="-4"/>
        </w:rPr>
        <w:t> </w:t>
      </w:r>
      <w:r>
        <w:rPr/>
        <w:t>sector</w:t>
      </w:r>
      <w:r>
        <w:rPr>
          <w:spacing w:val="-1"/>
        </w:rPr>
        <w:t> </w:t>
      </w:r>
      <w:r>
        <w:rPr/>
        <w:t>tiene</w:t>
      </w:r>
      <w:r>
        <w:rPr>
          <w:spacing w:val="-2"/>
        </w:rPr>
        <w:t> </w:t>
      </w:r>
      <w:r>
        <w:rPr/>
        <w:t>en la manufactura en términos de valor agregado censal bruto y población ocupada ha crecido de manera muy importante en los últimos años; lo que nos da elementos para afirmar, que</w:t>
      </w:r>
      <w:r>
        <w:rPr>
          <w:spacing w:val="-34"/>
        </w:rPr>
        <w:t> </w:t>
      </w:r>
      <w:r>
        <w:rPr/>
        <w:t>la industria automotriz es una de las industrias que se deben seguir priorizando para el crecimiento de la manufactura nacional, regional y de  las entidades donde se</w:t>
      </w:r>
      <w:r>
        <w:rPr>
          <w:spacing w:val="-15"/>
        </w:rPr>
        <w:t> </w:t>
      </w:r>
      <w:r>
        <w:rPr/>
        <w:t>localiza.</w:t>
      </w:r>
    </w:p>
    <w:p>
      <w:pPr>
        <w:pStyle w:val="BodyText"/>
        <w:spacing w:before="4"/>
        <w:rPr>
          <w:sz w:val="21"/>
        </w:rPr>
      </w:pPr>
    </w:p>
    <w:p>
      <w:pPr>
        <w:pStyle w:val="BodyText"/>
        <w:spacing w:line="360" w:lineRule="auto" w:before="1"/>
        <w:ind w:left="102" w:right="119"/>
        <w:jc w:val="both"/>
      </w:pPr>
      <w:r>
        <w:rPr/>
        <w:t>Por otra parte, el análisis de causalidad en sentido de Granger permite confirmar que existe una relación unidireccional de la industria automotriz hacia el sector manufacturero de México,</w:t>
      </w:r>
      <w:r>
        <w:rPr>
          <w:spacing w:val="-16"/>
        </w:rPr>
        <w:t> </w:t>
      </w:r>
      <w:r>
        <w:rPr/>
        <w:t>lo</w:t>
      </w:r>
      <w:r>
        <w:rPr>
          <w:spacing w:val="-15"/>
        </w:rPr>
        <w:t> </w:t>
      </w:r>
      <w:r>
        <w:rPr/>
        <w:t>cual</w:t>
      </w:r>
      <w:r>
        <w:rPr>
          <w:spacing w:val="-15"/>
        </w:rPr>
        <w:t> </w:t>
      </w:r>
      <w:r>
        <w:rPr/>
        <w:t>implica</w:t>
      </w:r>
      <w:r>
        <w:rPr>
          <w:spacing w:val="-17"/>
        </w:rPr>
        <w:t> </w:t>
      </w:r>
      <w:r>
        <w:rPr/>
        <w:t>que</w:t>
      </w:r>
      <w:r>
        <w:rPr>
          <w:spacing w:val="-17"/>
        </w:rPr>
        <w:t> </w:t>
      </w:r>
      <w:r>
        <w:rPr/>
        <w:t>el</w:t>
      </w:r>
      <w:r>
        <w:rPr>
          <w:spacing w:val="-15"/>
        </w:rPr>
        <w:t> </w:t>
      </w:r>
      <w:r>
        <w:rPr/>
        <w:t>producto</w:t>
      </w:r>
      <w:r>
        <w:rPr>
          <w:spacing w:val="-15"/>
        </w:rPr>
        <w:t> </w:t>
      </w:r>
      <w:r>
        <w:rPr/>
        <w:t>de</w:t>
      </w:r>
      <w:r>
        <w:rPr>
          <w:spacing w:val="-17"/>
        </w:rPr>
        <w:t> </w:t>
      </w:r>
      <w:r>
        <w:rPr/>
        <w:t>la</w:t>
      </w:r>
      <w:r>
        <w:rPr>
          <w:spacing w:val="-17"/>
        </w:rPr>
        <w:t> </w:t>
      </w:r>
      <w:r>
        <w:rPr/>
        <w:t>automotriz</w:t>
      </w:r>
      <w:r>
        <w:rPr>
          <w:spacing w:val="-15"/>
        </w:rPr>
        <w:t> </w:t>
      </w:r>
      <w:r>
        <w:rPr/>
        <w:t>proporciona</w:t>
      </w:r>
      <w:r>
        <w:rPr>
          <w:spacing w:val="-16"/>
        </w:rPr>
        <w:t> </w:t>
      </w:r>
      <w:r>
        <w:rPr/>
        <w:t>información</w:t>
      </w:r>
      <w:r>
        <w:rPr>
          <w:spacing w:val="-15"/>
        </w:rPr>
        <w:t> </w:t>
      </w:r>
      <w:r>
        <w:rPr/>
        <w:t>importante que ayuda a explicar el comportamiento futuro del producto</w:t>
      </w:r>
      <w:r>
        <w:rPr>
          <w:spacing w:val="-9"/>
        </w:rPr>
        <w:t> </w:t>
      </w:r>
      <w:r>
        <w:rPr/>
        <w:t>manufacturero.</w:t>
      </w:r>
    </w:p>
    <w:p>
      <w:pPr>
        <w:pStyle w:val="BodyText"/>
        <w:spacing w:before="5"/>
        <w:rPr>
          <w:sz w:val="21"/>
        </w:rPr>
      </w:pPr>
    </w:p>
    <w:p>
      <w:pPr>
        <w:pStyle w:val="BodyText"/>
        <w:spacing w:line="360" w:lineRule="auto"/>
        <w:ind w:left="102" w:right="116"/>
        <w:jc w:val="both"/>
      </w:pPr>
      <w:r>
        <w:rPr/>
        <w:t>Asimismo a partir de la estimación del análisis de impulso respuesta </w:t>
      </w:r>
      <w:r>
        <w:rPr>
          <w:spacing w:val="4"/>
        </w:rPr>
        <w:t>se </w:t>
      </w:r>
      <w:r>
        <w:rPr/>
        <w:t>puede argumentar que</w:t>
      </w:r>
      <w:r>
        <w:rPr>
          <w:spacing w:val="-13"/>
        </w:rPr>
        <w:t> </w:t>
      </w:r>
      <w:r>
        <w:rPr/>
        <w:t>la</w:t>
      </w:r>
      <w:r>
        <w:rPr>
          <w:spacing w:val="-13"/>
        </w:rPr>
        <w:t> </w:t>
      </w:r>
      <w:r>
        <w:rPr/>
        <w:t>dinámica</w:t>
      </w:r>
      <w:r>
        <w:rPr>
          <w:spacing w:val="-13"/>
        </w:rPr>
        <w:t> </w:t>
      </w:r>
      <w:r>
        <w:rPr/>
        <w:t>de</w:t>
      </w:r>
      <w:r>
        <w:rPr>
          <w:spacing w:val="-13"/>
        </w:rPr>
        <w:t> </w:t>
      </w:r>
      <w:r>
        <w:rPr/>
        <w:t>crecimiento</w:t>
      </w:r>
      <w:r>
        <w:rPr>
          <w:spacing w:val="-12"/>
        </w:rPr>
        <w:t> </w:t>
      </w:r>
      <w:r>
        <w:rPr/>
        <w:t>de</w:t>
      </w:r>
      <w:r>
        <w:rPr>
          <w:spacing w:val="-13"/>
        </w:rPr>
        <w:t> </w:t>
      </w:r>
      <w:r>
        <w:rPr/>
        <w:t>la</w:t>
      </w:r>
      <w:r>
        <w:rPr>
          <w:spacing w:val="-12"/>
        </w:rPr>
        <w:t> </w:t>
      </w:r>
      <w:r>
        <w:rPr/>
        <w:t>producción</w:t>
      </w:r>
      <w:r>
        <w:rPr>
          <w:spacing w:val="-14"/>
        </w:rPr>
        <w:t> </w:t>
      </w:r>
      <w:r>
        <w:rPr/>
        <w:t>manufacturera,</w:t>
      </w:r>
      <w:r>
        <w:rPr>
          <w:spacing w:val="-12"/>
        </w:rPr>
        <w:t> </w:t>
      </w:r>
      <w:r>
        <w:rPr/>
        <w:t>responde</w:t>
      </w:r>
      <w:r>
        <w:rPr>
          <w:spacing w:val="-10"/>
        </w:rPr>
        <w:t> </w:t>
      </w:r>
      <w:r>
        <w:rPr/>
        <w:t>positivamente</w:t>
      </w:r>
      <w:r>
        <w:rPr>
          <w:spacing w:val="-13"/>
        </w:rPr>
        <w:t> </w:t>
      </w:r>
      <w:r>
        <w:rPr/>
        <w:t>ante innovaciones de la industria automotriz, tanto en términos de producción como de productividad aunque ésta última en un menor grado, además se encontró que las manufacturas</w:t>
      </w:r>
      <w:r>
        <w:rPr>
          <w:spacing w:val="-6"/>
        </w:rPr>
        <w:t> </w:t>
      </w:r>
      <w:r>
        <w:rPr/>
        <w:t>son</w:t>
      </w:r>
      <w:r>
        <w:rPr>
          <w:spacing w:val="-3"/>
        </w:rPr>
        <w:t> </w:t>
      </w:r>
      <w:r>
        <w:rPr/>
        <w:t>altamente</w:t>
      </w:r>
      <w:r>
        <w:rPr>
          <w:spacing w:val="-6"/>
        </w:rPr>
        <w:t> </w:t>
      </w:r>
      <w:r>
        <w:rPr/>
        <w:t>sensibles</w:t>
      </w:r>
      <w:r>
        <w:rPr>
          <w:spacing w:val="-4"/>
        </w:rPr>
        <w:t> </w:t>
      </w:r>
      <w:r>
        <w:rPr/>
        <w:t>a</w:t>
      </w:r>
      <w:r>
        <w:rPr>
          <w:spacing w:val="-7"/>
        </w:rPr>
        <w:t> </w:t>
      </w:r>
      <w:r>
        <w:rPr/>
        <w:t>la</w:t>
      </w:r>
      <w:r>
        <w:rPr>
          <w:spacing w:val="-4"/>
        </w:rPr>
        <w:t> </w:t>
      </w:r>
      <w:r>
        <w:rPr/>
        <w:t>actividad</w:t>
      </w:r>
      <w:r>
        <w:rPr>
          <w:spacing w:val="-6"/>
        </w:rPr>
        <w:t> </w:t>
      </w:r>
      <w:r>
        <w:rPr/>
        <w:t>industrial</w:t>
      </w:r>
      <w:r>
        <w:rPr>
          <w:spacing w:val="-6"/>
        </w:rPr>
        <w:t> </w:t>
      </w:r>
      <w:r>
        <w:rPr/>
        <w:t>de</w:t>
      </w:r>
      <w:r>
        <w:rPr>
          <w:spacing w:val="-5"/>
        </w:rPr>
        <w:t> </w:t>
      </w:r>
      <w:r>
        <w:rPr/>
        <w:t>Estados</w:t>
      </w:r>
      <w:r>
        <w:rPr>
          <w:spacing w:val="-7"/>
        </w:rPr>
        <w:t> </w:t>
      </w:r>
      <w:r>
        <w:rPr/>
        <w:t>Unidos</w:t>
      </w:r>
      <w:r>
        <w:rPr>
          <w:spacing w:val="-3"/>
        </w:rPr>
        <w:t> </w:t>
      </w:r>
      <w:r>
        <w:rPr/>
        <w:t>y</w:t>
      </w:r>
      <w:r>
        <w:rPr>
          <w:spacing w:val="-8"/>
        </w:rPr>
        <w:t> </w:t>
      </w:r>
      <w:r>
        <w:rPr/>
        <w:t>al</w:t>
      </w:r>
      <w:r>
        <w:rPr>
          <w:spacing w:val="-6"/>
        </w:rPr>
        <w:t> </w:t>
      </w:r>
      <w:r>
        <w:rPr/>
        <w:t>tipo</w:t>
      </w:r>
      <w:r>
        <w:rPr>
          <w:spacing w:val="-6"/>
        </w:rPr>
        <w:t> </w:t>
      </w:r>
      <w:r>
        <w:rPr/>
        <w:t>de cambio</w:t>
      </w:r>
      <w:r>
        <w:rPr>
          <w:spacing w:val="-12"/>
        </w:rPr>
        <w:t> </w:t>
      </w:r>
      <w:r>
        <w:rPr/>
        <w:t>real,</w:t>
      </w:r>
      <w:r>
        <w:rPr>
          <w:spacing w:val="-12"/>
        </w:rPr>
        <w:t> </w:t>
      </w:r>
      <w:r>
        <w:rPr/>
        <w:t>es</w:t>
      </w:r>
      <w:r>
        <w:rPr>
          <w:spacing w:val="-12"/>
        </w:rPr>
        <w:t> </w:t>
      </w:r>
      <w:r>
        <w:rPr/>
        <w:t>decir</w:t>
      </w:r>
      <w:r>
        <w:rPr>
          <w:spacing w:val="-12"/>
        </w:rPr>
        <w:t> </w:t>
      </w:r>
      <w:r>
        <w:rPr/>
        <w:t>los</w:t>
      </w:r>
      <w:r>
        <w:rPr>
          <w:spacing w:val="-11"/>
        </w:rPr>
        <w:t> </w:t>
      </w:r>
      <w:r>
        <w:rPr/>
        <w:t>choques</w:t>
      </w:r>
      <w:r>
        <w:rPr>
          <w:spacing w:val="-12"/>
        </w:rPr>
        <w:t> </w:t>
      </w:r>
      <w:r>
        <w:rPr/>
        <w:t>externos</w:t>
      </w:r>
      <w:r>
        <w:rPr>
          <w:spacing w:val="-12"/>
        </w:rPr>
        <w:t> </w:t>
      </w:r>
      <w:r>
        <w:rPr/>
        <w:t>generan</w:t>
      </w:r>
      <w:r>
        <w:rPr>
          <w:spacing w:val="-10"/>
        </w:rPr>
        <w:t> </w:t>
      </w:r>
      <w:r>
        <w:rPr/>
        <w:t>efectos</w:t>
      </w:r>
      <w:r>
        <w:rPr>
          <w:spacing w:val="-11"/>
        </w:rPr>
        <w:t> </w:t>
      </w:r>
      <w:r>
        <w:rPr/>
        <w:t>importantes</w:t>
      </w:r>
      <w:r>
        <w:rPr>
          <w:spacing w:val="-12"/>
        </w:rPr>
        <w:t> </w:t>
      </w:r>
      <w:r>
        <w:rPr/>
        <w:t>en</w:t>
      </w:r>
      <w:r>
        <w:rPr>
          <w:spacing w:val="-12"/>
        </w:rPr>
        <w:t> </w:t>
      </w:r>
      <w:r>
        <w:rPr/>
        <w:t>el</w:t>
      </w:r>
      <w:r>
        <w:rPr>
          <w:spacing w:val="-9"/>
        </w:rPr>
        <w:t> </w:t>
      </w:r>
      <w:r>
        <w:rPr/>
        <w:t>comportamiento de la manufactura nacional, debido a su vinculación con el mercado norteamericano y a que se trata de un sector altamente importador y exportador. Éste comportamiento se confirma con el análisis de descomposición de varianza, donde se observa el gran peso que tienen las variables externas en el sector manufacturero de</w:t>
      </w:r>
      <w:r>
        <w:rPr>
          <w:spacing w:val="-10"/>
        </w:rPr>
        <w:t> </w:t>
      </w:r>
      <w:r>
        <w:rPr/>
        <w:t>México.</w:t>
      </w:r>
    </w:p>
    <w:p>
      <w:pPr>
        <w:pStyle w:val="BodyText"/>
        <w:spacing w:before="4"/>
        <w:rPr>
          <w:sz w:val="21"/>
        </w:rPr>
      </w:pPr>
    </w:p>
    <w:p>
      <w:pPr>
        <w:pStyle w:val="BodyText"/>
        <w:spacing w:line="360" w:lineRule="auto" w:before="1"/>
        <w:ind w:left="102" w:right="116"/>
        <w:jc w:val="both"/>
      </w:pPr>
      <w:r>
        <w:rPr/>
        <w:t>Es importante aclarar que el hecho de que las variables de producción industrial de Estados Unidos y el tipo de cambio real expliquen en mayor medida el comportamiento de las manufacturas de México, no significa que la industria automotriz deje de ser representativa dentro del crecimiento manufacturero nacional, pues como se ha mostrado al interior del sector manufacturero dicha industria se ha consolidado como una de las más importantes derivado de  sus aportaciones al sector.</w:t>
      </w:r>
    </w:p>
    <w:p>
      <w:pPr>
        <w:spacing w:after="0" w:line="360" w:lineRule="auto"/>
        <w:jc w:val="both"/>
        <w:sectPr>
          <w:pgSz w:w="12240" w:h="15840"/>
          <w:pgMar w:header="0" w:footer="1035" w:top="1360" w:bottom="1220" w:left="1600" w:right="1580"/>
        </w:sectPr>
      </w:pPr>
    </w:p>
    <w:p>
      <w:pPr>
        <w:pStyle w:val="BodyText"/>
        <w:spacing w:line="360" w:lineRule="auto" w:before="50"/>
        <w:ind w:left="102" w:right="115"/>
        <w:jc w:val="both"/>
      </w:pPr>
      <w:r>
        <w:rPr/>
        <w:t>En general, el desarrollo de éste trabajo de investigación ha permitido dar respuesta a la pregunta</w:t>
      </w:r>
      <w:r>
        <w:rPr>
          <w:spacing w:val="-9"/>
        </w:rPr>
        <w:t> </w:t>
      </w:r>
      <w:r>
        <w:rPr/>
        <w:t>de</w:t>
      </w:r>
      <w:r>
        <w:rPr>
          <w:spacing w:val="-10"/>
        </w:rPr>
        <w:t> </w:t>
      </w:r>
      <w:r>
        <w:rPr/>
        <w:t>investigación,</w:t>
      </w:r>
      <w:r>
        <w:rPr>
          <w:spacing w:val="-7"/>
        </w:rPr>
        <w:t> </w:t>
      </w:r>
      <w:r>
        <w:rPr/>
        <w:t>la</w:t>
      </w:r>
      <w:r>
        <w:rPr>
          <w:spacing w:val="-9"/>
        </w:rPr>
        <w:t> </w:t>
      </w:r>
      <w:r>
        <w:rPr/>
        <w:t>cual</w:t>
      </w:r>
      <w:r>
        <w:rPr>
          <w:spacing w:val="-8"/>
        </w:rPr>
        <w:t> </w:t>
      </w:r>
      <w:r>
        <w:rPr/>
        <w:t>corresponde</w:t>
      </w:r>
      <w:r>
        <w:rPr>
          <w:spacing w:val="-10"/>
        </w:rPr>
        <w:t> </w:t>
      </w:r>
      <w:r>
        <w:rPr/>
        <w:t>a</w:t>
      </w:r>
      <w:r>
        <w:rPr>
          <w:spacing w:val="-10"/>
        </w:rPr>
        <w:t> </w:t>
      </w:r>
      <w:r>
        <w:rPr/>
        <w:t>que</w:t>
      </w:r>
      <w:r>
        <w:rPr>
          <w:spacing w:val="-10"/>
        </w:rPr>
        <w:t> </w:t>
      </w:r>
      <w:r>
        <w:rPr/>
        <w:t>la</w:t>
      </w:r>
      <w:r>
        <w:rPr>
          <w:spacing w:val="-9"/>
        </w:rPr>
        <w:t> </w:t>
      </w:r>
      <w:r>
        <w:rPr/>
        <w:t>industria</w:t>
      </w:r>
      <w:r>
        <w:rPr>
          <w:spacing w:val="-9"/>
        </w:rPr>
        <w:t> </w:t>
      </w:r>
      <w:r>
        <w:rPr/>
        <w:t>automotriz</w:t>
      </w:r>
      <w:r>
        <w:rPr>
          <w:spacing w:val="-7"/>
        </w:rPr>
        <w:t> </w:t>
      </w:r>
      <w:r>
        <w:rPr/>
        <w:t>ha</w:t>
      </w:r>
      <w:r>
        <w:rPr>
          <w:spacing w:val="-10"/>
        </w:rPr>
        <w:t> </w:t>
      </w:r>
      <w:r>
        <w:rPr/>
        <w:t>sido</w:t>
      </w:r>
      <w:r>
        <w:rPr>
          <w:spacing w:val="-8"/>
        </w:rPr>
        <w:t> </w:t>
      </w:r>
      <w:r>
        <w:rPr/>
        <w:t>un</w:t>
      </w:r>
      <w:r>
        <w:rPr>
          <w:spacing w:val="-9"/>
        </w:rPr>
        <w:t> </w:t>
      </w:r>
      <w:r>
        <w:rPr/>
        <w:t>sector estratégico en el crecimiento de la manufactura nacional y estatal. Asimismo se han alcanzado los objetivos planteados, todos con el propósito de analizar el desempeño de la industria automotriz y manufacturera a nivel nacional, regional y</w:t>
      </w:r>
      <w:r>
        <w:rPr>
          <w:spacing w:val="-9"/>
        </w:rPr>
        <w:t> </w:t>
      </w:r>
      <w:r>
        <w:rPr/>
        <w:t>estatal.</w:t>
      </w:r>
    </w:p>
    <w:p>
      <w:pPr>
        <w:pStyle w:val="BodyText"/>
        <w:spacing w:before="4"/>
        <w:rPr>
          <w:sz w:val="21"/>
        </w:rPr>
      </w:pPr>
    </w:p>
    <w:p>
      <w:pPr>
        <w:pStyle w:val="BodyText"/>
        <w:spacing w:line="360" w:lineRule="auto" w:before="1"/>
        <w:ind w:left="102" w:right="117"/>
        <w:jc w:val="both"/>
      </w:pPr>
      <w:r>
        <w:rPr/>
        <w:t>Lo anterior permitió validar la hipótesis propuesta en el sentido de que el crecimiento de la industria automotriz durante las últimas tres décadas ha sido determinante en el crecimiento del sector manufacturero de las entidades federativas donde se encuentra presente y en general de la manufactura nacional.</w:t>
      </w:r>
    </w:p>
    <w:p>
      <w:pPr>
        <w:pStyle w:val="BodyText"/>
        <w:spacing w:before="4"/>
        <w:rPr>
          <w:sz w:val="21"/>
        </w:rPr>
      </w:pPr>
    </w:p>
    <w:p>
      <w:pPr>
        <w:pStyle w:val="BodyText"/>
        <w:spacing w:line="360" w:lineRule="auto" w:before="1"/>
        <w:ind w:left="102" w:right="118"/>
        <w:jc w:val="both"/>
      </w:pPr>
      <w:r>
        <w:rPr/>
        <w:t>Finalmente como </w:t>
      </w:r>
      <w:r>
        <w:rPr>
          <w:spacing w:val="-3"/>
        </w:rPr>
        <w:t>ya </w:t>
      </w:r>
      <w:r>
        <w:rPr/>
        <w:t>se mencionó las empresas automotrices asiáticas han logrado posicionarse</w:t>
      </w:r>
      <w:r>
        <w:rPr>
          <w:spacing w:val="-6"/>
        </w:rPr>
        <w:t> </w:t>
      </w:r>
      <w:r>
        <w:rPr/>
        <w:t>como</w:t>
      </w:r>
      <w:r>
        <w:rPr>
          <w:spacing w:val="-4"/>
        </w:rPr>
        <w:t> </w:t>
      </w:r>
      <w:r>
        <w:rPr/>
        <w:t>las</w:t>
      </w:r>
      <w:r>
        <w:rPr>
          <w:spacing w:val="-5"/>
        </w:rPr>
        <w:t> </w:t>
      </w:r>
      <w:r>
        <w:rPr/>
        <w:t>de</w:t>
      </w:r>
      <w:r>
        <w:rPr>
          <w:spacing w:val="-6"/>
        </w:rPr>
        <w:t> </w:t>
      </w:r>
      <w:r>
        <w:rPr/>
        <w:t>mayor</w:t>
      </w:r>
      <w:r>
        <w:rPr>
          <w:spacing w:val="-2"/>
        </w:rPr>
        <w:t> </w:t>
      </w:r>
      <w:r>
        <w:rPr/>
        <w:t>aceptación</w:t>
      </w:r>
      <w:r>
        <w:rPr>
          <w:spacing w:val="-4"/>
        </w:rPr>
        <w:t> </w:t>
      </w:r>
      <w:r>
        <w:rPr/>
        <w:t>entre</w:t>
      </w:r>
      <w:r>
        <w:rPr>
          <w:spacing w:val="-6"/>
        </w:rPr>
        <w:t> </w:t>
      </w:r>
      <w:r>
        <w:rPr/>
        <w:t>los</w:t>
      </w:r>
      <w:r>
        <w:rPr>
          <w:spacing w:val="-5"/>
        </w:rPr>
        <w:t> </w:t>
      </w:r>
      <w:r>
        <w:rPr/>
        <w:t>consumidores,</w:t>
      </w:r>
      <w:r>
        <w:rPr>
          <w:spacing w:val="-2"/>
        </w:rPr>
        <w:t> </w:t>
      </w:r>
      <w:r>
        <w:rPr/>
        <w:t>sin</w:t>
      </w:r>
      <w:r>
        <w:rPr>
          <w:spacing w:val="-4"/>
        </w:rPr>
        <w:t> </w:t>
      </w:r>
      <w:r>
        <w:rPr/>
        <w:t>embargo</w:t>
      </w:r>
      <w:r>
        <w:rPr>
          <w:spacing w:val="-6"/>
        </w:rPr>
        <w:t> </w:t>
      </w:r>
      <w:r>
        <w:rPr/>
        <w:t>en</w:t>
      </w:r>
      <w:r>
        <w:rPr>
          <w:spacing w:val="-5"/>
        </w:rPr>
        <w:t> </w:t>
      </w:r>
      <w:r>
        <w:rPr/>
        <w:t>México, la mayor parte de la producción terminal y de autopartes pertenece a las empresas estadounidenses, por lo tanto se debe apostar por atraer más y nuevas inversiones asiáticas, lo que requerirá aprender nuevos esquemas de negociación y abastecimiento así como el manejo de nuevas tecnologías de proceso, con ello la capacitación de los recursos humanos del país jugará un papel importante, por lo que se requiere la vinculación de esfuerzos de empresas,</w:t>
      </w:r>
      <w:r>
        <w:rPr>
          <w:spacing w:val="-7"/>
        </w:rPr>
        <w:t> </w:t>
      </w:r>
      <w:r>
        <w:rPr/>
        <w:t>gobierno</w:t>
      </w:r>
      <w:r>
        <w:rPr>
          <w:spacing w:val="-7"/>
        </w:rPr>
        <w:t> </w:t>
      </w:r>
      <w:r>
        <w:rPr/>
        <w:t>e</w:t>
      </w:r>
      <w:r>
        <w:rPr>
          <w:spacing w:val="-8"/>
        </w:rPr>
        <w:t> </w:t>
      </w:r>
      <w:r>
        <w:rPr/>
        <w:t>instituciones</w:t>
      </w:r>
      <w:r>
        <w:rPr>
          <w:spacing w:val="-8"/>
        </w:rPr>
        <w:t> </w:t>
      </w:r>
      <w:r>
        <w:rPr/>
        <w:t>académicas</w:t>
      </w:r>
      <w:r>
        <w:rPr>
          <w:spacing w:val="-5"/>
        </w:rPr>
        <w:t> </w:t>
      </w:r>
      <w:r>
        <w:rPr/>
        <w:t>que</w:t>
      </w:r>
      <w:r>
        <w:rPr>
          <w:spacing w:val="-8"/>
        </w:rPr>
        <w:t> </w:t>
      </w:r>
      <w:r>
        <w:rPr/>
        <w:t>permitan</w:t>
      </w:r>
      <w:r>
        <w:rPr>
          <w:spacing w:val="-7"/>
        </w:rPr>
        <w:t> </w:t>
      </w:r>
      <w:r>
        <w:rPr/>
        <w:t>generar</w:t>
      </w:r>
      <w:r>
        <w:rPr>
          <w:spacing w:val="-8"/>
        </w:rPr>
        <w:t> </w:t>
      </w:r>
      <w:r>
        <w:rPr/>
        <w:t>planes</w:t>
      </w:r>
      <w:r>
        <w:rPr>
          <w:spacing w:val="-5"/>
        </w:rPr>
        <w:t> </w:t>
      </w:r>
      <w:r>
        <w:rPr/>
        <w:t>integrales</w:t>
      </w:r>
      <w:r>
        <w:rPr>
          <w:spacing w:val="-8"/>
        </w:rPr>
        <w:t> </w:t>
      </w:r>
      <w:r>
        <w:rPr/>
        <w:t>en</w:t>
      </w:r>
      <w:r>
        <w:rPr>
          <w:spacing w:val="-7"/>
        </w:rPr>
        <w:t> </w:t>
      </w:r>
      <w:r>
        <w:rPr/>
        <w:t>pro del desarrollo de la industria automotriz, que a largo plazo mejoraran el nivel de conocimiento y competitividad del</w:t>
      </w:r>
      <w:r>
        <w:rPr>
          <w:spacing w:val="-6"/>
        </w:rPr>
        <w:t> </w:t>
      </w:r>
      <w:r>
        <w:rPr/>
        <w:t>país.</w:t>
      </w:r>
    </w:p>
    <w:p>
      <w:pPr>
        <w:pStyle w:val="BodyText"/>
        <w:spacing w:before="4"/>
        <w:rPr>
          <w:sz w:val="21"/>
        </w:rPr>
      </w:pPr>
    </w:p>
    <w:p>
      <w:pPr>
        <w:pStyle w:val="BodyText"/>
        <w:spacing w:line="360" w:lineRule="auto" w:before="1"/>
        <w:ind w:left="102" w:right="116"/>
        <w:jc w:val="both"/>
      </w:pPr>
      <w:r>
        <w:rPr/>
        <w:t>Se</w:t>
      </w:r>
      <w:r>
        <w:rPr>
          <w:spacing w:val="-5"/>
        </w:rPr>
        <w:t> </w:t>
      </w:r>
      <w:r>
        <w:rPr/>
        <w:t>espera</w:t>
      </w:r>
      <w:r>
        <w:rPr>
          <w:spacing w:val="-6"/>
        </w:rPr>
        <w:t> </w:t>
      </w:r>
      <w:r>
        <w:rPr/>
        <w:t>que</w:t>
      </w:r>
      <w:r>
        <w:rPr>
          <w:spacing w:val="-5"/>
        </w:rPr>
        <w:t> </w:t>
      </w:r>
      <w:r>
        <w:rPr/>
        <w:t>el</w:t>
      </w:r>
      <w:r>
        <w:rPr>
          <w:spacing w:val="-3"/>
        </w:rPr>
        <w:t> </w:t>
      </w:r>
      <w:r>
        <w:rPr/>
        <w:t>sector</w:t>
      </w:r>
      <w:r>
        <w:rPr>
          <w:spacing w:val="-4"/>
        </w:rPr>
        <w:t> </w:t>
      </w:r>
      <w:r>
        <w:rPr/>
        <w:t>automotriz</w:t>
      </w:r>
      <w:r>
        <w:rPr>
          <w:spacing w:val="-2"/>
        </w:rPr>
        <w:t> </w:t>
      </w:r>
      <w:r>
        <w:rPr/>
        <w:t>de</w:t>
      </w:r>
      <w:r>
        <w:rPr>
          <w:spacing w:val="-5"/>
        </w:rPr>
        <w:t> </w:t>
      </w:r>
      <w:r>
        <w:rPr/>
        <w:t>México</w:t>
      </w:r>
      <w:r>
        <w:rPr>
          <w:spacing w:val="-4"/>
        </w:rPr>
        <w:t> </w:t>
      </w:r>
      <w:r>
        <w:rPr/>
        <w:t>siga</w:t>
      </w:r>
      <w:r>
        <w:rPr>
          <w:spacing w:val="-4"/>
        </w:rPr>
        <w:t> </w:t>
      </w:r>
      <w:r>
        <w:rPr/>
        <w:t>en</w:t>
      </w:r>
      <w:r>
        <w:rPr>
          <w:spacing w:val="-4"/>
        </w:rPr>
        <w:t> </w:t>
      </w:r>
      <w:r>
        <w:rPr/>
        <w:t>constante</w:t>
      </w:r>
      <w:r>
        <w:rPr>
          <w:spacing w:val="-1"/>
        </w:rPr>
        <w:t> </w:t>
      </w:r>
      <w:r>
        <w:rPr/>
        <w:t>crecimiento,</w:t>
      </w:r>
      <w:r>
        <w:rPr>
          <w:spacing w:val="-4"/>
        </w:rPr>
        <w:t> </w:t>
      </w:r>
      <w:r>
        <w:rPr/>
        <w:t>pues</w:t>
      </w:r>
      <w:r>
        <w:rPr>
          <w:spacing w:val="-4"/>
        </w:rPr>
        <w:t> </w:t>
      </w:r>
      <w:r>
        <w:rPr/>
        <w:t>las</w:t>
      </w:r>
      <w:r>
        <w:rPr>
          <w:spacing w:val="-4"/>
        </w:rPr>
        <w:t> </w:t>
      </w:r>
      <w:r>
        <w:rPr/>
        <w:t>nuevas inversiones anunciadas tanto en la industria terminal como de autopartes en estados como Guanajuato, Jalisco y Chihuahua sin duda impactarán de forma positiva en el comportamiento de la industria automotriz y en consecuencia en la manufactura</w:t>
      </w:r>
      <w:r>
        <w:rPr>
          <w:spacing w:val="-14"/>
        </w:rPr>
        <w:t> </w:t>
      </w:r>
      <w:r>
        <w:rPr/>
        <w:t>regional.</w:t>
      </w:r>
    </w:p>
    <w:p>
      <w:pPr>
        <w:pStyle w:val="BodyText"/>
        <w:spacing w:before="4"/>
        <w:rPr>
          <w:sz w:val="21"/>
        </w:rPr>
      </w:pPr>
    </w:p>
    <w:p>
      <w:pPr>
        <w:pStyle w:val="BodyText"/>
        <w:spacing w:line="360" w:lineRule="auto" w:before="1"/>
        <w:ind w:left="102" w:right="116"/>
        <w:jc w:val="both"/>
      </w:pPr>
      <w:r>
        <w:rPr/>
        <w:t>Quedan pendientes diversas líneas de investigación respecto a la industria automotriz, entre ellas se tendrán que analizar los efectos reales que tienen las exportaciones de productos automotrices contraste con las importaciones sobre la producción manufacturera y nacional, se deberá ahondar más en el tema de la especialización productiva y competitividad de la industria de autopartes y sobre todo se tendrá que profundizar en el análisis de los encadenamientos productivos con otras industrias para conocer en qué medida las empresas</w:t>
      </w:r>
    </w:p>
    <w:p>
      <w:pPr>
        <w:spacing w:after="0" w:line="360" w:lineRule="auto"/>
        <w:jc w:val="both"/>
        <w:sectPr>
          <w:footerReference w:type="default" r:id="rId78"/>
          <w:pgSz w:w="12240" w:h="15840"/>
          <w:pgMar w:footer="1035" w:header="0" w:top="1360" w:bottom="1220" w:left="1600" w:right="1580"/>
          <w:pgNumType w:start="169"/>
        </w:sectPr>
      </w:pPr>
    </w:p>
    <w:p>
      <w:pPr>
        <w:pStyle w:val="BodyText"/>
        <w:spacing w:line="360" w:lineRule="auto" w:before="50"/>
        <w:ind w:left="102" w:right="119"/>
      </w:pPr>
      <w:r>
        <w:rPr/>
        <w:t>automotrices nacionales se integran a los procesos productivos de la industria automotriz mundial.</w:t>
      </w:r>
    </w:p>
    <w:p>
      <w:pPr>
        <w:spacing w:after="0" w:line="360" w:lineRule="auto"/>
        <w:sectPr>
          <w:pgSz w:w="12240" w:h="15840"/>
          <w:pgMar w:header="0" w:footer="1035" w:top="1360" w:bottom="1220" w:left="1600" w:right="1580"/>
        </w:sectPr>
      </w:pPr>
    </w:p>
    <w:p>
      <w:pPr>
        <w:pStyle w:val="Heading1"/>
        <w:spacing w:before="55"/>
        <w:ind w:right="397"/>
        <w:jc w:val="center"/>
      </w:pPr>
      <w:bookmarkStart w:name="_TOC_250001" w:id="34"/>
      <w:bookmarkEnd w:id="34"/>
      <w:r>
        <w:rPr/>
        <w:t>BIBLIOGRAFÍA</w:t>
      </w:r>
    </w:p>
    <w:p>
      <w:pPr>
        <w:pStyle w:val="BodyText"/>
        <w:spacing w:before="6"/>
        <w:rPr>
          <w:b/>
          <w:sz w:val="32"/>
        </w:rPr>
      </w:pPr>
    </w:p>
    <w:p>
      <w:pPr>
        <w:spacing w:before="0"/>
        <w:ind w:left="102" w:right="0" w:firstLine="0"/>
        <w:jc w:val="both"/>
        <w:rPr>
          <w:sz w:val="24"/>
        </w:rPr>
      </w:pPr>
      <w:r>
        <w:rPr>
          <w:sz w:val="24"/>
        </w:rPr>
        <w:t>Agenor, R. (2000). </w:t>
      </w:r>
      <w:r>
        <w:rPr>
          <w:i/>
          <w:sz w:val="24"/>
        </w:rPr>
        <w:t>The Economics of Adjustment and Growth</w:t>
      </w:r>
      <w:r>
        <w:rPr>
          <w:sz w:val="24"/>
        </w:rPr>
        <w:t>, Academic Press, Londres.</w:t>
      </w:r>
    </w:p>
    <w:p>
      <w:pPr>
        <w:pStyle w:val="BodyText"/>
        <w:spacing w:before="8"/>
        <w:rPr>
          <w:sz w:val="32"/>
        </w:rPr>
      </w:pPr>
    </w:p>
    <w:p>
      <w:pPr>
        <w:pStyle w:val="BodyText"/>
        <w:spacing w:line="360" w:lineRule="auto" w:before="1"/>
        <w:ind w:left="102" w:right="118"/>
        <w:jc w:val="both"/>
      </w:pPr>
      <w:r>
        <w:rPr/>
        <w:t>Alonso, C. y Fracchia, E. (2009). “El emprendedor Shchumepeteriano. Aportes a la teoría económica moderna”. ANALES Asociación Argentina de Economía Política XLIV,</w:t>
      </w:r>
      <w:r>
        <w:rPr>
          <w:spacing w:val="-20"/>
        </w:rPr>
        <w:t> </w:t>
      </w:r>
      <w:r>
        <w:rPr/>
        <w:t>agosto- noviembre.</w:t>
      </w:r>
    </w:p>
    <w:p>
      <w:pPr>
        <w:pStyle w:val="BodyText"/>
        <w:spacing w:before="5"/>
        <w:rPr>
          <w:sz w:val="21"/>
        </w:rPr>
      </w:pPr>
    </w:p>
    <w:p>
      <w:pPr>
        <w:pStyle w:val="BodyText"/>
        <w:spacing w:line="360" w:lineRule="auto"/>
        <w:ind w:left="102" w:right="115"/>
        <w:jc w:val="both"/>
      </w:pPr>
      <w:r>
        <w:rPr/>
        <w:t>Álvarez, L. (2002). “Cambios en la industria automotriz frente a la globalización: el sector autopartes en México”, </w:t>
      </w:r>
      <w:r>
        <w:rPr>
          <w:i/>
        </w:rPr>
        <w:t>Revista Contaduría y Administración</w:t>
      </w:r>
      <w:r>
        <w:rPr/>
        <w:t>, núm. 206.julio- septiembre.</w:t>
      </w:r>
    </w:p>
    <w:p>
      <w:pPr>
        <w:pStyle w:val="BodyText"/>
        <w:spacing w:before="4"/>
        <w:rPr>
          <w:sz w:val="21"/>
        </w:rPr>
      </w:pPr>
    </w:p>
    <w:p>
      <w:pPr>
        <w:pStyle w:val="BodyText"/>
        <w:spacing w:line="360" w:lineRule="auto" w:before="1"/>
        <w:ind w:left="102" w:right="115"/>
        <w:jc w:val="both"/>
      </w:pPr>
      <w:r>
        <w:rPr/>
        <w:t>AMIA (2014). Página principal de la Asociación Mexicana de la Industria</w:t>
      </w:r>
      <w:r>
        <w:rPr>
          <w:spacing w:val="-40"/>
        </w:rPr>
        <w:t> </w:t>
      </w:r>
      <w:r>
        <w:rPr/>
        <w:t>Automotriz, A.C. México. Disponible en</w:t>
      </w:r>
      <w:r>
        <w:rPr>
          <w:spacing w:val="-7"/>
        </w:rPr>
        <w:t> </w:t>
      </w:r>
      <w:r>
        <w:rPr>
          <w:u w:val="single"/>
        </w:rPr>
        <w:t>&lt;</w:t>
      </w:r>
      <w:hyperlink r:id="rId79">
        <w:r>
          <w:rPr>
            <w:u w:val="single"/>
          </w:rPr>
          <w:t>http://www.amia.com.mx&gt;</w:t>
        </w:r>
      </w:hyperlink>
    </w:p>
    <w:p>
      <w:pPr>
        <w:pStyle w:val="BodyText"/>
        <w:spacing w:before="4"/>
        <w:rPr>
          <w:sz w:val="15"/>
        </w:rPr>
      </w:pPr>
    </w:p>
    <w:p>
      <w:pPr>
        <w:pStyle w:val="BodyText"/>
        <w:spacing w:line="360" w:lineRule="auto" w:before="70"/>
        <w:ind w:left="102" w:right="274"/>
      </w:pPr>
      <w:r>
        <w:rPr/>
        <w:t>Antunez, C. (2010). </w:t>
      </w:r>
      <w:r>
        <w:rPr>
          <w:i/>
        </w:rPr>
        <w:t>Crecimiento económico</w:t>
      </w:r>
      <w:r>
        <w:rPr/>
        <w:t>, Edición electrónica gratuita. Texto completo en </w:t>
      </w:r>
      <w:hyperlink r:id="rId80">
        <w:r>
          <w:rPr/>
          <w:t>www.eumed.net/libros/2010d/761/</w:t>
        </w:r>
      </w:hyperlink>
    </w:p>
    <w:p>
      <w:pPr>
        <w:pStyle w:val="BodyText"/>
        <w:spacing w:before="5"/>
        <w:rPr>
          <w:sz w:val="21"/>
        </w:rPr>
      </w:pPr>
    </w:p>
    <w:p>
      <w:pPr>
        <w:pStyle w:val="BodyText"/>
        <w:spacing w:line="360" w:lineRule="auto"/>
        <w:ind w:left="102" w:right="121"/>
        <w:jc w:val="both"/>
      </w:pPr>
      <w:r>
        <w:rPr/>
        <w:t>Arias,</w:t>
      </w:r>
      <w:r>
        <w:rPr>
          <w:spacing w:val="-7"/>
        </w:rPr>
        <w:t> </w:t>
      </w:r>
      <w:r>
        <w:rPr/>
        <w:t>E.</w:t>
      </w:r>
      <w:r>
        <w:rPr>
          <w:spacing w:val="-1"/>
        </w:rPr>
        <w:t> </w:t>
      </w:r>
      <w:r>
        <w:rPr/>
        <w:t>y</w:t>
      </w:r>
      <w:r>
        <w:rPr>
          <w:spacing w:val="-11"/>
        </w:rPr>
        <w:t> </w:t>
      </w:r>
      <w:r>
        <w:rPr/>
        <w:t>Torres</w:t>
      </w:r>
      <w:r>
        <w:rPr>
          <w:spacing w:val="-4"/>
        </w:rPr>
        <w:t> </w:t>
      </w:r>
      <w:r>
        <w:rPr/>
        <w:t>G.</w:t>
      </w:r>
      <w:r>
        <w:rPr>
          <w:spacing w:val="-7"/>
        </w:rPr>
        <w:t> </w:t>
      </w:r>
      <w:r>
        <w:rPr/>
        <w:t>(2004).</w:t>
      </w:r>
      <w:r>
        <w:rPr>
          <w:spacing w:val="-7"/>
        </w:rPr>
        <w:t> </w:t>
      </w:r>
      <w:r>
        <w:rPr/>
        <w:t>“Modelos</w:t>
      </w:r>
      <w:r>
        <w:rPr>
          <w:spacing w:val="-6"/>
        </w:rPr>
        <w:t> </w:t>
      </w:r>
      <w:r>
        <w:rPr/>
        <w:t>VR</w:t>
      </w:r>
      <w:r>
        <w:rPr>
          <w:spacing w:val="-1"/>
        </w:rPr>
        <w:t> </w:t>
      </w:r>
      <w:r>
        <w:rPr/>
        <w:t>y</w:t>
      </w:r>
      <w:r>
        <w:rPr>
          <w:spacing w:val="-8"/>
        </w:rPr>
        <w:t> </w:t>
      </w:r>
      <w:r>
        <w:rPr/>
        <w:t>VECM</w:t>
      </w:r>
      <w:r>
        <w:rPr>
          <w:spacing w:val="-6"/>
        </w:rPr>
        <w:t> </w:t>
      </w:r>
      <w:r>
        <w:rPr/>
        <w:t>para</w:t>
      </w:r>
      <w:r>
        <w:rPr>
          <w:spacing w:val="-6"/>
        </w:rPr>
        <w:t> </w:t>
      </w:r>
      <w:r>
        <w:rPr/>
        <w:t>el</w:t>
      </w:r>
      <w:r>
        <w:rPr>
          <w:spacing w:val="-4"/>
        </w:rPr>
        <w:t> </w:t>
      </w:r>
      <w:r>
        <w:rPr/>
        <w:t>pronóstico</w:t>
      </w:r>
      <w:r>
        <w:rPr>
          <w:spacing w:val="-6"/>
        </w:rPr>
        <w:t> </w:t>
      </w:r>
      <w:r>
        <w:rPr/>
        <w:t>de</w:t>
      </w:r>
      <w:r>
        <w:rPr>
          <w:spacing w:val="-5"/>
        </w:rPr>
        <w:t> </w:t>
      </w:r>
      <w:r>
        <w:rPr/>
        <w:t>corto</w:t>
      </w:r>
      <w:r>
        <w:rPr>
          <w:spacing w:val="-6"/>
        </w:rPr>
        <w:t> </w:t>
      </w:r>
      <w:r>
        <w:rPr/>
        <w:t>plazo</w:t>
      </w:r>
      <w:r>
        <w:rPr>
          <w:spacing w:val="-6"/>
        </w:rPr>
        <w:t> </w:t>
      </w:r>
      <w:r>
        <w:rPr/>
        <w:t>de</w:t>
      </w:r>
      <w:r>
        <w:rPr>
          <w:spacing w:val="-7"/>
        </w:rPr>
        <w:t> </w:t>
      </w:r>
      <w:r>
        <w:rPr/>
        <w:t>las importaciones de Costa Rica”. Documento de investigación, Departamento de investigaciones económicas, Banco Central de Costa Rica, Costa</w:t>
      </w:r>
      <w:r>
        <w:rPr>
          <w:spacing w:val="-11"/>
        </w:rPr>
        <w:t> </w:t>
      </w:r>
      <w:r>
        <w:rPr/>
        <w:t>Rica.</w:t>
      </w:r>
    </w:p>
    <w:p>
      <w:pPr>
        <w:pStyle w:val="BodyText"/>
        <w:spacing w:before="2"/>
        <w:rPr>
          <w:sz w:val="21"/>
        </w:rPr>
      </w:pPr>
    </w:p>
    <w:p>
      <w:pPr>
        <w:pStyle w:val="BodyText"/>
        <w:spacing w:line="360" w:lineRule="auto"/>
        <w:ind w:left="102" w:right="115"/>
        <w:jc w:val="both"/>
      </w:pPr>
      <w:r>
        <w:rPr/>
        <w:t>Barro R. y Sala-i- Martin, X. (2009). </w:t>
      </w:r>
      <w:r>
        <w:rPr>
          <w:i/>
        </w:rPr>
        <w:t>Crecimiento Económico</w:t>
      </w:r>
      <w:r>
        <w:rPr/>
        <w:t>. Edición en español, editorial Reverte, Barcelona, España.</w:t>
      </w:r>
    </w:p>
    <w:p>
      <w:pPr>
        <w:pStyle w:val="BodyText"/>
        <w:spacing w:before="2"/>
        <w:rPr>
          <w:sz w:val="21"/>
        </w:rPr>
      </w:pPr>
    </w:p>
    <w:p>
      <w:pPr>
        <w:pStyle w:val="BodyText"/>
        <w:spacing w:line="362" w:lineRule="auto"/>
        <w:ind w:left="102" w:right="117"/>
        <w:jc w:val="both"/>
      </w:pPr>
      <w:r>
        <w:rPr/>
        <w:t>Basurto, R. (2013). “Estructura y recomposición de la industria automotriz mundial. Oportunidades y perspectivas para México”, </w:t>
      </w:r>
      <w:r>
        <w:rPr>
          <w:i/>
        </w:rPr>
        <w:t>EconomíaUNAM</w:t>
      </w:r>
      <w:r>
        <w:rPr/>
        <w:t>, vol. 10, núm 30, pp. 75-92.</w:t>
      </w:r>
    </w:p>
    <w:p>
      <w:pPr>
        <w:pStyle w:val="BodyText"/>
        <w:spacing w:before="11"/>
        <w:rPr>
          <w:sz w:val="20"/>
        </w:rPr>
      </w:pPr>
    </w:p>
    <w:p>
      <w:pPr>
        <w:pStyle w:val="BodyText"/>
        <w:spacing w:line="360" w:lineRule="auto"/>
        <w:ind w:left="102" w:right="114"/>
        <w:jc w:val="both"/>
      </w:pPr>
      <w:r>
        <w:rPr/>
        <w:t>Becerril, D. (2013). “Industria automotriz, con 60 proveedores Tier 1”, </w:t>
      </w:r>
      <w:r>
        <w:rPr>
          <w:i/>
        </w:rPr>
        <w:t>El Economista</w:t>
      </w:r>
      <w:r>
        <w:rPr/>
        <w:t>, 7 de mayo. Disponible en </w:t>
      </w:r>
      <w:hyperlink r:id="rId81">
        <w:r>
          <w:rPr>
            <w:u w:val="single"/>
          </w:rPr>
          <w:t>http://eleconomista.com.mx/estados/2013/05/07/industria-automotriz-</w:t>
        </w:r>
      </w:hyperlink>
      <w:r>
        <w:rPr>
          <w:u w:val="single"/>
        </w:rPr>
        <w:t> </w:t>
      </w:r>
      <w:hyperlink r:id="rId81">
        <w:r>
          <w:rPr>
            <w:u w:val="single"/>
          </w:rPr>
          <w:t>60-proveedores-tier -1</w:t>
        </w:r>
      </w:hyperlink>
    </w:p>
    <w:p>
      <w:pPr>
        <w:pStyle w:val="BodyText"/>
        <w:spacing w:before="4"/>
        <w:rPr>
          <w:sz w:val="15"/>
        </w:rPr>
      </w:pPr>
    </w:p>
    <w:p>
      <w:pPr>
        <w:pStyle w:val="BodyText"/>
        <w:spacing w:line="360" w:lineRule="auto" w:before="70"/>
        <w:ind w:left="102" w:right="119"/>
      </w:pPr>
      <w:r>
        <w:rPr/>
        <w:t>Carbajal, Y. (2010). “Sector automotriz: reestructuración tecnológica y reconfiguración del mercado mundial”, </w:t>
      </w:r>
      <w:r>
        <w:rPr>
          <w:i/>
        </w:rPr>
        <w:t>Paradigma Económico</w:t>
      </w:r>
      <w:r>
        <w:rPr/>
        <w:t>, año 2, núm. 1, enero-junio, pp. 24-52.</w:t>
      </w:r>
    </w:p>
    <w:p>
      <w:pPr>
        <w:spacing w:after="0" w:line="360" w:lineRule="auto"/>
        <w:sectPr>
          <w:pgSz w:w="12240" w:h="15840"/>
          <w:pgMar w:header="0" w:footer="1035" w:top="1360" w:bottom="1220" w:left="1600" w:right="1580"/>
        </w:sectPr>
      </w:pPr>
    </w:p>
    <w:p>
      <w:pPr>
        <w:pStyle w:val="BodyText"/>
        <w:spacing w:line="360" w:lineRule="auto" w:before="50"/>
        <w:ind w:left="102" w:right="117"/>
        <w:jc w:val="both"/>
      </w:pPr>
      <w:r>
        <w:rPr/>
        <w:t>Carbajal,</w:t>
      </w:r>
      <w:r>
        <w:rPr>
          <w:spacing w:val="-6"/>
        </w:rPr>
        <w:t> </w:t>
      </w:r>
      <w:r>
        <w:rPr/>
        <w:t>Y.</w:t>
      </w:r>
      <w:r>
        <w:rPr>
          <w:spacing w:val="-5"/>
        </w:rPr>
        <w:t> </w:t>
      </w:r>
      <w:r>
        <w:rPr/>
        <w:t>(2012).</w:t>
      </w:r>
      <w:r>
        <w:rPr>
          <w:spacing w:val="-5"/>
        </w:rPr>
        <w:t> </w:t>
      </w:r>
      <w:r>
        <w:rPr/>
        <w:t>“El</w:t>
      </w:r>
      <w:r>
        <w:rPr>
          <w:spacing w:val="-6"/>
        </w:rPr>
        <w:t> </w:t>
      </w:r>
      <w:r>
        <w:rPr/>
        <w:t>sector</w:t>
      </w:r>
      <w:r>
        <w:rPr>
          <w:spacing w:val="-4"/>
        </w:rPr>
        <w:t> </w:t>
      </w:r>
      <w:r>
        <w:rPr/>
        <w:t>automotriz</w:t>
      </w:r>
      <w:r>
        <w:rPr>
          <w:spacing w:val="-5"/>
        </w:rPr>
        <w:t> </w:t>
      </w:r>
      <w:r>
        <w:rPr/>
        <w:t>en</w:t>
      </w:r>
      <w:r>
        <w:rPr>
          <w:spacing w:val="-6"/>
        </w:rPr>
        <w:t> </w:t>
      </w:r>
      <w:r>
        <w:rPr/>
        <w:t>el</w:t>
      </w:r>
      <w:r>
        <w:rPr>
          <w:spacing w:val="-6"/>
        </w:rPr>
        <w:t> </w:t>
      </w:r>
      <w:r>
        <w:rPr/>
        <w:t>Estado</w:t>
      </w:r>
      <w:r>
        <w:rPr>
          <w:spacing w:val="-6"/>
        </w:rPr>
        <w:t> </w:t>
      </w:r>
      <w:r>
        <w:rPr/>
        <w:t>de</w:t>
      </w:r>
      <w:r>
        <w:rPr>
          <w:spacing w:val="-7"/>
        </w:rPr>
        <w:t> </w:t>
      </w:r>
      <w:r>
        <w:rPr/>
        <w:t>México.</w:t>
      </w:r>
      <w:r>
        <w:rPr>
          <w:spacing w:val="-7"/>
        </w:rPr>
        <w:t> </w:t>
      </w:r>
      <w:r>
        <w:rPr/>
        <w:t>Condiciones</w:t>
      </w:r>
      <w:r>
        <w:rPr>
          <w:spacing w:val="-1"/>
        </w:rPr>
        <w:t> </w:t>
      </w:r>
      <w:r>
        <w:rPr/>
        <w:t>y</w:t>
      </w:r>
      <w:r>
        <w:rPr>
          <w:spacing w:val="-7"/>
        </w:rPr>
        <w:t> </w:t>
      </w:r>
      <w:r>
        <w:rPr/>
        <w:t>retos</w:t>
      </w:r>
      <w:r>
        <w:rPr>
          <w:spacing w:val="-6"/>
        </w:rPr>
        <w:t> </w:t>
      </w:r>
      <w:r>
        <w:rPr/>
        <w:t>de</w:t>
      </w:r>
      <w:r>
        <w:rPr>
          <w:spacing w:val="-5"/>
        </w:rPr>
        <w:t> </w:t>
      </w:r>
      <w:r>
        <w:rPr/>
        <w:t>la cadena productiva”, </w:t>
      </w:r>
      <w:r>
        <w:rPr>
          <w:i/>
        </w:rPr>
        <w:t>Paradigma Económico</w:t>
      </w:r>
      <w:r>
        <w:rPr/>
        <w:t>, Vol. 4, núm. 2, Julio-diciembre. Facultad de Economía, Universidad Autónoma del Estado de México,</w:t>
      </w:r>
      <w:r>
        <w:rPr>
          <w:spacing w:val="-9"/>
        </w:rPr>
        <w:t> </w:t>
      </w:r>
      <w:r>
        <w:rPr/>
        <w:t>México.</w:t>
      </w:r>
    </w:p>
    <w:p>
      <w:pPr>
        <w:pStyle w:val="BodyText"/>
        <w:spacing w:before="4"/>
        <w:rPr>
          <w:sz w:val="21"/>
        </w:rPr>
      </w:pPr>
    </w:p>
    <w:p>
      <w:pPr>
        <w:spacing w:line="360" w:lineRule="auto" w:before="1"/>
        <w:ind w:left="102" w:right="120" w:firstLine="0"/>
        <w:jc w:val="both"/>
        <w:rPr>
          <w:sz w:val="24"/>
        </w:rPr>
      </w:pPr>
      <w:r>
        <w:rPr>
          <w:sz w:val="24"/>
        </w:rPr>
        <w:t>Carbajal, Y. (2013). </w:t>
      </w:r>
      <w:r>
        <w:rPr>
          <w:i/>
          <w:sz w:val="24"/>
        </w:rPr>
        <w:t>La competitividad de la industria automotriz en el Estado de México: </w:t>
      </w:r>
      <w:r>
        <w:rPr>
          <w:i/>
          <w:sz w:val="24"/>
        </w:rPr>
        <w:t>condiciones y retos de la cadena automotriz-autopartes</w:t>
      </w:r>
      <w:r>
        <w:rPr>
          <w:sz w:val="24"/>
        </w:rPr>
        <w:t>. Tesis de grado. Doctorado en Economía, Universidad Nacional Autónoma de México, Facultad de Economía.</w:t>
      </w:r>
    </w:p>
    <w:p>
      <w:pPr>
        <w:pStyle w:val="BodyText"/>
        <w:spacing w:before="3"/>
        <w:rPr>
          <w:sz w:val="21"/>
        </w:rPr>
      </w:pPr>
    </w:p>
    <w:p>
      <w:pPr>
        <w:spacing w:line="360" w:lineRule="auto" w:before="0"/>
        <w:ind w:left="102" w:right="117" w:firstLine="0"/>
        <w:jc w:val="both"/>
        <w:rPr>
          <w:sz w:val="24"/>
        </w:rPr>
      </w:pPr>
      <w:r>
        <w:rPr>
          <w:sz w:val="24"/>
        </w:rPr>
        <w:t>Carbajal</w:t>
      </w:r>
      <w:r>
        <w:rPr>
          <w:spacing w:val="-6"/>
          <w:sz w:val="24"/>
        </w:rPr>
        <w:t> </w:t>
      </w:r>
      <w:r>
        <w:rPr>
          <w:sz w:val="24"/>
        </w:rPr>
        <w:t>Y.</w:t>
      </w:r>
      <w:r>
        <w:rPr>
          <w:spacing w:val="-2"/>
          <w:sz w:val="24"/>
        </w:rPr>
        <w:t> </w:t>
      </w:r>
      <w:r>
        <w:rPr>
          <w:sz w:val="24"/>
        </w:rPr>
        <w:t>y</w:t>
      </w:r>
      <w:r>
        <w:rPr>
          <w:spacing w:val="-12"/>
          <w:sz w:val="24"/>
        </w:rPr>
        <w:t> </w:t>
      </w:r>
      <w:r>
        <w:rPr>
          <w:sz w:val="24"/>
        </w:rPr>
        <w:t>De</w:t>
      </w:r>
      <w:r>
        <w:rPr>
          <w:spacing w:val="-8"/>
          <w:sz w:val="24"/>
        </w:rPr>
        <w:t> </w:t>
      </w:r>
      <w:r>
        <w:rPr>
          <w:sz w:val="24"/>
        </w:rPr>
        <w:t>Jesús,</w:t>
      </w:r>
      <w:r>
        <w:rPr>
          <w:spacing w:val="-4"/>
          <w:sz w:val="24"/>
        </w:rPr>
        <w:t> </w:t>
      </w:r>
      <w:r>
        <w:rPr>
          <w:sz w:val="24"/>
        </w:rPr>
        <w:t>L.</w:t>
      </w:r>
      <w:r>
        <w:rPr>
          <w:spacing w:val="-6"/>
          <w:sz w:val="24"/>
        </w:rPr>
        <w:t> </w:t>
      </w:r>
      <w:r>
        <w:rPr>
          <w:sz w:val="24"/>
        </w:rPr>
        <w:t>(2013).</w:t>
      </w:r>
      <w:r>
        <w:rPr>
          <w:spacing w:val="-7"/>
          <w:sz w:val="24"/>
        </w:rPr>
        <w:t> </w:t>
      </w:r>
      <w:r>
        <w:rPr>
          <w:sz w:val="24"/>
        </w:rPr>
        <w:t>“El</w:t>
      </w:r>
      <w:r>
        <w:rPr>
          <w:spacing w:val="-6"/>
          <w:sz w:val="24"/>
        </w:rPr>
        <w:t> </w:t>
      </w:r>
      <w:r>
        <w:rPr>
          <w:sz w:val="24"/>
        </w:rPr>
        <w:t>sector</w:t>
      </w:r>
      <w:r>
        <w:rPr>
          <w:spacing w:val="-7"/>
          <w:sz w:val="24"/>
        </w:rPr>
        <w:t> </w:t>
      </w:r>
      <w:r>
        <w:rPr>
          <w:sz w:val="24"/>
        </w:rPr>
        <w:t>automotriz</w:t>
      </w:r>
      <w:r>
        <w:rPr>
          <w:spacing w:val="-5"/>
          <w:sz w:val="24"/>
        </w:rPr>
        <w:t> </w:t>
      </w:r>
      <w:r>
        <w:rPr>
          <w:sz w:val="24"/>
        </w:rPr>
        <w:t>en</w:t>
      </w:r>
      <w:r>
        <w:rPr>
          <w:spacing w:val="-6"/>
          <w:sz w:val="24"/>
        </w:rPr>
        <w:t> </w:t>
      </w:r>
      <w:r>
        <w:rPr>
          <w:sz w:val="24"/>
        </w:rPr>
        <w:t>México:</w:t>
      </w:r>
      <w:r>
        <w:rPr>
          <w:spacing w:val="-6"/>
          <w:sz w:val="24"/>
        </w:rPr>
        <w:t> </w:t>
      </w:r>
      <w:r>
        <w:rPr>
          <w:sz w:val="24"/>
        </w:rPr>
        <w:t>un</w:t>
      </w:r>
      <w:r>
        <w:rPr>
          <w:spacing w:val="-6"/>
          <w:sz w:val="24"/>
        </w:rPr>
        <w:t> </w:t>
      </w:r>
      <w:r>
        <w:rPr>
          <w:sz w:val="24"/>
        </w:rPr>
        <w:t>análisis</w:t>
      </w:r>
      <w:r>
        <w:rPr>
          <w:spacing w:val="-6"/>
          <w:sz w:val="24"/>
        </w:rPr>
        <w:t> </w:t>
      </w:r>
      <w:r>
        <w:rPr>
          <w:sz w:val="24"/>
        </w:rPr>
        <w:t>regional”,</w:t>
      </w:r>
      <w:r>
        <w:rPr>
          <w:spacing w:val="-6"/>
          <w:sz w:val="24"/>
        </w:rPr>
        <w:t> </w:t>
      </w:r>
      <w:r>
        <w:rPr>
          <w:sz w:val="24"/>
        </w:rPr>
        <w:t>en Pablo Mejía Reyes (coord.). </w:t>
      </w:r>
      <w:r>
        <w:rPr>
          <w:i/>
          <w:sz w:val="24"/>
        </w:rPr>
        <w:t>Fluctuaciones cíclicas y crecimiento económico en México</w:t>
      </w:r>
      <w:r>
        <w:rPr>
          <w:sz w:val="24"/>
        </w:rPr>
        <w:t>. México. Universidad Autónoma del Estado de México,</w:t>
      </w:r>
      <w:r>
        <w:rPr>
          <w:spacing w:val="-6"/>
          <w:sz w:val="24"/>
        </w:rPr>
        <w:t> </w:t>
      </w:r>
      <w:r>
        <w:rPr>
          <w:sz w:val="24"/>
        </w:rPr>
        <w:t>2013.</w:t>
      </w:r>
    </w:p>
    <w:p>
      <w:pPr>
        <w:pStyle w:val="BodyText"/>
        <w:spacing w:before="4"/>
        <w:rPr>
          <w:sz w:val="21"/>
        </w:rPr>
      </w:pPr>
    </w:p>
    <w:p>
      <w:pPr>
        <w:pStyle w:val="BodyText"/>
        <w:spacing w:line="360" w:lineRule="auto" w:before="1"/>
        <w:ind w:left="102" w:right="117"/>
        <w:jc w:val="both"/>
      </w:pPr>
      <w:r>
        <w:rPr/>
        <w:t>Carbajal, Y.; De Jesús, L. y Mejía P. (2013). “Efectos de la industria automotriz en la dinámica</w:t>
      </w:r>
      <w:r>
        <w:rPr>
          <w:spacing w:val="-17"/>
        </w:rPr>
        <w:t> </w:t>
      </w:r>
      <w:r>
        <w:rPr/>
        <w:t>productiva</w:t>
      </w:r>
      <w:r>
        <w:rPr>
          <w:spacing w:val="-17"/>
        </w:rPr>
        <w:t> </w:t>
      </w:r>
      <w:r>
        <w:rPr/>
        <w:t>en</w:t>
      </w:r>
      <w:r>
        <w:rPr>
          <w:spacing w:val="-16"/>
        </w:rPr>
        <w:t> </w:t>
      </w:r>
      <w:r>
        <w:rPr/>
        <w:t>cuatro</w:t>
      </w:r>
      <w:r>
        <w:rPr>
          <w:spacing w:val="-16"/>
        </w:rPr>
        <w:t> </w:t>
      </w:r>
      <w:r>
        <w:rPr/>
        <w:t>regiones</w:t>
      </w:r>
      <w:r>
        <w:rPr>
          <w:spacing w:val="-16"/>
        </w:rPr>
        <w:t> </w:t>
      </w:r>
      <w:r>
        <w:rPr/>
        <w:t>de</w:t>
      </w:r>
      <w:r>
        <w:rPr>
          <w:spacing w:val="-17"/>
        </w:rPr>
        <w:t> </w:t>
      </w:r>
      <w:r>
        <w:rPr/>
        <w:t>México,</w:t>
      </w:r>
      <w:r>
        <w:rPr>
          <w:spacing w:val="-16"/>
        </w:rPr>
        <w:t> </w:t>
      </w:r>
      <w:r>
        <w:rPr/>
        <w:t>XXXIX</w:t>
      </w:r>
      <w:r>
        <w:rPr>
          <w:spacing w:val="-16"/>
        </w:rPr>
        <w:t> </w:t>
      </w:r>
      <w:r>
        <w:rPr/>
        <w:t>Reunión</w:t>
      </w:r>
      <w:r>
        <w:rPr>
          <w:spacing w:val="-15"/>
        </w:rPr>
        <w:t> </w:t>
      </w:r>
      <w:r>
        <w:rPr/>
        <w:t>de</w:t>
      </w:r>
      <w:r>
        <w:rPr>
          <w:spacing w:val="-17"/>
        </w:rPr>
        <w:t> </w:t>
      </w:r>
      <w:r>
        <w:rPr/>
        <w:t>Estudios</w:t>
      </w:r>
      <w:r>
        <w:rPr>
          <w:spacing w:val="-15"/>
        </w:rPr>
        <w:t> </w:t>
      </w:r>
      <w:r>
        <w:rPr/>
        <w:t>Regionales: Smart Regions for a Smarter Growth Strategy: New challenges of the policy and potentials of cities to overcome a worldwide economic crisis. Oviedo, España, 21 y 22 de</w:t>
      </w:r>
      <w:r>
        <w:rPr>
          <w:spacing w:val="-13"/>
        </w:rPr>
        <w:t> </w:t>
      </w:r>
      <w:r>
        <w:rPr/>
        <w:t>noviembre.</w:t>
      </w:r>
    </w:p>
    <w:p>
      <w:pPr>
        <w:pStyle w:val="BodyText"/>
        <w:spacing w:before="4"/>
        <w:rPr>
          <w:sz w:val="21"/>
        </w:rPr>
      </w:pPr>
    </w:p>
    <w:p>
      <w:pPr>
        <w:pStyle w:val="BodyText"/>
        <w:tabs>
          <w:tab w:pos="1807" w:val="left" w:leader="none"/>
          <w:tab w:pos="3228" w:val="left" w:leader="none"/>
          <w:tab w:pos="4128" w:val="left" w:leader="none"/>
          <w:tab w:pos="6352" w:val="left" w:leader="none"/>
          <w:tab w:pos="8199" w:val="left" w:leader="none"/>
        </w:tabs>
        <w:spacing w:line="360" w:lineRule="auto" w:before="1"/>
        <w:ind w:left="102" w:right="119"/>
        <w:jc w:val="both"/>
      </w:pPr>
      <w:r>
        <w:rPr/>
        <w:t>Cardona M., Zuluaga F. y otros (2005). “Diferencias y Similitudes en las teorías del crecimiento económico, Grupo de Estudios Sectoriales y Territoriales, Departamento de Economía,</w:t>
        <w:tab/>
        <w:t>Escuela</w:t>
        <w:tab/>
        <w:t>de</w:t>
        <w:tab/>
        <w:t>Administración,</w:t>
        <w:tab/>
        <w:t>Universidad</w:t>
        <w:tab/>
        <w:t>EAFIT. </w:t>
      </w:r>
      <w:hyperlink r:id="rId82">
        <w:r>
          <w:rPr>
            <w:u w:val="single"/>
          </w:rPr>
          <w:t>www.eumed.net/cursecon/economistas/index.htm</w:t>
        </w:r>
      </w:hyperlink>
    </w:p>
    <w:p>
      <w:pPr>
        <w:pStyle w:val="BodyText"/>
        <w:spacing w:before="4"/>
        <w:rPr>
          <w:sz w:val="15"/>
        </w:rPr>
      </w:pPr>
    </w:p>
    <w:p>
      <w:pPr>
        <w:pStyle w:val="BodyText"/>
        <w:spacing w:line="360" w:lineRule="auto" w:before="70"/>
        <w:ind w:left="102" w:right="116"/>
        <w:jc w:val="both"/>
      </w:pPr>
      <w:r>
        <w:rPr/>
        <w:t>Carrillo, J. (2007). “Cluster automotriz en México”, CNN Expansión, reportaje elaborado por I. Jiménez y S. Izquierdo, &lt;</w:t>
      </w:r>
      <w:hyperlink r:id="rId83">
        <w:r>
          <w:rPr/>
          <w:t>http://www.cnnexpansión.com/manufactura/artículos-de-</w:t>
        </w:r>
      </w:hyperlink>
      <w:r>
        <w:rPr/>
        <w:t> interés/clusters-automotrices en México&gt; (15 de noviembre de 2013).</w:t>
      </w:r>
    </w:p>
    <w:p>
      <w:pPr>
        <w:pStyle w:val="BodyText"/>
        <w:spacing w:before="2"/>
        <w:rPr>
          <w:sz w:val="21"/>
        </w:rPr>
      </w:pPr>
    </w:p>
    <w:p>
      <w:pPr>
        <w:pStyle w:val="BodyText"/>
        <w:spacing w:line="360" w:lineRule="auto"/>
        <w:ind w:left="102" w:right="114"/>
        <w:jc w:val="both"/>
      </w:pPr>
      <w:r>
        <w:rPr/>
        <w:t>Carrillo, J. y Ramírez, M. (1997). “Reestructuración, eslabonamientos productivos y competencias laborales en la industria automotriz de México”, en Martha Novick y María Gallart, coords., </w:t>
      </w:r>
      <w:r>
        <w:rPr>
          <w:i/>
        </w:rPr>
        <w:t>Competitividad, redes productivas y competencias laborales</w:t>
      </w:r>
      <w:r>
        <w:rPr/>
        <w:t>, OIT/CINTERFORD/Red Educación y Trabajo, pp.351-394, Monteviedeo.</w:t>
      </w:r>
    </w:p>
    <w:p>
      <w:pPr>
        <w:pStyle w:val="BodyText"/>
        <w:spacing w:before="2"/>
        <w:rPr>
          <w:sz w:val="21"/>
        </w:rPr>
      </w:pPr>
    </w:p>
    <w:p>
      <w:pPr>
        <w:pStyle w:val="BodyText"/>
        <w:spacing w:line="360" w:lineRule="auto" w:before="1"/>
        <w:ind w:left="102" w:right="120"/>
        <w:jc w:val="both"/>
      </w:pPr>
      <w:r>
        <w:rPr/>
        <w:t>Centro de Estudios de las Finanzas Públicas (CEFP) (2004). “Evolución del Sector Manufacturero de México, 1980-2003”. Documento de trabajo. Cámara de Diputados, H. Congreso de la Unión, México.</w:t>
      </w:r>
    </w:p>
    <w:p>
      <w:pPr>
        <w:spacing w:after="0" w:line="360" w:lineRule="auto"/>
        <w:jc w:val="both"/>
        <w:sectPr>
          <w:pgSz w:w="12240" w:h="15840"/>
          <w:pgMar w:header="0" w:footer="1035" w:top="1360" w:bottom="1220" w:left="1600" w:right="1580"/>
        </w:sectPr>
      </w:pPr>
    </w:p>
    <w:p>
      <w:pPr>
        <w:pStyle w:val="BodyText"/>
        <w:spacing w:line="360" w:lineRule="auto" w:before="50"/>
        <w:ind w:left="102" w:right="123"/>
        <w:jc w:val="both"/>
      </w:pPr>
      <w:r>
        <w:rPr/>
        <w:t>CEPAL, (2003). “La inversión extranjera en América Latina y el Caribe”. Comisión Económica para América Latina y El Caribe. Publicación de Naciones Unidas. Santiago de Chile. «</w:t>
      </w:r>
      <w:hyperlink r:id="rId84">
        <w:r>
          <w:rPr/>
          <w:t>www.cepal.org/publicaciones</w:t>
        </w:r>
      </w:hyperlink>
      <w:r>
        <w:rPr/>
        <w:t>».</w:t>
      </w:r>
    </w:p>
    <w:p>
      <w:pPr>
        <w:pStyle w:val="BodyText"/>
        <w:spacing w:before="4"/>
        <w:rPr>
          <w:sz w:val="21"/>
        </w:rPr>
      </w:pPr>
    </w:p>
    <w:p>
      <w:pPr>
        <w:pStyle w:val="BodyText"/>
        <w:spacing w:before="1"/>
        <w:ind w:left="102"/>
        <w:jc w:val="both"/>
      </w:pPr>
      <w:r>
        <w:rPr/>
        <w:t>Calderón, C. y Sánchez, I. (2012). “Crecimiento económico y política industrial en México”,</w:t>
      </w:r>
    </w:p>
    <w:p>
      <w:pPr>
        <w:spacing w:before="137"/>
        <w:ind w:left="102" w:right="0" w:firstLine="0"/>
        <w:jc w:val="both"/>
        <w:rPr>
          <w:sz w:val="24"/>
        </w:rPr>
      </w:pPr>
      <w:r>
        <w:rPr>
          <w:i/>
          <w:sz w:val="24"/>
        </w:rPr>
        <w:t>Revista problemas de desarrollo</w:t>
      </w:r>
      <w:r>
        <w:rPr>
          <w:sz w:val="24"/>
        </w:rPr>
        <w:t>, 170(43), julio-septiembre.</w:t>
      </w:r>
    </w:p>
    <w:p>
      <w:pPr>
        <w:pStyle w:val="BodyText"/>
        <w:spacing w:before="11"/>
        <w:rPr>
          <w:sz w:val="32"/>
        </w:rPr>
      </w:pPr>
    </w:p>
    <w:p>
      <w:pPr>
        <w:pStyle w:val="BodyText"/>
        <w:spacing w:line="360" w:lineRule="auto"/>
        <w:ind w:left="102" w:right="117"/>
        <w:jc w:val="both"/>
      </w:pPr>
      <w:r>
        <w:rPr/>
        <w:t>Dávila, A. (2004). “México: concentración y localización del empleo manufacturero. 1980– 1998”, </w:t>
      </w:r>
      <w:r>
        <w:rPr>
          <w:i/>
        </w:rPr>
        <w:t>Economía Mexicana</w:t>
      </w:r>
      <w:r>
        <w:rPr/>
        <w:t>. 13 (2): 209–254.</w:t>
      </w:r>
    </w:p>
    <w:p>
      <w:pPr>
        <w:pStyle w:val="BodyText"/>
        <w:spacing w:before="4"/>
        <w:rPr>
          <w:sz w:val="21"/>
        </w:rPr>
      </w:pPr>
    </w:p>
    <w:p>
      <w:pPr>
        <w:pStyle w:val="BodyText"/>
        <w:spacing w:line="360" w:lineRule="auto" w:before="1"/>
        <w:ind w:left="102" w:right="119"/>
        <w:jc w:val="both"/>
      </w:pPr>
      <w:r>
        <w:rPr/>
        <w:t>De la Rosa, J. (2006). “Dos enfoques teóricos sobre el proceso de crecimiento económico: con énfasis en las exportaciones manufactureras”, </w:t>
      </w:r>
      <w:r>
        <w:rPr>
          <w:i/>
        </w:rPr>
        <w:t>Análisis Económico. </w:t>
      </w:r>
      <w:r>
        <w:rPr/>
        <w:t>Núm. 48, vol. XXI, tercer cuatrimestre de 2006.</w:t>
      </w:r>
    </w:p>
    <w:p>
      <w:pPr>
        <w:pStyle w:val="BodyText"/>
        <w:spacing w:before="2"/>
        <w:rPr>
          <w:sz w:val="21"/>
        </w:rPr>
      </w:pPr>
    </w:p>
    <w:p>
      <w:pPr>
        <w:pStyle w:val="BodyText"/>
        <w:spacing w:line="360" w:lineRule="auto"/>
        <w:ind w:left="102" w:right="118"/>
        <w:jc w:val="both"/>
      </w:pPr>
      <w:r>
        <w:rPr/>
        <w:t>Economist Intelligence Unit (EIU)/ McKinsey &amp; Co., (1999), “Succeeding in the Next Automotive Century: a reprint of articles from the EIU Motor Business series”, Londres.</w:t>
      </w:r>
    </w:p>
    <w:p>
      <w:pPr>
        <w:pStyle w:val="BodyText"/>
        <w:spacing w:before="2"/>
        <w:rPr>
          <w:sz w:val="21"/>
        </w:rPr>
      </w:pPr>
    </w:p>
    <w:p>
      <w:pPr>
        <w:pStyle w:val="BodyText"/>
        <w:spacing w:before="1"/>
        <w:ind w:left="102"/>
        <w:jc w:val="both"/>
      </w:pPr>
      <w:r>
        <w:rPr/>
        <w:t>El Economista</w:t>
      </w:r>
    </w:p>
    <w:p>
      <w:pPr>
        <w:pStyle w:val="BodyText"/>
        <w:tabs>
          <w:tab w:pos="877" w:val="left" w:leader="none"/>
        </w:tabs>
        <w:spacing w:before="139"/>
        <w:ind w:left="102"/>
        <w:jc w:val="both"/>
      </w:pPr>
      <w:r>
        <w:rPr>
          <w:u w:val="single"/>
        </w:rPr>
        <w:t> </w:t>
        <w:tab/>
      </w:r>
      <w:r>
        <w:rPr/>
        <w:t>(2015). Summa Woodbrige invertirá 25 mdd para nueva planta.</w:t>
      </w:r>
      <w:r>
        <w:rPr>
          <w:spacing w:val="-9"/>
        </w:rPr>
        <w:t> </w:t>
      </w:r>
      <w:r>
        <w:rPr/>
        <w:t>Recuperado</w:t>
      </w:r>
    </w:p>
    <w:p>
      <w:pPr>
        <w:pStyle w:val="BodyText"/>
        <w:spacing w:line="360" w:lineRule="auto" w:before="137"/>
        <w:ind w:left="954" w:right="246"/>
      </w:pPr>
      <w:r>
        <w:rPr/>
        <w:t>de </w:t>
      </w:r>
      <w:hyperlink r:id="rId85">
        <w:r>
          <w:rPr/>
          <w:t>http://eleconomista.com.mx/estados/2015/05/14/summa-woodbridge-invertira-</w:t>
        </w:r>
      </w:hyperlink>
      <w:r>
        <w:rPr/>
        <w:t> </w:t>
      </w:r>
      <w:hyperlink r:id="rId85">
        <w:r>
          <w:rPr/>
          <w:t>25-mdd-nueva-planta (14</w:t>
        </w:r>
      </w:hyperlink>
      <w:r>
        <w:rPr/>
        <w:t> de mayo de 2015).</w:t>
      </w:r>
    </w:p>
    <w:p>
      <w:pPr>
        <w:pStyle w:val="BodyText"/>
        <w:spacing w:before="2"/>
        <w:rPr>
          <w:sz w:val="15"/>
        </w:rPr>
      </w:pPr>
    </w:p>
    <w:p>
      <w:pPr>
        <w:pStyle w:val="BodyText"/>
        <w:tabs>
          <w:tab w:pos="877" w:val="left" w:leader="none"/>
        </w:tabs>
        <w:spacing w:line="360" w:lineRule="auto" w:before="69"/>
        <w:ind w:left="954" w:right="118" w:hanging="852"/>
      </w:pPr>
      <w:r>
        <w:rPr>
          <w:u w:val="single"/>
        </w:rPr>
        <w:t> </w:t>
        <w:tab/>
      </w:r>
      <w:r>
        <w:rPr>
          <w:spacing w:val="21"/>
        </w:rPr>
        <w:t> </w:t>
      </w:r>
      <w:r>
        <w:rPr/>
        <w:t>(2014).  Proveeduría  del  sector  automotriz  acelera  en  Jalisco.  </w:t>
      </w:r>
      <w:r>
        <w:rPr>
          <w:spacing w:val="58"/>
        </w:rPr>
        <w:t> </w:t>
      </w:r>
      <w:r>
        <w:rPr/>
        <w:t>Recuperado </w:t>
      </w:r>
      <w:r>
        <w:rPr>
          <w:spacing w:val="14"/>
        </w:rPr>
        <w:t> </w:t>
      </w:r>
      <w:r>
        <w:rPr/>
        <w:t>de </w:t>
      </w:r>
      <w:hyperlink r:id="rId86">
        <w:r>
          <w:rPr/>
          <w:t>http://eleconomista.com.mx/estados/2014/03/04/proveeduria-sector-automotriz-</w:t>
        </w:r>
      </w:hyperlink>
      <w:r>
        <w:rPr/>
        <w:t> acelera-jalisco (04 de marzo de</w:t>
      </w:r>
      <w:r>
        <w:rPr>
          <w:spacing w:val="-7"/>
        </w:rPr>
        <w:t> </w:t>
      </w:r>
      <w:r>
        <w:rPr/>
        <w:t>2014).</w:t>
      </w:r>
    </w:p>
    <w:p>
      <w:pPr>
        <w:pStyle w:val="BodyText"/>
        <w:spacing w:before="4"/>
        <w:rPr>
          <w:sz w:val="15"/>
        </w:rPr>
      </w:pPr>
    </w:p>
    <w:p>
      <w:pPr>
        <w:pStyle w:val="BodyText"/>
        <w:tabs>
          <w:tab w:pos="877" w:val="left" w:leader="none"/>
        </w:tabs>
        <w:spacing w:line="360" w:lineRule="auto" w:before="70"/>
        <w:ind w:left="954" w:right="122" w:hanging="852"/>
      </w:pPr>
      <w:r>
        <w:rPr>
          <w:u w:val="single"/>
        </w:rPr>
        <w:t> </w:t>
        <w:tab/>
      </w:r>
      <w:r>
        <w:rPr/>
        <w:t>  (2013).   Industria   automotriz,   con   60   proveedores   Tier   1. </w:t>
      </w:r>
      <w:r>
        <w:rPr>
          <w:spacing w:val="9"/>
        </w:rPr>
        <w:t> </w:t>
      </w:r>
      <w:r>
        <w:rPr/>
        <w:t>Recuperado </w:t>
      </w:r>
      <w:r>
        <w:rPr>
          <w:spacing w:val="52"/>
        </w:rPr>
        <w:t> </w:t>
      </w:r>
      <w:r>
        <w:rPr/>
        <w:t>de </w:t>
      </w:r>
      <w:hyperlink r:id="rId87">
        <w:r>
          <w:rPr/>
          <w:t>http://eleconomista.com.mx/estados/2013/05/07/industria-automotriz-60-</w:t>
        </w:r>
      </w:hyperlink>
      <w:r>
        <w:rPr/>
        <w:t> </w:t>
      </w:r>
      <w:hyperlink r:id="rId87">
        <w:r>
          <w:rPr/>
          <w:t>proveedores-tier-1(07</w:t>
        </w:r>
      </w:hyperlink>
      <w:r>
        <w:rPr/>
        <w:t> de mayo de</w:t>
      </w:r>
      <w:r>
        <w:rPr>
          <w:spacing w:val="-8"/>
        </w:rPr>
        <w:t> </w:t>
      </w:r>
      <w:r>
        <w:rPr/>
        <w:t>2013).</w:t>
      </w:r>
    </w:p>
    <w:p>
      <w:pPr>
        <w:pStyle w:val="BodyText"/>
        <w:spacing w:before="2"/>
        <w:rPr>
          <w:sz w:val="21"/>
        </w:rPr>
      </w:pPr>
    </w:p>
    <w:p>
      <w:pPr>
        <w:pStyle w:val="BodyText"/>
        <w:ind w:left="102" w:right="119"/>
      </w:pPr>
      <w:r>
        <w:rPr/>
        <w:t>El Financiero</w:t>
      </w:r>
    </w:p>
    <w:p>
      <w:pPr>
        <w:pStyle w:val="BodyText"/>
        <w:tabs>
          <w:tab w:pos="877" w:val="left" w:leader="none"/>
        </w:tabs>
        <w:spacing w:line="360" w:lineRule="auto" w:before="139"/>
        <w:ind w:left="954" w:right="116" w:hanging="852"/>
        <w:jc w:val="both"/>
      </w:pPr>
      <w:r>
        <w:rPr>
          <w:u w:val="single"/>
        </w:rPr>
        <w:t> </w:t>
        <w:tab/>
      </w:r>
      <w:r>
        <w:rPr/>
        <w:t>(2015). Ford producirá un millón de motores en México con una  </w:t>
      </w:r>
      <w:r>
        <w:rPr>
          <w:spacing w:val="52"/>
        </w:rPr>
        <w:t> </w:t>
      </w:r>
      <w:r>
        <w:rPr/>
        <w:t>nueva</w:t>
      </w:r>
      <w:r>
        <w:rPr>
          <w:spacing w:val="14"/>
        </w:rPr>
        <w:t> </w:t>
      </w:r>
      <w:r>
        <w:rPr/>
        <w:t>inversión. Recuperado de </w:t>
      </w:r>
      <w:hyperlink r:id="rId88">
        <w:r>
          <w:rPr/>
          <w:t>http://www.elfinanciero.com.mx/empresas/ford-invierte-500-mdd-</w:t>
        </w:r>
      </w:hyperlink>
      <w:r>
        <w:rPr/>
        <w:t> </w:t>
      </w:r>
      <w:hyperlink r:id="rId88">
        <w:r>
          <w:rPr/>
          <w:t>en-guanajuato-y-chihuahua.html (17</w:t>
        </w:r>
      </w:hyperlink>
      <w:r>
        <w:rPr/>
        <w:t> de abril de</w:t>
      </w:r>
      <w:r>
        <w:rPr>
          <w:spacing w:val="-5"/>
        </w:rPr>
        <w:t> </w:t>
      </w:r>
      <w:r>
        <w:rPr/>
        <w:t>2015).</w:t>
      </w:r>
    </w:p>
    <w:p>
      <w:pPr>
        <w:spacing w:after="0" w:line="360" w:lineRule="auto"/>
        <w:jc w:val="both"/>
        <w:sectPr>
          <w:pgSz w:w="12240" w:h="15840"/>
          <w:pgMar w:header="0" w:footer="1035" w:top="1360" w:bottom="1220" w:left="1600" w:right="1580"/>
        </w:sectPr>
      </w:pPr>
    </w:p>
    <w:p>
      <w:pPr>
        <w:pStyle w:val="BodyText"/>
        <w:spacing w:line="360" w:lineRule="auto" w:before="50"/>
        <w:ind w:left="102" w:right="116"/>
        <w:jc w:val="both"/>
      </w:pPr>
      <w:r>
        <w:rPr/>
        <w:t>Felipe, J. (1998). “The role of the manufacturing sector in Southeast Asian development: a test of Kaldor´s first law”, </w:t>
      </w:r>
      <w:r>
        <w:rPr>
          <w:i/>
        </w:rPr>
        <w:t>Journal of Post Keynesian Economics</w:t>
      </w:r>
      <w:r>
        <w:rPr/>
        <w:t>, Spring, vol. 20, núm.3, 463-485.</w:t>
      </w:r>
    </w:p>
    <w:p>
      <w:pPr>
        <w:pStyle w:val="BodyText"/>
        <w:spacing w:before="4"/>
        <w:rPr>
          <w:sz w:val="21"/>
        </w:rPr>
      </w:pPr>
    </w:p>
    <w:p>
      <w:pPr>
        <w:pStyle w:val="BodyText"/>
        <w:spacing w:line="360" w:lineRule="auto" w:before="1"/>
        <w:ind w:left="102" w:right="117"/>
        <w:jc w:val="both"/>
      </w:pPr>
      <w:r>
        <w:rPr/>
        <w:t>Fraga, C. (2010). “Una contribución al marco analítico del modelo de restricción al crecimiento proveniente de la balanza de pagos: el papel del tipo de cambio real y los términos de intercambio. Con especial énfasis en los casos de Argentina, Brasil y México”. Tesis Doctoral. Universidad de Santiago de Compostela. Facultad de Ciencias Económicas y Empresariales.</w:t>
      </w:r>
    </w:p>
    <w:p>
      <w:pPr>
        <w:pStyle w:val="BodyText"/>
        <w:spacing w:before="2"/>
        <w:rPr>
          <w:sz w:val="21"/>
        </w:rPr>
      </w:pPr>
    </w:p>
    <w:p>
      <w:pPr>
        <w:pStyle w:val="BodyText"/>
        <w:spacing w:line="360" w:lineRule="auto"/>
        <w:ind w:left="102" w:right="117"/>
        <w:jc w:val="both"/>
      </w:pPr>
      <w:r>
        <w:rPr/>
        <w:t>Flores, M. (1990). “Apertura automotriz, para compensar la menor producción”, en </w:t>
      </w:r>
      <w:r>
        <w:rPr>
          <w:i/>
        </w:rPr>
        <w:t>El </w:t>
      </w:r>
      <w:r>
        <w:rPr>
          <w:i/>
        </w:rPr>
        <w:t>Financiero</w:t>
      </w:r>
      <w:r>
        <w:rPr/>
        <w:t>, 14 de junio.</w:t>
      </w:r>
    </w:p>
    <w:p>
      <w:pPr>
        <w:pStyle w:val="BodyText"/>
        <w:spacing w:before="2"/>
        <w:rPr>
          <w:sz w:val="21"/>
        </w:rPr>
      </w:pPr>
    </w:p>
    <w:p>
      <w:pPr>
        <w:pStyle w:val="BodyText"/>
        <w:spacing w:line="360" w:lineRule="auto"/>
        <w:ind w:left="102" w:right="117"/>
        <w:jc w:val="both"/>
      </w:pPr>
      <w:r>
        <w:rPr/>
        <w:t>Galindo,</w:t>
      </w:r>
      <w:r>
        <w:rPr>
          <w:spacing w:val="-4"/>
        </w:rPr>
        <w:t> </w:t>
      </w:r>
      <w:r>
        <w:rPr/>
        <w:t>M.</w:t>
      </w:r>
      <w:r>
        <w:rPr>
          <w:spacing w:val="-4"/>
        </w:rPr>
        <w:t> </w:t>
      </w:r>
      <w:r>
        <w:rPr/>
        <w:t>(2011).</w:t>
      </w:r>
      <w:r>
        <w:rPr>
          <w:spacing w:val="-5"/>
        </w:rPr>
        <w:t> </w:t>
      </w:r>
      <w:r>
        <w:rPr/>
        <w:t>“Crecimiento</w:t>
      </w:r>
      <w:r>
        <w:rPr>
          <w:spacing w:val="-4"/>
        </w:rPr>
        <w:t> </w:t>
      </w:r>
      <w:r>
        <w:rPr/>
        <w:t>económico”.</w:t>
      </w:r>
      <w:r>
        <w:rPr>
          <w:spacing w:val="-4"/>
        </w:rPr>
        <w:t> </w:t>
      </w:r>
      <w:r>
        <w:rPr/>
        <w:t>Tendencias y</w:t>
      </w:r>
      <w:r>
        <w:rPr>
          <w:spacing w:val="-11"/>
        </w:rPr>
        <w:t> </w:t>
      </w:r>
      <w:r>
        <w:rPr/>
        <w:t>nuevos</w:t>
      </w:r>
      <w:r>
        <w:rPr>
          <w:spacing w:val="-4"/>
        </w:rPr>
        <w:t> </w:t>
      </w:r>
      <w:r>
        <w:rPr/>
        <w:t>desarrollos</w:t>
      </w:r>
      <w:r>
        <w:rPr>
          <w:spacing w:val="-4"/>
        </w:rPr>
        <w:t> </w:t>
      </w:r>
      <w:r>
        <w:rPr/>
        <w:t>de</w:t>
      </w:r>
      <w:r>
        <w:rPr>
          <w:spacing w:val="-5"/>
        </w:rPr>
        <w:t> </w:t>
      </w:r>
      <w:r>
        <w:rPr/>
        <w:t>la</w:t>
      </w:r>
      <w:r>
        <w:rPr>
          <w:spacing w:val="-4"/>
        </w:rPr>
        <w:t> </w:t>
      </w:r>
      <w:r>
        <w:rPr/>
        <w:t>teoría económica. Información Comercial Económica, ICE, núm. 858, enero-febrero, pp</w:t>
      </w:r>
      <w:r>
        <w:rPr>
          <w:spacing w:val="-13"/>
        </w:rPr>
        <w:t> </w:t>
      </w:r>
      <w:r>
        <w:rPr/>
        <w:t>39-55.</w:t>
      </w:r>
    </w:p>
    <w:p>
      <w:pPr>
        <w:pStyle w:val="BodyText"/>
        <w:spacing w:before="2"/>
        <w:rPr>
          <w:sz w:val="21"/>
        </w:rPr>
      </w:pPr>
    </w:p>
    <w:p>
      <w:pPr>
        <w:pStyle w:val="BodyText"/>
        <w:spacing w:line="360" w:lineRule="auto" w:before="1"/>
        <w:ind w:left="102" w:right="124"/>
        <w:jc w:val="both"/>
      </w:pPr>
      <w:r>
        <w:rPr/>
        <w:t>Girón, A. (2000). “Schumpeter: aportaciones al pensamiento económico”. The Wall Street journal Europe, agosto.</w:t>
      </w:r>
    </w:p>
    <w:p>
      <w:pPr>
        <w:pStyle w:val="BodyText"/>
        <w:spacing w:before="2"/>
        <w:rPr>
          <w:sz w:val="21"/>
        </w:rPr>
      </w:pPr>
    </w:p>
    <w:p>
      <w:pPr>
        <w:pStyle w:val="BodyText"/>
        <w:spacing w:line="360" w:lineRule="auto"/>
        <w:ind w:left="102" w:right="118"/>
        <w:jc w:val="both"/>
      </w:pPr>
      <w:r>
        <w:rPr/>
        <w:t>González, C. (2010). “Medición de desarrollo sustentable mediante el uso del capital neto como</w:t>
      </w:r>
      <w:r>
        <w:rPr>
          <w:spacing w:val="-7"/>
        </w:rPr>
        <w:t> </w:t>
      </w:r>
      <w:r>
        <w:rPr/>
        <w:t>indicador</w:t>
      </w:r>
      <w:r>
        <w:rPr>
          <w:spacing w:val="-2"/>
        </w:rPr>
        <w:t> </w:t>
      </w:r>
      <w:r>
        <w:rPr/>
        <w:t>y</w:t>
      </w:r>
      <w:r>
        <w:rPr>
          <w:spacing w:val="-12"/>
        </w:rPr>
        <w:t> </w:t>
      </w:r>
      <w:r>
        <w:rPr/>
        <w:t>determinación</w:t>
      </w:r>
      <w:r>
        <w:rPr>
          <w:spacing w:val="-7"/>
        </w:rPr>
        <w:t> </w:t>
      </w:r>
      <w:r>
        <w:rPr/>
        <w:t>de</w:t>
      </w:r>
      <w:r>
        <w:rPr>
          <w:spacing w:val="-7"/>
        </w:rPr>
        <w:t> </w:t>
      </w:r>
      <w:r>
        <w:rPr/>
        <w:t>los</w:t>
      </w:r>
      <w:r>
        <w:rPr>
          <w:spacing w:val="-7"/>
        </w:rPr>
        <w:t> </w:t>
      </w:r>
      <w:r>
        <w:rPr/>
        <w:t>niveles</w:t>
      </w:r>
      <w:r>
        <w:rPr>
          <w:spacing w:val="-7"/>
        </w:rPr>
        <w:t> </w:t>
      </w:r>
      <w:r>
        <w:rPr/>
        <w:t>de</w:t>
      </w:r>
      <w:r>
        <w:rPr>
          <w:spacing w:val="-6"/>
        </w:rPr>
        <w:t> </w:t>
      </w:r>
      <w:r>
        <w:rPr/>
        <w:t>sustentabilidad</w:t>
      </w:r>
      <w:r>
        <w:rPr>
          <w:spacing w:val="-7"/>
        </w:rPr>
        <w:t> </w:t>
      </w:r>
      <w:r>
        <w:rPr/>
        <w:t>débil</w:t>
      </w:r>
      <w:r>
        <w:rPr>
          <w:spacing w:val="-7"/>
        </w:rPr>
        <w:t> </w:t>
      </w:r>
      <w:r>
        <w:rPr/>
        <w:t>de</w:t>
      </w:r>
      <w:r>
        <w:rPr>
          <w:spacing w:val="-7"/>
        </w:rPr>
        <w:t> </w:t>
      </w:r>
      <w:r>
        <w:rPr/>
        <w:t>México”.</w:t>
      </w:r>
      <w:r>
        <w:rPr>
          <w:spacing w:val="-7"/>
        </w:rPr>
        <w:t> </w:t>
      </w:r>
      <w:r>
        <w:rPr/>
        <w:t>Tesis</w:t>
      </w:r>
      <w:r>
        <w:rPr>
          <w:spacing w:val="-7"/>
        </w:rPr>
        <w:t> </w:t>
      </w:r>
      <w:r>
        <w:rPr/>
        <w:t>de grado. Instituto Politécnico Nacional. Escuela Superior de Economía. México, D.</w:t>
      </w:r>
      <w:r>
        <w:rPr>
          <w:spacing w:val="-8"/>
        </w:rPr>
        <w:t> </w:t>
      </w:r>
      <w:r>
        <w:rPr/>
        <w:t>F.</w:t>
      </w:r>
    </w:p>
    <w:p>
      <w:pPr>
        <w:pStyle w:val="BodyText"/>
        <w:spacing w:before="4"/>
        <w:rPr>
          <w:sz w:val="21"/>
        </w:rPr>
      </w:pPr>
    </w:p>
    <w:p>
      <w:pPr>
        <w:pStyle w:val="BodyText"/>
        <w:spacing w:line="360" w:lineRule="auto" w:before="1"/>
        <w:ind w:left="102" w:right="118"/>
        <w:jc w:val="both"/>
      </w:pPr>
      <w:r>
        <w:rPr/>
        <w:t>Granger, J. (2004). “Análisis de series temporales, cointegración y aplicaciones”, </w:t>
      </w:r>
      <w:r>
        <w:rPr>
          <w:i/>
        </w:rPr>
        <w:t>Revista </w:t>
      </w:r>
      <w:r>
        <w:rPr>
          <w:i/>
        </w:rPr>
        <w:t>Asturiana de Economía</w:t>
      </w:r>
      <w:r>
        <w:rPr/>
        <w:t>, núm. 30, Universidad de California, San Diego.</w:t>
      </w:r>
    </w:p>
    <w:p>
      <w:pPr>
        <w:pStyle w:val="BodyText"/>
        <w:spacing w:before="4"/>
        <w:rPr>
          <w:sz w:val="21"/>
        </w:rPr>
      </w:pPr>
    </w:p>
    <w:p>
      <w:pPr>
        <w:pStyle w:val="BodyText"/>
        <w:spacing w:line="360" w:lineRule="auto" w:before="1"/>
        <w:ind w:left="102" w:right="122"/>
        <w:jc w:val="both"/>
      </w:pPr>
      <w:r>
        <w:rPr/>
        <w:t>Guillén, H. (2013). “México: de la sustitución de importaciones al nuevo modelo económico”. Comercio Exterior, vol. 63, núm. 4, julio-agosto, pp.34-60.</w:t>
      </w:r>
    </w:p>
    <w:p>
      <w:pPr>
        <w:pStyle w:val="BodyText"/>
        <w:spacing w:before="4"/>
        <w:rPr>
          <w:sz w:val="21"/>
        </w:rPr>
      </w:pPr>
    </w:p>
    <w:p>
      <w:pPr>
        <w:pStyle w:val="BodyText"/>
        <w:spacing w:line="360" w:lineRule="auto" w:before="1"/>
        <w:ind w:left="116" w:right="116" w:firstLine="19"/>
        <w:jc w:val="both"/>
      </w:pPr>
      <w:r>
        <w:rPr/>
        <w:t>Hernández, R. (2014). “Honda y Mazda cambian bases de economía de Guanajuato”. El Financiero, 20 de febrero, </w:t>
      </w:r>
      <w:hyperlink r:id="rId89">
        <w:r>
          <w:rPr>
            <w:u w:val="single"/>
          </w:rPr>
          <w:t>http://www.elfinanciero.com.mx/empresas/honda-y-mazda-</w:t>
        </w:r>
      </w:hyperlink>
      <w:r>
        <w:rPr>
          <w:u w:val="single"/>
        </w:rPr>
        <w:t> </w:t>
      </w:r>
      <w:hyperlink r:id="rId89">
        <w:r>
          <w:rPr>
            <w:u w:val="single"/>
          </w:rPr>
          <w:t>cambian-bases-de-economia-de-guanajuato.html</w:t>
        </w:r>
      </w:hyperlink>
    </w:p>
    <w:p>
      <w:pPr>
        <w:pStyle w:val="BodyText"/>
        <w:spacing w:before="2"/>
        <w:rPr>
          <w:sz w:val="15"/>
        </w:rPr>
      </w:pPr>
    </w:p>
    <w:p>
      <w:pPr>
        <w:pStyle w:val="BodyText"/>
        <w:spacing w:before="70"/>
        <w:ind w:left="135" w:right="119"/>
      </w:pPr>
      <w:r>
        <w:rPr/>
        <w:t>INEGI</w:t>
      </w:r>
    </w:p>
    <w:p>
      <w:pPr>
        <w:pStyle w:val="BodyText"/>
        <w:tabs>
          <w:tab w:pos="910" w:val="left" w:leader="none"/>
        </w:tabs>
        <w:spacing w:before="139"/>
        <w:ind w:left="135" w:right="119"/>
      </w:pPr>
      <w:r>
        <w:rPr>
          <w:u w:val="single"/>
        </w:rPr>
        <w:t> </w:t>
        <w:tab/>
      </w:r>
      <w:r>
        <w:rPr/>
        <w:t>(1980). Censos Económicos, 1980. México:</w:t>
      </w:r>
      <w:r>
        <w:rPr>
          <w:spacing w:val="-4"/>
        </w:rPr>
        <w:t> </w:t>
      </w:r>
      <w:r>
        <w:rPr/>
        <w:t>INEGI</w:t>
      </w:r>
    </w:p>
    <w:p>
      <w:pPr>
        <w:spacing w:after="0"/>
        <w:sectPr>
          <w:pgSz w:w="12240" w:h="15840"/>
          <w:pgMar w:header="0" w:footer="1035" w:top="1360" w:bottom="1220" w:left="1600" w:right="1580"/>
        </w:sectPr>
      </w:pPr>
    </w:p>
    <w:p>
      <w:pPr>
        <w:pStyle w:val="BodyText"/>
        <w:tabs>
          <w:tab w:pos="910" w:val="left" w:leader="none"/>
        </w:tabs>
        <w:spacing w:before="50"/>
        <w:ind w:left="135" w:right="119"/>
      </w:pPr>
      <w:r>
        <w:rPr>
          <w:u w:val="single"/>
        </w:rPr>
        <w:t> </w:t>
        <w:tab/>
      </w:r>
      <w:r>
        <w:rPr/>
        <w:t>(1986). Censos Económicos, 1986. México:</w:t>
      </w:r>
      <w:r>
        <w:rPr>
          <w:spacing w:val="-6"/>
        </w:rPr>
        <w:t> </w:t>
      </w:r>
      <w:r>
        <w:rPr/>
        <w:t>INEGI</w:t>
      </w:r>
    </w:p>
    <w:p>
      <w:pPr>
        <w:pStyle w:val="BodyText"/>
        <w:spacing w:before="11"/>
        <w:rPr>
          <w:sz w:val="26"/>
        </w:rPr>
      </w:pPr>
    </w:p>
    <w:p>
      <w:pPr>
        <w:pStyle w:val="BodyText"/>
        <w:tabs>
          <w:tab w:pos="910" w:val="left" w:leader="none"/>
        </w:tabs>
        <w:spacing w:before="69"/>
        <w:ind w:left="135" w:right="119"/>
      </w:pPr>
      <w:r>
        <w:rPr>
          <w:u w:val="single"/>
        </w:rPr>
        <w:t> </w:t>
        <w:tab/>
      </w:r>
      <w:r>
        <w:rPr/>
        <w:t>(1989). Censos Económicos, 1989. México:</w:t>
      </w:r>
      <w:r>
        <w:rPr>
          <w:spacing w:val="-5"/>
        </w:rPr>
        <w:t> </w:t>
      </w:r>
      <w:r>
        <w:rPr/>
        <w:t>INEGI</w:t>
      </w:r>
    </w:p>
    <w:p>
      <w:pPr>
        <w:pStyle w:val="BodyText"/>
        <w:spacing w:before="8"/>
        <w:rPr>
          <w:sz w:val="26"/>
        </w:rPr>
      </w:pPr>
    </w:p>
    <w:p>
      <w:pPr>
        <w:pStyle w:val="BodyText"/>
        <w:tabs>
          <w:tab w:pos="910" w:val="left" w:leader="none"/>
        </w:tabs>
        <w:spacing w:before="70"/>
        <w:ind w:left="135" w:right="119"/>
      </w:pPr>
      <w:r>
        <w:rPr>
          <w:u w:val="single"/>
        </w:rPr>
        <w:t> </w:t>
        <w:tab/>
      </w:r>
      <w:r>
        <w:rPr/>
        <w:t>(1994). Censos Económicos, 1994. México:</w:t>
      </w:r>
      <w:r>
        <w:rPr>
          <w:spacing w:val="-5"/>
        </w:rPr>
        <w:t> </w:t>
      </w:r>
      <w:r>
        <w:rPr/>
        <w:t>INEGI</w:t>
      </w:r>
    </w:p>
    <w:p>
      <w:pPr>
        <w:pStyle w:val="BodyText"/>
        <w:spacing w:before="11"/>
        <w:rPr>
          <w:sz w:val="26"/>
        </w:rPr>
      </w:pPr>
    </w:p>
    <w:p>
      <w:pPr>
        <w:pStyle w:val="BodyText"/>
        <w:tabs>
          <w:tab w:pos="910" w:val="left" w:leader="none"/>
        </w:tabs>
        <w:spacing w:before="69"/>
        <w:ind w:left="135" w:right="119"/>
      </w:pPr>
      <w:r>
        <w:rPr>
          <w:u w:val="single"/>
        </w:rPr>
        <w:t> </w:t>
        <w:tab/>
      </w:r>
      <w:r>
        <w:rPr/>
        <w:t>(1999). Censos Económicos, 1999. México:</w:t>
      </w:r>
      <w:r>
        <w:rPr>
          <w:spacing w:val="-5"/>
        </w:rPr>
        <w:t> </w:t>
      </w:r>
      <w:r>
        <w:rPr/>
        <w:t>INEGI</w:t>
      </w:r>
    </w:p>
    <w:p>
      <w:pPr>
        <w:pStyle w:val="BodyText"/>
        <w:spacing w:before="8"/>
        <w:rPr>
          <w:sz w:val="26"/>
        </w:rPr>
      </w:pPr>
    </w:p>
    <w:p>
      <w:pPr>
        <w:pStyle w:val="BodyText"/>
        <w:tabs>
          <w:tab w:pos="910" w:val="left" w:leader="none"/>
        </w:tabs>
        <w:spacing w:before="70"/>
        <w:ind w:left="135" w:right="119"/>
      </w:pPr>
      <w:r>
        <w:rPr>
          <w:u w:val="single"/>
        </w:rPr>
        <w:t> </w:t>
        <w:tab/>
      </w:r>
      <w:r>
        <w:rPr/>
        <w:t>(2004). Censos Económicos, 2004. México:</w:t>
      </w:r>
      <w:r>
        <w:rPr>
          <w:spacing w:val="-4"/>
        </w:rPr>
        <w:t> </w:t>
      </w:r>
      <w:r>
        <w:rPr/>
        <w:t>INEGI</w:t>
      </w:r>
    </w:p>
    <w:p>
      <w:pPr>
        <w:pStyle w:val="BodyText"/>
        <w:rPr>
          <w:sz w:val="27"/>
        </w:rPr>
      </w:pPr>
    </w:p>
    <w:p>
      <w:pPr>
        <w:pStyle w:val="BodyText"/>
        <w:tabs>
          <w:tab w:pos="910" w:val="left" w:leader="none"/>
        </w:tabs>
        <w:spacing w:before="69"/>
        <w:ind w:left="135"/>
      </w:pPr>
      <w:r>
        <w:rPr>
          <w:u w:val="single"/>
        </w:rPr>
        <w:t> </w:t>
        <w:tab/>
      </w:r>
      <w:r>
        <w:rPr/>
        <w:t> </w:t>
      </w:r>
      <w:r>
        <w:rPr>
          <w:spacing w:val="-20"/>
        </w:rPr>
        <w:t> </w:t>
      </w:r>
      <w:r>
        <w:rPr/>
        <w:t>(2009).  Sistema  de  Consulta  de  Censos  Económicos,  2008.  Disponible      </w:t>
      </w:r>
      <w:r>
        <w:rPr>
          <w:spacing w:val="10"/>
        </w:rPr>
        <w:t> </w:t>
      </w:r>
      <w:r>
        <w:rPr/>
        <w:t>en</w:t>
      </w:r>
    </w:p>
    <w:p>
      <w:pPr>
        <w:pStyle w:val="BodyText"/>
        <w:spacing w:before="137"/>
        <w:ind w:left="954"/>
      </w:pPr>
      <w:r>
        <w:rPr/>
        <w:t>&lt;</w:t>
      </w:r>
      <w:hyperlink r:id="rId90">
        <w:r>
          <w:rPr>
            <w:u w:val="single"/>
          </w:rPr>
          <w:t>http://www.inegi.org.mx/est/contenidos/espanol/proyectos/censos/ce2009/default</w:t>
        </w:r>
      </w:hyperlink>
    </w:p>
    <w:p>
      <w:pPr>
        <w:pStyle w:val="BodyText"/>
        <w:spacing w:before="139"/>
        <w:ind w:left="954" w:right="119"/>
      </w:pPr>
      <w:r>
        <w:rPr>
          <w:u w:val="single"/>
        </w:rPr>
        <w:t>.asp?s=est  &amp;c=14220&gt; </w:t>
      </w:r>
      <w:r>
        <w:rPr/>
        <w:t>(20 mayo de 2014).</w:t>
      </w:r>
    </w:p>
    <w:p>
      <w:pPr>
        <w:pStyle w:val="BodyText"/>
        <w:spacing w:before="8"/>
        <w:rPr>
          <w:sz w:val="26"/>
        </w:rPr>
      </w:pPr>
    </w:p>
    <w:p>
      <w:pPr>
        <w:pStyle w:val="BodyText"/>
        <w:tabs>
          <w:tab w:pos="910" w:val="left" w:leader="none"/>
        </w:tabs>
        <w:spacing w:line="360" w:lineRule="auto" w:before="70"/>
        <w:ind w:left="954" w:right="115" w:hanging="819"/>
      </w:pPr>
      <w:r>
        <w:rPr>
          <w:u w:val="single"/>
        </w:rPr>
        <w:t> </w:t>
        <w:tab/>
      </w:r>
      <w:r>
        <w:rPr>
          <w:spacing w:val="-1"/>
        </w:rPr>
        <w:t> </w:t>
      </w:r>
      <w:r>
        <w:rPr/>
        <w:t>(2010).  Censos  económicos  (2009).  Resumen  de  los  resultados  de</w:t>
      </w:r>
      <w:r>
        <w:rPr>
          <w:spacing w:val="9"/>
        </w:rPr>
        <w:t> </w:t>
      </w:r>
      <w:r>
        <w:rPr/>
        <w:t>los</w:t>
      </w:r>
      <w:r>
        <w:rPr>
          <w:spacing w:val="54"/>
        </w:rPr>
        <w:t> </w:t>
      </w:r>
      <w:r>
        <w:rPr/>
        <w:t>Censos</w:t>
      </w:r>
      <w:r>
        <w:rPr>
          <w:w w:val="99"/>
        </w:rPr>
        <w:t> </w:t>
      </w:r>
      <w:r>
        <w:rPr/>
        <w:t>Económicos   2009.   Instituto   Nacional   de   Estadística   y   Geografía. </w:t>
      </w:r>
      <w:r>
        <w:rPr>
          <w:spacing w:val="5"/>
        </w:rPr>
        <w:t> </w:t>
      </w:r>
      <w:r>
        <w:rPr/>
        <w:t>México.</w:t>
      </w:r>
    </w:p>
    <w:p>
      <w:pPr>
        <w:pStyle w:val="BodyText"/>
        <w:spacing w:line="362" w:lineRule="auto" w:before="4"/>
        <w:ind w:left="954" w:right="271"/>
      </w:pPr>
      <w:r>
        <w:rPr/>
        <w:t>&lt;</w:t>
      </w:r>
      <w:hyperlink r:id="rId91">
        <w:r>
          <w:rPr>
            <w:u w:val="single"/>
          </w:rPr>
          <w:t>http://www.inegi.org.mx/est/contenidos/espanol/proyectos/censos/ce2009/pdf/R</w:t>
        </w:r>
      </w:hyperlink>
      <w:r>
        <w:rPr>
          <w:u w:val="single"/>
        </w:rPr>
        <w:t> </w:t>
      </w:r>
      <w:hyperlink r:id="rId91">
        <w:r>
          <w:rPr>
            <w:u w:val="single"/>
          </w:rPr>
          <w:t>D09-resumen.pdf&gt; </w:t>
        </w:r>
        <w:r>
          <w:rPr/>
          <w:t>(30</w:t>
        </w:r>
      </w:hyperlink>
      <w:r>
        <w:rPr/>
        <w:t> de mayo de 2014).</w:t>
      </w:r>
    </w:p>
    <w:p>
      <w:pPr>
        <w:pStyle w:val="BodyText"/>
        <w:spacing w:before="11"/>
        <w:rPr>
          <w:sz w:val="14"/>
        </w:rPr>
      </w:pPr>
    </w:p>
    <w:p>
      <w:pPr>
        <w:pStyle w:val="BodyText"/>
        <w:tabs>
          <w:tab w:pos="877" w:val="left" w:leader="none"/>
        </w:tabs>
        <w:spacing w:before="69"/>
        <w:ind w:left="102" w:right="119"/>
      </w:pPr>
      <w:r>
        <w:rPr>
          <w:u w:val="single"/>
        </w:rPr>
        <w:t> </w:t>
        <w:tab/>
      </w:r>
      <w:r>
        <w:rPr/>
        <w:t>(2013). “La Industria Automotriz en México”. Serie estadísticas sectoriales,   </w:t>
      </w:r>
      <w:r>
        <w:rPr>
          <w:spacing w:val="7"/>
        </w:rPr>
        <w:t> </w:t>
      </w:r>
      <w:r>
        <w:rPr/>
        <w:t>núm.</w:t>
      </w:r>
    </w:p>
    <w:p>
      <w:pPr>
        <w:pStyle w:val="BodyText"/>
        <w:spacing w:before="139"/>
        <w:ind w:left="954" w:right="119"/>
      </w:pPr>
      <w:r>
        <w:rPr/>
        <w:t>28. Documento de trabajo. Instituto Nacional de Estadística y Geografía. México.</w:t>
      </w:r>
    </w:p>
    <w:p>
      <w:pPr>
        <w:pStyle w:val="BodyText"/>
        <w:spacing w:before="8"/>
        <w:rPr>
          <w:sz w:val="26"/>
        </w:rPr>
      </w:pPr>
    </w:p>
    <w:p>
      <w:pPr>
        <w:pStyle w:val="BodyText"/>
        <w:tabs>
          <w:tab w:pos="870" w:val="left" w:leader="none"/>
        </w:tabs>
        <w:spacing w:line="360" w:lineRule="auto" w:before="70"/>
        <w:ind w:left="954" w:right="123" w:hanging="852"/>
      </w:pPr>
      <w:r>
        <w:rPr>
          <w:u w:val="single"/>
        </w:rPr>
        <w:t> </w:t>
        <w:tab/>
      </w:r>
      <w:r>
        <w:rPr/>
        <w:t>(2015).</w:t>
      </w:r>
      <w:r>
        <w:rPr>
          <w:spacing w:val="-15"/>
        </w:rPr>
        <w:t> </w:t>
      </w:r>
      <w:r>
        <w:rPr/>
        <w:t>Cobertura</w:t>
      </w:r>
      <w:r>
        <w:rPr>
          <w:spacing w:val="-15"/>
        </w:rPr>
        <w:t> </w:t>
      </w:r>
      <w:r>
        <w:rPr/>
        <w:t>Temática</w:t>
      </w:r>
      <w:r>
        <w:rPr>
          <w:spacing w:val="-14"/>
        </w:rPr>
        <w:t> </w:t>
      </w:r>
      <w:r>
        <w:rPr/>
        <w:t>en</w:t>
      </w:r>
      <w:r>
        <w:rPr>
          <w:spacing w:val="-14"/>
        </w:rPr>
        <w:t> </w:t>
      </w:r>
      <w:r>
        <w:rPr/>
        <w:t>el</w:t>
      </w:r>
      <w:r>
        <w:rPr>
          <w:spacing w:val="-14"/>
        </w:rPr>
        <w:t> </w:t>
      </w:r>
      <w:r>
        <w:rPr/>
        <w:t>Banco</w:t>
      </w:r>
      <w:r>
        <w:rPr>
          <w:spacing w:val="-14"/>
        </w:rPr>
        <w:t> </w:t>
      </w:r>
      <w:r>
        <w:rPr/>
        <w:t>de</w:t>
      </w:r>
      <w:r>
        <w:rPr>
          <w:spacing w:val="-14"/>
        </w:rPr>
        <w:t> </w:t>
      </w:r>
      <w:r>
        <w:rPr/>
        <w:t>Información</w:t>
      </w:r>
      <w:r>
        <w:rPr>
          <w:spacing w:val="-14"/>
        </w:rPr>
        <w:t> </w:t>
      </w:r>
      <w:r>
        <w:rPr/>
        <w:t>Económica</w:t>
      </w:r>
      <w:r>
        <w:rPr>
          <w:spacing w:val="-15"/>
        </w:rPr>
        <w:t> </w:t>
      </w:r>
      <w:r>
        <w:rPr/>
        <w:t>(BIE)</w:t>
      </w:r>
      <w:r>
        <w:rPr>
          <w:spacing w:val="-15"/>
        </w:rPr>
        <w:t> </w:t>
      </w:r>
      <w:r>
        <w:rPr/>
        <w:t>de</w:t>
      </w:r>
      <w:r>
        <w:rPr>
          <w:spacing w:val="-12"/>
        </w:rPr>
        <w:t> </w:t>
      </w:r>
      <w:r>
        <w:rPr/>
        <w:t>INEGI.</w:t>
      </w:r>
      <w:r>
        <w:rPr>
          <w:w w:val="99"/>
        </w:rPr>
        <w:t> </w:t>
      </w:r>
      <w:r>
        <w:rPr/>
        <w:t>Disponible en &lt;</w:t>
      </w:r>
      <w:hyperlink r:id="rId92">
        <w:r>
          <w:rPr/>
          <w:t>http://www.inegi.org.mx/sistemas/bie/</w:t>
        </w:r>
      </w:hyperlink>
      <w:r>
        <w:rPr/>
        <w:t>&gt; (13 de abril de</w:t>
      </w:r>
      <w:r>
        <w:rPr>
          <w:spacing w:val="-6"/>
        </w:rPr>
        <w:t> </w:t>
      </w:r>
      <w:r>
        <w:rPr/>
        <w:t>2015).</w:t>
      </w:r>
    </w:p>
    <w:p>
      <w:pPr>
        <w:pStyle w:val="BodyText"/>
        <w:spacing w:before="3"/>
        <w:rPr>
          <w:sz w:val="21"/>
        </w:rPr>
      </w:pPr>
    </w:p>
    <w:p>
      <w:pPr>
        <w:spacing w:line="360" w:lineRule="auto" w:before="0"/>
        <w:ind w:left="102" w:right="120" w:firstLine="0"/>
        <w:jc w:val="both"/>
        <w:rPr>
          <w:sz w:val="24"/>
        </w:rPr>
      </w:pPr>
      <w:r>
        <w:rPr>
          <w:sz w:val="24"/>
        </w:rPr>
        <w:t>Juárez,</w:t>
      </w:r>
      <w:r>
        <w:rPr>
          <w:spacing w:val="-10"/>
          <w:sz w:val="24"/>
        </w:rPr>
        <w:t> </w:t>
      </w:r>
      <w:r>
        <w:rPr>
          <w:sz w:val="24"/>
        </w:rPr>
        <w:t>H.</w:t>
      </w:r>
      <w:r>
        <w:rPr>
          <w:spacing w:val="-10"/>
          <w:sz w:val="24"/>
        </w:rPr>
        <w:t> </w:t>
      </w:r>
      <w:r>
        <w:rPr>
          <w:sz w:val="24"/>
        </w:rPr>
        <w:t>(2005).</w:t>
      </w:r>
      <w:r>
        <w:rPr>
          <w:spacing w:val="-10"/>
          <w:sz w:val="24"/>
        </w:rPr>
        <w:t> </w:t>
      </w:r>
      <w:r>
        <w:rPr>
          <w:sz w:val="24"/>
        </w:rPr>
        <w:t>“La</w:t>
      </w:r>
      <w:r>
        <w:rPr>
          <w:spacing w:val="-11"/>
          <w:sz w:val="24"/>
        </w:rPr>
        <w:t> </w:t>
      </w:r>
      <w:r>
        <w:rPr>
          <w:sz w:val="24"/>
        </w:rPr>
        <w:t>industria</w:t>
      </w:r>
      <w:r>
        <w:rPr>
          <w:spacing w:val="-10"/>
          <w:sz w:val="24"/>
        </w:rPr>
        <w:t> </w:t>
      </w:r>
      <w:r>
        <w:rPr>
          <w:sz w:val="24"/>
        </w:rPr>
        <w:t>proveedora</w:t>
      </w:r>
      <w:r>
        <w:rPr>
          <w:spacing w:val="-11"/>
          <w:sz w:val="24"/>
        </w:rPr>
        <w:t> </w:t>
      </w:r>
      <w:r>
        <w:rPr>
          <w:sz w:val="24"/>
        </w:rPr>
        <w:t>de</w:t>
      </w:r>
      <w:r>
        <w:rPr>
          <w:spacing w:val="-11"/>
          <w:sz w:val="24"/>
        </w:rPr>
        <w:t> </w:t>
      </w:r>
      <w:r>
        <w:rPr>
          <w:sz w:val="24"/>
        </w:rPr>
        <w:t>autopartes”,</w:t>
      </w:r>
      <w:r>
        <w:rPr>
          <w:spacing w:val="-10"/>
          <w:sz w:val="24"/>
        </w:rPr>
        <w:t> </w:t>
      </w:r>
      <w:r>
        <w:rPr>
          <w:sz w:val="24"/>
        </w:rPr>
        <w:t>en</w:t>
      </w:r>
      <w:r>
        <w:rPr>
          <w:spacing w:val="-10"/>
          <w:sz w:val="24"/>
        </w:rPr>
        <w:t> </w:t>
      </w:r>
      <w:r>
        <w:rPr>
          <w:sz w:val="24"/>
        </w:rPr>
        <w:t>Humberto</w:t>
      </w:r>
      <w:r>
        <w:rPr>
          <w:spacing w:val="-10"/>
          <w:sz w:val="24"/>
        </w:rPr>
        <w:t> </w:t>
      </w:r>
      <w:r>
        <w:rPr>
          <w:sz w:val="24"/>
        </w:rPr>
        <w:t>Juárez,</w:t>
      </w:r>
      <w:r>
        <w:rPr>
          <w:spacing w:val="-10"/>
          <w:sz w:val="24"/>
        </w:rPr>
        <w:t> </w:t>
      </w:r>
      <w:r>
        <w:rPr>
          <w:sz w:val="24"/>
        </w:rPr>
        <w:t>Arturo</w:t>
      </w:r>
      <w:r>
        <w:rPr>
          <w:spacing w:val="-8"/>
          <w:sz w:val="24"/>
        </w:rPr>
        <w:t> </w:t>
      </w:r>
      <w:r>
        <w:rPr>
          <w:sz w:val="24"/>
        </w:rPr>
        <w:t>Lara y Carmen Bueno coords., </w:t>
      </w:r>
      <w:r>
        <w:rPr>
          <w:i/>
          <w:sz w:val="24"/>
        </w:rPr>
        <w:t>El auto global, Desarrollo, competencia y cooperación en la </w:t>
      </w:r>
      <w:r>
        <w:rPr>
          <w:i/>
          <w:sz w:val="24"/>
        </w:rPr>
        <w:t>industria del automóvil</w:t>
      </w:r>
      <w:r>
        <w:rPr>
          <w:sz w:val="24"/>
        </w:rPr>
        <w:t>. Puebla, Pue.: Benemérita Universidad Autónoma de Puebla; Consejo Nacional de Ciencia y Tecnología; Universidad Autónoma Metropolitana; Universidad Iberoamericana, Ciudad de México, 2005,</w:t>
      </w:r>
      <w:r>
        <w:rPr>
          <w:spacing w:val="-6"/>
          <w:sz w:val="24"/>
        </w:rPr>
        <w:t> </w:t>
      </w:r>
      <w:r>
        <w:rPr>
          <w:sz w:val="24"/>
        </w:rPr>
        <w:t>pp.71-110.</w:t>
      </w:r>
    </w:p>
    <w:p>
      <w:pPr>
        <w:pStyle w:val="BodyText"/>
        <w:spacing w:before="4"/>
        <w:rPr>
          <w:sz w:val="21"/>
        </w:rPr>
      </w:pPr>
    </w:p>
    <w:p>
      <w:pPr>
        <w:pStyle w:val="BodyText"/>
        <w:spacing w:line="360" w:lineRule="auto" w:before="1"/>
        <w:ind w:left="102" w:right="120"/>
        <w:jc w:val="both"/>
      </w:pPr>
      <w:r>
        <w:rPr/>
        <w:t>Kaldor, N. (1966). “Causas del lento crecimiento del Reino Unido”, traducción de Fidel Aroche, Investigación Económica, núm. 167, enero-marzo de 1984, Facultad de Economía, UAEM, México, pp.9-27.</w:t>
      </w:r>
    </w:p>
    <w:p>
      <w:pPr>
        <w:spacing w:after="0" w:line="360" w:lineRule="auto"/>
        <w:jc w:val="both"/>
        <w:sectPr>
          <w:pgSz w:w="12240" w:h="15840"/>
          <w:pgMar w:header="0" w:footer="1035" w:top="1360" w:bottom="1220" w:left="1600" w:right="1580"/>
        </w:sectPr>
      </w:pPr>
    </w:p>
    <w:p>
      <w:pPr>
        <w:pStyle w:val="BodyText"/>
        <w:spacing w:line="360" w:lineRule="auto" w:before="50"/>
        <w:ind w:left="102" w:right="120"/>
        <w:jc w:val="both"/>
      </w:pPr>
      <w:r>
        <w:rPr/>
        <w:t>Kaldor N. (1963). “Capital Accumulation and Economic Growth”, Seminar on the Programming of Economic Development, UNESCO, Sao Paulo.</w:t>
      </w:r>
    </w:p>
    <w:p>
      <w:pPr>
        <w:pStyle w:val="BodyText"/>
        <w:spacing w:before="2"/>
        <w:rPr>
          <w:sz w:val="21"/>
        </w:rPr>
      </w:pPr>
    </w:p>
    <w:p>
      <w:pPr>
        <w:pStyle w:val="BodyText"/>
        <w:spacing w:line="360" w:lineRule="auto"/>
        <w:ind w:left="102" w:right="117"/>
        <w:jc w:val="both"/>
      </w:pPr>
      <w:r>
        <w:rPr/>
        <w:t>Kerschner, C. (2009). “La Economía del Estado Estacionario: ¿El único camino hacia un futuro sostenible?”. Apuntes del CENES ISS 0120-3053, Marzo, Vol. XXVII, No. 46 Págs. Xxx – xxx.</w:t>
      </w:r>
    </w:p>
    <w:p>
      <w:pPr>
        <w:pStyle w:val="BodyText"/>
        <w:spacing w:before="4"/>
        <w:rPr>
          <w:sz w:val="21"/>
        </w:rPr>
      </w:pPr>
    </w:p>
    <w:p>
      <w:pPr>
        <w:spacing w:before="1"/>
        <w:ind w:left="102" w:right="0" w:firstLine="0"/>
        <w:jc w:val="both"/>
        <w:rPr>
          <w:sz w:val="24"/>
        </w:rPr>
      </w:pPr>
      <w:r>
        <w:rPr>
          <w:sz w:val="24"/>
        </w:rPr>
        <w:t>Kuznets, S. (1973). </w:t>
      </w:r>
      <w:r>
        <w:rPr>
          <w:i/>
          <w:sz w:val="24"/>
        </w:rPr>
        <w:t>Crecimiento económico moderno</w:t>
      </w:r>
      <w:r>
        <w:rPr>
          <w:sz w:val="24"/>
        </w:rPr>
        <w:t>, Aguilar, Madrid.</w:t>
      </w:r>
    </w:p>
    <w:p>
      <w:pPr>
        <w:pStyle w:val="BodyText"/>
        <w:spacing w:before="9"/>
        <w:rPr>
          <w:sz w:val="32"/>
        </w:rPr>
      </w:pPr>
    </w:p>
    <w:p>
      <w:pPr>
        <w:pStyle w:val="BodyText"/>
        <w:spacing w:line="360" w:lineRule="auto"/>
        <w:ind w:left="102" w:right="117"/>
        <w:jc w:val="both"/>
      </w:pPr>
      <w:r>
        <w:rPr/>
        <w:t>Lara, A., García, A. y Trujano, G. (2004). “El cluster automotriz en el Estado de México. Retos y oportunidades”, </w:t>
      </w:r>
      <w:r>
        <w:rPr>
          <w:i/>
        </w:rPr>
        <w:t>Región y Sociedad</w:t>
      </w:r>
      <w:r>
        <w:rPr/>
        <w:t>, vol. XVI, núm. 31, septiembre – diciembre, pp. 83-117, El Colegio de Sonora, México.</w:t>
      </w:r>
    </w:p>
    <w:p>
      <w:pPr>
        <w:pStyle w:val="BodyText"/>
        <w:spacing w:before="4"/>
        <w:rPr>
          <w:sz w:val="21"/>
        </w:rPr>
      </w:pPr>
    </w:p>
    <w:p>
      <w:pPr>
        <w:spacing w:line="360" w:lineRule="auto" w:before="1"/>
        <w:ind w:left="102" w:right="117" w:firstLine="0"/>
        <w:jc w:val="both"/>
        <w:rPr>
          <w:sz w:val="24"/>
        </w:rPr>
      </w:pPr>
      <w:r>
        <w:rPr>
          <w:sz w:val="24"/>
        </w:rPr>
        <w:t>Lavoie, M. (1992). </w:t>
      </w:r>
      <w:r>
        <w:rPr>
          <w:i/>
          <w:sz w:val="24"/>
        </w:rPr>
        <w:t>Foundations of Post-Keynesian Economic Analysis</w:t>
      </w:r>
      <w:r>
        <w:rPr>
          <w:sz w:val="24"/>
        </w:rPr>
        <w:t>, Edward Elgar, Aldershot.</w:t>
      </w:r>
    </w:p>
    <w:p>
      <w:pPr>
        <w:pStyle w:val="BodyText"/>
        <w:spacing w:before="5"/>
        <w:rPr>
          <w:sz w:val="21"/>
        </w:rPr>
      </w:pPr>
    </w:p>
    <w:p>
      <w:pPr>
        <w:spacing w:line="360" w:lineRule="auto" w:before="0"/>
        <w:ind w:left="102" w:right="120" w:firstLine="0"/>
        <w:jc w:val="both"/>
        <w:rPr>
          <w:sz w:val="24"/>
        </w:rPr>
      </w:pPr>
      <w:r>
        <w:rPr>
          <w:sz w:val="24"/>
        </w:rPr>
        <w:t>Loría, E. (2007). </w:t>
      </w:r>
      <w:r>
        <w:rPr>
          <w:i/>
          <w:sz w:val="24"/>
        </w:rPr>
        <w:t>Econometría con aplicaciones</w:t>
      </w:r>
      <w:r>
        <w:rPr>
          <w:sz w:val="24"/>
        </w:rPr>
        <w:t>. Universidad Nacional Autónoma de México. Pearson Educación, México.</w:t>
      </w:r>
    </w:p>
    <w:p>
      <w:pPr>
        <w:pStyle w:val="BodyText"/>
        <w:spacing w:before="4"/>
        <w:rPr>
          <w:sz w:val="21"/>
        </w:rPr>
      </w:pPr>
    </w:p>
    <w:p>
      <w:pPr>
        <w:pStyle w:val="BodyText"/>
        <w:spacing w:line="360" w:lineRule="auto" w:before="1"/>
        <w:ind w:left="102" w:right="116"/>
        <w:jc w:val="both"/>
      </w:pPr>
      <w:r>
        <w:rPr/>
        <w:t>Loría, E. (2009). “Sobre el lento crecimiento económico de México. Una explicación estructural”, </w:t>
      </w:r>
      <w:r>
        <w:rPr>
          <w:i/>
        </w:rPr>
        <w:t>Investigación Económica</w:t>
      </w:r>
      <w:r>
        <w:rPr/>
        <w:t>, vol. LXVIII, núm. 270, octubre-diciembre, pp. 37- 68, Facultad de Economía, Distrito Federal, México.</w:t>
      </w:r>
    </w:p>
    <w:p>
      <w:pPr>
        <w:pStyle w:val="BodyText"/>
        <w:spacing w:before="2"/>
        <w:rPr>
          <w:sz w:val="21"/>
        </w:rPr>
      </w:pPr>
    </w:p>
    <w:p>
      <w:pPr>
        <w:pStyle w:val="BodyText"/>
        <w:ind w:left="102"/>
        <w:jc w:val="both"/>
      </w:pPr>
      <w:r>
        <w:rPr/>
        <w:t>Maldonado, S. (2009): “La rama automovilística y los corredores comerciales del TLCAN”,</w:t>
      </w:r>
    </w:p>
    <w:p>
      <w:pPr>
        <w:spacing w:before="140"/>
        <w:ind w:left="102" w:right="0" w:firstLine="0"/>
        <w:jc w:val="both"/>
        <w:rPr>
          <w:sz w:val="24"/>
        </w:rPr>
      </w:pPr>
      <w:r>
        <w:rPr>
          <w:i/>
          <w:sz w:val="24"/>
        </w:rPr>
        <w:t>Comercio Exterior</w:t>
      </w:r>
      <w:r>
        <w:rPr>
          <w:sz w:val="24"/>
        </w:rPr>
        <w:t>, Vol. 59, núm. 5, 65-86.</w:t>
      </w:r>
    </w:p>
    <w:p>
      <w:pPr>
        <w:pStyle w:val="BodyText"/>
        <w:spacing w:before="8"/>
        <w:rPr>
          <w:sz w:val="32"/>
        </w:rPr>
      </w:pPr>
    </w:p>
    <w:p>
      <w:pPr>
        <w:pStyle w:val="BodyText"/>
        <w:spacing w:line="360" w:lineRule="auto" w:before="1"/>
        <w:ind w:left="102" w:right="122"/>
        <w:jc w:val="both"/>
      </w:pPr>
      <w:r>
        <w:rPr/>
        <w:t>Mccombie, S. y Thirlwall, A. (1994). “Economic Growth and the Balance of Payments Constraint”. Basingstoke, Macmillan.</w:t>
      </w:r>
    </w:p>
    <w:p>
      <w:pPr>
        <w:pStyle w:val="BodyText"/>
        <w:spacing w:before="2"/>
        <w:rPr>
          <w:sz w:val="21"/>
        </w:rPr>
      </w:pPr>
    </w:p>
    <w:p>
      <w:pPr>
        <w:pStyle w:val="BodyText"/>
        <w:spacing w:line="360" w:lineRule="auto"/>
        <w:ind w:left="102" w:right="115"/>
        <w:jc w:val="both"/>
      </w:pPr>
      <w:r>
        <w:rPr/>
        <w:t>Montenegro, A. (1989) “Inversión y PNB: Relaciones de causalidad”, </w:t>
      </w:r>
      <w:r>
        <w:rPr>
          <w:i/>
        </w:rPr>
        <w:t>Revista Desarrollo y </w:t>
      </w:r>
      <w:r>
        <w:rPr>
          <w:i/>
        </w:rPr>
        <w:t>Sociedad</w:t>
      </w:r>
      <w:r>
        <w:rPr/>
        <w:t>, núm. 24, septiembre, Universidad de los Andes, Colombia.</w:t>
      </w:r>
    </w:p>
    <w:p>
      <w:pPr>
        <w:pStyle w:val="BodyText"/>
        <w:spacing w:before="2"/>
        <w:rPr>
          <w:sz w:val="21"/>
        </w:rPr>
      </w:pPr>
    </w:p>
    <w:p>
      <w:pPr>
        <w:pStyle w:val="BodyText"/>
        <w:spacing w:line="360" w:lineRule="auto"/>
        <w:ind w:left="102" w:right="122"/>
        <w:jc w:val="both"/>
      </w:pPr>
      <w:r>
        <w:rPr/>
        <w:t>Moreno, A. (2008). “Las leyes del desarrollo económico endógeno de Kaldor: El caso colombiano”. </w:t>
      </w:r>
      <w:r>
        <w:rPr>
          <w:i/>
        </w:rPr>
        <w:t>Revista de Economía Institucional</w:t>
      </w:r>
      <w:r>
        <w:rPr/>
        <w:t>, vol. 19, núm.18, primer semestre. Universidad Externado de Colombia. Colombia pp. 129-147.</w:t>
      </w:r>
    </w:p>
    <w:p>
      <w:pPr>
        <w:spacing w:after="0" w:line="360" w:lineRule="auto"/>
        <w:jc w:val="both"/>
        <w:sectPr>
          <w:pgSz w:w="12240" w:h="15840"/>
          <w:pgMar w:header="0" w:footer="1035" w:top="1360" w:bottom="1220" w:left="1600" w:right="1580"/>
        </w:sectPr>
      </w:pPr>
    </w:p>
    <w:p>
      <w:pPr>
        <w:pStyle w:val="BodyText"/>
        <w:spacing w:line="360" w:lineRule="auto" w:before="50"/>
        <w:ind w:left="102" w:right="114"/>
        <w:jc w:val="both"/>
      </w:pPr>
      <w:r>
        <w:rPr/>
        <w:t>Moreno – Brid, J., Santamaría, J. y Rivas, J. (2006). “Manufactura y TLCAN: un camino</w:t>
      </w:r>
      <w:r>
        <w:rPr>
          <w:spacing w:val="-17"/>
        </w:rPr>
        <w:t> </w:t>
      </w:r>
      <w:r>
        <w:rPr/>
        <w:t>de luces y sombras”, </w:t>
      </w:r>
      <w:r>
        <w:rPr>
          <w:i/>
        </w:rPr>
        <w:t>EconomíaUNAM</w:t>
      </w:r>
      <w:r>
        <w:rPr/>
        <w:t>, vol. 3, núm. 8, pp. 95-114,</w:t>
      </w:r>
      <w:r>
        <w:rPr>
          <w:spacing w:val="-5"/>
        </w:rPr>
        <w:t> </w:t>
      </w:r>
      <w:r>
        <w:rPr/>
        <w:t>México.</w:t>
      </w:r>
    </w:p>
    <w:p>
      <w:pPr>
        <w:pStyle w:val="BodyText"/>
        <w:spacing w:before="2"/>
        <w:rPr>
          <w:sz w:val="21"/>
        </w:rPr>
      </w:pPr>
    </w:p>
    <w:p>
      <w:pPr>
        <w:pStyle w:val="BodyText"/>
        <w:spacing w:line="360" w:lineRule="auto"/>
        <w:ind w:left="102" w:right="121"/>
        <w:jc w:val="both"/>
      </w:pPr>
      <w:r>
        <w:rPr/>
        <w:t>Mortimore,</w:t>
      </w:r>
      <w:r>
        <w:rPr>
          <w:spacing w:val="-13"/>
        </w:rPr>
        <w:t> </w:t>
      </w:r>
      <w:r>
        <w:rPr/>
        <w:t>M.</w:t>
      </w:r>
      <w:r>
        <w:rPr>
          <w:spacing w:val="-8"/>
        </w:rPr>
        <w:t> </w:t>
      </w:r>
      <w:r>
        <w:rPr/>
        <w:t>y</w:t>
      </w:r>
      <w:r>
        <w:rPr>
          <w:spacing w:val="-18"/>
        </w:rPr>
        <w:t> </w:t>
      </w:r>
      <w:r>
        <w:rPr/>
        <w:t>Barron,</w:t>
      </w:r>
      <w:r>
        <w:rPr>
          <w:spacing w:val="-11"/>
        </w:rPr>
        <w:t> </w:t>
      </w:r>
      <w:r>
        <w:rPr/>
        <w:t>F.</w:t>
      </w:r>
      <w:r>
        <w:rPr>
          <w:spacing w:val="-13"/>
        </w:rPr>
        <w:t> </w:t>
      </w:r>
      <w:r>
        <w:rPr/>
        <w:t>(2005).</w:t>
      </w:r>
      <w:r>
        <w:rPr>
          <w:spacing w:val="-14"/>
        </w:rPr>
        <w:t> </w:t>
      </w:r>
      <w:r>
        <w:rPr/>
        <w:t>“Informe</w:t>
      </w:r>
      <w:r>
        <w:rPr>
          <w:spacing w:val="-14"/>
        </w:rPr>
        <w:t> </w:t>
      </w:r>
      <w:r>
        <w:rPr/>
        <w:t>sobre</w:t>
      </w:r>
      <w:r>
        <w:rPr>
          <w:spacing w:val="-12"/>
        </w:rPr>
        <w:t> </w:t>
      </w:r>
      <w:r>
        <w:rPr/>
        <w:t>la</w:t>
      </w:r>
      <w:r>
        <w:rPr>
          <w:spacing w:val="-12"/>
        </w:rPr>
        <w:t> </w:t>
      </w:r>
      <w:r>
        <w:rPr/>
        <w:t>Industria</w:t>
      </w:r>
      <w:r>
        <w:rPr>
          <w:spacing w:val="-13"/>
        </w:rPr>
        <w:t> </w:t>
      </w:r>
      <w:r>
        <w:rPr/>
        <w:t>Automotriz</w:t>
      </w:r>
      <w:r>
        <w:rPr>
          <w:spacing w:val="-13"/>
        </w:rPr>
        <w:t> </w:t>
      </w:r>
      <w:r>
        <w:rPr/>
        <w:t>Mexicana”.</w:t>
      </w:r>
      <w:r>
        <w:rPr>
          <w:spacing w:val="-13"/>
        </w:rPr>
        <w:t> </w:t>
      </w:r>
      <w:r>
        <w:rPr/>
        <w:t>Serie de desarrollo productivo, núm. 162. Red de Reestructuración y competitividad. Naciones Unidas, CEPAL. Santiago de Chile, pp.</w:t>
      </w:r>
      <w:r>
        <w:rPr>
          <w:spacing w:val="53"/>
        </w:rPr>
        <w:t> </w:t>
      </w:r>
      <w:r>
        <w:rPr/>
        <w:t>5-50.</w:t>
      </w:r>
    </w:p>
    <w:p>
      <w:pPr>
        <w:pStyle w:val="BodyText"/>
        <w:spacing w:before="4"/>
        <w:rPr>
          <w:sz w:val="21"/>
        </w:rPr>
      </w:pPr>
    </w:p>
    <w:p>
      <w:pPr>
        <w:pStyle w:val="BodyText"/>
        <w:spacing w:line="360" w:lineRule="auto" w:before="1"/>
        <w:ind w:left="102" w:right="117"/>
        <w:jc w:val="both"/>
      </w:pPr>
      <w:r>
        <w:rPr/>
        <w:t>Muñoz, E. y Vindas K. (1985). “Pruebas extendidas de Granger”. Banco Central de Costa Rica,</w:t>
      </w:r>
      <w:r>
        <w:rPr>
          <w:spacing w:val="-11"/>
        </w:rPr>
        <w:t> </w:t>
      </w:r>
      <w:r>
        <w:rPr/>
        <w:t>División</w:t>
      </w:r>
      <w:r>
        <w:rPr>
          <w:spacing w:val="-11"/>
        </w:rPr>
        <w:t> </w:t>
      </w:r>
      <w:r>
        <w:rPr/>
        <w:t>Económica,</w:t>
      </w:r>
      <w:r>
        <w:rPr>
          <w:spacing w:val="-11"/>
        </w:rPr>
        <w:t> </w:t>
      </w:r>
      <w:r>
        <w:rPr/>
        <w:t>Departamento</w:t>
      </w:r>
      <w:r>
        <w:rPr>
          <w:spacing w:val="-9"/>
        </w:rPr>
        <w:t> </w:t>
      </w:r>
      <w:r>
        <w:rPr/>
        <w:t>de</w:t>
      </w:r>
      <w:r>
        <w:rPr>
          <w:spacing w:val="-7"/>
        </w:rPr>
        <w:t> </w:t>
      </w:r>
      <w:r>
        <w:rPr/>
        <w:t>Investigaciones</w:t>
      </w:r>
      <w:r>
        <w:rPr>
          <w:spacing w:val="-11"/>
        </w:rPr>
        <w:t> </w:t>
      </w:r>
      <w:r>
        <w:rPr/>
        <w:t>Económicas,</w:t>
      </w:r>
      <w:r>
        <w:rPr>
          <w:spacing w:val="-11"/>
        </w:rPr>
        <w:t> </w:t>
      </w:r>
      <w:r>
        <w:rPr/>
        <w:t>San</w:t>
      </w:r>
      <w:r>
        <w:rPr>
          <w:spacing w:val="-11"/>
        </w:rPr>
        <w:t> </w:t>
      </w:r>
      <w:r>
        <w:rPr/>
        <w:t>José</w:t>
      </w:r>
      <w:r>
        <w:rPr>
          <w:spacing w:val="-9"/>
        </w:rPr>
        <w:t> </w:t>
      </w:r>
      <w:r>
        <w:rPr/>
        <w:t>de</w:t>
      </w:r>
      <w:r>
        <w:rPr>
          <w:spacing w:val="-12"/>
        </w:rPr>
        <w:t> </w:t>
      </w:r>
      <w:r>
        <w:rPr/>
        <w:t>Costa Rica.</w:t>
      </w:r>
    </w:p>
    <w:p>
      <w:pPr>
        <w:pStyle w:val="BodyText"/>
        <w:spacing w:before="2"/>
        <w:rPr>
          <w:sz w:val="21"/>
        </w:rPr>
      </w:pPr>
    </w:p>
    <w:p>
      <w:pPr>
        <w:pStyle w:val="BodyText"/>
        <w:spacing w:line="360" w:lineRule="auto"/>
        <w:ind w:left="102" w:right="114"/>
        <w:jc w:val="both"/>
      </w:pPr>
      <w:r>
        <w:rPr/>
        <w:t>Ocegueda, J. (2003). “Análisis kaldoriano del crecimiento económico de los estados de México, 1980-2000”, </w:t>
      </w:r>
      <w:r>
        <w:rPr>
          <w:i/>
        </w:rPr>
        <w:t>Comercio exterior</w:t>
      </w:r>
      <w:r>
        <w:rPr/>
        <w:t>, vol. 53, núm.11, noviembre, pp. 1024-1034.</w:t>
      </w:r>
    </w:p>
    <w:p>
      <w:pPr>
        <w:pStyle w:val="BodyText"/>
        <w:spacing w:before="2"/>
        <w:rPr>
          <w:sz w:val="21"/>
        </w:rPr>
      </w:pPr>
    </w:p>
    <w:p>
      <w:pPr>
        <w:pStyle w:val="BodyText"/>
        <w:spacing w:line="360" w:lineRule="auto"/>
        <w:ind w:left="102" w:right="116"/>
        <w:jc w:val="both"/>
      </w:pPr>
      <w:r>
        <w:rPr/>
        <w:t>OICA (2014). Estadísticas de producción. Disponibles en http//</w:t>
      </w:r>
      <w:hyperlink r:id="rId93">
        <w:r>
          <w:rPr/>
          <w:t>:www.oica.net/</w:t>
        </w:r>
      </w:hyperlink>
      <w:r>
        <w:rPr/>
        <w:t>c</w:t>
      </w:r>
      <w:hyperlink r:id="rId93">
        <w:r>
          <w:rPr/>
          <w:t>ategory/production-statistics/</w:t>
        </w:r>
      </w:hyperlink>
    </w:p>
    <w:p>
      <w:pPr>
        <w:pStyle w:val="BodyText"/>
        <w:spacing w:before="2"/>
        <w:rPr>
          <w:sz w:val="21"/>
        </w:rPr>
      </w:pPr>
    </w:p>
    <w:p>
      <w:pPr>
        <w:spacing w:line="360" w:lineRule="auto" w:before="1"/>
        <w:ind w:left="102" w:right="117" w:firstLine="0"/>
        <w:jc w:val="both"/>
        <w:rPr>
          <w:sz w:val="24"/>
        </w:rPr>
      </w:pPr>
      <w:r>
        <w:rPr>
          <w:sz w:val="24"/>
        </w:rPr>
        <w:t>Pérez, C. (2008). </w:t>
      </w:r>
      <w:r>
        <w:rPr>
          <w:i/>
          <w:sz w:val="24"/>
        </w:rPr>
        <w:t>Econometría avanzada. Técnicas y herramientas</w:t>
      </w:r>
      <w:r>
        <w:rPr>
          <w:sz w:val="24"/>
        </w:rPr>
        <w:t>. Universidad Complutense de Madrid. Pearson Prentice Hall, Madrid.</w:t>
      </w:r>
    </w:p>
    <w:p>
      <w:pPr>
        <w:pStyle w:val="BodyText"/>
        <w:spacing w:before="2"/>
        <w:rPr>
          <w:sz w:val="21"/>
        </w:rPr>
      </w:pPr>
    </w:p>
    <w:p>
      <w:pPr>
        <w:pStyle w:val="BodyText"/>
        <w:spacing w:line="360" w:lineRule="auto"/>
        <w:ind w:left="102" w:right="117"/>
        <w:jc w:val="both"/>
      </w:pPr>
      <w:r>
        <w:rPr/>
        <w:t>PonsNovell, J. y Viladecuns, E. (1999). “Las leyes de Kaldor y efectos espaciales. Una aplicación a las provincias españolas”, </w:t>
      </w:r>
      <w:r>
        <w:rPr>
          <w:i/>
        </w:rPr>
        <w:t>Revista Asturiana de Economía RAE</w:t>
      </w:r>
      <w:r>
        <w:rPr/>
        <w:t>, No. 14. Universidad de Barcelona.</w:t>
      </w:r>
    </w:p>
    <w:p>
      <w:pPr>
        <w:pStyle w:val="BodyText"/>
        <w:spacing w:before="5"/>
        <w:rPr>
          <w:sz w:val="21"/>
        </w:rPr>
      </w:pPr>
    </w:p>
    <w:p>
      <w:pPr>
        <w:pStyle w:val="BodyText"/>
        <w:spacing w:line="360" w:lineRule="auto"/>
        <w:ind w:left="102" w:right="123"/>
        <w:jc w:val="both"/>
      </w:pPr>
      <w:r>
        <w:rPr/>
        <w:t>Porter, M. (1998). “Ser competitivos. Nuevas aportaciones y conclusiones”. Ediciones Deusto, Barcelona, España.</w:t>
      </w:r>
    </w:p>
    <w:p>
      <w:pPr>
        <w:pStyle w:val="BodyText"/>
        <w:spacing w:before="4"/>
        <w:rPr>
          <w:sz w:val="21"/>
        </w:rPr>
      </w:pPr>
    </w:p>
    <w:p>
      <w:pPr>
        <w:pStyle w:val="BodyText"/>
        <w:spacing w:before="1"/>
        <w:ind w:left="102"/>
        <w:jc w:val="both"/>
      </w:pPr>
      <w:r>
        <w:rPr/>
        <w:t>ProMéxico</w:t>
      </w:r>
    </w:p>
    <w:p>
      <w:pPr>
        <w:pStyle w:val="BodyText"/>
        <w:spacing w:before="8"/>
        <w:rPr>
          <w:sz w:val="26"/>
        </w:rPr>
      </w:pPr>
    </w:p>
    <w:p>
      <w:pPr>
        <w:pStyle w:val="BodyText"/>
        <w:tabs>
          <w:tab w:pos="869" w:val="left" w:leader="none"/>
        </w:tabs>
        <w:spacing w:line="360" w:lineRule="auto" w:before="70"/>
        <w:ind w:left="954" w:right="120" w:hanging="852"/>
      </w:pPr>
      <w:r>
        <w:rPr>
          <w:u w:val="single"/>
        </w:rPr>
        <w:t> </w:t>
        <w:tab/>
      </w:r>
      <w:r>
        <w:rPr/>
        <w:t>(2012).</w:t>
      </w:r>
      <w:r>
        <w:rPr>
          <w:spacing w:val="-13"/>
        </w:rPr>
        <w:t> </w:t>
      </w:r>
      <w:r>
        <w:rPr/>
        <w:t>Industria</w:t>
      </w:r>
      <w:r>
        <w:rPr>
          <w:spacing w:val="-13"/>
        </w:rPr>
        <w:t> </w:t>
      </w:r>
      <w:r>
        <w:rPr/>
        <w:t>Terminal</w:t>
      </w:r>
      <w:r>
        <w:rPr>
          <w:spacing w:val="-14"/>
        </w:rPr>
        <w:t> </w:t>
      </w:r>
      <w:r>
        <w:rPr/>
        <w:t>Automotriz.</w:t>
      </w:r>
      <w:r>
        <w:rPr>
          <w:spacing w:val="-12"/>
        </w:rPr>
        <w:t> </w:t>
      </w:r>
      <w:r>
        <w:rPr/>
        <w:t>Inversión</w:t>
      </w:r>
      <w:r>
        <w:rPr>
          <w:spacing w:val="-12"/>
        </w:rPr>
        <w:t> </w:t>
      </w:r>
      <w:r>
        <w:rPr/>
        <w:t>y</w:t>
      </w:r>
      <w:r>
        <w:rPr>
          <w:spacing w:val="-19"/>
        </w:rPr>
        <w:t> </w:t>
      </w:r>
      <w:r>
        <w:rPr/>
        <w:t>Comercio</w:t>
      </w:r>
      <w:r>
        <w:rPr>
          <w:spacing w:val="-14"/>
        </w:rPr>
        <w:t> </w:t>
      </w:r>
      <w:r>
        <w:rPr/>
        <w:t>Unidad</w:t>
      </w:r>
      <w:r>
        <w:rPr>
          <w:spacing w:val="-14"/>
        </w:rPr>
        <w:t> </w:t>
      </w:r>
      <w:r>
        <w:rPr/>
        <w:t>de</w:t>
      </w:r>
      <w:r>
        <w:rPr>
          <w:spacing w:val="-13"/>
        </w:rPr>
        <w:t> </w:t>
      </w:r>
      <w:r>
        <w:rPr/>
        <w:t>Inteligencia de Negocios,</w:t>
      </w:r>
      <w:r>
        <w:rPr>
          <w:spacing w:val="-6"/>
        </w:rPr>
        <w:t> </w:t>
      </w:r>
      <w:r>
        <w:rPr/>
        <w:t>México.</w:t>
      </w:r>
    </w:p>
    <w:p>
      <w:pPr>
        <w:pStyle w:val="BodyText"/>
        <w:spacing w:before="2"/>
        <w:rPr>
          <w:sz w:val="15"/>
        </w:rPr>
      </w:pPr>
    </w:p>
    <w:p>
      <w:pPr>
        <w:pStyle w:val="BodyText"/>
        <w:tabs>
          <w:tab w:pos="877" w:val="left" w:leader="none"/>
        </w:tabs>
        <w:spacing w:line="362" w:lineRule="auto" w:before="69"/>
        <w:ind w:left="954" w:right="124" w:hanging="852"/>
      </w:pPr>
      <w:r>
        <w:rPr>
          <w:u w:val="single"/>
        </w:rPr>
        <w:t> </w:t>
        <w:tab/>
      </w:r>
      <w:r>
        <w:rPr/>
        <w:t>(2013a). Industria de autopartes. Inversión y Comercio. Unidad de  </w:t>
      </w:r>
      <w:r>
        <w:rPr>
          <w:spacing w:val="27"/>
        </w:rPr>
        <w:t> </w:t>
      </w:r>
      <w:r>
        <w:rPr/>
        <w:t>Inteligencia</w:t>
      </w:r>
      <w:r>
        <w:rPr>
          <w:spacing w:val="16"/>
        </w:rPr>
        <w:t> </w:t>
      </w:r>
      <w:r>
        <w:rPr/>
        <w:t>de Negocios 2012,</w:t>
      </w:r>
      <w:r>
        <w:rPr>
          <w:spacing w:val="-6"/>
        </w:rPr>
        <w:t> </w:t>
      </w:r>
      <w:r>
        <w:rPr/>
        <w:t>México.</w:t>
      </w:r>
    </w:p>
    <w:p>
      <w:pPr>
        <w:spacing w:after="0" w:line="362" w:lineRule="auto"/>
        <w:sectPr>
          <w:pgSz w:w="12240" w:h="15840"/>
          <w:pgMar w:header="0" w:footer="1035" w:top="1360" w:bottom="1220" w:left="1600" w:right="1580"/>
        </w:sectPr>
      </w:pPr>
    </w:p>
    <w:p>
      <w:pPr>
        <w:pStyle w:val="BodyText"/>
        <w:tabs>
          <w:tab w:pos="877" w:val="left" w:leader="none"/>
        </w:tabs>
        <w:spacing w:line="360" w:lineRule="auto" w:before="50"/>
        <w:ind w:left="954" w:right="119" w:hanging="852"/>
      </w:pPr>
      <w:r>
        <w:rPr>
          <w:u w:val="single"/>
        </w:rPr>
        <w:t> </w:t>
        <w:tab/>
      </w:r>
      <w:r>
        <w:rPr/>
        <w:t> </w:t>
      </w:r>
      <w:r>
        <w:rPr>
          <w:spacing w:val="-10"/>
        </w:rPr>
        <w:t> </w:t>
      </w:r>
      <w:r>
        <w:rPr/>
        <w:t>(2013b).   Industria   Terminal   Automotriz.   Inversión   y   Comercio</w:t>
      </w:r>
      <w:r>
        <w:rPr>
          <w:spacing w:val="9"/>
        </w:rPr>
        <w:t> </w:t>
      </w:r>
      <w:r>
        <w:rPr/>
        <w:t>Unidad </w:t>
      </w:r>
      <w:r>
        <w:rPr>
          <w:spacing w:val="44"/>
        </w:rPr>
        <w:t> </w:t>
      </w:r>
      <w:r>
        <w:rPr/>
        <w:t>de Inteligencia de Negocios,</w:t>
      </w:r>
      <w:r>
        <w:rPr>
          <w:spacing w:val="-7"/>
        </w:rPr>
        <w:t> </w:t>
      </w:r>
      <w:r>
        <w:rPr/>
        <w:t>México.</w:t>
      </w:r>
    </w:p>
    <w:p>
      <w:pPr>
        <w:pStyle w:val="BodyText"/>
        <w:spacing w:before="2"/>
        <w:rPr>
          <w:sz w:val="21"/>
        </w:rPr>
      </w:pPr>
    </w:p>
    <w:p>
      <w:pPr>
        <w:pStyle w:val="BodyText"/>
        <w:spacing w:line="360" w:lineRule="auto"/>
        <w:ind w:left="102" w:right="117"/>
        <w:jc w:val="both"/>
      </w:pPr>
      <w:r>
        <w:rPr/>
        <w:t>Quintana, L., Andrés, R. y Mun, N. (2013). “Crecimiento y desarrollo regional de México y Corea del Sur: un análisis comparativo de las leyes de Kaldor”, </w:t>
      </w:r>
      <w:r>
        <w:rPr>
          <w:i/>
        </w:rPr>
        <w:t>Investigación Económica</w:t>
      </w:r>
      <w:r>
        <w:rPr/>
        <w:t>, núm. 284, abril-junio, pp. 83-110.</w:t>
      </w:r>
    </w:p>
    <w:p>
      <w:pPr>
        <w:pStyle w:val="BodyText"/>
        <w:spacing w:before="4"/>
        <w:rPr>
          <w:sz w:val="21"/>
        </w:rPr>
      </w:pPr>
    </w:p>
    <w:p>
      <w:pPr>
        <w:pStyle w:val="BodyText"/>
        <w:spacing w:line="360" w:lineRule="auto" w:before="1"/>
        <w:ind w:left="102" w:right="125"/>
        <w:jc w:val="both"/>
      </w:pPr>
      <w:r>
        <w:rPr/>
        <w:t>Rodríguez, J. y Cota, M. (1999). “Proceso de localización de la industria automotriz en México”, </w:t>
      </w:r>
      <w:r>
        <w:rPr>
          <w:i/>
        </w:rPr>
        <w:t>Carta Económica Regional </w:t>
      </w:r>
      <w:r>
        <w:rPr/>
        <w:t>(UdG), vol.12, núm.67, pp.34-38.</w:t>
      </w:r>
    </w:p>
    <w:p>
      <w:pPr>
        <w:pStyle w:val="BodyText"/>
        <w:spacing w:before="4"/>
        <w:rPr>
          <w:sz w:val="21"/>
        </w:rPr>
      </w:pPr>
    </w:p>
    <w:p>
      <w:pPr>
        <w:pStyle w:val="BodyText"/>
        <w:spacing w:line="360" w:lineRule="auto" w:before="1"/>
        <w:ind w:left="102" w:right="115"/>
        <w:jc w:val="both"/>
      </w:pPr>
      <w:r>
        <w:rPr/>
        <w:t>Rodríguez Vargas, J.J. (2005) La Nueva Fase de Desarrollo Económico y Social del Capitalismo Mundial. Tesis doctoral accesible a texto completo en </w:t>
      </w:r>
      <w:hyperlink r:id="rId94">
        <w:r>
          <w:rPr>
            <w:u w:val="single"/>
          </w:rPr>
          <w:t>http://www.eumed.net/tesis/jjrv/</w:t>
        </w:r>
      </w:hyperlink>
      <w:r>
        <w:rPr/>
        <w:t>.</w:t>
      </w:r>
    </w:p>
    <w:p>
      <w:pPr>
        <w:pStyle w:val="BodyText"/>
        <w:spacing w:before="2"/>
        <w:rPr>
          <w:sz w:val="15"/>
        </w:rPr>
      </w:pPr>
    </w:p>
    <w:p>
      <w:pPr>
        <w:pStyle w:val="BodyText"/>
        <w:spacing w:before="69"/>
        <w:ind w:left="102" w:right="119"/>
      </w:pPr>
      <w:r>
        <w:rPr/>
        <w:t>Ros J. y Casar J. (2004). “¿Por qué no crecemos?”, </w:t>
      </w:r>
      <w:r>
        <w:rPr>
          <w:i/>
        </w:rPr>
        <w:t>Nexos</w:t>
      </w:r>
      <w:r>
        <w:rPr/>
        <w:t>, 322, octubre, México.</w:t>
      </w:r>
    </w:p>
    <w:p>
      <w:pPr>
        <w:pStyle w:val="BodyText"/>
        <w:rPr>
          <w:sz w:val="33"/>
        </w:rPr>
      </w:pPr>
    </w:p>
    <w:p>
      <w:pPr>
        <w:pStyle w:val="BodyText"/>
        <w:spacing w:line="360" w:lineRule="auto"/>
        <w:ind w:left="102" w:right="119"/>
      </w:pPr>
      <w:r>
        <w:rPr/>
        <w:t>Sachon,</w:t>
      </w:r>
      <w:r>
        <w:rPr>
          <w:spacing w:val="-10"/>
        </w:rPr>
        <w:t> </w:t>
      </w:r>
      <w:r>
        <w:rPr/>
        <w:t>M.</w:t>
      </w:r>
      <w:r>
        <w:rPr>
          <w:spacing w:val="-7"/>
        </w:rPr>
        <w:t> </w:t>
      </w:r>
      <w:r>
        <w:rPr/>
        <w:t>y</w:t>
      </w:r>
      <w:r>
        <w:rPr>
          <w:spacing w:val="-17"/>
        </w:rPr>
        <w:t> </w:t>
      </w:r>
      <w:r>
        <w:rPr/>
        <w:t>Albiñana,</w:t>
      </w:r>
      <w:r>
        <w:rPr>
          <w:spacing w:val="-10"/>
        </w:rPr>
        <w:t> </w:t>
      </w:r>
      <w:r>
        <w:rPr/>
        <w:t>D.</w:t>
      </w:r>
      <w:r>
        <w:rPr>
          <w:spacing w:val="-10"/>
        </w:rPr>
        <w:t> </w:t>
      </w:r>
      <w:r>
        <w:rPr/>
        <w:t>(2004).</w:t>
      </w:r>
      <w:r>
        <w:rPr>
          <w:spacing w:val="-10"/>
        </w:rPr>
        <w:t> </w:t>
      </w:r>
      <w:r>
        <w:rPr/>
        <w:t>Sector</w:t>
      </w:r>
      <w:r>
        <w:rPr>
          <w:spacing w:val="-10"/>
        </w:rPr>
        <w:t> </w:t>
      </w:r>
      <w:r>
        <w:rPr/>
        <w:t>español</w:t>
      </w:r>
      <w:r>
        <w:rPr>
          <w:spacing w:val="-7"/>
        </w:rPr>
        <w:t> </w:t>
      </w:r>
      <w:r>
        <w:rPr/>
        <w:t>del</w:t>
      </w:r>
      <w:r>
        <w:rPr>
          <w:spacing w:val="-9"/>
        </w:rPr>
        <w:t> </w:t>
      </w:r>
      <w:r>
        <w:rPr/>
        <w:t>automóvil:</w:t>
      </w:r>
      <w:r>
        <w:rPr>
          <w:spacing w:val="-12"/>
        </w:rPr>
        <w:t> </w:t>
      </w:r>
      <w:r>
        <w:rPr/>
        <w:t>¿preparado</w:t>
      </w:r>
      <w:r>
        <w:rPr>
          <w:spacing w:val="-10"/>
        </w:rPr>
        <w:t> </w:t>
      </w:r>
      <w:r>
        <w:rPr/>
        <w:t>para</w:t>
      </w:r>
      <w:r>
        <w:rPr>
          <w:spacing w:val="-11"/>
        </w:rPr>
        <w:t> </w:t>
      </w:r>
      <w:r>
        <w:rPr/>
        <w:t>el</w:t>
      </w:r>
      <w:r>
        <w:rPr>
          <w:spacing w:val="-9"/>
        </w:rPr>
        <w:t> </w:t>
      </w:r>
      <w:r>
        <w:rPr/>
        <w:t>e-SCM? e-business Center PricewaterhouseCoopers &amp;</w:t>
      </w:r>
      <w:r>
        <w:rPr>
          <w:spacing w:val="-11"/>
        </w:rPr>
        <w:t> </w:t>
      </w:r>
      <w:r>
        <w:rPr/>
        <w:t>IESE.</w:t>
      </w:r>
    </w:p>
    <w:p>
      <w:pPr>
        <w:pStyle w:val="BodyText"/>
        <w:spacing w:before="4"/>
        <w:rPr>
          <w:sz w:val="21"/>
        </w:rPr>
      </w:pPr>
    </w:p>
    <w:p>
      <w:pPr>
        <w:pStyle w:val="BodyText"/>
        <w:spacing w:line="360" w:lineRule="auto" w:before="1"/>
        <w:ind w:left="102" w:right="119"/>
      </w:pPr>
      <w:r>
        <w:rPr/>
        <w:t>Sánchez, I. y Campos, E. (2010). “Industria manufacturera y crecimiento económico en la frontera norte de México”, </w:t>
      </w:r>
      <w:r>
        <w:rPr>
          <w:i/>
        </w:rPr>
        <w:t>Región y Sociedad</w:t>
      </w:r>
      <w:r>
        <w:rPr/>
        <w:t>, vol. XXII, núm. 49, pp. 45-89.</w:t>
      </w:r>
    </w:p>
    <w:p>
      <w:pPr>
        <w:pStyle w:val="BodyText"/>
        <w:spacing w:before="4"/>
        <w:rPr>
          <w:sz w:val="21"/>
        </w:rPr>
      </w:pPr>
    </w:p>
    <w:p>
      <w:pPr>
        <w:pStyle w:val="BodyText"/>
        <w:spacing w:line="360" w:lineRule="auto" w:before="1"/>
        <w:ind w:left="102" w:right="117"/>
      </w:pPr>
      <w:r>
        <w:rPr/>
        <w:t>Santarini,</w:t>
      </w:r>
      <w:r>
        <w:rPr>
          <w:spacing w:val="-14"/>
        </w:rPr>
        <w:t> </w:t>
      </w:r>
      <w:r>
        <w:rPr/>
        <w:t>M.</w:t>
      </w:r>
      <w:r>
        <w:rPr>
          <w:spacing w:val="-14"/>
        </w:rPr>
        <w:t> </w:t>
      </w:r>
      <w:r>
        <w:rPr/>
        <w:t>(2006).</w:t>
      </w:r>
      <w:r>
        <w:rPr>
          <w:spacing w:val="-15"/>
        </w:rPr>
        <w:t> </w:t>
      </w:r>
      <w:r>
        <w:rPr/>
        <w:t>“Design</w:t>
      </w:r>
      <w:r>
        <w:rPr>
          <w:spacing w:val="-14"/>
        </w:rPr>
        <w:t> </w:t>
      </w:r>
      <w:r>
        <w:rPr/>
        <w:t>Challenges</w:t>
      </w:r>
      <w:r>
        <w:rPr>
          <w:spacing w:val="-14"/>
        </w:rPr>
        <w:t> </w:t>
      </w:r>
      <w:r>
        <w:rPr/>
        <w:t>Steer</w:t>
      </w:r>
      <w:r>
        <w:rPr>
          <w:spacing w:val="-15"/>
        </w:rPr>
        <w:t> </w:t>
      </w:r>
      <w:r>
        <w:rPr/>
        <w:t>Automotive</w:t>
      </w:r>
      <w:r>
        <w:rPr>
          <w:spacing w:val="-15"/>
        </w:rPr>
        <w:t> </w:t>
      </w:r>
      <w:r>
        <w:rPr/>
        <w:t>Electronics”,</w:t>
      </w:r>
      <w:r>
        <w:rPr>
          <w:spacing w:val="-14"/>
        </w:rPr>
        <w:t> </w:t>
      </w:r>
      <w:r>
        <w:rPr/>
        <w:t>Revista</w:t>
      </w:r>
      <w:r>
        <w:rPr>
          <w:spacing w:val="-15"/>
        </w:rPr>
        <w:t> </w:t>
      </w:r>
      <w:r>
        <w:rPr/>
        <w:t>electrónica EDN.</w:t>
      </w:r>
      <w:r>
        <w:rPr>
          <w:spacing w:val="-11"/>
        </w:rPr>
        <w:t> </w:t>
      </w:r>
      <w:hyperlink r:id="rId95">
        <w:r>
          <w:rPr>
            <w:u w:val="single"/>
          </w:rPr>
          <w:t>http://www.mathworks.com/company/pressroom/press_covrg_pdfs/1.5.06_edn.pdf</w:t>
        </w:r>
      </w:hyperlink>
      <w:r>
        <w:rPr/>
        <w:t>.</w:t>
      </w:r>
    </w:p>
    <w:p>
      <w:pPr>
        <w:pStyle w:val="BodyText"/>
        <w:spacing w:before="5"/>
        <w:rPr>
          <w:sz w:val="15"/>
        </w:rPr>
      </w:pPr>
    </w:p>
    <w:p>
      <w:pPr>
        <w:pStyle w:val="BodyText"/>
        <w:spacing w:before="69"/>
        <w:ind w:left="102" w:right="119"/>
      </w:pPr>
      <w:r>
        <w:rPr/>
        <w:t>Secretaría de Economía (SE)</w:t>
      </w:r>
    </w:p>
    <w:p>
      <w:pPr>
        <w:pStyle w:val="BodyText"/>
        <w:tabs>
          <w:tab w:pos="869" w:val="left" w:leader="none"/>
        </w:tabs>
        <w:spacing w:line="360" w:lineRule="auto" w:before="137"/>
        <w:ind w:left="102" w:right="121"/>
      </w:pPr>
      <w:r>
        <w:rPr>
          <w:u w:val="single"/>
        </w:rPr>
        <w:t> </w:t>
        <w:tab/>
      </w:r>
      <w:r>
        <w:rPr/>
        <w:t>(2012).</w:t>
      </w:r>
      <w:r>
        <w:rPr>
          <w:spacing w:val="-15"/>
        </w:rPr>
        <w:t> </w:t>
      </w:r>
      <w:r>
        <w:rPr/>
        <w:t>“Industria</w:t>
      </w:r>
      <w:r>
        <w:rPr>
          <w:spacing w:val="-16"/>
        </w:rPr>
        <w:t> </w:t>
      </w:r>
      <w:r>
        <w:rPr/>
        <w:t>Automotriz”.</w:t>
      </w:r>
      <w:r>
        <w:rPr>
          <w:spacing w:val="-14"/>
        </w:rPr>
        <w:t> </w:t>
      </w:r>
      <w:r>
        <w:rPr/>
        <w:t>Monografía.</w:t>
      </w:r>
      <w:r>
        <w:rPr>
          <w:spacing w:val="-13"/>
        </w:rPr>
        <w:t> </w:t>
      </w:r>
      <w:r>
        <w:rPr/>
        <w:t>Dirección</w:t>
      </w:r>
      <w:r>
        <w:rPr>
          <w:spacing w:val="-14"/>
        </w:rPr>
        <w:t> </w:t>
      </w:r>
      <w:r>
        <w:rPr/>
        <w:t>general</w:t>
      </w:r>
      <w:r>
        <w:rPr>
          <w:spacing w:val="-14"/>
        </w:rPr>
        <w:t> </w:t>
      </w:r>
      <w:r>
        <w:rPr/>
        <w:t>de</w:t>
      </w:r>
      <w:r>
        <w:rPr>
          <w:spacing w:val="-15"/>
        </w:rPr>
        <w:t> </w:t>
      </w:r>
      <w:r>
        <w:rPr/>
        <w:t>industrias</w:t>
      </w:r>
      <w:r>
        <w:rPr>
          <w:spacing w:val="-14"/>
        </w:rPr>
        <w:t> </w:t>
      </w:r>
      <w:r>
        <w:rPr/>
        <w:t>pesadas</w:t>
      </w:r>
      <w:r>
        <w:rPr>
          <w:w w:val="99"/>
        </w:rPr>
        <w:t> </w:t>
      </w:r>
      <w:r>
        <w:rPr/>
        <w:t>y de alta tecnología.</w:t>
      </w:r>
      <w:r>
        <w:rPr>
          <w:spacing w:val="-5"/>
        </w:rPr>
        <w:t> </w:t>
      </w:r>
      <w:r>
        <w:rPr/>
        <w:t>México.</w:t>
      </w:r>
    </w:p>
    <w:p>
      <w:pPr>
        <w:pStyle w:val="BodyText"/>
        <w:spacing w:before="2"/>
        <w:rPr>
          <w:sz w:val="15"/>
        </w:rPr>
      </w:pPr>
    </w:p>
    <w:p>
      <w:pPr>
        <w:pStyle w:val="BodyText"/>
        <w:tabs>
          <w:tab w:pos="877" w:val="left" w:leader="none"/>
        </w:tabs>
        <w:spacing w:line="360" w:lineRule="auto" w:before="69"/>
        <w:ind w:left="102" w:right="121"/>
      </w:pPr>
      <w:r>
        <w:rPr>
          <w:u w:val="single"/>
        </w:rPr>
        <w:t> </w:t>
        <w:tab/>
      </w:r>
      <w:r>
        <w:rPr>
          <w:spacing w:val="2"/>
        </w:rPr>
        <w:t> </w:t>
      </w:r>
      <w:r>
        <w:rPr/>
        <w:t>(2014).  Estadística  oficial  de  los  flujos  de  IED  hacia  México.</w:t>
      </w:r>
      <w:r>
        <w:rPr>
          <w:spacing w:val="26"/>
        </w:rPr>
        <w:t> </w:t>
      </w:r>
      <w:r>
        <w:rPr/>
        <w:t>Recuperado</w:t>
      </w:r>
      <w:r>
        <w:rPr>
          <w:spacing w:val="56"/>
        </w:rPr>
        <w:t> </w:t>
      </w:r>
      <w:r>
        <w:rPr/>
        <w:t>de </w:t>
      </w:r>
      <w:hyperlink r:id="rId96">
        <w:r>
          <w:rPr>
            <w:u w:val="single"/>
          </w:rPr>
          <w:t>http://www.economia.gob.mx/comunidad-negocios/competitividad-</w:t>
        </w:r>
      </w:hyperlink>
    </w:p>
    <w:p>
      <w:pPr>
        <w:pStyle w:val="BodyText"/>
        <w:spacing w:line="362" w:lineRule="auto" w:before="4"/>
        <w:ind w:left="102" w:right="119"/>
      </w:pPr>
      <w:r>
        <w:rPr>
          <w:u w:val="single"/>
        </w:rPr>
        <w:t>normatividad/inversion-extranjera-directa/estadistica-oficial-de-ied-en-mexico</w:t>
      </w:r>
      <w:r>
        <w:rPr/>
        <w:t>. (15 de abril de 2014).</w:t>
      </w:r>
    </w:p>
    <w:p>
      <w:pPr>
        <w:spacing w:after="0" w:line="362" w:lineRule="auto"/>
        <w:sectPr>
          <w:pgSz w:w="12240" w:h="15840"/>
          <w:pgMar w:header="0" w:footer="1035" w:top="1360" w:bottom="1220" w:left="1600" w:right="1580"/>
        </w:sectPr>
      </w:pPr>
    </w:p>
    <w:p>
      <w:pPr>
        <w:pStyle w:val="BodyText"/>
        <w:spacing w:line="360" w:lineRule="auto" w:before="50"/>
        <w:ind w:left="102" w:right="120"/>
        <w:jc w:val="both"/>
      </w:pPr>
      <w:r>
        <w:rPr/>
        <w:t>Sosa, S. (2005). “La industria automotriz de México: de la sustitución de importaciones a la promoción de exportaciones”, </w:t>
      </w:r>
      <w:r>
        <w:rPr>
          <w:i/>
        </w:rPr>
        <w:t>Análisis Económico</w:t>
      </w:r>
      <w:r>
        <w:rPr/>
        <w:t>, núm. 44, vol. XX.</w:t>
      </w:r>
    </w:p>
    <w:p>
      <w:pPr>
        <w:pStyle w:val="BodyText"/>
        <w:spacing w:before="2"/>
        <w:rPr>
          <w:sz w:val="21"/>
        </w:rPr>
      </w:pPr>
    </w:p>
    <w:p>
      <w:pPr>
        <w:pStyle w:val="BodyText"/>
        <w:spacing w:line="360" w:lineRule="auto"/>
        <w:ind w:left="102" w:right="117"/>
        <w:jc w:val="both"/>
      </w:pPr>
      <w:r>
        <w:rPr/>
        <w:t>Unger, K. y Chico, R. (2004). “La industria automotriz en tres regiones de México. Un análisis de clusters”, </w:t>
      </w:r>
      <w:r>
        <w:rPr>
          <w:i/>
        </w:rPr>
        <w:t>El Trimestre Económico</w:t>
      </w:r>
      <w:r>
        <w:rPr/>
        <w:t>. Fondo de Cultura Económica, vol. LXXI, núm. 284, pp. 909-941.</w:t>
      </w:r>
    </w:p>
    <w:p>
      <w:pPr>
        <w:pStyle w:val="BodyText"/>
        <w:spacing w:before="4"/>
        <w:rPr>
          <w:sz w:val="21"/>
        </w:rPr>
      </w:pPr>
    </w:p>
    <w:p>
      <w:pPr>
        <w:pStyle w:val="BodyText"/>
        <w:spacing w:line="360" w:lineRule="auto" w:before="1"/>
        <w:ind w:left="102" w:right="115"/>
        <w:jc w:val="both"/>
      </w:pPr>
      <w:r>
        <w:rPr/>
        <w:t>Velázquez, </w:t>
      </w:r>
      <w:r>
        <w:rPr>
          <w:spacing w:val="-3"/>
        </w:rPr>
        <w:t>L. </w:t>
      </w:r>
      <w:r>
        <w:rPr/>
        <w:t>(2004). “Principales características de la reestructuración de la Industria Automotriz”,</w:t>
      </w:r>
      <w:r>
        <w:rPr>
          <w:spacing w:val="-11"/>
        </w:rPr>
        <w:t> </w:t>
      </w:r>
      <w:r>
        <w:rPr>
          <w:i/>
        </w:rPr>
        <w:t>El</w:t>
      </w:r>
      <w:r>
        <w:rPr>
          <w:i/>
          <w:spacing w:val="-11"/>
        </w:rPr>
        <w:t> </w:t>
      </w:r>
      <w:r>
        <w:rPr>
          <w:i/>
        </w:rPr>
        <w:t>cotidiano</w:t>
      </w:r>
      <w:r>
        <w:rPr/>
        <w:t>,</w:t>
      </w:r>
      <w:r>
        <w:rPr>
          <w:spacing w:val="-11"/>
        </w:rPr>
        <w:t> </w:t>
      </w:r>
      <w:r>
        <w:rPr/>
        <w:t>vol.</w:t>
      </w:r>
      <w:r>
        <w:rPr>
          <w:spacing w:val="-11"/>
        </w:rPr>
        <w:t> </w:t>
      </w:r>
      <w:r>
        <w:rPr/>
        <w:t>20,</w:t>
      </w:r>
      <w:r>
        <w:rPr>
          <w:spacing w:val="-11"/>
        </w:rPr>
        <w:t> </w:t>
      </w:r>
      <w:r>
        <w:rPr/>
        <w:t>núm.</w:t>
      </w:r>
      <w:r>
        <w:rPr>
          <w:spacing w:val="-11"/>
        </w:rPr>
        <w:t> </w:t>
      </w:r>
      <w:r>
        <w:rPr/>
        <w:t>128,</w:t>
      </w:r>
      <w:r>
        <w:rPr>
          <w:spacing w:val="-11"/>
        </w:rPr>
        <w:t> </w:t>
      </w:r>
      <w:r>
        <w:rPr/>
        <w:t>noviembre-</w:t>
      </w:r>
      <w:r>
        <w:rPr>
          <w:spacing w:val="-12"/>
        </w:rPr>
        <w:t> </w:t>
      </w:r>
      <w:r>
        <w:rPr/>
        <w:t>diciembre,</w:t>
      </w:r>
      <w:r>
        <w:rPr>
          <w:spacing w:val="-11"/>
        </w:rPr>
        <w:t> </w:t>
      </w:r>
      <w:r>
        <w:rPr/>
        <w:t>Universidad</w:t>
      </w:r>
      <w:r>
        <w:rPr>
          <w:spacing w:val="-11"/>
        </w:rPr>
        <w:t> </w:t>
      </w:r>
      <w:r>
        <w:rPr/>
        <w:t>Autónoma Metropolitana Azcapotzalco, pp.</w:t>
      </w:r>
      <w:r>
        <w:rPr>
          <w:spacing w:val="-6"/>
        </w:rPr>
        <w:t> </w:t>
      </w:r>
      <w:r>
        <w:rPr/>
        <w:t>124-133.</w:t>
      </w:r>
    </w:p>
    <w:p>
      <w:pPr>
        <w:pStyle w:val="BodyText"/>
        <w:spacing w:before="2"/>
        <w:rPr>
          <w:sz w:val="21"/>
        </w:rPr>
      </w:pPr>
    </w:p>
    <w:p>
      <w:pPr>
        <w:pStyle w:val="BodyText"/>
        <w:spacing w:line="360" w:lineRule="auto"/>
        <w:ind w:left="102" w:right="121"/>
        <w:jc w:val="both"/>
      </w:pPr>
      <w:r>
        <w:rPr/>
        <w:t>Veloso, F. y Kumar R. (2002). “The Automotive Supply Chain: Global Trends and Asian Perspectives”, ERD Working Paper Series. No. 3 Economics and Research Department. Asian Development Bank, January.</w:t>
      </w:r>
    </w:p>
    <w:p>
      <w:pPr>
        <w:pStyle w:val="BodyText"/>
        <w:spacing w:before="4"/>
        <w:rPr>
          <w:sz w:val="21"/>
        </w:rPr>
      </w:pPr>
    </w:p>
    <w:p>
      <w:pPr>
        <w:pStyle w:val="BodyText"/>
        <w:spacing w:line="360" w:lineRule="auto" w:before="1"/>
        <w:ind w:left="102" w:right="118"/>
        <w:jc w:val="both"/>
      </w:pPr>
      <w:r>
        <w:rPr/>
        <w:t>Villarreal, D. y Villegas, M. (2007). “Cambios en la localización de la industria automotriz en México 1994-2004”. Producción Económica: Anuario de Investigación 2007. México, DF. UAM-X, CSH. Depto. de Producción Económica.</w:t>
      </w:r>
    </w:p>
    <w:p>
      <w:pPr>
        <w:spacing w:after="0" w:line="360" w:lineRule="auto"/>
        <w:jc w:val="both"/>
        <w:sectPr>
          <w:pgSz w:w="12240" w:h="15840"/>
          <w:pgMar w:header="0" w:footer="1035" w:top="1360" w:bottom="1220" w:left="1600" w:right="1580"/>
        </w:sectPr>
      </w:pPr>
    </w:p>
    <w:p>
      <w:pPr>
        <w:pStyle w:val="Heading1"/>
        <w:spacing w:before="55"/>
        <w:ind w:left="1493" w:right="1532"/>
        <w:jc w:val="center"/>
      </w:pPr>
      <w:bookmarkStart w:name="_TOC_250000" w:id="35"/>
      <w:bookmarkEnd w:id="35"/>
      <w:r>
        <w:rPr/>
        <w:t>ANEXOS</w:t>
      </w:r>
    </w:p>
    <w:p>
      <w:pPr>
        <w:spacing w:before="139"/>
        <w:ind w:left="1493" w:right="1533" w:firstLine="0"/>
        <w:jc w:val="center"/>
        <w:rPr>
          <w:b/>
          <w:sz w:val="24"/>
        </w:rPr>
      </w:pPr>
      <w:r>
        <w:rPr>
          <w:b/>
          <w:sz w:val="24"/>
        </w:rPr>
        <w:t>Anexo 1. Selección óptima de rezagos para el modelo VAR</w:t>
      </w:r>
    </w:p>
    <w:p>
      <w:pPr>
        <w:spacing w:before="131"/>
        <w:ind w:left="110" w:right="2789" w:firstLine="0"/>
        <w:jc w:val="left"/>
        <w:rPr>
          <w:sz w:val="20"/>
        </w:rPr>
      </w:pPr>
      <w:r>
        <w:rPr>
          <w:sz w:val="20"/>
        </w:rPr>
        <w:t>VAR Lag Order Selection Criteria</w:t>
      </w:r>
    </w:p>
    <w:p>
      <w:pPr>
        <w:spacing w:before="0"/>
        <w:ind w:left="110" w:right="2789" w:firstLine="0"/>
        <w:jc w:val="left"/>
        <w:rPr>
          <w:sz w:val="20"/>
        </w:rPr>
      </w:pPr>
      <w:r>
        <w:rPr>
          <w:sz w:val="20"/>
        </w:rPr>
        <w:t>Endogenous variables: LYMAN LYAUTO LQREAL LYINDUSTEU LPMT</w:t>
      </w:r>
    </w:p>
    <w:p>
      <w:pPr>
        <w:spacing w:before="0"/>
        <w:ind w:left="110" w:right="6603" w:firstLine="0"/>
        <w:jc w:val="left"/>
        <w:rPr>
          <w:sz w:val="20"/>
        </w:rPr>
      </w:pPr>
      <w:r>
        <w:rPr>
          <w:sz w:val="20"/>
        </w:rPr>
        <w:t>Exogenous variables: C Date: 05/25/15 Time: 18:11 Sample: 1993Q1 2014Q4</w:t>
      </w:r>
    </w:p>
    <w:p>
      <w:pPr>
        <w:spacing w:line="228" w:lineRule="exact" w:before="0"/>
        <w:ind w:left="110" w:right="2789" w:firstLine="0"/>
        <w:jc w:val="left"/>
        <w:rPr>
          <w:sz w:val="20"/>
        </w:rPr>
      </w:pPr>
      <w:r>
        <w:rPr>
          <w:sz w:val="20"/>
        </w:rPr>
        <w:t>Included observations: 82</w:t>
      </w:r>
    </w:p>
    <w:p>
      <w:pPr>
        <w:pStyle w:val="BodyText"/>
        <w:spacing w:before="4" w:after="1"/>
        <w:rPr>
          <w:sz w:val="10"/>
        </w:rPr>
      </w:pPr>
    </w:p>
    <w:tbl>
      <w:tblPr>
        <w:tblW w:w="0" w:type="auto"/>
        <w:jc w:val="left"/>
        <w:tblInd w:w="113"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886"/>
        <w:gridCol w:w="1300"/>
        <w:gridCol w:w="1362"/>
        <w:gridCol w:w="1263"/>
        <w:gridCol w:w="1326"/>
        <w:gridCol w:w="1313"/>
        <w:gridCol w:w="1288"/>
      </w:tblGrid>
      <w:tr>
        <w:trPr>
          <w:trHeight w:val="454" w:hRule="exact"/>
        </w:trPr>
        <w:tc>
          <w:tcPr>
            <w:tcW w:w="886" w:type="dxa"/>
            <w:tcBorders>
              <w:left w:val="nil"/>
              <w:right w:val="nil"/>
            </w:tcBorders>
          </w:tcPr>
          <w:p>
            <w:pPr>
              <w:pStyle w:val="TableParagraph"/>
              <w:spacing w:before="84"/>
              <w:ind w:left="276" w:right="259"/>
              <w:rPr>
                <w:sz w:val="20"/>
              </w:rPr>
            </w:pPr>
            <w:r>
              <w:rPr>
                <w:sz w:val="20"/>
              </w:rPr>
              <w:t>Lag</w:t>
            </w:r>
          </w:p>
        </w:tc>
        <w:tc>
          <w:tcPr>
            <w:tcW w:w="1300" w:type="dxa"/>
            <w:tcBorders>
              <w:left w:val="nil"/>
              <w:right w:val="nil"/>
            </w:tcBorders>
          </w:tcPr>
          <w:p>
            <w:pPr>
              <w:pStyle w:val="TableParagraph"/>
              <w:spacing w:before="84"/>
              <w:ind w:left="210" w:right="249"/>
              <w:rPr>
                <w:sz w:val="20"/>
              </w:rPr>
            </w:pPr>
            <w:r>
              <w:rPr>
                <w:sz w:val="20"/>
              </w:rPr>
              <w:t>LogL</w:t>
            </w:r>
          </w:p>
        </w:tc>
        <w:tc>
          <w:tcPr>
            <w:tcW w:w="1362" w:type="dxa"/>
            <w:tcBorders>
              <w:left w:val="nil"/>
              <w:right w:val="nil"/>
            </w:tcBorders>
          </w:tcPr>
          <w:p>
            <w:pPr>
              <w:pStyle w:val="TableParagraph"/>
              <w:spacing w:before="84"/>
              <w:ind w:left="148" w:right="222"/>
              <w:rPr>
                <w:sz w:val="20"/>
              </w:rPr>
            </w:pPr>
            <w:r>
              <w:rPr>
                <w:sz w:val="20"/>
              </w:rPr>
              <w:t>LR</w:t>
            </w:r>
          </w:p>
        </w:tc>
        <w:tc>
          <w:tcPr>
            <w:tcW w:w="1263" w:type="dxa"/>
            <w:tcBorders>
              <w:left w:val="nil"/>
              <w:right w:val="nil"/>
            </w:tcBorders>
          </w:tcPr>
          <w:p>
            <w:pPr>
              <w:pStyle w:val="TableParagraph"/>
              <w:spacing w:before="84"/>
              <w:ind w:left="420"/>
              <w:jc w:val="left"/>
              <w:rPr>
                <w:sz w:val="20"/>
              </w:rPr>
            </w:pPr>
            <w:r>
              <w:rPr>
                <w:sz w:val="20"/>
              </w:rPr>
              <w:t>FPE</w:t>
            </w:r>
          </w:p>
        </w:tc>
        <w:tc>
          <w:tcPr>
            <w:tcW w:w="1326" w:type="dxa"/>
            <w:tcBorders>
              <w:left w:val="nil"/>
              <w:right w:val="nil"/>
            </w:tcBorders>
          </w:tcPr>
          <w:p>
            <w:pPr>
              <w:pStyle w:val="TableParagraph"/>
              <w:spacing w:before="84"/>
              <w:ind w:left="139" w:right="178"/>
              <w:rPr>
                <w:sz w:val="20"/>
              </w:rPr>
            </w:pPr>
            <w:r>
              <w:rPr>
                <w:sz w:val="20"/>
              </w:rPr>
              <w:t>AIC</w:t>
            </w:r>
          </w:p>
        </w:tc>
        <w:tc>
          <w:tcPr>
            <w:tcW w:w="1313" w:type="dxa"/>
            <w:tcBorders>
              <w:left w:val="nil"/>
              <w:right w:val="nil"/>
            </w:tcBorders>
          </w:tcPr>
          <w:p>
            <w:pPr>
              <w:pStyle w:val="TableParagraph"/>
              <w:spacing w:before="84"/>
              <w:ind w:left="126" w:right="178"/>
              <w:rPr>
                <w:sz w:val="20"/>
              </w:rPr>
            </w:pPr>
            <w:r>
              <w:rPr>
                <w:sz w:val="20"/>
              </w:rPr>
              <w:t>SC</w:t>
            </w:r>
          </w:p>
        </w:tc>
        <w:tc>
          <w:tcPr>
            <w:tcW w:w="1288" w:type="dxa"/>
            <w:tcBorders>
              <w:left w:val="nil"/>
              <w:right w:val="nil"/>
            </w:tcBorders>
          </w:tcPr>
          <w:p>
            <w:pPr>
              <w:pStyle w:val="TableParagraph"/>
              <w:spacing w:before="84"/>
              <w:ind w:left="128" w:right="153"/>
              <w:rPr>
                <w:sz w:val="20"/>
              </w:rPr>
            </w:pPr>
            <w:r>
              <w:rPr>
                <w:sz w:val="20"/>
              </w:rPr>
              <w:t>HQ</w:t>
            </w:r>
          </w:p>
        </w:tc>
      </w:tr>
      <w:tr>
        <w:trPr>
          <w:trHeight w:val="347" w:hRule="exact"/>
        </w:trPr>
        <w:tc>
          <w:tcPr>
            <w:tcW w:w="886" w:type="dxa"/>
            <w:tcBorders>
              <w:left w:val="nil"/>
              <w:bottom w:val="nil"/>
              <w:right w:val="nil"/>
            </w:tcBorders>
          </w:tcPr>
          <w:p>
            <w:pPr>
              <w:pStyle w:val="TableParagraph"/>
              <w:spacing w:before="84"/>
              <w:ind w:right="30"/>
              <w:rPr>
                <w:sz w:val="20"/>
              </w:rPr>
            </w:pPr>
            <w:r>
              <w:rPr>
                <w:w w:val="99"/>
                <w:sz w:val="20"/>
              </w:rPr>
              <w:t>0</w:t>
            </w:r>
          </w:p>
        </w:tc>
        <w:tc>
          <w:tcPr>
            <w:tcW w:w="1300" w:type="dxa"/>
            <w:tcBorders>
              <w:left w:val="nil"/>
              <w:bottom w:val="nil"/>
              <w:right w:val="nil"/>
            </w:tcBorders>
          </w:tcPr>
          <w:p>
            <w:pPr>
              <w:pStyle w:val="TableParagraph"/>
              <w:spacing w:before="84"/>
              <w:ind w:left="259" w:right="249"/>
              <w:rPr>
                <w:sz w:val="20"/>
              </w:rPr>
            </w:pPr>
            <w:r>
              <w:rPr>
                <w:sz w:val="20"/>
              </w:rPr>
              <w:t>430.1376</w:t>
            </w:r>
          </w:p>
        </w:tc>
        <w:tc>
          <w:tcPr>
            <w:tcW w:w="1362" w:type="dxa"/>
            <w:tcBorders>
              <w:left w:val="nil"/>
              <w:bottom w:val="nil"/>
              <w:right w:val="nil"/>
            </w:tcBorders>
          </w:tcPr>
          <w:p>
            <w:pPr>
              <w:pStyle w:val="TableParagraph"/>
              <w:spacing w:before="84"/>
              <w:ind w:left="102" w:right="222"/>
              <w:rPr>
                <w:sz w:val="20"/>
              </w:rPr>
            </w:pPr>
            <w:r>
              <w:rPr>
                <w:sz w:val="20"/>
              </w:rPr>
              <w:t>NA</w:t>
            </w:r>
          </w:p>
        </w:tc>
        <w:tc>
          <w:tcPr>
            <w:tcW w:w="1263" w:type="dxa"/>
            <w:tcBorders>
              <w:left w:val="nil"/>
              <w:bottom w:val="nil"/>
              <w:right w:val="nil"/>
            </w:tcBorders>
          </w:tcPr>
          <w:p>
            <w:pPr>
              <w:pStyle w:val="TableParagraph"/>
              <w:spacing w:before="84"/>
              <w:ind w:left="266"/>
              <w:jc w:val="left"/>
              <w:rPr>
                <w:sz w:val="20"/>
              </w:rPr>
            </w:pPr>
            <w:r>
              <w:rPr>
                <w:sz w:val="20"/>
              </w:rPr>
              <w:t>2.16e-11</w:t>
            </w:r>
          </w:p>
        </w:tc>
        <w:tc>
          <w:tcPr>
            <w:tcW w:w="1326" w:type="dxa"/>
            <w:tcBorders>
              <w:left w:val="nil"/>
              <w:bottom w:val="nil"/>
              <w:right w:val="nil"/>
            </w:tcBorders>
          </w:tcPr>
          <w:p>
            <w:pPr>
              <w:pStyle w:val="TableParagraph"/>
              <w:spacing w:before="84"/>
              <w:ind w:left="141" w:right="178"/>
              <w:rPr>
                <w:sz w:val="20"/>
              </w:rPr>
            </w:pPr>
            <w:r>
              <w:rPr>
                <w:sz w:val="20"/>
              </w:rPr>
              <w:t>-10.36921</w:t>
            </w:r>
          </w:p>
        </w:tc>
        <w:tc>
          <w:tcPr>
            <w:tcW w:w="1313" w:type="dxa"/>
            <w:tcBorders>
              <w:left w:val="nil"/>
              <w:bottom w:val="nil"/>
              <w:right w:val="nil"/>
            </w:tcBorders>
          </w:tcPr>
          <w:p>
            <w:pPr>
              <w:pStyle w:val="TableParagraph"/>
              <w:spacing w:before="84"/>
              <w:ind w:left="128" w:right="178"/>
              <w:rPr>
                <w:sz w:val="20"/>
              </w:rPr>
            </w:pPr>
            <w:r>
              <w:rPr>
                <w:sz w:val="20"/>
              </w:rPr>
              <w:t>-10.22246</w:t>
            </w:r>
          </w:p>
        </w:tc>
        <w:tc>
          <w:tcPr>
            <w:tcW w:w="1288" w:type="dxa"/>
            <w:tcBorders>
              <w:left w:val="nil"/>
              <w:bottom w:val="nil"/>
              <w:right w:val="nil"/>
            </w:tcBorders>
          </w:tcPr>
          <w:p>
            <w:pPr>
              <w:pStyle w:val="TableParagraph"/>
              <w:spacing w:before="84"/>
              <w:ind w:left="126" w:right="153"/>
              <w:rPr>
                <w:sz w:val="20"/>
              </w:rPr>
            </w:pPr>
            <w:r>
              <w:rPr>
                <w:sz w:val="20"/>
              </w:rPr>
              <w:t>-10.31029</w:t>
            </w:r>
          </w:p>
        </w:tc>
      </w:tr>
      <w:tr>
        <w:trPr>
          <w:trHeight w:val="230" w:hRule="exact"/>
        </w:trPr>
        <w:tc>
          <w:tcPr>
            <w:tcW w:w="886" w:type="dxa"/>
            <w:tcBorders>
              <w:top w:val="nil"/>
              <w:left w:val="nil"/>
              <w:bottom w:val="nil"/>
              <w:right w:val="nil"/>
            </w:tcBorders>
          </w:tcPr>
          <w:p>
            <w:pPr>
              <w:pStyle w:val="TableParagraph"/>
              <w:spacing w:line="219" w:lineRule="exact"/>
              <w:ind w:right="30"/>
              <w:rPr>
                <w:sz w:val="20"/>
              </w:rPr>
            </w:pPr>
            <w:r>
              <w:rPr>
                <w:w w:val="99"/>
                <w:sz w:val="20"/>
              </w:rPr>
              <w:t>1</w:t>
            </w:r>
          </w:p>
        </w:tc>
        <w:tc>
          <w:tcPr>
            <w:tcW w:w="1300" w:type="dxa"/>
            <w:tcBorders>
              <w:top w:val="nil"/>
              <w:left w:val="nil"/>
              <w:bottom w:val="nil"/>
              <w:right w:val="nil"/>
            </w:tcBorders>
          </w:tcPr>
          <w:p>
            <w:pPr>
              <w:pStyle w:val="TableParagraph"/>
              <w:spacing w:line="219" w:lineRule="exact"/>
              <w:ind w:left="259" w:right="249"/>
              <w:rPr>
                <w:sz w:val="20"/>
              </w:rPr>
            </w:pPr>
            <w:r>
              <w:rPr>
                <w:sz w:val="20"/>
              </w:rPr>
              <w:t>896.9064</w:t>
            </w:r>
          </w:p>
        </w:tc>
        <w:tc>
          <w:tcPr>
            <w:tcW w:w="1362" w:type="dxa"/>
            <w:tcBorders>
              <w:top w:val="nil"/>
              <w:left w:val="nil"/>
              <w:bottom w:val="nil"/>
              <w:right w:val="nil"/>
            </w:tcBorders>
          </w:tcPr>
          <w:p>
            <w:pPr>
              <w:pStyle w:val="TableParagraph"/>
              <w:spacing w:line="219" w:lineRule="exact"/>
              <w:ind w:left="203" w:right="222"/>
              <w:rPr>
                <w:sz w:val="20"/>
              </w:rPr>
            </w:pPr>
            <w:r>
              <w:rPr>
                <w:sz w:val="20"/>
              </w:rPr>
              <w:t>865.2301</w:t>
            </w:r>
          </w:p>
        </w:tc>
        <w:tc>
          <w:tcPr>
            <w:tcW w:w="1263" w:type="dxa"/>
            <w:tcBorders>
              <w:top w:val="nil"/>
              <w:left w:val="nil"/>
              <w:bottom w:val="nil"/>
              <w:right w:val="nil"/>
            </w:tcBorders>
          </w:tcPr>
          <w:p>
            <w:pPr>
              <w:pStyle w:val="TableParagraph"/>
              <w:spacing w:line="219" w:lineRule="exact"/>
              <w:ind w:left="266"/>
              <w:jc w:val="left"/>
              <w:rPr>
                <w:sz w:val="20"/>
              </w:rPr>
            </w:pPr>
            <w:r>
              <w:rPr>
                <w:sz w:val="20"/>
              </w:rPr>
              <w:t>4.52e-16</w:t>
            </w:r>
          </w:p>
        </w:tc>
        <w:tc>
          <w:tcPr>
            <w:tcW w:w="1326" w:type="dxa"/>
            <w:tcBorders>
              <w:top w:val="nil"/>
              <w:left w:val="nil"/>
              <w:bottom w:val="nil"/>
              <w:right w:val="nil"/>
            </w:tcBorders>
          </w:tcPr>
          <w:p>
            <w:pPr>
              <w:pStyle w:val="TableParagraph"/>
              <w:spacing w:line="219" w:lineRule="exact"/>
              <w:ind w:left="141" w:right="178"/>
              <w:rPr>
                <w:sz w:val="20"/>
              </w:rPr>
            </w:pPr>
            <w:r>
              <w:rPr>
                <w:sz w:val="20"/>
              </w:rPr>
              <w:t>-21.14406</w:t>
            </w:r>
          </w:p>
        </w:tc>
        <w:tc>
          <w:tcPr>
            <w:tcW w:w="1313" w:type="dxa"/>
            <w:tcBorders>
              <w:top w:val="nil"/>
              <w:left w:val="nil"/>
              <w:bottom w:val="nil"/>
              <w:right w:val="nil"/>
            </w:tcBorders>
          </w:tcPr>
          <w:p>
            <w:pPr>
              <w:pStyle w:val="TableParagraph"/>
              <w:spacing w:line="219" w:lineRule="exact"/>
              <w:ind w:left="128" w:right="178"/>
              <w:rPr>
                <w:sz w:val="20"/>
              </w:rPr>
            </w:pPr>
            <w:r>
              <w:rPr>
                <w:sz w:val="20"/>
              </w:rPr>
              <w:t>-20.26355</w:t>
            </w:r>
          </w:p>
        </w:tc>
        <w:tc>
          <w:tcPr>
            <w:tcW w:w="1288" w:type="dxa"/>
            <w:tcBorders>
              <w:top w:val="nil"/>
              <w:left w:val="nil"/>
              <w:bottom w:val="nil"/>
              <w:right w:val="nil"/>
            </w:tcBorders>
          </w:tcPr>
          <w:p>
            <w:pPr>
              <w:pStyle w:val="TableParagraph"/>
              <w:spacing w:line="219" w:lineRule="exact"/>
              <w:ind w:left="126" w:right="153"/>
              <w:rPr>
                <w:sz w:val="20"/>
              </w:rPr>
            </w:pPr>
            <w:r>
              <w:rPr>
                <w:sz w:val="20"/>
              </w:rPr>
              <w:t>-20.79055</w:t>
            </w:r>
          </w:p>
        </w:tc>
      </w:tr>
      <w:tr>
        <w:trPr>
          <w:trHeight w:val="230" w:hRule="exact"/>
        </w:trPr>
        <w:tc>
          <w:tcPr>
            <w:tcW w:w="886" w:type="dxa"/>
            <w:tcBorders>
              <w:top w:val="nil"/>
              <w:left w:val="nil"/>
              <w:bottom w:val="nil"/>
              <w:right w:val="nil"/>
            </w:tcBorders>
          </w:tcPr>
          <w:p>
            <w:pPr>
              <w:pStyle w:val="TableParagraph"/>
              <w:spacing w:line="219" w:lineRule="exact"/>
              <w:ind w:right="30"/>
              <w:rPr>
                <w:sz w:val="20"/>
              </w:rPr>
            </w:pPr>
            <w:r>
              <w:rPr>
                <w:w w:val="99"/>
                <w:sz w:val="20"/>
              </w:rPr>
              <w:t>2</w:t>
            </w:r>
          </w:p>
        </w:tc>
        <w:tc>
          <w:tcPr>
            <w:tcW w:w="1300" w:type="dxa"/>
            <w:tcBorders>
              <w:top w:val="nil"/>
              <w:left w:val="nil"/>
              <w:bottom w:val="nil"/>
              <w:right w:val="nil"/>
            </w:tcBorders>
          </w:tcPr>
          <w:p>
            <w:pPr>
              <w:pStyle w:val="TableParagraph"/>
              <w:spacing w:line="219" w:lineRule="exact"/>
              <w:ind w:left="259" w:right="249"/>
              <w:rPr>
                <w:sz w:val="20"/>
              </w:rPr>
            </w:pPr>
            <w:r>
              <w:rPr>
                <w:sz w:val="20"/>
              </w:rPr>
              <w:t>974.4397</w:t>
            </w:r>
          </w:p>
        </w:tc>
        <w:tc>
          <w:tcPr>
            <w:tcW w:w="1362" w:type="dxa"/>
            <w:tcBorders>
              <w:top w:val="nil"/>
              <w:left w:val="nil"/>
              <w:bottom w:val="nil"/>
              <w:right w:val="nil"/>
            </w:tcBorders>
          </w:tcPr>
          <w:p>
            <w:pPr>
              <w:pStyle w:val="TableParagraph"/>
              <w:spacing w:line="219" w:lineRule="exact"/>
              <w:ind w:left="203" w:right="222"/>
              <w:rPr>
                <w:sz w:val="20"/>
              </w:rPr>
            </w:pPr>
            <w:r>
              <w:rPr>
                <w:sz w:val="20"/>
              </w:rPr>
              <w:t>134.2650</w:t>
            </w:r>
          </w:p>
        </w:tc>
        <w:tc>
          <w:tcPr>
            <w:tcW w:w="1263" w:type="dxa"/>
            <w:tcBorders>
              <w:top w:val="nil"/>
              <w:left w:val="nil"/>
              <w:bottom w:val="nil"/>
              <w:right w:val="nil"/>
            </w:tcBorders>
          </w:tcPr>
          <w:p>
            <w:pPr>
              <w:pStyle w:val="TableParagraph"/>
              <w:spacing w:line="219" w:lineRule="exact"/>
              <w:ind w:left="266"/>
              <w:jc w:val="left"/>
              <w:rPr>
                <w:sz w:val="20"/>
              </w:rPr>
            </w:pPr>
            <w:r>
              <w:rPr>
                <w:sz w:val="20"/>
              </w:rPr>
              <w:t>1.26e-16</w:t>
            </w:r>
          </w:p>
        </w:tc>
        <w:tc>
          <w:tcPr>
            <w:tcW w:w="1326" w:type="dxa"/>
            <w:tcBorders>
              <w:top w:val="nil"/>
              <w:left w:val="nil"/>
              <w:bottom w:val="nil"/>
              <w:right w:val="nil"/>
            </w:tcBorders>
          </w:tcPr>
          <w:p>
            <w:pPr>
              <w:pStyle w:val="TableParagraph"/>
              <w:spacing w:line="219" w:lineRule="exact"/>
              <w:ind w:left="141" w:right="178"/>
              <w:rPr>
                <w:sz w:val="20"/>
              </w:rPr>
            </w:pPr>
            <w:r>
              <w:rPr>
                <w:sz w:val="20"/>
              </w:rPr>
              <w:t>-22.42536</w:t>
            </w:r>
          </w:p>
        </w:tc>
        <w:tc>
          <w:tcPr>
            <w:tcW w:w="1313" w:type="dxa"/>
            <w:tcBorders>
              <w:top w:val="nil"/>
              <w:left w:val="nil"/>
              <w:bottom w:val="nil"/>
              <w:right w:val="nil"/>
            </w:tcBorders>
          </w:tcPr>
          <w:p>
            <w:pPr>
              <w:pStyle w:val="TableParagraph"/>
              <w:spacing w:line="219" w:lineRule="exact"/>
              <w:ind w:left="178" w:right="178"/>
              <w:rPr>
                <w:sz w:val="20"/>
              </w:rPr>
            </w:pPr>
            <w:r>
              <w:rPr>
                <w:sz w:val="20"/>
              </w:rPr>
              <w:t>-20.81110*</w:t>
            </w:r>
          </w:p>
        </w:tc>
        <w:tc>
          <w:tcPr>
            <w:tcW w:w="1288" w:type="dxa"/>
            <w:tcBorders>
              <w:top w:val="nil"/>
              <w:left w:val="nil"/>
              <w:bottom w:val="nil"/>
              <w:right w:val="nil"/>
            </w:tcBorders>
          </w:tcPr>
          <w:p>
            <w:pPr>
              <w:pStyle w:val="TableParagraph"/>
              <w:spacing w:line="219" w:lineRule="exact"/>
              <w:ind w:left="126" w:right="153"/>
              <w:rPr>
                <w:sz w:val="20"/>
              </w:rPr>
            </w:pPr>
            <w:r>
              <w:rPr>
                <w:sz w:val="20"/>
              </w:rPr>
              <w:t>-21.77726</w:t>
            </w:r>
          </w:p>
        </w:tc>
      </w:tr>
      <w:tr>
        <w:trPr>
          <w:trHeight w:val="230" w:hRule="exact"/>
        </w:trPr>
        <w:tc>
          <w:tcPr>
            <w:tcW w:w="886" w:type="dxa"/>
            <w:tcBorders>
              <w:top w:val="nil"/>
              <w:left w:val="nil"/>
              <w:bottom w:val="nil"/>
              <w:right w:val="nil"/>
            </w:tcBorders>
          </w:tcPr>
          <w:p>
            <w:pPr>
              <w:pStyle w:val="TableParagraph"/>
              <w:spacing w:line="219" w:lineRule="exact"/>
              <w:ind w:right="30"/>
              <w:rPr>
                <w:sz w:val="20"/>
              </w:rPr>
            </w:pPr>
            <w:r>
              <w:rPr>
                <w:w w:val="99"/>
                <w:sz w:val="20"/>
              </w:rPr>
              <w:t>3</w:t>
            </w:r>
          </w:p>
        </w:tc>
        <w:tc>
          <w:tcPr>
            <w:tcW w:w="1300" w:type="dxa"/>
            <w:tcBorders>
              <w:top w:val="nil"/>
              <w:left w:val="nil"/>
              <w:bottom w:val="nil"/>
              <w:right w:val="nil"/>
            </w:tcBorders>
          </w:tcPr>
          <w:p>
            <w:pPr>
              <w:pStyle w:val="TableParagraph"/>
              <w:spacing w:line="219" w:lineRule="exact"/>
              <w:ind w:left="259" w:right="249"/>
              <w:rPr>
                <w:sz w:val="20"/>
              </w:rPr>
            </w:pPr>
            <w:r>
              <w:rPr>
                <w:sz w:val="20"/>
              </w:rPr>
              <w:t>1009.176</w:t>
            </w:r>
          </w:p>
        </w:tc>
        <w:tc>
          <w:tcPr>
            <w:tcW w:w="1362" w:type="dxa"/>
            <w:tcBorders>
              <w:top w:val="nil"/>
              <w:left w:val="nil"/>
              <w:bottom w:val="nil"/>
              <w:right w:val="nil"/>
            </w:tcBorders>
          </w:tcPr>
          <w:p>
            <w:pPr>
              <w:pStyle w:val="TableParagraph"/>
              <w:spacing w:line="219" w:lineRule="exact"/>
              <w:ind w:left="203" w:right="222"/>
              <w:rPr>
                <w:sz w:val="20"/>
              </w:rPr>
            </w:pPr>
            <w:r>
              <w:rPr>
                <w:sz w:val="20"/>
              </w:rPr>
              <w:t>55.91624</w:t>
            </w:r>
          </w:p>
        </w:tc>
        <w:tc>
          <w:tcPr>
            <w:tcW w:w="1263" w:type="dxa"/>
            <w:tcBorders>
              <w:top w:val="nil"/>
              <w:left w:val="nil"/>
              <w:bottom w:val="nil"/>
              <w:right w:val="nil"/>
            </w:tcBorders>
          </w:tcPr>
          <w:p>
            <w:pPr>
              <w:pStyle w:val="TableParagraph"/>
              <w:spacing w:line="219" w:lineRule="exact"/>
              <w:ind w:left="266"/>
              <w:jc w:val="left"/>
              <w:rPr>
                <w:sz w:val="20"/>
              </w:rPr>
            </w:pPr>
            <w:r>
              <w:rPr>
                <w:sz w:val="20"/>
              </w:rPr>
              <w:t>1.01e-16</w:t>
            </w:r>
          </w:p>
        </w:tc>
        <w:tc>
          <w:tcPr>
            <w:tcW w:w="1326" w:type="dxa"/>
            <w:tcBorders>
              <w:top w:val="nil"/>
              <w:left w:val="nil"/>
              <w:bottom w:val="nil"/>
              <w:right w:val="nil"/>
            </w:tcBorders>
          </w:tcPr>
          <w:p>
            <w:pPr>
              <w:pStyle w:val="TableParagraph"/>
              <w:spacing w:line="219" w:lineRule="exact"/>
              <w:ind w:left="141" w:right="178"/>
              <w:rPr>
                <w:sz w:val="20"/>
              </w:rPr>
            </w:pPr>
            <w:r>
              <w:rPr>
                <w:sz w:val="20"/>
              </w:rPr>
              <w:t>-22.66282</w:t>
            </w:r>
          </w:p>
        </w:tc>
        <w:tc>
          <w:tcPr>
            <w:tcW w:w="1313" w:type="dxa"/>
            <w:tcBorders>
              <w:top w:val="nil"/>
              <w:left w:val="nil"/>
              <w:bottom w:val="nil"/>
              <w:right w:val="nil"/>
            </w:tcBorders>
          </w:tcPr>
          <w:p>
            <w:pPr>
              <w:pStyle w:val="TableParagraph"/>
              <w:spacing w:line="219" w:lineRule="exact"/>
              <w:ind w:left="128" w:right="178"/>
              <w:rPr>
                <w:sz w:val="20"/>
              </w:rPr>
            </w:pPr>
            <w:r>
              <w:rPr>
                <w:sz w:val="20"/>
              </w:rPr>
              <w:t>-20.31480</w:t>
            </w:r>
          </w:p>
        </w:tc>
        <w:tc>
          <w:tcPr>
            <w:tcW w:w="1288" w:type="dxa"/>
            <w:tcBorders>
              <w:top w:val="nil"/>
              <w:left w:val="nil"/>
              <w:bottom w:val="nil"/>
              <w:right w:val="nil"/>
            </w:tcBorders>
          </w:tcPr>
          <w:p>
            <w:pPr>
              <w:pStyle w:val="TableParagraph"/>
              <w:spacing w:line="219" w:lineRule="exact"/>
              <w:ind w:left="126" w:right="153"/>
              <w:rPr>
                <w:sz w:val="20"/>
              </w:rPr>
            </w:pPr>
            <w:r>
              <w:rPr>
                <w:sz w:val="20"/>
              </w:rPr>
              <w:t>-21.72013</w:t>
            </w:r>
          </w:p>
        </w:tc>
      </w:tr>
      <w:tr>
        <w:trPr>
          <w:trHeight w:val="230" w:hRule="exact"/>
        </w:trPr>
        <w:tc>
          <w:tcPr>
            <w:tcW w:w="886" w:type="dxa"/>
            <w:tcBorders>
              <w:top w:val="nil"/>
              <w:left w:val="nil"/>
              <w:bottom w:val="nil"/>
              <w:right w:val="nil"/>
            </w:tcBorders>
          </w:tcPr>
          <w:p>
            <w:pPr>
              <w:pStyle w:val="TableParagraph"/>
              <w:spacing w:line="219" w:lineRule="exact"/>
              <w:ind w:right="30"/>
              <w:rPr>
                <w:sz w:val="20"/>
              </w:rPr>
            </w:pPr>
            <w:r>
              <w:rPr>
                <w:w w:val="99"/>
                <w:sz w:val="20"/>
              </w:rPr>
              <w:t>4</w:t>
            </w:r>
          </w:p>
        </w:tc>
        <w:tc>
          <w:tcPr>
            <w:tcW w:w="1300" w:type="dxa"/>
            <w:tcBorders>
              <w:top w:val="nil"/>
              <w:left w:val="nil"/>
              <w:bottom w:val="nil"/>
              <w:right w:val="nil"/>
            </w:tcBorders>
          </w:tcPr>
          <w:p>
            <w:pPr>
              <w:pStyle w:val="TableParagraph"/>
              <w:spacing w:line="219" w:lineRule="exact"/>
              <w:ind w:left="259" w:right="249"/>
              <w:rPr>
                <w:sz w:val="20"/>
              </w:rPr>
            </w:pPr>
            <w:r>
              <w:rPr>
                <w:sz w:val="20"/>
              </w:rPr>
              <w:t>1051.928</w:t>
            </w:r>
          </w:p>
        </w:tc>
        <w:tc>
          <w:tcPr>
            <w:tcW w:w="1362" w:type="dxa"/>
            <w:tcBorders>
              <w:top w:val="nil"/>
              <w:left w:val="nil"/>
              <w:bottom w:val="nil"/>
              <w:right w:val="nil"/>
            </w:tcBorders>
          </w:tcPr>
          <w:p>
            <w:pPr>
              <w:pStyle w:val="TableParagraph"/>
              <w:spacing w:line="219" w:lineRule="exact"/>
              <w:ind w:left="203" w:right="222"/>
              <w:rPr>
                <w:sz w:val="20"/>
              </w:rPr>
            </w:pPr>
            <w:r>
              <w:rPr>
                <w:sz w:val="20"/>
              </w:rPr>
              <w:t>63.60742</w:t>
            </w:r>
          </w:p>
        </w:tc>
        <w:tc>
          <w:tcPr>
            <w:tcW w:w="1263" w:type="dxa"/>
            <w:tcBorders>
              <w:top w:val="nil"/>
              <w:left w:val="nil"/>
              <w:bottom w:val="nil"/>
              <w:right w:val="nil"/>
            </w:tcBorders>
          </w:tcPr>
          <w:p>
            <w:pPr>
              <w:pStyle w:val="TableParagraph"/>
              <w:spacing w:line="219" w:lineRule="exact"/>
              <w:ind w:left="266"/>
              <w:jc w:val="left"/>
              <w:rPr>
                <w:sz w:val="20"/>
              </w:rPr>
            </w:pPr>
            <w:r>
              <w:rPr>
                <w:sz w:val="20"/>
              </w:rPr>
              <w:t>6.80e-17</w:t>
            </w:r>
          </w:p>
        </w:tc>
        <w:tc>
          <w:tcPr>
            <w:tcW w:w="1326" w:type="dxa"/>
            <w:tcBorders>
              <w:top w:val="nil"/>
              <w:left w:val="nil"/>
              <w:bottom w:val="nil"/>
              <w:right w:val="nil"/>
            </w:tcBorders>
          </w:tcPr>
          <w:p>
            <w:pPr>
              <w:pStyle w:val="TableParagraph"/>
              <w:spacing w:line="219" w:lineRule="exact"/>
              <w:ind w:left="141" w:right="178"/>
              <w:rPr>
                <w:sz w:val="20"/>
              </w:rPr>
            </w:pPr>
            <w:r>
              <w:rPr>
                <w:sz w:val="20"/>
              </w:rPr>
              <w:t>-23.09581</w:t>
            </w:r>
          </w:p>
        </w:tc>
        <w:tc>
          <w:tcPr>
            <w:tcW w:w="1313" w:type="dxa"/>
            <w:tcBorders>
              <w:top w:val="nil"/>
              <w:left w:val="nil"/>
              <w:bottom w:val="nil"/>
              <w:right w:val="nil"/>
            </w:tcBorders>
          </w:tcPr>
          <w:p>
            <w:pPr>
              <w:pStyle w:val="TableParagraph"/>
              <w:spacing w:line="219" w:lineRule="exact"/>
              <w:ind w:left="128" w:right="178"/>
              <w:rPr>
                <w:sz w:val="20"/>
              </w:rPr>
            </w:pPr>
            <w:r>
              <w:rPr>
                <w:sz w:val="20"/>
              </w:rPr>
              <w:t>-20.01403</w:t>
            </w:r>
          </w:p>
        </w:tc>
        <w:tc>
          <w:tcPr>
            <w:tcW w:w="1288" w:type="dxa"/>
            <w:tcBorders>
              <w:top w:val="nil"/>
              <w:left w:val="nil"/>
              <w:bottom w:val="nil"/>
              <w:right w:val="nil"/>
            </w:tcBorders>
          </w:tcPr>
          <w:p>
            <w:pPr>
              <w:pStyle w:val="TableParagraph"/>
              <w:spacing w:line="219" w:lineRule="exact"/>
              <w:ind w:left="177" w:right="153"/>
              <w:rPr>
                <w:sz w:val="20"/>
              </w:rPr>
            </w:pPr>
            <w:r>
              <w:rPr>
                <w:sz w:val="20"/>
              </w:rPr>
              <w:t>-21.85852*</w:t>
            </w:r>
          </w:p>
        </w:tc>
      </w:tr>
      <w:tr>
        <w:trPr>
          <w:trHeight w:val="229" w:hRule="exact"/>
        </w:trPr>
        <w:tc>
          <w:tcPr>
            <w:tcW w:w="886" w:type="dxa"/>
            <w:tcBorders>
              <w:top w:val="nil"/>
              <w:left w:val="nil"/>
              <w:bottom w:val="nil"/>
              <w:right w:val="nil"/>
            </w:tcBorders>
          </w:tcPr>
          <w:p>
            <w:pPr>
              <w:pStyle w:val="TableParagraph"/>
              <w:spacing w:line="219" w:lineRule="exact"/>
              <w:ind w:right="30"/>
              <w:rPr>
                <w:sz w:val="20"/>
              </w:rPr>
            </w:pPr>
            <w:r>
              <w:rPr>
                <w:w w:val="99"/>
                <w:sz w:val="20"/>
              </w:rPr>
              <w:t>5</w:t>
            </w:r>
          </w:p>
        </w:tc>
        <w:tc>
          <w:tcPr>
            <w:tcW w:w="1300" w:type="dxa"/>
            <w:tcBorders>
              <w:top w:val="nil"/>
              <w:left w:val="nil"/>
              <w:bottom w:val="nil"/>
              <w:right w:val="nil"/>
            </w:tcBorders>
          </w:tcPr>
          <w:p>
            <w:pPr>
              <w:pStyle w:val="TableParagraph"/>
              <w:spacing w:line="219" w:lineRule="exact"/>
              <w:ind w:left="259" w:right="249"/>
              <w:rPr>
                <w:sz w:val="20"/>
              </w:rPr>
            </w:pPr>
            <w:r>
              <w:rPr>
                <w:sz w:val="20"/>
              </w:rPr>
              <w:t>1086.225</w:t>
            </w:r>
          </w:p>
        </w:tc>
        <w:tc>
          <w:tcPr>
            <w:tcW w:w="1362" w:type="dxa"/>
            <w:tcBorders>
              <w:top w:val="nil"/>
              <w:left w:val="nil"/>
              <w:bottom w:val="nil"/>
              <w:right w:val="nil"/>
            </w:tcBorders>
          </w:tcPr>
          <w:p>
            <w:pPr>
              <w:pStyle w:val="TableParagraph"/>
              <w:spacing w:line="219" w:lineRule="exact"/>
              <w:ind w:left="249" w:right="222"/>
              <w:rPr>
                <w:sz w:val="20"/>
              </w:rPr>
            </w:pPr>
            <w:r>
              <w:rPr>
                <w:sz w:val="20"/>
              </w:rPr>
              <w:t>46.84494*</w:t>
            </w:r>
          </w:p>
        </w:tc>
        <w:tc>
          <w:tcPr>
            <w:tcW w:w="1263" w:type="dxa"/>
            <w:tcBorders>
              <w:top w:val="nil"/>
              <w:left w:val="nil"/>
              <w:bottom w:val="nil"/>
              <w:right w:val="nil"/>
            </w:tcBorders>
          </w:tcPr>
          <w:p>
            <w:pPr>
              <w:pStyle w:val="TableParagraph"/>
              <w:spacing w:line="219" w:lineRule="exact"/>
              <w:ind w:left="266"/>
              <w:jc w:val="left"/>
              <w:rPr>
                <w:sz w:val="20"/>
              </w:rPr>
            </w:pPr>
            <w:r>
              <w:rPr>
                <w:sz w:val="20"/>
              </w:rPr>
              <w:t>5.73e-17</w:t>
            </w:r>
          </w:p>
        </w:tc>
        <w:tc>
          <w:tcPr>
            <w:tcW w:w="1326" w:type="dxa"/>
            <w:tcBorders>
              <w:top w:val="nil"/>
              <w:left w:val="nil"/>
              <w:bottom w:val="nil"/>
              <w:right w:val="nil"/>
            </w:tcBorders>
          </w:tcPr>
          <w:p>
            <w:pPr>
              <w:pStyle w:val="TableParagraph"/>
              <w:spacing w:line="219" w:lineRule="exact"/>
              <w:ind w:left="141" w:right="178"/>
              <w:rPr>
                <w:sz w:val="20"/>
              </w:rPr>
            </w:pPr>
            <w:r>
              <w:rPr>
                <w:sz w:val="20"/>
              </w:rPr>
              <w:t>-23.32257</w:t>
            </w:r>
          </w:p>
        </w:tc>
        <w:tc>
          <w:tcPr>
            <w:tcW w:w="1313" w:type="dxa"/>
            <w:tcBorders>
              <w:top w:val="nil"/>
              <w:left w:val="nil"/>
              <w:bottom w:val="nil"/>
              <w:right w:val="nil"/>
            </w:tcBorders>
          </w:tcPr>
          <w:p>
            <w:pPr>
              <w:pStyle w:val="TableParagraph"/>
              <w:spacing w:line="219" w:lineRule="exact"/>
              <w:ind w:left="128" w:right="178"/>
              <w:rPr>
                <w:sz w:val="20"/>
              </w:rPr>
            </w:pPr>
            <w:r>
              <w:rPr>
                <w:sz w:val="20"/>
              </w:rPr>
              <w:t>-19.50704</w:t>
            </w:r>
          </w:p>
        </w:tc>
        <w:tc>
          <w:tcPr>
            <w:tcW w:w="1288" w:type="dxa"/>
            <w:tcBorders>
              <w:top w:val="nil"/>
              <w:left w:val="nil"/>
              <w:bottom w:val="nil"/>
              <w:right w:val="nil"/>
            </w:tcBorders>
          </w:tcPr>
          <w:p>
            <w:pPr>
              <w:pStyle w:val="TableParagraph"/>
              <w:spacing w:line="219" w:lineRule="exact"/>
              <w:ind w:left="126" w:right="153"/>
              <w:rPr>
                <w:sz w:val="20"/>
              </w:rPr>
            </w:pPr>
            <w:r>
              <w:rPr>
                <w:sz w:val="20"/>
              </w:rPr>
              <w:t>-21.79069</w:t>
            </w:r>
          </w:p>
        </w:tc>
      </w:tr>
      <w:tr>
        <w:trPr>
          <w:trHeight w:val="338" w:hRule="exact"/>
        </w:trPr>
        <w:tc>
          <w:tcPr>
            <w:tcW w:w="886" w:type="dxa"/>
            <w:tcBorders>
              <w:top w:val="nil"/>
              <w:left w:val="nil"/>
              <w:right w:val="nil"/>
            </w:tcBorders>
          </w:tcPr>
          <w:p>
            <w:pPr>
              <w:pStyle w:val="TableParagraph"/>
              <w:spacing w:line="218" w:lineRule="exact"/>
              <w:ind w:right="30"/>
              <w:rPr>
                <w:sz w:val="20"/>
              </w:rPr>
            </w:pPr>
            <w:r>
              <w:rPr>
                <w:w w:val="99"/>
                <w:sz w:val="20"/>
              </w:rPr>
              <w:t>6</w:t>
            </w:r>
          </w:p>
        </w:tc>
        <w:tc>
          <w:tcPr>
            <w:tcW w:w="1300" w:type="dxa"/>
            <w:tcBorders>
              <w:top w:val="nil"/>
              <w:left w:val="nil"/>
              <w:right w:val="nil"/>
            </w:tcBorders>
          </w:tcPr>
          <w:p>
            <w:pPr>
              <w:pStyle w:val="TableParagraph"/>
              <w:spacing w:line="218" w:lineRule="exact"/>
              <w:ind w:left="259" w:right="249"/>
              <w:rPr>
                <w:sz w:val="20"/>
              </w:rPr>
            </w:pPr>
            <w:r>
              <w:rPr>
                <w:sz w:val="20"/>
              </w:rPr>
              <w:t>1116.300</w:t>
            </w:r>
          </w:p>
        </w:tc>
        <w:tc>
          <w:tcPr>
            <w:tcW w:w="1362" w:type="dxa"/>
            <w:tcBorders>
              <w:top w:val="nil"/>
              <w:left w:val="nil"/>
              <w:right w:val="nil"/>
            </w:tcBorders>
          </w:tcPr>
          <w:p>
            <w:pPr>
              <w:pStyle w:val="TableParagraph"/>
              <w:spacing w:line="218" w:lineRule="exact"/>
              <w:ind w:left="203" w:right="222"/>
              <w:rPr>
                <w:sz w:val="20"/>
              </w:rPr>
            </w:pPr>
            <w:r>
              <w:rPr>
                <w:sz w:val="20"/>
              </w:rPr>
              <w:t>37.41058</w:t>
            </w:r>
          </w:p>
        </w:tc>
        <w:tc>
          <w:tcPr>
            <w:tcW w:w="1263" w:type="dxa"/>
            <w:tcBorders>
              <w:top w:val="nil"/>
              <w:left w:val="nil"/>
              <w:right w:val="nil"/>
            </w:tcBorders>
          </w:tcPr>
          <w:p>
            <w:pPr>
              <w:pStyle w:val="TableParagraph"/>
              <w:spacing w:line="218" w:lineRule="exact"/>
              <w:ind w:left="242"/>
              <w:jc w:val="left"/>
              <w:rPr>
                <w:sz w:val="20"/>
              </w:rPr>
            </w:pPr>
            <w:r>
              <w:rPr>
                <w:sz w:val="20"/>
              </w:rPr>
              <w:t>5.50e-17*</w:t>
            </w:r>
          </w:p>
        </w:tc>
        <w:tc>
          <w:tcPr>
            <w:tcW w:w="1326" w:type="dxa"/>
            <w:tcBorders>
              <w:top w:val="nil"/>
              <w:left w:val="nil"/>
              <w:right w:val="nil"/>
            </w:tcBorders>
          </w:tcPr>
          <w:p>
            <w:pPr>
              <w:pStyle w:val="TableParagraph"/>
              <w:spacing w:line="218" w:lineRule="exact"/>
              <w:ind w:left="190" w:right="178"/>
              <w:rPr>
                <w:sz w:val="20"/>
              </w:rPr>
            </w:pPr>
            <w:r>
              <w:rPr>
                <w:sz w:val="20"/>
              </w:rPr>
              <w:t>-23.44635*</w:t>
            </w:r>
          </w:p>
        </w:tc>
        <w:tc>
          <w:tcPr>
            <w:tcW w:w="1313" w:type="dxa"/>
            <w:tcBorders>
              <w:top w:val="nil"/>
              <w:left w:val="nil"/>
              <w:right w:val="nil"/>
            </w:tcBorders>
          </w:tcPr>
          <w:p>
            <w:pPr>
              <w:pStyle w:val="TableParagraph"/>
              <w:spacing w:line="218" w:lineRule="exact"/>
              <w:ind w:left="128" w:right="178"/>
              <w:rPr>
                <w:sz w:val="20"/>
              </w:rPr>
            </w:pPr>
            <w:r>
              <w:rPr>
                <w:sz w:val="20"/>
              </w:rPr>
              <w:t>-18.89707</w:t>
            </w:r>
          </w:p>
        </w:tc>
        <w:tc>
          <w:tcPr>
            <w:tcW w:w="1288" w:type="dxa"/>
            <w:tcBorders>
              <w:top w:val="nil"/>
              <w:left w:val="nil"/>
              <w:right w:val="nil"/>
            </w:tcBorders>
          </w:tcPr>
          <w:p>
            <w:pPr>
              <w:pStyle w:val="TableParagraph"/>
              <w:spacing w:line="218" w:lineRule="exact"/>
              <w:ind w:left="126" w:right="153"/>
              <w:rPr>
                <w:sz w:val="20"/>
              </w:rPr>
            </w:pPr>
            <w:r>
              <w:rPr>
                <w:sz w:val="20"/>
              </w:rPr>
              <w:t>-21.61988</w:t>
            </w:r>
          </w:p>
        </w:tc>
      </w:tr>
    </w:tbl>
    <w:p>
      <w:pPr>
        <w:spacing w:before="63"/>
        <w:ind w:left="163" w:right="2789" w:firstLine="0"/>
        <w:jc w:val="left"/>
        <w:rPr>
          <w:sz w:val="20"/>
        </w:rPr>
      </w:pPr>
      <w:r>
        <w:rPr>
          <w:sz w:val="20"/>
        </w:rPr>
        <w:t>* indicates lag order selected by the criterion</w:t>
      </w:r>
    </w:p>
    <w:p>
      <w:pPr>
        <w:spacing w:before="0"/>
        <w:ind w:left="161" w:right="3433" w:firstLine="0"/>
        <w:jc w:val="left"/>
        <w:rPr>
          <w:sz w:val="20"/>
        </w:rPr>
      </w:pPr>
      <w:r>
        <w:rPr>
          <w:sz w:val="20"/>
        </w:rPr>
        <w:t>LR: sequential modified LR test statistic (each test at 5% level) FPE: Final prediction error</w:t>
      </w:r>
    </w:p>
    <w:p>
      <w:pPr>
        <w:spacing w:before="0"/>
        <w:ind w:left="161" w:right="6098" w:firstLine="0"/>
        <w:jc w:val="left"/>
        <w:rPr>
          <w:sz w:val="20"/>
        </w:rPr>
      </w:pPr>
      <w:r>
        <w:rPr>
          <w:sz w:val="20"/>
        </w:rPr>
        <w:t>AIC: Akaike information criterion SC: Schwarz information criterion</w:t>
      </w:r>
    </w:p>
    <w:p>
      <w:pPr>
        <w:spacing w:before="0"/>
        <w:ind w:left="161" w:right="2789" w:firstLine="0"/>
        <w:jc w:val="left"/>
        <w:rPr>
          <w:sz w:val="20"/>
        </w:rPr>
      </w:pPr>
      <w:r>
        <w:rPr>
          <w:sz w:val="20"/>
        </w:rPr>
        <w:t>HQ: Hannan-Quinn information criterion</w:t>
      </w:r>
    </w:p>
    <w:p>
      <w:pPr>
        <w:spacing w:before="0"/>
        <w:ind w:left="2331" w:right="0" w:firstLine="0"/>
        <w:jc w:val="left"/>
        <w:rPr>
          <w:sz w:val="20"/>
        </w:rPr>
      </w:pPr>
      <w:r>
        <w:rPr>
          <w:sz w:val="20"/>
        </w:rPr>
        <w:t>Fuente: Elaboración propia con programa E-views 9.0</w:t>
      </w:r>
    </w:p>
    <w:sectPr>
      <w:footerReference w:type="default" r:id="rId97"/>
      <w:pgSz w:w="12240" w:h="15840"/>
      <w:pgMar w:footer="1035" w:header="0" w:top="1360" w:bottom="1220" w:left="1620" w:right="1580"/>
      <w:pgNumType w:start="1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Math">
    <w:altName w:val="Cambria Math"/>
    <w:charset w:val="0"/>
    <w:family w:val="roman"/>
    <w:pitch w:val="variable"/>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020020pt;margin-top:729.263916pt;width:16.05pt;height:14pt;mso-position-horizontal-relative:page;mso-position-vertical-relative:page;z-index:-50183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019989pt;margin-top:729.263916pt;width:20pt;height:14pt;mso-position-horizontal-relative:page;mso-position-vertical-relative:page;z-index:-501616" type="#_x0000_t202" filled="false" stroked="false">
          <v:textbox inset="0,0,0,0">
            <w:txbxContent>
              <w:p>
                <w:pPr>
                  <w:pStyle w:val="BodyText"/>
                  <w:spacing w:line="265" w:lineRule="exact"/>
                  <w:ind w:left="20"/>
                </w:pPr>
                <w:r>
                  <w:rPr/>
                  <w:t>100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019989pt;margin-top:729.263916pt;width:22pt;height:14pt;mso-position-horizontal-relative:page;mso-position-vertical-relative:page;z-index:-50159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019989pt;margin-top:729.263916pt;width:22pt;height:14pt;mso-position-horizontal-relative:page;mso-position-vertical-relative:page;z-index:-50156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111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019989pt;margin-top:729.263916pt;width:22.05pt;height:14pt;mso-position-horizontal-relative:page;mso-position-vertical-relative:page;z-index:-50154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179</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019989pt;margin-top:729.263916pt;width:22pt;height:14pt;mso-position-horizontal-relative:page;mso-position-vertical-relative:page;z-index:-50152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180</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020020pt;margin-top:729.263916pt;width:16pt;height:14pt;mso-position-horizontal-relative:page;mso-position-vertical-relative:page;z-index:-50180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11</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020020pt;margin-top:729.263916pt;width:16pt;height:14pt;mso-position-horizontal-relative:page;mso-position-vertical-relative:page;z-index:-50178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45</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020020pt;margin-top:729.263916pt;width:16pt;height:14pt;mso-position-horizontal-relative:page;mso-position-vertical-relative:page;z-index:-50176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55</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01736" from="85.103996pt,680.940002pt" to="229.123996pt,680.940002pt" stroked="true" strokeweight=".599980pt" strokecolor="#000000">
          <w10:wrap type="none"/>
        </v:line>
      </w:pict>
    </w:r>
    <w:r>
      <w:rPr/>
      <w:pict>
        <v:shape style="position:absolute;margin-left:84.103996pt;margin-top:709.785461pt;width:114.4pt;height:12pt;mso-position-horizontal-relative:page;mso-position-vertical-relative:page;z-index:-501712" type="#_x0000_t202" filled="false" stroked="false">
          <v:textbox inset="0,0,0,0">
            <w:txbxContent>
              <w:p>
                <w:pPr>
                  <w:spacing w:line="224" w:lineRule="exact" w:before="0"/>
                  <w:ind w:left="20" w:right="-2" w:firstLine="0"/>
                  <w:jc w:val="left"/>
                  <w:rPr>
                    <w:sz w:val="20"/>
                  </w:rPr>
                </w:pPr>
                <w:r>
                  <w:rPr>
                    <w:sz w:val="20"/>
                  </w:rPr>
                  <w:t>activos fijos, INEGI (2003).</w:t>
                </w:r>
              </w:p>
            </w:txbxContent>
          </v:textbox>
          <w10:wrap type="none"/>
        </v:shape>
      </w:pict>
    </w:r>
    <w:r>
      <w:rPr/>
      <w:pict>
        <v:shape style="position:absolute;margin-left:513.020020pt;margin-top:729.263916pt;width:16pt;height:14pt;mso-position-horizontal-relative:page;mso-position-vertical-relative:page;z-index:-50168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86</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020020pt;margin-top:729.263916pt;width:16.05pt;height:14pt;mso-position-horizontal-relative:page;mso-position-vertical-relative:page;z-index:-50166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91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020020pt;margin-top:729.263916pt;width:16pt;height:14pt;mso-position-horizontal-relative:page;mso-position-vertical-relative:page;z-index:-50164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97</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1">
    <w:multiLevelType w:val="hybridMultilevel"/>
    <w:lvl w:ilvl="0">
      <w:start w:val="5"/>
      <w:numFmt w:val="decimal"/>
      <w:lvlText w:val="%1"/>
      <w:lvlJc w:val="left"/>
      <w:pPr>
        <w:ind w:left="102" w:hanging="653"/>
        <w:jc w:val="left"/>
      </w:pPr>
      <w:rPr>
        <w:rFonts w:hint="default"/>
      </w:rPr>
    </w:lvl>
    <w:lvl w:ilvl="1">
      <w:start w:val="3"/>
      <w:numFmt w:val="decimal"/>
      <w:lvlText w:val="%1.%2"/>
      <w:lvlJc w:val="left"/>
      <w:pPr>
        <w:ind w:left="102" w:hanging="653"/>
        <w:jc w:val="left"/>
      </w:pPr>
      <w:rPr>
        <w:rFonts w:hint="default"/>
      </w:rPr>
    </w:lvl>
    <w:lvl w:ilvl="2">
      <w:start w:val="1"/>
      <w:numFmt w:val="decimal"/>
      <w:lvlText w:val="%1.%2.%3."/>
      <w:lvlJc w:val="left"/>
      <w:pPr>
        <w:ind w:left="102" w:hanging="653"/>
        <w:jc w:val="left"/>
      </w:pPr>
      <w:rPr>
        <w:rFonts w:hint="default" w:ascii="Times New Roman" w:hAnsi="Times New Roman" w:eastAsia="Times New Roman" w:cs="Times New Roman"/>
        <w:b/>
        <w:bCs/>
        <w:spacing w:val="-9"/>
        <w:w w:val="99"/>
        <w:sz w:val="24"/>
        <w:szCs w:val="24"/>
      </w:rPr>
    </w:lvl>
    <w:lvl w:ilvl="3">
      <w:start w:val="1"/>
      <w:numFmt w:val="bullet"/>
      <w:lvlText w:val="•"/>
      <w:lvlJc w:val="left"/>
      <w:pPr>
        <w:ind w:left="2788" w:hanging="653"/>
      </w:pPr>
      <w:rPr>
        <w:rFonts w:hint="default"/>
      </w:rPr>
    </w:lvl>
    <w:lvl w:ilvl="4">
      <w:start w:val="1"/>
      <w:numFmt w:val="bullet"/>
      <w:lvlText w:val="•"/>
      <w:lvlJc w:val="left"/>
      <w:pPr>
        <w:ind w:left="3684" w:hanging="653"/>
      </w:pPr>
      <w:rPr>
        <w:rFonts w:hint="default"/>
      </w:rPr>
    </w:lvl>
    <w:lvl w:ilvl="5">
      <w:start w:val="1"/>
      <w:numFmt w:val="bullet"/>
      <w:lvlText w:val="•"/>
      <w:lvlJc w:val="left"/>
      <w:pPr>
        <w:ind w:left="4580" w:hanging="653"/>
      </w:pPr>
      <w:rPr>
        <w:rFonts w:hint="default"/>
      </w:rPr>
    </w:lvl>
    <w:lvl w:ilvl="6">
      <w:start w:val="1"/>
      <w:numFmt w:val="bullet"/>
      <w:lvlText w:val="•"/>
      <w:lvlJc w:val="left"/>
      <w:pPr>
        <w:ind w:left="5476" w:hanging="653"/>
      </w:pPr>
      <w:rPr>
        <w:rFonts w:hint="default"/>
      </w:rPr>
    </w:lvl>
    <w:lvl w:ilvl="7">
      <w:start w:val="1"/>
      <w:numFmt w:val="bullet"/>
      <w:lvlText w:val="•"/>
      <w:lvlJc w:val="left"/>
      <w:pPr>
        <w:ind w:left="6372" w:hanging="653"/>
      </w:pPr>
      <w:rPr>
        <w:rFonts w:hint="default"/>
      </w:rPr>
    </w:lvl>
    <w:lvl w:ilvl="8">
      <w:start w:val="1"/>
      <w:numFmt w:val="bullet"/>
      <w:lvlText w:val="•"/>
      <w:lvlJc w:val="left"/>
      <w:pPr>
        <w:ind w:left="7268" w:hanging="653"/>
      </w:pPr>
      <w:rPr>
        <w:rFonts w:hint="default"/>
      </w:rPr>
    </w:lvl>
  </w:abstractNum>
  <w:abstractNum w:abstractNumId="30">
    <w:multiLevelType w:val="hybridMultilevel"/>
    <w:lvl w:ilvl="0">
      <w:start w:val="5"/>
      <w:numFmt w:val="decimal"/>
      <w:lvlText w:val="%1"/>
      <w:lvlJc w:val="left"/>
      <w:pPr>
        <w:ind w:left="962" w:hanging="420"/>
        <w:jc w:val="left"/>
      </w:pPr>
      <w:rPr>
        <w:rFonts w:hint="default"/>
      </w:rPr>
    </w:lvl>
    <w:lvl w:ilvl="1">
      <w:start w:val="2"/>
      <w:numFmt w:val="decimal"/>
      <w:lvlText w:val="%1.%2."/>
      <w:lvlJc w:val="left"/>
      <w:pPr>
        <w:ind w:left="962" w:hanging="420"/>
        <w:jc w:val="right"/>
      </w:pPr>
      <w:rPr>
        <w:rFonts w:hint="default" w:ascii="Times New Roman" w:hAnsi="Times New Roman" w:eastAsia="Times New Roman" w:cs="Times New Roman"/>
        <w:b/>
        <w:bCs/>
        <w:spacing w:val="-3"/>
        <w:w w:val="99"/>
        <w:sz w:val="24"/>
        <w:szCs w:val="24"/>
      </w:rPr>
    </w:lvl>
    <w:lvl w:ilvl="2">
      <w:start w:val="1"/>
      <w:numFmt w:val="bullet"/>
      <w:lvlText w:val="•"/>
      <w:lvlJc w:val="left"/>
      <w:pPr>
        <w:ind w:left="2736" w:hanging="420"/>
      </w:pPr>
      <w:rPr>
        <w:rFonts w:hint="default"/>
      </w:rPr>
    </w:lvl>
    <w:lvl w:ilvl="3">
      <w:start w:val="1"/>
      <w:numFmt w:val="bullet"/>
      <w:lvlText w:val="•"/>
      <w:lvlJc w:val="left"/>
      <w:pPr>
        <w:ind w:left="3624" w:hanging="420"/>
      </w:pPr>
      <w:rPr>
        <w:rFonts w:hint="default"/>
      </w:rPr>
    </w:lvl>
    <w:lvl w:ilvl="4">
      <w:start w:val="1"/>
      <w:numFmt w:val="bullet"/>
      <w:lvlText w:val="•"/>
      <w:lvlJc w:val="left"/>
      <w:pPr>
        <w:ind w:left="4512" w:hanging="420"/>
      </w:pPr>
      <w:rPr>
        <w:rFonts w:hint="default"/>
      </w:rPr>
    </w:lvl>
    <w:lvl w:ilvl="5">
      <w:start w:val="1"/>
      <w:numFmt w:val="bullet"/>
      <w:lvlText w:val="•"/>
      <w:lvlJc w:val="left"/>
      <w:pPr>
        <w:ind w:left="5400" w:hanging="420"/>
      </w:pPr>
      <w:rPr>
        <w:rFonts w:hint="default"/>
      </w:rPr>
    </w:lvl>
    <w:lvl w:ilvl="6">
      <w:start w:val="1"/>
      <w:numFmt w:val="bullet"/>
      <w:lvlText w:val="•"/>
      <w:lvlJc w:val="left"/>
      <w:pPr>
        <w:ind w:left="6288" w:hanging="420"/>
      </w:pPr>
      <w:rPr>
        <w:rFonts w:hint="default"/>
      </w:rPr>
    </w:lvl>
    <w:lvl w:ilvl="7">
      <w:start w:val="1"/>
      <w:numFmt w:val="bullet"/>
      <w:lvlText w:val="•"/>
      <w:lvlJc w:val="left"/>
      <w:pPr>
        <w:ind w:left="7176" w:hanging="420"/>
      </w:pPr>
      <w:rPr>
        <w:rFonts w:hint="default"/>
      </w:rPr>
    </w:lvl>
    <w:lvl w:ilvl="8">
      <w:start w:val="1"/>
      <w:numFmt w:val="bullet"/>
      <w:lvlText w:val="•"/>
      <w:lvlJc w:val="left"/>
      <w:pPr>
        <w:ind w:left="8064" w:hanging="420"/>
      </w:pPr>
      <w:rPr>
        <w:rFonts w:hint="default"/>
      </w:rPr>
    </w:lvl>
  </w:abstractNum>
  <w:abstractNum w:abstractNumId="29">
    <w:multiLevelType w:val="hybridMultilevel"/>
    <w:lvl w:ilvl="0">
      <w:start w:val="5"/>
      <w:numFmt w:val="decimal"/>
      <w:lvlText w:val="%1"/>
      <w:lvlJc w:val="left"/>
      <w:pPr>
        <w:ind w:left="542" w:hanging="420"/>
        <w:jc w:val="left"/>
      </w:pPr>
      <w:rPr>
        <w:rFonts w:hint="default"/>
      </w:rPr>
    </w:lvl>
    <w:lvl w:ilvl="1">
      <w:start w:val="1"/>
      <w:numFmt w:val="decimal"/>
      <w:lvlText w:val="%1.%2."/>
      <w:lvlJc w:val="left"/>
      <w:pPr>
        <w:ind w:left="542" w:hanging="420"/>
        <w:jc w:val="left"/>
      </w:pPr>
      <w:rPr>
        <w:rFonts w:hint="default" w:ascii="Times New Roman" w:hAnsi="Times New Roman" w:eastAsia="Times New Roman" w:cs="Times New Roman"/>
        <w:b/>
        <w:bCs/>
        <w:spacing w:val="-3"/>
        <w:w w:val="99"/>
        <w:sz w:val="24"/>
        <w:szCs w:val="24"/>
      </w:rPr>
    </w:lvl>
    <w:lvl w:ilvl="2">
      <w:start w:val="1"/>
      <w:numFmt w:val="decimal"/>
      <w:lvlText w:val="%1.%2.%3."/>
      <w:lvlJc w:val="left"/>
      <w:pPr>
        <w:ind w:left="702" w:hanging="600"/>
        <w:jc w:val="left"/>
      </w:pPr>
      <w:rPr>
        <w:rFonts w:hint="default" w:ascii="Times New Roman" w:hAnsi="Times New Roman" w:eastAsia="Times New Roman" w:cs="Times New Roman"/>
        <w:b/>
        <w:bCs/>
        <w:spacing w:val="-2"/>
        <w:w w:val="99"/>
        <w:sz w:val="24"/>
        <w:szCs w:val="24"/>
      </w:rPr>
    </w:lvl>
    <w:lvl w:ilvl="3">
      <w:start w:val="1"/>
      <w:numFmt w:val="bullet"/>
      <w:lvlText w:val="•"/>
      <w:lvlJc w:val="left"/>
      <w:pPr>
        <w:ind w:left="2557" w:hanging="600"/>
      </w:pPr>
      <w:rPr>
        <w:rFonts w:hint="default"/>
      </w:rPr>
    </w:lvl>
    <w:lvl w:ilvl="4">
      <w:start w:val="1"/>
      <w:numFmt w:val="bullet"/>
      <w:lvlText w:val="•"/>
      <w:lvlJc w:val="left"/>
      <w:pPr>
        <w:ind w:left="3486" w:hanging="600"/>
      </w:pPr>
      <w:rPr>
        <w:rFonts w:hint="default"/>
      </w:rPr>
    </w:lvl>
    <w:lvl w:ilvl="5">
      <w:start w:val="1"/>
      <w:numFmt w:val="bullet"/>
      <w:lvlText w:val="•"/>
      <w:lvlJc w:val="left"/>
      <w:pPr>
        <w:ind w:left="4415" w:hanging="600"/>
      </w:pPr>
      <w:rPr>
        <w:rFonts w:hint="default"/>
      </w:rPr>
    </w:lvl>
    <w:lvl w:ilvl="6">
      <w:start w:val="1"/>
      <w:numFmt w:val="bullet"/>
      <w:lvlText w:val="•"/>
      <w:lvlJc w:val="left"/>
      <w:pPr>
        <w:ind w:left="5344" w:hanging="600"/>
      </w:pPr>
      <w:rPr>
        <w:rFonts w:hint="default"/>
      </w:rPr>
    </w:lvl>
    <w:lvl w:ilvl="7">
      <w:start w:val="1"/>
      <w:numFmt w:val="bullet"/>
      <w:lvlText w:val="•"/>
      <w:lvlJc w:val="left"/>
      <w:pPr>
        <w:ind w:left="6273" w:hanging="600"/>
      </w:pPr>
      <w:rPr>
        <w:rFonts w:hint="default"/>
      </w:rPr>
    </w:lvl>
    <w:lvl w:ilvl="8">
      <w:start w:val="1"/>
      <w:numFmt w:val="bullet"/>
      <w:lvlText w:val="•"/>
      <w:lvlJc w:val="left"/>
      <w:pPr>
        <w:ind w:left="7202" w:hanging="600"/>
      </w:pPr>
      <w:rPr>
        <w:rFonts w:hint="default"/>
      </w:rPr>
    </w:lvl>
  </w:abstractNum>
  <w:abstractNum w:abstractNumId="28">
    <w:multiLevelType w:val="hybridMultilevel"/>
    <w:lvl w:ilvl="0">
      <w:start w:val="4"/>
      <w:numFmt w:val="decimal"/>
      <w:lvlText w:val="%1"/>
      <w:lvlJc w:val="left"/>
      <w:pPr>
        <w:ind w:left="102" w:hanging="627"/>
        <w:jc w:val="left"/>
      </w:pPr>
      <w:rPr>
        <w:rFonts w:hint="default"/>
      </w:rPr>
    </w:lvl>
    <w:lvl w:ilvl="1">
      <w:start w:val="3"/>
      <w:numFmt w:val="decimal"/>
      <w:lvlText w:val="%1.%2"/>
      <w:lvlJc w:val="left"/>
      <w:pPr>
        <w:ind w:left="102" w:hanging="627"/>
        <w:jc w:val="left"/>
      </w:pPr>
      <w:rPr>
        <w:rFonts w:hint="default"/>
      </w:rPr>
    </w:lvl>
    <w:lvl w:ilvl="2">
      <w:start w:val="3"/>
      <w:numFmt w:val="decimal"/>
      <w:lvlText w:val="%1.%2.%3."/>
      <w:lvlJc w:val="left"/>
      <w:pPr>
        <w:ind w:left="102" w:hanging="627"/>
        <w:jc w:val="left"/>
      </w:pPr>
      <w:rPr>
        <w:rFonts w:hint="default" w:ascii="Times New Roman" w:hAnsi="Times New Roman" w:eastAsia="Times New Roman" w:cs="Times New Roman"/>
        <w:b/>
        <w:bCs/>
        <w:w w:val="100"/>
        <w:sz w:val="24"/>
        <w:szCs w:val="24"/>
      </w:rPr>
    </w:lvl>
    <w:lvl w:ilvl="3">
      <w:start w:val="1"/>
      <w:numFmt w:val="bullet"/>
      <w:lvlText w:val="•"/>
      <w:lvlJc w:val="left"/>
      <w:pPr>
        <w:ind w:left="2788" w:hanging="627"/>
      </w:pPr>
      <w:rPr>
        <w:rFonts w:hint="default"/>
      </w:rPr>
    </w:lvl>
    <w:lvl w:ilvl="4">
      <w:start w:val="1"/>
      <w:numFmt w:val="bullet"/>
      <w:lvlText w:val="•"/>
      <w:lvlJc w:val="left"/>
      <w:pPr>
        <w:ind w:left="3684" w:hanging="627"/>
      </w:pPr>
      <w:rPr>
        <w:rFonts w:hint="default"/>
      </w:rPr>
    </w:lvl>
    <w:lvl w:ilvl="5">
      <w:start w:val="1"/>
      <w:numFmt w:val="bullet"/>
      <w:lvlText w:val="•"/>
      <w:lvlJc w:val="left"/>
      <w:pPr>
        <w:ind w:left="4580" w:hanging="627"/>
      </w:pPr>
      <w:rPr>
        <w:rFonts w:hint="default"/>
      </w:rPr>
    </w:lvl>
    <w:lvl w:ilvl="6">
      <w:start w:val="1"/>
      <w:numFmt w:val="bullet"/>
      <w:lvlText w:val="•"/>
      <w:lvlJc w:val="left"/>
      <w:pPr>
        <w:ind w:left="5476" w:hanging="627"/>
      </w:pPr>
      <w:rPr>
        <w:rFonts w:hint="default"/>
      </w:rPr>
    </w:lvl>
    <w:lvl w:ilvl="7">
      <w:start w:val="1"/>
      <w:numFmt w:val="bullet"/>
      <w:lvlText w:val="•"/>
      <w:lvlJc w:val="left"/>
      <w:pPr>
        <w:ind w:left="6372" w:hanging="627"/>
      </w:pPr>
      <w:rPr>
        <w:rFonts w:hint="default"/>
      </w:rPr>
    </w:lvl>
    <w:lvl w:ilvl="8">
      <w:start w:val="1"/>
      <w:numFmt w:val="bullet"/>
      <w:lvlText w:val="•"/>
      <w:lvlJc w:val="left"/>
      <w:pPr>
        <w:ind w:left="7268" w:hanging="627"/>
      </w:pPr>
      <w:rPr>
        <w:rFonts w:hint="default"/>
      </w:rPr>
    </w:lvl>
  </w:abstractNum>
  <w:abstractNum w:abstractNumId="27">
    <w:multiLevelType w:val="hybridMultilevel"/>
    <w:lvl w:ilvl="0">
      <w:start w:val="4"/>
      <w:numFmt w:val="decimal"/>
      <w:lvlText w:val="%1"/>
      <w:lvlJc w:val="left"/>
      <w:pPr>
        <w:ind w:left="522" w:hanging="420"/>
        <w:jc w:val="left"/>
      </w:pPr>
      <w:rPr>
        <w:rFonts w:hint="default"/>
      </w:rPr>
    </w:lvl>
    <w:lvl w:ilvl="1">
      <w:start w:val="1"/>
      <w:numFmt w:val="decimal"/>
      <w:lvlText w:val="%1.%2."/>
      <w:lvlJc w:val="left"/>
      <w:pPr>
        <w:ind w:left="102" w:hanging="420"/>
        <w:jc w:val="left"/>
      </w:pPr>
      <w:rPr>
        <w:rFonts w:hint="default" w:ascii="Times New Roman" w:hAnsi="Times New Roman" w:eastAsia="Times New Roman" w:cs="Times New Roman"/>
        <w:b/>
        <w:bCs/>
        <w:spacing w:val="-4"/>
        <w:w w:val="99"/>
        <w:sz w:val="24"/>
        <w:szCs w:val="24"/>
      </w:rPr>
    </w:lvl>
    <w:lvl w:ilvl="2">
      <w:start w:val="1"/>
      <w:numFmt w:val="decimal"/>
      <w:lvlText w:val="%1.%2.%3."/>
      <w:lvlJc w:val="left"/>
      <w:pPr>
        <w:ind w:left="102" w:hanging="627"/>
        <w:jc w:val="left"/>
      </w:pPr>
      <w:rPr>
        <w:rFonts w:hint="default" w:ascii="Times New Roman" w:hAnsi="Times New Roman" w:eastAsia="Times New Roman" w:cs="Times New Roman"/>
        <w:b/>
        <w:bCs/>
        <w:w w:val="100"/>
        <w:sz w:val="24"/>
        <w:szCs w:val="24"/>
      </w:rPr>
    </w:lvl>
    <w:lvl w:ilvl="3">
      <w:start w:val="1"/>
      <w:numFmt w:val="bullet"/>
      <w:lvlText w:val="•"/>
      <w:lvlJc w:val="left"/>
      <w:pPr>
        <w:ind w:left="2417" w:hanging="627"/>
      </w:pPr>
      <w:rPr>
        <w:rFonts w:hint="default"/>
      </w:rPr>
    </w:lvl>
    <w:lvl w:ilvl="4">
      <w:start w:val="1"/>
      <w:numFmt w:val="bullet"/>
      <w:lvlText w:val="•"/>
      <w:lvlJc w:val="left"/>
      <w:pPr>
        <w:ind w:left="3366" w:hanging="627"/>
      </w:pPr>
      <w:rPr>
        <w:rFonts w:hint="default"/>
      </w:rPr>
    </w:lvl>
    <w:lvl w:ilvl="5">
      <w:start w:val="1"/>
      <w:numFmt w:val="bullet"/>
      <w:lvlText w:val="•"/>
      <w:lvlJc w:val="left"/>
      <w:pPr>
        <w:ind w:left="4315" w:hanging="627"/>
      </w:pPr>
      <w:rPr>
        <w:rFonts w:hint="default"/>
      </w:rPr>
    </w:lvl>
    <w:lvl w:ilvl="6">
      <w:start w:val="1"/>
      <w:numFmt w:val="bullet"/>
      <w:lvlText w:val="•"/>
      <w:lvlJc w:val="left"/>
      <w:pPr>
        <w:ind w:left="5264" w:hanging="627"/>
      </w:pPr>
      <w:rPr>
        <w:rFonts w:hint="default"/>
      </w:rPr>
    </w:lvl>
    <w:lvl w:ilvl="7">
      <w:start w:val="1"/>
      <w:numFmt w:val="bullet"/>
      <w:lvlText w:val="•"/>
      <w:lvlJc w:val="left"/>
      <w:pPr>
        <w:ind w:left="6213" w:hanging="627"/>
      </w:pPr>
      <w:rPr>
        <w:rFonts w:hint="default"/>
      </w:rPr>
    </w:lvl>
    <w:lvl w:ilvl="8">
      <w:start w:val="1"/>
      <w:numFmt w:val="bullet"/>
      <w:lvlText w:val="•"/>
      <w:lvlJc w:val="left"/>
      <w:pPr>
        <w:ind w:left="7162" w:hanging="627"/>
      </w:pPr>
      <w:rPr>
        <w:rFonts w:hint="default"/>
      </w:rPr>
    </w:lvl>
  </w:abstractNum>
  <w:abstractNum w:abstractNumId="26">
    <w:multiLevelType w:val="hybridMultilevel"/>
    <w:lvl w:ilvl="0">
      <w:start w:val="1"/>
      <w:numFmt w:val="bullet"/>
      <w:lvlText w:val="•"/>
      <w:lvlJc w:val="left"/>
      <w:pPr>
        <w:ind w:left="169" w:hanging="92"/>
      </w:pPr>
      <w:rPr>
        <w:rFonts w:hint="default" w:ascii="Times New Roman" w:hAnsi="Times New Roman" w:eastAsia="Times New Roman" w:cs="Times New Roman"/>
        <w:w w:val="100"/>
        <w:sz w:val="16"/>
        <w:szCs w:val="16"/>
      </w:rPr>
    </w:lvl>
    <w:lvl w:ilvl="1">
      <w:start w:val="1"/>
      <w:numFmt w:val="bullet"/>
      <w:lvlText w:val="•"/>
      <w:lvlJc w:val="left"/>
      <w:pPr>
        <w:ind w:left="242" w:hanging="92"/>
      </w:pPr>
      <w:rPr>
        <w:rFonts w:hint="default"/>
      </w:rPr>
    </w:lvl>
    <w:lvl w:ilvl="2">
      <w:start w:val="1"/>
      <w:numFmt w:val="bullet"/>
      <w:lvlText w:val="•"/>
      <w:lvlJc w:val="left"/>
      <w:pPr>
        <w:ind w:left="325" w:hanging="92"/>
      </w:pPr>
      <w:rPr>
        <w:rFonts w:hint="default"/>
      </w:rPr>
    </w:lvl>
    <w:lvl w:ilvl="3">
      <w:start w:val="1"/>
      <w:numFmt w:val="bullet"/>
      <w:lvlText w:val="•"/>
      <w:lvlJc w:val="left"/>
      <w:pPr>
        <w:ind w:left="407" w:hanging="92"/>
      </w:pPr>
      <w:rPr>
        <w:rFonts w:hint="default"/>
      </w:rPr>
    </w:lvl>
    <w:lvl w:ilvl="4">
      <w:start w:val="1"/>
      <w:numFmt w:val="bullet"/>
      <w:lvlText w:val="•"/>
      <w:lvlJc w:val="left"/>
      <w:pPr>
        <w:ind w:left="490" w:hanging="92"/>
      </w:pPr>
      <w:rPr>
        <w:rFonts w:hint="default"/>
      </w:rPr>
    </w:lvl>
    <w:lvl w:ilvl="5">
      <w:start w:val="1"/>
      <w:numFmt w:val="bullet"/>
      <w:lvlText w:val="•"/>
      <w:lvlJc w:val="left"/>
      <w:pPr>
        <w:ind w:left="573" w:hanging="92"/>
      </w:pPr>
      <w:rPr>
        <w:rFonts w:hint="default"/>
      </w:rPr>
    </w:lvl>
    <w:lvl w:ilvl="6">
      <w:start w:val="1"/>
      <w:numFmt w:val="bullet"/>
      <w:lvlText w:val="•"/>
      <w:lvlJc w:val="left"/>
      <w:pPr>
        <w:ind w:left="655" w:hanging="92"/>
      </w:pPr>
      <w:rPr>
        <w:rFonts w:hint="default"/>
      </w:rPr>
    </w:lvl>
    <w:lvl w:ilvl="7">
      <w:start w:val="1"/>
      <w:numFmt w:val="bullet"/>
      <w:lvlText w:val="•"/>
      <w:lvlJc w:val="left"/>
      <w:pPr>
        <w:ind w:left="738" w:hanging="92"/>
      </w:pPr>
      <w:rPr>
        <w:rFonts w:hint="default"/>
      </w:rPr>
    </w:lvl>
    <w:lvl w:ilvl="8">
      <w:start w:val="1"/>
      <w:numFmt w:val="bullet"/>
      <w:lvlText w:val="•"/>
      <w:lvlJc w:val="left"/>
      <w:pPr>
        <w:ind w:left="821" w:hanging="92"/>
      </w:pPr>
      <w:rPr>
        <w:rFonts w:hint="default"/>
      </w:rPr>
    </w:lvl>
  </w:abstractNum>
  <w:abstractNum w:abstractNumId="25">
    <w:multiLevelType w:val="hybridMultilevel"/>
    <w:lvl w:ilvl="0">
      <w:start w:val="1"/>
      <w:numFmt w:val="bullet"/>
      <w:lvlText w:val="•"/>
      <w:lvlJc w:val="left"/>
      <w:pPr>
        <w:ind w:left="169" w:hanging="92"/>
      </w:pPr>
      <w:rPr>
        <w:rFonts w:hint="default" w:ascii="Times New Roman" w:hAnsi="Times New Roman" w:eastAsia="Times New Roman" w:cs="Times New Roman"/>
        <w:w w:val="100"/>
        <w:sz w:val="16"/>
        <w:szCs w:val="16"/>
      </w:rPr>
    </w:lvl>
    <w:lvl w:ilvl="1">
      <w:start w:val="1"/>
      <w:numFmt w:val="bullet"/>
      <w:lvlText w:val="•"/>
      <w:lvlJc w:val="left"/>
      <w:pPr>
        <w:ind w:left="242" w:hanging="92"/>
      </w:pPr>
      <w:rPr>
        <w:rFonts w:hint="default"/>
      </w:rPr>
    </w:lvl>
    <w:lvl w:ilvl="2">
      <w:start w:val="1"/>
      <w:numFmt w:val="bullet"/>
      <w:lvlText w:val="•"/>
      <w:lvlJc w:val="left"/>
      <w:pPr>
        <w:ind w:left="325" w:hanging="92"/>
      </w:pPr>
      <w:rPr>
        <w:rFonts w:hint="default"/>
      </w:rPr>
    </w:lvl>
    <w:lvl w:ilvl="3">
      <w:start w:val="1"/>
      <w:numFmt w:val="bullet"/>
      <w:lvlText w:val="•"/>
      <w:lvlJc w:val="left"/>
      <w:pPr>
        <w:ind w:left="407" w:hanging="92"/>
      </w:pPr>
      <w:rPr>
        <w:rFonts w:hint="default"/>
      </w:rPr>
    </w:lvl>
    <w:lvl w:ilvl="4">
      <w:start w:val="1"/>
      <w:numFmt w:val="bullet"/>
      <w:lvlText w:val="•"/>
      <w:lvlJc w:val="left"/>
      <w:pPr>
        <w:ind w:left="490" w:hanging="92"/>
      </w:pPr>
      <w:rPr>
        <w:rFonts w:hint="default"/>
      </w:rPr>
    </w:lvl>
    <w:lvl w:ilvl="5">
      <w:start w:val="1"/>
      <w:numFmt w:val="bullet"/>
      <w:lvlText w:val="•"/>
      <w:lvlJc w:val="left"/>
      <w:pPr>
        <w:ind w:left="573" w:hanging="92"/>
      </w:pPr>
      <w:rPr>
        <w:rFonts w:hint="default"/>
      </w:rPr>
    </w:lvl>
    <w:lvl w:ilvl="6">
      <w:start w:val="1"/>
      <w:numFmt w:val="bullet"/>
      <w:lvlText w:val="•"/>
      <w:lvlJc w:val="left"/>
      <w:pPr>
        <w:ind w:left="655" w:hanging="92"/>
      </w:pPr>
      <w:rPr>
        <w:rFonts w:hint="default"/>
      </w:rPr>
    </w:lvl>
    <w:lvl w:ilvl="7">
      <w:start w:val="1"/>
      <w:numFmt w:val="bullet"/>
      <w:lvlText w:val="•"/>
      <w:lvlJc w:val="left"/>
      <w:pPr>
        <w:ind w:left="738" w:hanging="92"/>
      </w:pPr>
      <w:rPr>
        <w:rFonts w:hint="default"/>
      </w:rPr>
    </w:lvl>
    <w:lvl w:ilvl="8">
      <w:start w:val="1"/>
      <w:numFmt w:val="bullet"/>
      <w:lvlText w:val="•"/>
      <w:lvlJc w:val="left"/>
      <w:pPr>
        <w:ind w:left="821" w:hanging="92"/>
      </w:pPr>
      <w:rPr>
        <w:rFonts w:hint="default"/>
      </w:rPr>
    </w:lvl>
  </w:abstractNum>
  <w:abstractNum w:abstractNumId="24">
    <w:multiLevelType w:val="hybridMultilevel"/>
    <w:lvl w:ilvl="0">
      <w:start w:val="1"/>
      <w:numFmt w:val="bullet"/>
      <w:lvlText w:val="•"/>
      <w:lvlJc w:val="left"/>
      <w:pPr>
        <w:ind w:left="169" w:hanging="92"/>
      </w:pPr>
      <w:rPr>
        <w:rFonts w:hint="default" w:ascii="Times New Roman" w:hAnsi="Times New Roman" w:eastAsia="Times New Roman" w:cs="Times New Roman"/>
        <w:w w:val="100"/>
        <w:sz w:val="15"/>
        <w:szCs w:val="15"/>
      </w:rPr>
    </w:lvl>
    <w:lvl w:ilvl="1">
      <w:start w:val="1"/>
      <w:numFmt w:val="bullet"/>
      <w:lvlText w:val="•"/>
      <w:lvlJc w:val="left"/>
      <w:pPr>
        <w:ind w:left="242" w:hanging="92"/>
      </w:pPr>
      <w:rPr>
        <w:rFonts w:hint="default"/>
      </w:rPr>
    </w:lvl>
    <w:lvl w:ilvl="2">
      <w:start w:val="1"/>
      <w:numFmt w:val="bullet"/>
      <w:lvlText w:val="•"/>
      <w:lvlJc w:val="left"/>
      <w:pPr>
        <w:ind w:left="325" w:hanging="92"/>
      </w:pPr>
      <w:rPr>
        <w:rFonts w:hint="default"/>
      </w:rPr>
    </w:lvl>
    <w:lvl w:ilvl="3">
      <w:start w:val="1"/>
      <w:numFmt w:val="bullet"/>
      <w:lvlText w:val="•"/>
      <w:lvlJc w:val="left"/>
      <w:pPr>
        <w:ind w:left="407" w:hanging="92"/>
      </w:pPr>
      <w:rPr>
        <w:rFonts w:hint="default"/>
      </w:rPr>
    </w:lvl>
    <w:lvl w:ilvl="4">
      <w:start w:val="1"/>
      <w:numFmt w:val="bullet"/>
      <w:lvlText w:val="•"/>
      <w:lvlJc w:val="left"/>
      <w:pPr>
        <w:ind w:left="490" w:hanging="92"/>
      </w:pPr>
      <w:rPr>
        <w:rFonts w:hint="default"/>
      </w:rPr>
    </w:lvl>
    <w:lvl w:ilvl="5">
      <w:start w:val="1"/>
      <w:numFmt w:val="bullet"/>
      <w:lvlText w:val="•"/>
      <w:lvlJc w:val="left"/>
      <w:pPr>
        <w:ind w:left="573" w:hanging="92"/>
      </w:pPr>
      <w:rPr>
        <w:rFonts w:hint="default"/>
      </w:rPr>
    </w:lvl>
    <w:lvl w:ilvl="6">
      <w:start w:val="1"/>
      <w:numFmt w:val="bullet"/>
      <w:lvlText w:val="•"/>
      <w:lvlJc w:val="left"/>
      <w:pPr>
        <w:ind w:left="655" w:hanging="92"/>
      </w:pPr>
      <w:rPr>
        <w:rFonts w:hint="default"/>
      </w:rPr>
    </w:lvl>
    <w:lvl w:ilvl="7">
      <w:start w:val="1"/>
      <w:numFmt w:val="bullet"/>
      <w:lvlText w:val="•"/>
      <w:lvlJc w:val="left"/>
      <w:pPr>
        <w:ind w:left="738" w:hanging="92"/>
      </w:pPr>
      <w:rPr>
        <w:rFonts w:hint="default"/>
      </w:rPr>
    </w:lvl>
    <w:lvl w:ilvl="8">
      <w:start w:val="1"/>
      <w:numFmt w:val="bullet"/>
      <w:lvlText w:val="•"/>
      <w:lvlJc w:val="left"/>
      <w:pPr>
        <w:ind w:left="821" w:hanging="92"/>
      </w:pPr>
      <w:rPr>
        <w:rFonts w:hint="default"/>
      </w:rPr>
    </w:lvl>
  </w:abstractNum>
  <w:abstractNum w:abstractNumId="23">
    <w:multiLevelType w:val="hybridMultilevel"/>
    <w:lvl w:ilvl="0">
      <w:start w:val="1"/>
      <w:numFmt w:val="bullet"/>
      <w:lvlText w:val="•"/>
      <w:lvlJc w:val="left"/>
      <w:pPr>
        <w:ind w:left="170" w:hanging="92"/>
      </w:pPr>
      <w:rPr>
        <w:rFonts w:hint="default" w:ascii="Times New Roman" w:hAnsi="Times New Roman" w:eastAsia="Times New Roman" w:cs="Times New Roman"/>
        <w:w w:val="100"/>
        <w:sz w:val="16"/>
        <w:szCs w:val="16"/>
      </w:rPr>
    </w:lvl>
    <w:lvl w:ilvl="1">
      <w:start w:val="1"/>
      <w:numFmt w:val="bullet"/>
      <w:lvlText w:val="•"/>
      <w:lvlJc w:val="left"/>
      <w:pPr>
        <w:ind w:left="260" w:hanging="92"/>
      </w:pPr>
      <w:rPr>
        <w:rFonts w:hint="default"/>
      </w:rPr>
    </w:lvl>
    <w:lvl w:ilvl="2">
      <w:start w:val="1"/>
      <w:numFmt w:val="bullet"/>
      <w:lvlText w:val="•"/>
      <w:lvlJc w:val="left"/>
      <w:pPr>
        <w:ind w:left="341" w:hanging="92"/>
      </w:pPr>
      <w:rPr>
        <w:rFonts w:hint="default"/>
      </w:rPr>
    </w:lvl>
    <w:lvl w:ilvl="3">
      <w:start w:val="1"/>
      <w:numFmt w:val="bullet"/>
      <w:lvlText w:val="•"/>
      <w:lvlJc w:val="left"/>
      <w:pPr>
        <w:ind w:left="422" w:hanging="92"/>
      </w:pPr>
      <w:rPr>
        <w:rFonts w:hint="default"/>
      </w:rPr>
    </w:lvl>
    <w:lvl w:ilvl="4">
      <w:start w:val="1"/>
      <w:numFmt w:val="bullet"/>
      <w:lvlText w:val="•"/>
      <w:lvlJc w:val="left"/>
      <w:pPr>
        <w:ind w:left="503" w:hanging="92"/>
      </w:pPr>
      <w:rPr>
        <w:rFonts w:hint="default"/>
      </w:rPr>
    </w:lvl>
    <w:lvl w:ilvl="5">
      <w:start w:val="1"/>
      <w:numFmt w:val="bullet"/>
      <w:lvlText w:val="•"/>
      <w:lvlJc w:val="left"/>
      <w:pPr>
        <w:ind w:left="584" w:hanging="92"/>
      </w:pPr>
      <w:rPr>
        <w:rFonts w:hint="default"/>
      </w:rPr>
    </w:lvl>
    <w:lvl w:ilvl="6">
      <w:start w:val="1"/>
      <w:numFmt w:val="bullet"/>
      <w:lvlText w:val="•"/>
      <w:lvlJc w:val="left"/>
      <w:pPr>
        <w:ind w:left="665" w:hanging="92"/>
      </w:pPr>
      <w:rPr>
        <w:rFonts w:hint="default"/>
      </w:rPr>
    </w:lvl>
    <w:lvl w:ilvl="7">
      <w:start w:val="1"/>
      <w:numFmt w:val="bullet"/>
      <w:lvlText w:val="•"/>
      <w:lvlJc w:val="left"/>
      <w:pPr>
        <w:ind w:left="746" w:hanging="92"/>
      </w:pPr>
      <w:rPr>
        <w:rFonts w:hint="default"/>
      </w:rPr>
    </w:lvl>
    <w:lvl w:ilvl="8">
      <w:start w:val="1"/>
      <w:numFmt w:val="bullet"/>
      <w:lvlText w:val="•"/>
      <w:lvlJc w:val="left"/>
      <w:pPr>
        <w:ind w:left="827" w:hanging="92"/>
      </w:pPr>
      <w:rPr>
        <w:rFonts w:hint="default"/>
      </w:rPr>
    </w:lvl>
  </w:abstractNum>
  <w:abstractNum w:abstractNumId="22">
    <w:multiLevelType w:val="hybridMultilevel"/>
    <w:lvl w:ilvl="0">
      <w:start w:val="1"/>
      <w:numFmt w:val="bullet"/>
      <w:lvlText w:val="•"/>
      <w:lvlJc w:val="left"/>
      <w:pPr>
        <w:ind w:left="168" w:hanging="92"/>
      </w:pPr>
      <w:rPr>
        <w:rFonts w:hint="default" w:ascii="Times New Roman" w:hAnsi="Times New Roman" w:eastAsia="Times New Roman" w:cs="Times New Roman"/>
        <w:w w:val="100"/>
        <w:sz w:val="16"/>
        <w:szCs w:val="16"/>
      </w:rPr>
    </w:lvl>
    <w:lvl w:ilvl="1">
      <w:start w:val="1"/>
      <w:numFmt w:val="bullet"/>
      <w:lvlText w:val="•"/>
      <w:lvlJc w:val="left"/>
      <w:pPr>
        <w:ind w:left="242" w:hanging="92"/>
      </w:pPr>
      <w:rPr>
        <w:rFonts w:hint="default"/>
      </w:rPr>
    </w:lvl>
    <w:lvl w:ilvl="2">
      <w:start w:val="1"/>
      <w:numFmt w:val="bullet"/>
      <w:lvlText w:val="•"/>
      <w:lvlJc w:val="left"/>
      <w:pPr>
        <w:ind w:left="325" w:hanging="92"/>
      </w:pPr>
      <w:rPr>
        <w:rFonts w:hint="default"/>
      </w:rPr>
    </w:lvl>
    <w:lvl w:ilvl="3">
      <w:start w:val="1"/>
      <w:numFmt w:val="bullet"/>
      <w:lvlText w:val="•"/>
      <w:lvlJc w:val="left"/>
      <w:pPr>
        <w:ind w:left="407" w:hanging="92"/>
      </w:pPr>
      <w:rPr>
        <w:rFonts w:hint="default"/>
      </w:rPr>
    </w:lvl>
    <w:lvl w:ilvl="4">
      <w:start w:val="1"/>
      <w:numFmt w:val="bullet"/>
      <w:lvlText w:val="•"/>
      <w:lvlJc w:val="left"/>
      <w:pPr>
        <w:ind w:left="490" w:hanging="92"/>
      </w:pPr>
      <w:rPr>
        <w:rFonts w:hint="default"/>
      </w:rPr>
    </w:lvl>
    <w:lvl w:ilvl="5">
      <w:start w:val="1"/>
      <w:numFmt w:val="bullet"/>
      <w:lvlText w:val="•"/>
      <w:lvlJc w:val="left"/>
      <w:pPr>
        <w:ind w:left="573" w:hanging="92"/>
      </w:pPr>
      <w:rPr>
        <w:rFonts w:hint="default"/>
      </w:rPr>
    </w:lvl>
    <w:lvl w:ilvl="6">
      <w:start w:val="1"/>
      <w:numFmt w:val="bullet"/>
      <w:lvlText w:val="•"/>
      <w:lvlJc w:val="left"/>
      <w:pPr>
        <w:ind w:left="655" w:hanging="92"/>
      </w:pPr>
      <w:rPr>
        <w:rFonts w:hint="default"/>
      </w:rPr>
    </w:lvl>
    <w:lvl w:ilvl="7">
      <w:start w:val="1"/>
      <w:numFmt w:val="bullet"/>
      <w:lvlText w:val="•"/>
      <w:lvlJc w:val="left"/>
      <w:pPr>
        <w:ind w:left="738" w:hanging="92"/>
      </w:pPr>
      <w:rPr>
        <w:rFonts w:hint="default"/>
      </w:rPr>
    </w:lvl>
    <w:lvl w:ilvl="8">
      <w:start w:val="1"/>
      <w:numFmt w:val="bullet"/>
      <w:lvlText w:val="•"/>
      <w:lvlJc w:val="left"/>
      <w:pPr>
        <w:ind w:left="821" w:hanging="92"/>
      </w:pPr>
      <w:rPr>
        <w:rFonts w:hint="default"/>
      </w:rPr>
    </w:lvl>
  </w:abstractNum>
  <w:abstractNum w:abstractNumId="21">
    <w:multiLevelType w:val="hybridMultilevel"/>
    <w:lvl w:ilvl="0">
      <w:start w:val="1"/>
      <w:numFmt w:val="bullet"/>
      <w:lvlText w:val="•"/>
      <w:lvlJc w:val="left"/>
      <w:pPr>
        <w:ind w:left="168" w:hanging="92"/>
      </w:pPr>
      <w:rPr>
        <w:rFonts w:hint="default" w:ascii="Times New Roman" w:hAnsi="Times New Roman" w:eastAsia="Times New Roman" w:cs="Times New Roman"/>
        <w:w w:val="100"/>
        <w:sz w:val="16"/>
        <w:szCs w:val="16"/>
      </w:rPr>
    </w:lvl>
    <w:lvl w:ilvl="1">
      <w:start w:val="1"/>
      <w:numFmt w:val="bullet"/>
      <w:lvlText w:val="•"/>
      <w:lvlJc w:val="left"/>
      <w:pPr>
        <w:ind w:left="242" w:hanging="92"/>
      </w:pPr>
      <w:rPr>
        <w:rFonts w:hint="default"/>
      </w:rPr>
    </w:lvl>
    <w:lvl w:ilvl="2">
      <w:start w:val="1"/>
      <w:numFmt w:val="bullet"/>
      <w:lvlText w:val="•"/>
      <w:lvlJc w:val="left"/>
      <w:pPr>
        <w:ind w:left="325" w:hanging="92"/>
      </w:pPr>
      <w:rPr>
        <w:rFonts w:hint="default"/>
      </w:rPr>
    </w:lvl>
    <w:lvl w:ilvl="3">
      <w:start w:val="1"/>
      <w:numFmt w:val="bullet"/>
      <w:lvlText w:val="•"/>
      <w:lvlJc w:val="left"/>
      <w:pPr>
        <w:ind w:left="407" w:hanging="92"/>
      </w:pPr>
      <w:rPr>
        <w:rFonts w:hint="default"/>
      </w:rPr>
    </w:lvl>
    <w:lvl w:ilvl="4">
      <w:start w:val="1"/>
      <w:numFmt w:val="bullet"/>
      <w:lvlText w:val="•"/>
      <w:lvlJc w:val="left"/>
      <w:pPr>
        <w:ind w:left="490" w:hanging="92"/>
      </w:pPr>
      <w:rPr>
        <w:rFonts w:hint="default"/>
      </w:rPr>
    </w:lvl>
    <w:lvl w:ilvl="5">
      <w:start w:val="1"/>
      <w:numFmt w:val="bullet"/>
      <w:lvlText w:val="•"/>
      <w:lvlJc w:val="left"/>
      <w:pPr>
        <w:ind w:left="573" w:hanging="92"/>
      </w:pPr>
      <w:rPr>
        <w:rFonts w:hint="default"/>
      </w:rPr>
    </w:lvl>
    <w:lvl w:ilvl="6">
      <w:start w:val="1"/>
      <w:numFmt w:val="bullet"/>
      <w:lvlText w:val="•"/>
      <w:lvlJc w:val="left"/>
      <w:pPr>
        <w:ind w:left="655" w:hanging="92"/>
      </w:pPr>
      <w:rPr>
        <w:rFonts w:hint="default"/>
      </w:rPr>
    </w:lvl>
    <w:lvl w:ilvl="7">
      <w:start w:val="1"/>
      <w:numFmt w:val="bullet"/>
      <w:lvlText w:val="•"/>
      <w:lvlJc w:val="left"/>
      <w:pPr>
        <w:ind w:left="738" w:hanging="92"/>
      </w:pPr>
      <w:rPr>
        <w:rFonts w:hint="default"/>
      </w:rPr>
    </w:lvl>
    <w:lvl w:ilvl="8">
      <w:start w:val="1"/>
      <w:numFmt w:val="bullet"/>
      <w:lvlText w:val="•"/>
      <w:lvlJc w:val="left"/>
      <w:pPr>
        <w:ind w:left="821" w:hanging="92"/>
      </w:pPr>
      <w:rPr>
        <w:rFonts w:hint="default"/>
      </w:rPr>
    </w:lvl>
  </w:abstractNum>
  <w:abstractNum w:abstractNumId="20">
    <w:multiLevelType w:val="hybridMultilevel"/>
    <w:lvl w:ilvl="0">
      <w:start w:val="1"/>
      <w:numFmt w:val="bullet"/>
      <w:lvlText w:val="•"/>
      <w:lvlJc w:val="left"/>
      <w:pPr>
        <w:ind w:left="91" w:hanging="92"/>
      </w:pPr>
      <w:rPr>
        <w:rFonts w:hint="default" w:ascii="Times New Roman" w:hAnsi="Times New Roman" w:eastAsia="Times New Roman" w:cs="Times New Roman"/>
        <w:w w:val="100"/>
        <w:sz w:val="16"/>
        <w:szCs w:val="16"/>
      </w:rPr>
    </w:lvl>
    <w:lvl w:ilvl="1">
      <w:start w:val="1"/>
      <w:numFmt w:val="bullet"/>
      <w:lvlText w:val="•"/>
      <w:lvlJc w:val="left"/>
      <w:pPr>
        <w:ind w:left="150" w:hanging="92"/>
      </w:pPr>
      <w:rPr>
        <w:rFonts w:hint="default"/>
      </w:rPr>
    </w:lvl>
    <w:lvl w:ilvl="2">
      <w:start w:val="1"/>
      <w:numFmt w:val="bullet"/>
      <w:lvlText w:val="•"/>
      <w:lvlJc w:val="left"/>
      <w:pPr>
        <w:ind w:left="201" w:hanging="92"/>
      </w:pPr>
      <w:rPr>
        <w:rFonts w:hint="default"/>
      </w:rPr>
    </w:lvl>
    <w:lvl w:ilvl="3">
      <w:start w:val="1"/>
      <w:numFmt w:val="bullet"/>
      <w:lvlText w:val="•"/>
      <w:lvlJc w:val="left"/>
      <w:pPr>
        <w:ind w:left="252" w:hanging="92"/>
      </w:pPr>
      <w:rPr>
        <w:rFonts w:hint="default"/>
      </w:rPr>
    </w:lvl>
    <w:lvl w:ilvl="4">
      <w:start w:val="1"/>
      <w:numFmt w:val="bullet"/>
      <w:lvlText w:val="•"/>
      <w:lvlJc w:val="left"/>
      <w:pPr>
        <w:ind w:left="302" w:hanging="92"/>
      </w:pPr>
      <w:rPr>
        <w:rFonts w:hint="default"/>
      </w:rPr>
    </w:lvl>
    <w:lvl w:ilvl="5">
      <w:start w:val="1"/>
      <w:numFmt w:val="bullet"/>
      <w:lvlText w:val="•"/>
      <w:lvlJc w:val="left"/>
      <w:pPr>
        <w:ind w:left="353" w:hanging="92"/>
      </w:pPr>
      <w:rPr>
        <w:rFonts w:hint="default"/>
      </w:rPr>
    </w:lvl>
    <w:lvl w:ilvl="6">
      <w:start w:val="1"/>
      <w:numFmt w:val="bullet"/>
      <w:lvlText w:val="•"/>
      <w:lvlJc w:val="left"/>
      <w:pPr>
        <w:ind w:left="404" w:hanging="92"/>
      </w:pPr>
      <w:rPr>
        <w:rFonts w:hint="default"/>
      </w:rPr>
    </w:lvl>
    <w:lvl w:ilvl="7">
      <w:start w:val="1"/>
      <w:numFmt w:val="bullet"/>
      <w:lvlText w:val="•"/>
      <w:lvlJc w:val="left"/>
      <w:pPr>
        <w:ind w:left="454" w:hanging="92"/>
      </w:pPr>
      <w:rPr>
        <w:rFonts w:hint="default"/>
      </w:rPr>
    </w:lvl>
    <w:lvl w:ilvl="8">
      <w:start w:val="1"/>
      <w:numFmt w:val="bullet"/>
      <w:lvlText w:val="•"/>
      <w:lvlJc w:val="left"/>
      <w:pPr>
        <w:ind w:left="505" w:hanging="92"/>
      </w:pPr>
      <w:rPr>
        <w:rFonts w:hint="default"/>
      </w:rPr>
    </w:lvl>
  </w:abstractNum>
  <w:abstractNum w:abstractNumId="19">
    <w:multiLevelType w:val="hybridMultilevel"/>
    <w:lvl w:ilvl="0">
      <w:start w:val="1"/>
      <w:numFmt w:val="bullet"/>
      <w:lvlText w:val="•"/>
      <w:lvlJc w:val="left"/>
      <w:pPr>
        <w:ind w:left="177" w:hanging="92"/>
      </w:pPr>
      <w:rPr>
        <w:rFonts w:hint="default" w:ascii="Times New Roman" w:hAnsi="Times New Roman" w:eastAsia="Times New Roman" w:cs="Times New Roman"/>
        <w:w w:val="99"/>
        <w:sz w:val="18"/>
        <w:szCs w:val="18"/>
      </w:rPr>
    </w:lvl>
    <w:lvl w:ilvl="1">
      <w:start w:val="1"/>
      <w:numFmt w:val="bullet"/>
      <w:lvlText w:val="•"/>
      <w:lvlJc w:val="left"/>
      <w:pPr>
        <w:ind w:left="355" w:hanging="92"/>
      </w:pPr>
      <w:rPr>
        <w:rFonts w:hint="default"/>
      </w:rPr>
    </w:lvl>
    <w:lvl w:ilvl="2">
      <w:start w:val="1"/>
      <w:numFmt w:val="bullet"/>
      <w:lvlText w:val="•"/>
      <w:lvlJc w:val="left"/>
      <w:pPr>
        <w:ind w:left="531" w:hanging="92"/>
      </w:pPr>
      <w:rPr>
        <w:rFonts w:hint="default"/>
      </w:rPr>
    </w:lvl>
    <w:lvl w:ilvl="3">
      <w:start w:val="1"/>
      <w:numFmt w:val="bullet"/>
      <w:lvlText w:val="•"/>
      <w:lvlJc w:val="left"/>
      <w:pPr>
        <w:ind w:left="707" w:hanging="92"/>
      </w:pPr>
      <w:rPr>
        <w:rFonts w:hint="default"/>
      </w:rPr>
    </w:lvl>
    <w:lvl w:ilvl="4">
      <w:start w:val="1"/>
      <w:numFmt w:val="bullet"/>
      <w:lvlText w:val="•"/>
      <w:lvlJc w:val="left"/>
      <w:pPr>
        <w:ind w:left="882" w:hanging="92"/>
      </w:pPr>
      <w:rPr>
        <w:rFonts w:hint="default"/>
      </w:rPr>
    </w:lvl>
    <w:lvl w:ilvl="5">
      <w:start w:val="1"/>
      <w:numFmt w:val="bullet"/>
      <w:lvlText w:val="•"/>
      <w:lvlJc w:val="left"/>
      <w:pPr>
        <w:ind w:left="1058" w:hanging="92"/>
      </w:pPr>
      <w:rPr>
        <w:rFonts w:hint="default"/>
      </w:rPr>
    </w:lvl>
    <w:lvl w:ilvl="6">
      <w:start w:val="1"/>
      <w:numFmt w:val="bullet"/>
      <w:lvlText w:val="•"/>
      <w:lvlJc w:val="left"/>
      <w:pPr>
        <w:ind w:left="1234" w:hanging="92"/>
      </w:pPr>
      <w:rPr>
        <w:rFonts w:hint="default"/>
      </w:rPr>
    </w:lvl>
    <w:lvl w:ilvl="7">
      <w:start w:val="1"/>
      <w:numFmt w:val="bullet"/>
      <w:lvlText w:val="•"/>
      <w:lvlJc w:val="left"/>
      <w:pPr>
        <w:ind w:left="1409" w:hanging="92"/>
      </w:pPr>
      <w:rPr>
        <w:rFonts w:hint="default"/>
      </w:rPr>
    </w:lvl>
    <w:lvl w:ilvl="8">
      <w:start w:val="1"/>
      <w:numFmt w:val="bullet"/>
      <w:lvlText w:val="•"/>
      <w:lvlJc w:val="left"/>
      <w:pPr>
        <w:ind w:left="1585" w:hanging="92"/>
      </w:pPr>
      <w:rPr>
        <w:rFonts w:hint="default"/>
      </w:rPr>
    </w:lvl>
  </w:abstractNum>
  <w:abstractNum w:abstractNumId="18">
    <w:multiLevelType w:val="hybridMultilevel"/>
    <w:lvl w:ilvl="0">
      <w:start w:val="1"/>
      <w:numFmt w:val="bullet"/>
      <w:lvlText w:val="•"/>
      <w:lvlJc w:val="left"/>
      <w:pPr>
        <w:ind w:left="91" w:hanging="92"/>
      </w:pPr>
      <w:rPr>
        <w:rFonts w:hint="default" w:ascii="Times New Roman" w:hAnsi="Times New Roman" w:eastAsia="Times New Roman" w:cs="Times New Roman"/>
        <w:w w:val="99"/>
        <w:sz w:val="18"/>
        <w:szCs w:val="18"/>
      </w:rPr>
    </w:lvl>
    <w:lvl w:ilvl="1">
      <w:start w:val="1"/>
      <w:numFmt w:val="bullet"/>
      <w:lvlText w:val="•"/>
      <w:lvlJc w:val="left"/>
      <w:pPr>
        <w:ind w:left="207" w:hanging="92"/>
      </w:pPr>
      <w:rPr>
        <w:rFonts w:hint="default"/>
      </w:rPr>
    </w:lvl>
    <w:lvl w:ilvl="2">
      <w:start w:val="1"/>
      <w:numFmt w:val="bullet"/>
      <w:lvlText w:val="•"/>
      <w:lvlJc w:val="left"/>
      <w:pPr>
        <w:ind w:left="314" w:hanging="92"/>
      </w:pPr>
      <w:rPr>
        <w:rFonts w:hint="default"/>
      </w:rPr>
    </w:lvl>
    <w:lvl w:ilvl="3">
      <w:start w:val="1"/>
      <w:numFmt w:val="bullet"/>
      <w:lvlText w:val="•"/>
      <w:lvlJc w:val="left"/>
      <w:pPr>
        <w:ind w:left="422" w:hanging="92"/>
      </w:pPr>
      <w:rPr>
        <w:rFonts w:hint="default"/>
      </w:rPr>
    </w:lvl>
    <w:lvl w:ilvl="4">
      <w:start w:val="1"/>
      <w:numFmt w:val="bullet"/>
      <w:lvlText w:val="•"/>
      <w:lvlJc w:val="left"/>
      <w:pPr>
        <w:ind w:left="529" w:hanging="92"/>
      </w:pPr>
      <w:rPr>
        <w:rFonts w:hint="default"/>
      </w:rPr>
    </w:lvl>
    <w:lvl w:ilvl="5">
      <w:start w:val="1"/>
      <w:numFmt w:val="bullet"/>
      <w:lvlText w:val="•"/>
      <w:lvlJc w:val="left"/>
      <w:pPr>
        <w:ind w:left="636" w:hanging="92"/>
      </w:pPr>
      <w:rPr>
        <w:rFonts w:hint="default"/>
      </w:rPr>
    </w:lvl>
    <w:lvl w:ilvl="6">
      <w:start w:val="1"/>
      <w:numFmt w:val="bullet"/>
      <w:lvlText w:val="•"/>
      <w:lvlJc w:val="left"/>
      <w:pPr>
        <w:ind w:left="744" w:hanging="92"/>
      </w:pPr>
      <w:rPr>
        <w:rFonts w:hint="default"/>
      </w:rPr>
    </w:lvl>
    <w:lvl w:ilvl="7">
      <w:start w:val="1"/>
      <w:numFmt w:val="bullet"/>
      <w:lvlText w:val="•"/>
      <w:lvlJc w:val="left"/>
      <w:pPr>
        <w:ind w:left="851" w:hanging="92"/>
      </w:pPr>
      <w:rPr>
        <w:rFonts w:hint="default"/>
      </w:rPr>
    </w:lvl>
    <w:lvl w:ilvl="8">
      <w:start w:val="1"/>
      <w:numFmt w:val="bullet"/>
      <w:lvlText w:val="•"/>
      <w:lvlJc w:val="left"/>
      <w:pPr>
        <w:ind w:left="958" w:hanging="92"/>
      </w:pPr>
      <w:rPr>
        <w:rFonts w:hint="default"/>
      </w:rPr>
    </w:lvl>
  </w:abstractNum>
  <w:abstractNum w:abstractNumId="17">
    <w:multiLevelType w:val="hybridMultilevel"/>
    <w:lvl w:ilvl="0">
      <w:start w:val="1"/>
      <w:numFmt w:val="bullet"/>
      <w:lvlText w:val="•"/>
      <w:lvlJc w:val="left"/>
      <w:pPr>
        <w:ind w:left="91" w:hanging="92"/>
      </w:pPr>
      <w:rPr>
        <w:rFonts w:hint="default" w:ascii="Times New Roman" w:hAnsi="Times New Roman" w:eastAsia="Times New Roman" w:cs="Times New Roman"/>
        <w:w w:val="99"/>
        <w:sz w:val="18"/>
        <w:szCs w:val="18"/>
      </w:rPr>
    </w:lvl>
    <w:lvl w:ilvl="1">
      <w:start w:val="1"/>
      <w:numFmt w:val="bullet"/>
      <w:lvlText w:val="•"/>
      <w:lvlJc w:val="left"/>
      <w:pPr>
        <w:ind w:left="168" w:hanging="92"/>
      </w:pPr>
      <w:rPr>
        <w:rFonts w:hint="default"/>
      </w:rPr>
    </w:lvl>
    <w:lvl w:ilvl="2">
      <w:start w:val="1"/>
      <w:numFmt w:val="bullet"/>
      <w:lvlText w:val="•"/>
      <w:lvlJc w:val="left"/>
      <w:pPr>
        <w:ind w:left="237" w:hanging="92"/>
      </w:pPr>
      <w:rPr>
        <w:rFonts w:hint="default"/>
      </w:rPr>
    </w:lvl>
    <w:lvl w:ilvl="3">
      <w:start w:val="1"/>
      <w:numFmt w:val="bullet"/>
      <w:lvlText w:val="•"/>
      <w:lvlJc w:val="left"/>
      <w:pPr>
        <w:ind w:left="306" w:hanging="92"/>
      </w:pPr>
      <w:rPr>
        <w:rFonts w:hint="default"/>
      </w:rPr>
    </w:lvl>
    <w:lvl w:ilvl="4">
      <w:start w:val="1"/>
      <w:numFmt w:val="bullet"/>
      <w:lvlText w:val="•"/>
      <w:lvlJc w:val="left"/>
      <w:pPr>
        <w:ind w:left="374" w:hanging="92"/>
      </w:pPr>
      <w:rPr>
        <w:rFonts w:hint="default"/>
      </w:rPr>
    </w:lvl>
    <w:lvl w:ilvl="5">
      <w:start w:val="1"/>
      <w:numFmt w:val="bullet"/>
      <w:lvlText w:val="•"/>
      <w:lvlJc w:val="left"/>
      <w:pPr>
        <w:ind w:left="443" w:hanging="92"/>
      </w:pPr>
      <w:rPr>
        <w:rFonts w:hint="default"/>
      </w:rPr>
    </w:lvl>
    <w:lvl w:ilvl="6">
      <w:start w:val="1"/>
      <w:numFmt w:val="bullet"/>
      <w:lvlText w:val="•"/>
      <w:lvlJc w:val="left"/>
      <w:pPr>
        <w:ind w:left="512" w:hanging="92"/>
      </w:pPr>
      <w:rPr>
        <w:rFonts w:hint="default"/>
      </w:rPr>
    </w:lvl>
    <w:lvl w:ilvl="7">
      <w:start w:val="1"/>
      <w:numFmt w:val="bullet"/>
      <w:lvlText w:val="•"/>
      <w:lvlJc w:val="left"/>
      <w:pPr>
        <w:ind w:left="581" w:hanging="92"/>
      </w:pPr>
      <w:rPr>
        <w:rFonts w:hint="default"/>
      </w:rPr>
    </w:lvl>
    <w:lvl w:ilvl="8">
      <w:start w:val="1"/>
      <w:numFmt w:val="bullet"/>
      <w:lvlText w:val="•"/>
      <w:lvlJc w:val="left"/>
      <w:pPr>
        <w:ind w:left="649" w:hanging="92"/>
      </w:pPr>
      <w:rPr>
        <w:rFonts w:hint="default"/>
      </w:rPr>
    </w:lvl>
  </w:abstractNum>
  <w:abstractNum w:abstractNumId="16">
    <w:multiLevelType w:val="hybridMultilevel"/>
    <w:lvl w:ilvl="0">
      <w:start w:val="1"/>
      <w:numFmt w:val="bullet"/>
      <w:lvlText w:val="•"/>
      <w:lvlJc w:val="left"/>
      <w:pPr>
        <w:ind w:left="168" w:hanging="92"/>
      </w:pPr>
      <w:rPr>
        <w:rFonts w:hint="default" w:ascii="Times New Roman" w:hAnsi="Times New Roman" w:eastAsia="Times New Roman" w:cs="Times New Roman"/>
        <w:w w:val="99"/>
        <w:sz w:val="18"/>
        <w:szCs w:val="18"/>
      </w:rPr>
    </w:lvl>
    <w:lvl w:ilvl="1">
      <w:start w:val="1"/>
      <w:numFmt w:val="bullet"/>
      <w:lvlText w:val="•"/>
      <w:lvlJc w:val="left"/>
      <w:pPr>
        <w:ind w:left="336" w:hanging="92"/>
      </w:pPr>
      <w:rPr>
        <w:rFonts w:hint="default"/>
      </w:rPr>
    </w:lvl>
    <w:lvl w:ilvl="2">
      <w:start w:val="1"/>
      <w:numFmt w:val="bullet"/>
      <w:lvlText w:val="•"/>
      <w:lvlJc w:val="left"/>
      <w:pPr>
        <w:ind w:left="512" w:hanging="92"/>
      </w:pPr>
      <w:rPr>
        <w:rFonts w:hint="default"/>
      </w:rPr>
    </w:lvl>
    <w:lvl w:ilvl="3">
      <w:start w:val="1"/>
      <w:numFmt w:val="bullet"/>
      <w:lvlText w:val="•"/>
      <w:lvlJc w:val="left"/>
      <w:pPr>
        <w:ind w:left="688" w:hanging="92"/>
      </w:pPr>
      <w:rPr>
        <w:rFonts w:hint="default"/>
      </w:rPr>
    </w:lvl>
    <w:lvl w:ilvl="4">
      <w:start w:val="1"/>
      <w:numFmt w:val="bullet"/>
      <w:lvlText w:val="•"/>
      <w:lvlJc w:val="left"/>
      <w:pPr>
        <w:ind w:left="864" w:hanging="92"/>
      </w:pPr>
      <w:rPr>
        <w:rFonts w:hint="default"/>
      </w:rPr>
    </w:lvl>
    <w:lvl w:ilvl="5">
      <w:start w:val="1"/>
      <w:numFmt w:val="bullet"/>
      <w:lvlText w:val="•"/>
      <w:lvlJc w:val="left"/>
      <w:pPr>
        <w:ind w:left="1040" w:hanging="92"/>
      </w:pPr>
      <w:rPr>
        <w:rFonts w:hint="default"/>
      </w:rPr>
    </w:lvl>
    <w:lvl w:ilvl="6">
      <w:start w:val="1"/>
      <w:numFmt w:val="bullet"/>
      <w:lvlText w:val="•"/>
      <w:lvlJc w:val="left"/>
      <w:pPr>
        <w:ind w:left="1216" w:hanging="92"/>
      </w:pPr>
      <w:rPr>
        <w:rFonts w:hint="default"/>
      </w:rPr>
    </w:lvl>
    <w:lvl w:ilvl="7">
      <w:start w:val="1"/>
      <w:numFmt w:val="bullet"/>
      <w:lvlText w:val="•"/>
      <w:lvlJc w:val="left"/>
      <w:pPr>
        <w:ind w:left="1392" w:hanging="92"/>
      </w:pPr>
      <w:rPr>
        <w:rFonts w:hint="default"/>
      </w:rPr>
    </w:lvl>
    <w:lvl w:ilvl="8">
      <w:start w:val="1"/>
      <w:numFmt w:val="bullet"/>
      <w:lvlText w:val="•"/>
      <w:lvlJc w:val="left"/>
      <w:pPr>
        <w:ind w:left="1568" w:hanging="92"/>
      </w:pPr>
      <w:rPr>
        <w:rFonts w:hint="default"/>
      </w:rPr>
    </w:lvl>
  </w:abstractNum>
  <w:abstractNum w:abstractNumId="15">
    <w:multiLevelType w:val="hybridMultilevel"/>
    <w:lvl w:ilvl="0">
      <w:start w:val="1"/>
      <w:numFmt w:val="bullet"/>
      <w:lvlText w:val="•"/>
      <w:lvlJc w:val="left"/>
      <w:pPr>
        <w:ind w:left="166" w:hanging="92"/>
      </w:pPr>
      <w:rPr>
        <w:rFonts w:hint="default" w:ascii="Times New Roman" w:hAnsi="Times New Roman" w:eastAsia="Times New Roman" w:cs="Times New Roman"/>
        <w:w w:val="99"/>
        <w:sz w:val="18"/>
        <w:szCs w:val="18"/>
      </w:rPr>
    </w:lvl>
    <w:lvl w:ilvl="1">
      <w:start w:val="1"/>
      <w:numFmt w:val="bullet"/>
      <w:lvlText w:val="•"/>
      <w:lvlJc w:val="left"/>
      <w:pPr>
        <w:ind w:left="335" w:hanging="92"/>
      </w:pPr>
      <w:rPr>
        <w:rFonts w:hint="default"/>
      </w:rPr>
    </w:lvl>
    <w:lvl w:ilvl="2">
      <w:start w:val="1"/>
      <w:numFmt w:val="bullet"/>
      <w:lvlText w:val="•"/>
      <w:lvlJc w:val="left"/>
      <w:pPr>
        <w:ind w:left="511" w:hanging="92"/>
      </w:pPr>
      <w:rPr>
        <w:rFonts w:hint="default"/>
      </w:rPr>
    </w:lvl>
    <w:lvl w:ilvl="3">
      <w:start w:val="1"/>
      <w:numFmt w:val="bullet"/>
      <w:lvlText w:val="•"/>
      <w:lvlJc w:val="left"/>
      <w:pPr>
        <w:ind w:left="687" w:hanging="92"/>
      </w:pPr>
      <w:rPr>
        <w:rFonts w:hint="default"/>
      </w:rPr>
    </w:lvl>
    <w:lvl w:ilvl="4">
      <w:start w:val="1"/>
      <w:numFmt w:val="bullet"/>
      <w:lvlText w:val="•"/>
      <w:lvlJc w:val="left"/>
      <w:pPr>
        <w:ind w:left="863" w:hanging="92"/>
      </w:pPr>
      <w:rPr>
        <w:rFonts w:hint="default"/>
      </w:rPr>
    </w:lvl>
    <w:lvl w:ilvl="5">
      <w:start w:val="1"/>
      <w:numFmt w:val="bullet"/>
      <w:lvlText w:val="•"/>
      <w:lvlJc w:val="left"/>
      <w:pPr>
        <w:ind w:left="1038" w:hanging="92"/>
      </w:pPr>
      <w:rPr>
        <w:rFonts w:hint="default"/>
      </w:rPr>
    </w:lvl>
    <w:lvl w:ilvl="6">
      <w:start w:val="1"/>
      <w:numFmt w:val="bullet"/>
      <w:lvlText w:val="•"/>
      <w:lvlJc w:val="left"/>
      <w:pPr>
        <w:ind w:left="1214" w:hanging="92"/>
      </w:pPr>
      <w:rPr>
        <w:rFonts w:hint="default"/>
      </w:rPr>
    </w:lvl>
    <w:lvl w:ilvl="7">
      <w:start w:val="1"/>
      <w:numFmt w:val="bullet"/>
      <w:lvlText w:val="•"/>
      <w:lvlJc w:val="left"/>
      <w:pPr>
        <w:ind w:left="1390" w:hanging="92"/>
      </w:pPr>
      <w:rPr>
        <w:rFonts w:hint="default"/>
      </w:rPr>
    </w:lvl>
    <w:lvl w:ilvl="8">
      <w:start w:val="1"/>
      <w:numFmt w:val="bullet"/>
      <w:lvlText w:val="•"/>
      <w:lvlJc w:val="left"/>
      <w:pPr>
        <w:ind w:left="1566" w:hanging="92"/>
      </w:pPr>
      <w:rPr>
        <w:rFonts w:hint="default"/>
      </w:rPr>
    </w:lvl>
  </w:abstractNum>
  <w:abstractNum w:abstractNumId="14">
    <w:multiLevelType w:val="hybridMultilevel"/>
    <w:lvl w:ilvl="0">
      <w:start w:val="3"/>
      <w:numFmt w:val="decimal"/>
      <w:lvlText w:val="%1"/>
      <w:lvlJc w:val="left"/>
      <w:pPr>
        <w:ind w:left="522" w:hanging="420"/>
        <w:jc w:val="left"/>
      </w:pPr>
      <w:rPr>
        <w:rFonts w:hint="default"/>
      </w:rPr>
    </w:lvl>
    <w:lvl w:ilvl="1">
      <w:start w:val="1"/>
      <w:numFmt w:val="decimal"/>
      <w:lvlText w:val="%1.%2."/>
      <w:lvlJc w:val="left"/>
      <w:pPr>
        <w:ind w:left="522" w:hanging="420"/>
        <w:jc w:val="left"/>
      </w:pPr>
      <w:rPr>
        <w:rFonts w:hint="default" w:ascii="Times New Roman" w:hAnsi="Times New Roman" w:eastAsia="Times New Roman" w:cs="Times New Roman"/>
        <w:b/>
        <w:bCs/>
        <w:spacing w:val="-4"/>
        <w:w w:val="99"/>
        <w:sz w:val="24"/>
        <w:szCs w:val="24"/>
      </w:rPr>
    </w:lvl>
    <w:lvl w:ilvl="2">
      <w:start w:val="1"/>
      <w:numFmt w:val="decimal"/>
      <w:lvlText w:val="%3."/>
      <w:lvlJc w:val="left"/>
      <w:pPr>
        <w:ind w:left="822" w:hanging="360"/>
        <w:jc w:val="left"/>
      </w:pPr>
      <w:rPr>
        <w:rFonts w:hint="default" w:ascii="Times New Roman" w:hAnsi="Times New Roman" w:eastAsia="Times New Roman" w:cs="Times New Roman"/>
        <w:spacing w:val="-3"/>
        <w:w w:val="99"/>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3">
    <w:multiLevelType w:val="hybridMultilevel"/>
    <w:lvl w:ilvl="0">
      <w:start w:val="1"/>
      <w:numFmt w:val="lowerLetter"/>
      <w:lvlText w:val="%1)"/>
      <w:lvlJc w:val="left"/>
      <w:pPr>
        <w:ind w:left="102" w:hanging="269"/>
        <w:jc w:val="left"/>
      </w:pPr>
      <w:rPr>
        <w:rFonts w:hint="default" w:ascii="Times New Roman" w:hAnsi="Times New Roman" w:eastAsia="Times New Roman" w:cs="Times New Roman"/>
        <w:spacing w:val="-1"/>
        <w:w w:val="100"/>
        <w:sz w:val="24"/>
        <w:szCs w:val="24"/>
      </w:rPr>
    </w:lvl>
    <w:lvl w:ilvl="1">
      <w:start w:val="1"/>
      <w:numFmt w:val="bullet"/>
      <w:lvlText w:val="•"/>
      <w:lvlJc w:val="left"/>
      <w:pPr>
        <w:ind w:left="996" w:hanging="269"/>
      </w:pPr>
      <w:rPr>
        <w:rFonts w:hint="default"/>
      </w:rPr>
    </w:lvl>
    <w:lvl w:ilvl="2">
      <w:start w:val="1"/>
      <w:numFmt w:val="bullet"/>
      <w:lvlText w:val="•"/>
      <w:lvlJc w:val="left"/>
      <w:pPr>
        <w:ind w:left="1892" w:hanging="269"/>
      </w:pPr>
      <w:rPr>
        <w:rFonts w:hint="default"/>
      </w:rPr>
    </w:lvl>
    <w:lvl w:ilvl="3">
      <w:start w:val="1"/>
      <w:numFmt w:val="bullet"/>
      <w:lvlText w:val="•"/>
      <w:lvlJc w:val="left"/>
      <w:pPr>
        <w:ind w:left="2788" w:hanging="269"/>
      </w:pPr>
      <w:rPr>
        <w:rFonts w:hint="default"/>
      </w:rPr>
    </w:lvl>
    <w:lvl w:ilvl="4">
      <w:start w:val="1"/>
      <w:numFmt w:val="bullet"/>
      <w:lvlText w:val="•"/>
      <w:lvlJc w:val="left"/>
      <w:pPr>
        <w:ind w:left="3684" w:hanging="269"/>
      </w:pPr>
      <w:rPr>
        <w:rFonts w:hint="default"/>
      </w:rPr>
    </w:lvl>
    <w:lvl w:ilvl="5">
      <w:start w:val="1"/>
      <w:numFmt w:val="bullet"/>
      <w:lvlText w:val="•"/>
      <w:lvlJc w:val="left"/>
      <w:pPr>
        <w:ind w:left="4580" w:hanging="269"/>
      </w:pPr>
      <w:rPr>
        <w:rFonts w:hint="default"/>
      </w:rPr>
    </w:lvl>
    <w:lvl w:ilvl="6">
      <w:start w:val="1"/>
      <w:numFmt w:val="bullet"/>
      <w:lvlText w:val="•"/>
      <w:lvlJc w:val="left"/>
      <w:pPr>
        <w:ind w:left="5476" w:hanging="269"/>
      </w:pPr>
      <w:rPr>
        <w:rFonts w:hint="default"/>
      </w:rPr>
    </w:lvl>
    <w:lvl w:ilvl="7">
      <w:start w:val="1"/>
      <w:numFmt w:val="bullet"/>
      <w:lvlText w:val="•"/>
      <w:lvlJc w:val="left"/>
      <w:pPr>
        <w:ind w:left="6372" w:hanging="269"/>
      </w:pPr>
      <w:rPr>
        <w:rFonts w:hint="default"/>
      </w:rPr>
    </w:lvl>
    <w:lvl w:ilvl="8">
      <w:start w:val="1"/>
      <w:numFmt w:val="bullet"/>
      <w:lvlText w:val="•"/>
      <w:lvlJc w:val="left"/>
      <w:pPr>
        <w:ind w:left="7268" w:hanging="269"/>
      </w:pPr>
      <w:rPr>
        <w:rFonts w:hint="default"/>
      </w:rPr>
    </w:lvl>
  </w:abstractNum>
  <w:abstractNum w:abstractNumId="12">
    <w:multiLevelType w:val="hybridMultilevel"/>
    <w:lvl w:ilvl="0">
      <w:start w:val="1"/>
      <w:numFmt w:val="decimal"/>
      <w:lvlText w:val="%1."/>
      <w:lvlJc w:val="left"/>
      <w:pPr>
        <w:ind w:left="822" w:hanging="360"/>
        <w:jc w:val="left"/>
      </w:pPr>
      <w:rPr>
        <w:rFonts w:hint="default" w:ascii="Times New Roman" w:hAnsi="Times New Roman" w:eastAsia="Times New Roman" w:cs="Times New Roman"/>
        <w:spacing w:val="-30"/>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11">
    <w:multiLevelType w:val="hybridMultilevel"/>
    <w:lvl w:ilvl="0">
      <w:start w:val="2"/>
      <w:numFmt w:val="decimal"/>
      <w:lvlText w:val="%1"/>
      <w:lvlJc w:val="left"/>
      <w:pPr>
        <w:ind w:left="522" w:hanging="420"/>
        <w:jc w:val="left"/>
      </w:pPr>
      <w:rPr>
        <w:rFonts w:hint="default"/>
      </w:rPr>
    </w:lvl>
    <w:lvl w:ilvl="1">
      <w:start w:val="2"/>
      <w:numFmt w:val="decimal"/>
      <w:lvlText w:val="%1.%2."/>
      <w:lvlJc w:val="left"/>
      <w:pPr>
        <w:ind w:left="522" w:hanging="420"/>
        <w:jc w:val="left"/>
      </w:pPr>
      <w:rPr>
        <w:rFonts w:hint="default" w:ascii="Times New Roman" w:hAnsi="Times New Roman" w:eastAsia="Times New Roman" w:cs="Times New Roman"/>
        <w:b/>
        <w:bCs/>
        <w:w w:val="100"/>
        <w:sz w:val="24"/>
        <w:szCs w:val="24"/>
      </w:rPr>
    </w:lvl>
    <w:lvl w:ilvl="2">
      <w:start w:val="1"/>
      <w:numFmt w:val="decimal"/>
      <w:lvlText w:val="%1.%2.%3."/>
      <w:lvlJc w:val="left"/>
      <w:pPr>
        <w:ind w:left="702" w:hanging="600"/>
        <w:jc w:val="left"/>
      </w:pPr>
      <w:rPr>
        <w:rFonts w:hint="default" w:ascii="Times New Roman" w:hAnsi="Times New Roman" w:eastAsia="Times New Roman" w:cs="Times New Roman"/>
        <w:b/>
        <w:bCs/>
        <w:w w:val="100"/>
        <w:sz w:val="24"/>
        <w:szCs w:val="24"/>
      </w:rPr>
    </w:lvl>
    <w:lvl w:ilvl="3">
      <w:start w:val="1"/>
      <w:numFmt w:val="lowerLetter"/>
      <w:lvlText w:val="%4)"/>
      <w:lvlJc w:val="left"/>
      <w:pPr>
        <w:ind w:left="102" w:hanging="240"/>
        <w:jc w:val="left"/>
      </w:pPr>
      <w:rPr>
        <w:rFonts w:hint="default" w:ascii="Times New Roman" w:hAnsi="Times New Roman" w:eastAsia="Times New Roman" w:cs="Times New Roman"/>
        <w:spacing w:val="-1"/>
        <w:w w:val="100"/>
        <w:sz w:val="24"/>
        <w:szCs w:val="24"/>
      </w:rPr>
    </w:lvl>
    <w:lvl w:ilvl="4">
      <w:start w:val="1"/>
      <w:numFmt w:val="bullet"/>
      <w:lvlText w:val="•"/>
      <w:lvlJc w:val="left"/>
      <w:pPr>
        <w:ind w:left="2790" w:hanging="240"/>
      </w:pPr>
      <w:rPr>
        <w:rFonts w:hint="default"/>
      </w:rPr>
    </w:lvl>
    <w:lvl w:ilvl="5">
      <w:start w:val="1"/>
      <w:numFmt w:val="bullet"/>
      <w:lvlText w:val="•"/>
      <w:lvlJc w:val="left"/>
      <w:pPr>
        <w:ind w:left="3835" w:hanging="240"/>
      </w:pPr>
      <w:rPr>
        <w:rFonts w:hint="default"/>
      </w:rPr>
    </w:lvl>
    <w:lvl w:ilvl="6">
      <w:start w:val="1"/>
      <w:numFmt w:val="bullet"/>
      <w:lvlText w:val="•"/>
      <w:lvlJc w:val="left"/>
      <w:pPr>
        <w:ind w:left="4880" w:hanging="240"/>
      </w:pPr>
      <w:rPr>
        <w:rFonts w:hint="default"/>
      </w:rPr>
    </w:lvl>
    <w:lvl w:ilvl="7">
      <w:start w:val="1"/>
      <w:numFmt w:val="bullet"/>
      <w:lvlText w:val="•"/>
      <w:lvlJc w:val="left"/>
      <w:pPr>
        <w:ind w:left="5925" w:hanging="240"/>
      </w:pPr>
      <w:rPr>
        <w:rFonts w:hint="default"/>
      </w:rPr>
    </w:lvl>
    <w:lvl w:ilvl="8">
      <w:start w:val="1"/>
      <w:numFmt w:val="bullet"/>
      <w:lvlText w:val="•"/>
      <w:lvlJc w:val="left"/>
      <w:pPr>
        <w:ind w:left="6970" w:hanging="240"/>
      </w:pPr>
      <w:rPr>
        <w:rFonts w:hint="default"/>
      </w:rPr>
    </w:lvl>
  </w:abstractNum>
  <w:abstractNum w:abstractNumId="10">
    <w:multiLevelType w:val="hybridMultilevel"/>
    <w:lvl w:ilvl="0">
      <w:start w:val="1"/>
      <w:numFmt w:val="decimal"/>
      <w:lvlText w:val="%1."/>
      <w:lvlJc w:val="left"/>
      <w:pPr>
        <w:ind w:left="102" w:hanging="231"/>
        <w:jc w:val="left"/>
      </w:pPr>
      <w:rPr>
        <w:rFonts w:hint="default" w:ascii="Times New Roman" w:hAnsi="Times New Roman" w:eastAsia="Times New Roman" w:cs="Times New Roman"/>
        <w:w w:val="100"/>
        <w:sz w:val="24"/>
        <w:szCs w:val="24"/>
      </w:rPr>
    </w:lvl>
    <w:lvl w:ilvl="1">
      <w:start w:val="1"/>
      <w:numFmt w:val="bullet"/>
      <w:lvlText w:val="•"/>
      <w:lvlJc w:val="left"/>
      <w:pPr>
        <w:ind w:left="996" w:hanging="231"/>
      </w:pPr>
      <w:rPr>
        <w:rFonts w:hint="default"/>
      </w:rPr>
    </w:lvl>
    <w:lvl w:ilvl="2">
      <w:start w:val="1"/>
      <w:numFmt w:val="bullet"/>
      <w:lvlText w:val="•"/>
      <w:lvlJc w:val="left"/>
      <w:pPr>
        <w:ind w:left="1892" w:hanging="231"/>
      </w:pPr>
      <w:rPr>
        <w:rFonts w:hint="default"/>
      </w:rPr>
    </w:lvl>
    <w:lvl w:ilvl="3">
      <w:start w:val="1"/>
      <w:numFmt w:val="bullet"/>
      <w:lvlText w:val="•"/>
      <w:lvlJc w:val="left"/>
      <w:pPr>
        <w:ind w:left="2788" w:hanging="231"/>
      </w:pPr>
      <w:rPr>
        <w:rFonts w:hint="default"/>
      </w:rPr>
    </w:lvl>
    <w:lvl w:ilvl="4">
      <w:start w:val="1"/>
      <w:numFmt w:val="bullet"/>
      <w:lvlText w:val="•"/>
      <w:lvlJc w:val="left"/>
      <w:pPr>
        <w:ind w:left="3684" w:hanging="231"/>
      </w:pPr>
      <w:rPr>
        <w:rFonts w:hint="default"/>
      </w:rPr>
    </w:lvl>
    <w:lvl w:ilvl="5">
      <w:start w:val="1"/>
      <w:numFmt w:val="bullet"/>
      <w:lvlText w:val="•"/>
      <w:lvlJc w:val="left"/>
      <w:pPr>
        <w:ind w:left="4580" w:hanging="231"/>
      </w:pPr>
      <w:rPr>
        <w:rFonts w:hint="default"/>
      </w:rPr>
    </w:lvl>
    <w:lvl w:ilvl="6">
      <w:start w:val="1"/>
      <w:numFmt w:val="bullet"/>
      <w:lvlText w:val="•"/>
      <w:lvlJc w:val="left"/>
      <w:pPr>
        <w:ind w:left="5476" w:hanging="231"/>
      </w:pPr>
      <w:rPr>
        <w:rFonts w:hint="default"/>
      </w:rPr>
    </w:lvl>
    <w:lvl w:ilvl="7">
      <w:start w:val="1"/>
      <w:numFmt w:val="bullet"/>
      <w:lvlText w:val="•"/>
      <w:lvlJc w:val="left"/>
      <w:pPr>
        <w:ind w:left="6372" w:hanging="231"/>
      </w:pPr>
      <w:rPr>
        <w:rFonts w:hint="default"/>
      </w:rPr>
    </w:lvl>
    <w:lvl w:ilvl="8">
      <w:start w:val="1"/>
      <w:numFmt w:val="bullet"/>
      <w:lvlText w:val="•"/>
      <w:lvlJc w:val="left"/>
      <w:pPr>
        <w:ind w:left="7268" w:hanging="231"/>
      </w:pPr>
      <w:rPr>
        <w:rFonts w:hint="default"/>
      </w:rPr>
    </w:lvl>
  </w:abstractNum>
  <w:abstractNum w:abstractNumId="9">
    <w:multiLevelType w:val="hybridMultilevel"/>
    <w:lvl w:ilvl="0">
      <w:start w:val="1"/>
      <w:numFmt w:val="lowerLetter"/>
      <w:lvlText w:val="%1)"/>
      <w:lvlJc w:val="left"/>
      <w:pPr>
        <w:ind w:left="102" w:hanging="274"/>
        <w:jc w:val="left"/>
      </w:pPr>
      <w:rPr>
        <w:rFonts w:hint="default" w:ascii="Times New Roman" w:hAnsi="Times New Roman" w:eastAsia="Times New Roman" w:cs="Times New Roman"/>
        <w:spacing w:val="-1"/>
        <w:w w:val="100"/>
        <w:sz w:val="24"/>
        <w:szCs w:val="24"/>
      </w:rPr>
    </w:lvl>
    <w:lvl w:ilvl="1">
      <w:start w:val="1"/>
      <w:numFmt w:val="bullet"/>
      <w:lvlText w:val="•"/>
      <w:lvlJc w:val="left"/>
      <w:pPr>
        <w:ind w:left="996" w:hanging="274"/>
      </w:pPr>
      <w:rPr>
        <w:rFonts w:hint="default"/>
      </w:rPr>
    </w:lvl>
    <w:lvl w:ilvl="2">
      <w:start w:val="1"/>
      <w:numFmt w:val="bullet"/>
      <w:lvlText w:val="•"/>
      <w:lvlJc w:val="left"/>
      <w:pPr>
        <w:ind w:left="1892" w:hanging="274"/>
      </w:pPr>
      <w:rPr>
        <w:rFonts w:hint="default"/>
      </w:rPr>
    </w:lvl>
    <w:lvl w:ilvl="3">
      <w:start w:val="1"/>
      <w:numFmt w:val="bullet"/>
      <w:lvlText w:val="•"/>
      <w:lvlJc w:val="left"/>
      <w:pPr>
        <w:ind w:left="2788" w:hanging="274"/>
      </w:pPr>
      <w:rPr>
        <w:rFonts w:hint="default"/>
      </w:rPr>
    </w:lvl>
    <w:lvl w:ilvl="4">
      <w:start w:val="1"/>
      <w:numFmt w:val="bullet"/>
      <w:lvlText w:val="•"/>
      <w:lvlJc w:val="left"/>
      <w:pPr>
        <w:ind w:left="3684" w:hanging="274"/>
      </w:pPr>
      <w:rPr>
        <w:rFonts w:hint="default"/>
      </w:rPr>
    </w:lvl>
    <w:lvl w:ilvl="5">
      <w:start w:val="1"/>
      <w:numFmt w:val="bullet"/>
      <w:lvlText w:val="•"/>
      <w:lvlJc w:val="left"/>
      <w:pPr>
        <w:ind w:left="4580" w:hanging="274"/>
      </w:pPr>
      <w:rPr>
        <w:rFonts w:hint="default"/>
      </w:rPr>
    </w:lvl>
    <w:lvl w:ilvl="6">
      <w:start w:val="1"/>
      <w:numFmt w:val="bullet"/>
      <w:lvlText w:val="•"/>
      <w:lvlJc w:val="left"/>
      <w:pPr>
        <w:ind w:left="5476" w:hanging="274"/>
      </w:pPr>
      <w:rPr>
        <w:rFonts w:hint="default"/>
      </w:rPr>
    </w:lvl>
    <w:lvl w:ilvl="7">
      <w:start w:val="1"/>
      <w:numFmt w:val="bullet"/>
      <w:lvlText w:val="•"/>
      <w:lvlJc w:val="left"/>
      <w:pPr>
        <w:ind w:left="6372" w:hanging="274"/>
      </w:pPr>
      <w:rPr>
        <w:rFonts w:hint="default"/>
      </w:rPr>
    </w:lvl>
    <w:lvl w:ilvl="8">
      <w:start w:val="1"/>
      <w:numFmt w:val="bullet"/>
      <w:lvlText w:val="•"/>
      <w:lvlJc w:val="left"/>
      <w:pPr>
        <w:ind w:left="7268" w:hanging="274"/>
      </w:pPr>
      <w:rPr>
        <w:rFonts w:hint="default"/>
      </w:rPr>
    </w:lvl>
  </w:abstractNum>
  <w:abstractNum w:abstractNumId="8">
    <w:multiLevelType w:val="hybridMultilevel"/>
    <w:lvl w:ilvl="0">
      <w:start w:val="1"/>
      <w:numFmt w:val="lowerLetter"/>
      <w:lvlText w:val="%1)"/>
      <w:lvlJc w:val="left"/>
      <w:pPr>
        <w:ind w:left="102" w:hanging="315"/>
        <w:jc w:val="left"/>
      </w:pPr>
      <w:rPr>
        <w:rFonts w:hint="default" w:ascii="Times New Roman" w:hAnsi="Times New Roman" w:eastAsia="Times New Roman" w:cs="Times New Roman"/>
        <w:spacing w:val="-30"/>
        <w:w w:val="99"/>
        <w:sz w:val="24"/>
        <w:szCs w:val="24"/>
      </w:rPr>
    </w:lvl>
    <w:lvl w:ilvl="1">
      <w:start w:val="1"/>
      <w:numFmt w:val="bullet"/>
      <w:lvlText w:val="•"/>
      <w:lvlJc w:val="left"/>
      <w:pPr>
        <w:ind w:left="996" w:hanging="315"/>
      </w:pPr>
      <w:rPr>
        <w:rFonts w:hint="default"/>
      </w:rPr>
    </w:lvl>
    <w:lvl w:ilvl="2">
      <w:start w:val="1"/>
      <w:numFmt w:val="bullet"/>
      <w:lvlText w:val="•"/>
      <w:lvlJc w:val="left"/>
      <w:pPr>
        <w:ind w:left="1892" w:hanging="315"/>
      </w:pPr>
      <w:rPr>
        <w:rFonts w:hint="default"/>
      </w:rPr>
    </w:lvl>
    <w:lvl w:ilvl="3">
      <w:start w:val="1"/>
      <w:numFmt w:val="bullet"/>
      <w:lvlText w:val="•"/>
      <w:lvlJc w:val="left"/>
      <w:pPr>
        <w:ind w:left="2788" w:hanging="315"/>
      </w:pPr>
      <w:rPr>
        <w:rFonts w:hint="default"/>
      </w:rPr>
    </w:lvl>
    <w:lvl w:ilvl="4">
      <w:start w:val="1"/>
      <w:numFmt w:val="bullet"/>
      <w:lvlText w:val="•"/>
      <w:lvlJc w:val="left"/>
      <w:pPr>
        <w:ind w:left="3684" w:hanging="315"/>
      </w:pPr>
      <w:rPr>
        <w:rFonts w:hint="default"/>
      </w:rPr>
    </w:lvl>
    <w:lvl w:ilvl="5">
      <w:start w:val="1"/>
      <w:numFmt w:val="bullet"/>
      <w:lvlText w:val="•"/>
      <w:lvlJc w:val="left"/>
      <w:pPr>
        <w:ind w:left="4580" w:hanging="315"/>
      </w:pPr>
      <w:rPr>
        <w:rFonts w:hint="default"/>
      </w:rPr>
    </w:lvl>
    <w:lvl w:ilvl="6">
      <w:start w:val="1"/>
      <w:numFmt w:val="bullet"/>
      <w:lvlText w:val="•"/>
      <w:lvlJc w:val="left"/>
      <w:pPr>
        <w:ind w:left="5476" w:hanging="315"/>
      </w:pPr>
      <w:rPr>
        <w:rFonts w:hint="default"/>
      </w:rPr>
    </w:lvl>
    <w:lvl w:ilvl="7">
      <w:start w:val="1"/>
      <w:numFmt w:val="bullet"/>
      <w:lvlText w:val="•"/>
      <w:lvlJc w:val="left"/>
      <w:pPr>
        <w:ind w:left="6372" w:hanging="315"/>
      </w:pPr>
      <w:rPr>
        <w:rFonts w:hint="default"/>
      </w:rPr>
    </w:lvl>
    <w:lvl w:ilvl="8">
      <w:start w:val="1"/>
      <w:numFmt w:val="bullet"/>
      <w:lvlText w:val="•"/>
      <w:lvlJc w:val="left"/>
      <w:pPr>
        <w:ind w:left="7268" w:hanging="315"/>
      </w:pPr>
      <w:rPr>
        <w:rFonts w:hint="default"/>
      </w:rPr>
    </w:lvl>
  </w:abstractNum>
  <w:abstractNum w:abstractNumId="7">
    <w:multiLevelType w:val="hybridMultilevel"/>
    <w:lvl w:ilvl="0">
      <w:start w:val="2"/>
      <w:numFmt w:val="decimal"/>
      <w:lvlText w:val="%1"/>
      <w:lvlJc w:val="left"/>
      <w:pPr>
        <w:ind w:left="522" w:hanging="420"/>
        <w:jc w:val="left"/>
      </w:pPr>
      <w:rPr>
        <w:rFonts w:hint="default"/>
      </w:rPr>
    </w:lvl>
    <w:lvl w:ilvl="1">
      <w:start w:val="1"/>
      <w:numFmt w:val="decimal"/>
      <w:lvlText w:val="%1.%2."/>
      <w:lvlJc w:val="left"/>
      <w:pPr>
        <w:ind w:left="522" w:hanging="420"/>
        <w:jc w:val="left"/>
      </w:pPr>
      <w:rPr>
        <w:rFonts w:hint="default" w:ascii="Times New Roman" w:hAnsi="Times New Roman" w:eastAsia="Times New Roman" w:cs="Times New Roman"/>
        <w:b/>
        <w:bCs/>
        <w:spacing w:val="-4"/>
        <w:w w:val="99"/>
        <w:sz w:val="24"/>
        <w:szCs w:val="24"/>
      </w:rPr>
    </w:lvl>
    <w:lvl w:ilvl="2">
      <w:start w:val="1"/>
      <w:numFmt w:val="decimal"/>
      <w:lvlText w:val="%1.%2.%3."/>
      <w:lvlJc w:val="left"/>
      <w:pPr>
        <w:ind w:left="762" w:hanging="660"/>
        <w:jc w:val="left"/>
      </w:pPr>
      <w:rPr>
        <w:rFonts w:hint="default" w:ascii="Times New Roman" w:hAnsi="Times New Roman" w:eastAsia="Times New Roman" w:cs="Times New Roman"/>
        <w:b/>
        <w:bCs/>
        <w:spacing w:val="-4"/>
        <w:w w:val="99"/>
        <w:sz w:val="24"/>
        <w:szCs w:val="24"/>
      </w:rPr>
    </w:lvl>
    <w:lvl w:ilvl="3">
      <w:start w:val="1"/>
      <w:numFmt w:val="bullet"/>
      <w:lvlText w:val="•"/>
      <w:lvlJc w:val="left"/>
      <w:pPr>
        <w:ind w:left="2604" w:hanging="660"/>
      </w:pPr>
      <w:rPr>
        <w:rFonts w:hint="default"/>
      </w:rPr>
    </w:lvl>
    <w:lvl w:ilvl="4">
      <w:start w:val="1"/>
      <w:numFmt w:val="bullet"/>
      <w:lvlText w:val="•"/>
      <w:lvlJc w:val="left"/>
      <w:pPr>
        <w:ind w:left="3526" w:hanging="660"/>
      </w:pPr>
      <w:rPr>
        <w:rFonts w:hint="default"/>
      </w:rPr>
    </w:lvl>
    <w:lvl w:ilvl="5">
      <w:start w:val="1"/>
      <w:numFmt w:val="bullet"/>
      <w:lvlText w:val="•"/>
      <w:lvlJc w:val="left"/>
      <w:pPr>
        <w:ind w:left="4448" w:hanging="660"/>
      </w:pPr>
      <w:rPr>
        <w:rFonts w:hint="default"/>
      </w:rPr>
    </w:lvl>
    <w:lvl w:ilvl="6">
      <w:start w:val="1"/>
      <w:numFmt w:val="bullet"/>
      <w:lvlText w:val="•"/>
      <w:lvlJc w:val="left"/>
      <w:pPr>
        <w:ind w:left="5371" w:hanging="660"/>
      </w:pPr>
      <w:rPr>
        <w:rFonts w:hint="default"/>
      </w:rPr>
    </w:lvl>
    <w:lvl w:ilvl="7">
      <w:start w:val="1"/>
      <w:numFmt w:val="bullet"/>
      <w:lvlText w:val="•"/>
      <w:lvlJc w:val="left"/>
      <w:pPr>
        <w:ind w:left="6293" w:hanging="660"/>
      </w:pPr>
      <w:rPr>
        <w:rFonts w:hint="default"/>
      </w:rPr>
    </w:lvl>
    <w:lvl w:ilvl="8">
      <w:start w:val="1"/>
      <w:numFmt w:val="bullet"/>
      <w:lvlText w:val="•"/>
      <w:lvlJc w:val="left"/>
      <w:pPr>
        <w:ind w:left="7215" w:hanging="660"/>
      </w:pPr>
      <w:rPr>
        <w:rFonts w:hint="default"/>
      </w:rPr>
    </w:lvl>
  </w:abstractNum>
  <w:abstractNum w:abstractNumId="6">
    <w:multiLevelType w:val="hybridMultilevel"/>
    <w:lvl w:ilvl="0">
      <w:start w:val="1"/>
      <w:numFmt w:val="decimal"/>
      <w:lvlText w:val="%1."/>
      <w:lvlJc w:val="left"/>
      <w:pPr>
        <w:ind w:left="102" w:hanging="257"/>
        <w:jc w:val="left"/>
      </w:pPr>
      <w:rPr>
        <w:rFonts w:hint="default" w:ascii="Times New Roman" w:hAnsi="Times New Roman" w:eastAsia="Times New Roman" w:cs="Times New Roman"/>
        <w:w w:val="100"/>
        <w:sz w:val="24"/>
        <w:szCs w:val="24"/>
      </w:rPr>
    </w:lvl>
    <w:lvl w:ilvl="1">
      <w:start w:val="1"/>
      <w:numFmt w:val="bullet"/>
      <w:lvlText w:val="•"/>
      <w:lvlJc w:val="left"/>
      <w:pPr>
        <w:ind w:left="996" w:hanging="257"/>
      </w:pPr>
      <w:rPr>
        <w:rFonts w:hint="default"/>
      </w:rPr>
    </w:lvl>
    <w:lvl w:ilvl="2">
      <w:start w:val="1"/>
      <w:numFmt w:val="bullet"/>
      <w:lvlText w:val="•"/>
      <w:lvlJc w:val="left"/>
      <w:pPr>
        <w:ind w:left="1892" w:hanging="257"/>
      </w:pPr>
      <w:rPr>
        <w:rFonts w:hint="default"/>
      </w:rPr>
    </w:lvl>
    <w:lvl w:ilvl="3">
      <w:start w:val="1"/>
      <w:numFmt w:val="bullet"/>
      <w:lvlText w:val="•"/>
      <w:lvlJc w:val="left"/>
      <w:pPr>
        <w:ind w:left="2788" w:hanging="257"/>
      </w:pPr>
      <w:rPr>
        <w:rFonts w:hint="default"/>
      </w:rPr>
    </w:lvl>
    <w:lvl w:ilvl="4">
      <w:start w:val="1"/>
      <w:numFmt w:val="bullet"/>
      <w:lvlText w:val="•"/>
      <w:lvlJc w:val="left"/>
      <w:pPr>
        <w:ind w:left="3684" w:hanging="257"/>
      </w:pPr>
      <w:rPr>
        <w:rFonts w:hint="default"/>
      </w:rPr>
    </w:lvl>
    <w:lvl w:ilvl="5">
      <w:start w:val="1"/>
      <w:numFmt w:val="bullet"/>
      <w:lvlText w:val="•"/>
      <w:lvlJc w:val="left"/>
      <w:pPr>
        <w:ind w:left="4580" w:hanging="257"/>
      </w:pPr>
      <w:rPr>
        <w:rFonts w:hint="default"/>
      </w:rPr>
    </w:lvl>
    <w:lvl w:ilvl="6">
      <w:start w:val="1"/>
      <w:numFmt w:val="bullet"/>
      <w:lvlText w:val="•"/>
      <w:lvlJc w:val="left"/>
      <w:pPr>
        <w:ind w:left="5476" w:hanging="257"/>
      </w:pPr>
      <w:rPr>
        <w:rFonts w:hint="default"/>
      </w:rPr>
    </w:lvl>
    <w:lvl w:ilvl="7">
      <w:start w:val="1"/>
      <w:numFmt w:val="bullet"/>
      <w:lvlText w:val="•"/>
      <w:lvlJc w:val="left"/>
      <w:pPr>
        <w:ind w:left="6372" w:hanging="257"/>
      </w:pPr>
      <w:rPr>
        <w:rFonts w:hint="default"/>
      </w:rPr>
    </w:lvl>
    <w:lvl w:ilvl="8">
      <w:start w:val="1"/>
      <w:numFmt w:val="bullet"/>
      <w:lvlText w:val="•"/>
      <w:lvlJc w:val="left"/>
      <w:pPr>
        <w:ind w:left="7268" w:hanging="257"/>
      </w:pPr>
      <w:rPr>
        <w:rFonts w:hint="default"/>
      </w:rPr>
    </w:lvl>
  </w:abstractNum>
  <w:abstractNum w:abstractNumId="5">
    <w:multiLevelType w:val="hybridMultilevel"/>
    <w:lvl w:ilvl="0">
      <w:start w:val="1"/>
      <w:numFmt w:val="decimal"/>
      <w:lvlText w:val="%1"/>
      <w:lvlJc w:val="left"/>
      <w:pPr>
        <w:ind w:left="522" w:hanging="420"/>
        <w:jc w:val="left"/>
      </w:pPr>
      <w:rPr>
        <w:rFonts w:hint="default"/>
      </w:rPr>
    </w:lvl>
    <w:lvl w:ilvl="1">
      <w:start w:val="1"/>
      <w:numFmt w:val="decimal"/>
      <w:lvlText w:val="%1.%2."/>
      <w:lvlJc w:val="left"/>
      <w:pPr>
        <w:ind w:left="522" w:hanging="420"/>
        <w:jc w:val="left"/>
      </w:pPr>
      <w:rPr>
        <w:rFonts w:hint="default" w:ascii="Times New Roman" w:hAnsi="Times New Roman" w:eastAsia="Times New Roman" w:cs="Times New Roman"/>
        <w:b/>
        <w:bCs/>
        <w:w w:val="100"/>
        <w:sz w:val="24"/>
        <w:szCs w:val="24"/>
      </w:rPr>
    </w:lvl>
    <w:lvl w:ilvl="2">
      <w:start w:val="1"/>
      <w:numFmt w:val="bullet"/>
      <w:lvlText w:val="•"/>
      <w:lvlJc w:val="left"/>
      <w:pPr>
        <w:ind w:left="2228" w:hanging="420"/>
      </w:pPr>
      <w:rPr>
        <w:rFonts w:hint="default"/>
      </w:rPr>
    </w:lvl>
    <w:lvl w:ilvl="3">
      <w:start w:val="1"/>
      <w:numFmt w:val="bullet"/>
      <w:lvlText w:val="•"/>
      <w:lvlJc w:val="left"/>
      <w:pPr>
        <w:ind w:left="3082" w:hanging="420"/>
      </w:pPr>
      <w:rPr>
        <w:rFonts w:hint="default"/>
      </w:rPr>
    </w:lvl>
    <w:lvl w:ilvl="4">
      <w:start w:val="1"/>
      <w:numFmt w:val="bullet"/>
      <w:lvlText w:val="•"/>
      <w:lvlJc w:val="left"/>
      <w:pPr>
        <w:ind w:left="3936" w:hanging="420"/>
      </w:pPr>
      <w:rPr>
        <w:rFonts w:hint="default"/>
      </w:rPr>
    </w:lvl>
    <w:lvl w:ilvl="5">
      <w:start w:val="1"/>
      <w:numFmt w:val="bullet"/>
      <w:lvlText w:val="•"/>
      <w:lvlJc w:val="left"/>
      <w:pPr>
        <w:ind w:left="4790" w:hanging="420"/>
      </w:pPr>
      <w:rPr>
        <w:rFonts w:hint="default"/>
      </w:rPr>
    </w:lvl>
    <w:lvl w:ilvl="6">
      <w:start w:val="1"/>
      <w:numFmt w:val="bullet"/>
      <w:lvlText w:val="•"/>
      <w:lvlJc w:val="left"/>
      <w:pPr>
        <w:ind w:left="5644" w:hanging="420"/>
      </w:pPr>
      <w:rPr>
        <w:rFonts w:hint="default"/>
      </w:rPr>
    </w:lvl>
    <w:lvl w:ilvl="7">
      <w:start w:val="1"/>
      <w:numFmt w:val="bullet"/>
      <w:lvlText w:val="•"/>
      <w:lvlJc w:val="left"/>
      <w:pPr>
        <w:ind w:left="6498" w:hanging="420"/>
      </w:pPr>
      <w:rPr>
        <w:rFonts w:hint="default"/>
      </w:rPr>
    </w:lvl>
    <w:lvl w:ilvl="8">
      <w:start w:val="1"/>
      <w:numFmt w:val="bullet"/>
      <w:lvlText w:val="•"/>
      <w:lvlJc w:val="left"/>
      <w:pPr>
        <w:ind w:left="7352" w:hanging="420"/>
      </w:pPr>
      <w:rPr>
        <w:rFonts w:hint="default"/>
      </w:rPr>
    </w:lvl>
  </w:abstractNum>
  <w:abstractNum w:abstractNumId="4">
    <w:multiLevelType w:val="hybridMultilevel"/>
    <w:lvl w:ilvl="0">
      <w:start w:val="5"/>
      <w:numFmt w:val="decimal"/>
      <w:lvlText w:val="%1"/>
      <w:lvlJc w:val="left"/>
      <w:pPr>
        <w:ind w:left="512" w:hanging="411"/>
        <w:jc w:val="left"/>
      </w:pPr>
      <w:rPr>
        <w:rFonts w:hint="default"/>
      </w:rPr>
    </w:lvl>
    <w:lvl w:ilvl="1">
      <w:start w:val="1"/>
      <w:numFmt w:val="decimal"/>
      <w:lvlText w:val="%1.%2."/>
      <w:lvlJc w:val="left"/>
      <w:pPr>
        <w:ind w:left="512" w:hanging="411"/>
        <w:jc w:val="left"/>
      </w:pPr>
      <w:rPr>
        <w:rFonts w:hint="default" w:ascii="Times New Roman" w:hAnsi="Times New Roman" w:eastAsia="Times New Roman" w:cs="Times New Roman"/>
        <w:w w:val="100"/>
        <w:sz w:val="24"/>
        <w:szCs w:val="24"/>
      </w:rPr>
    </w:lvl>
    <w:lvl w:ilvl="2">
      <w:start w:val="1"/>
      <w:numFmt w:val="decimal"/>
      <w:lvlText w:val="%1.%2.%3."/>
      <w:lvlJc w:val="left"/>
      <w:pPr>
        <w:ind w:left="1410" w:hanging="600"/>
        <w:jc w:val="left"/>
      </w:pPr>
      <w:rPr>
        <w:rFonts w:hint="default" w:ascii="Times New Roman" w:hAnsi="Times New Roman" w:eastAsia="Times New Roman" w:cs="Times New Roman"/>
        <w:spacing w:val="-2"/>
        <w:w w:val="99"/>
        <w:sz w:val="24"/>
        <w:szCs w:val="24"/>
      </w:rPr>
    </w:lvl>
    <w:lvl w:ilvl="3">
      <w:start w:val="1"/>
      <w:numFmt w:val="bullet"/>
      <w:lvlText w:val="•"/>
      <w:lvlJc w:val="left"/>
      <w:pPr>
        <w:ind w:left="2375" w:hanging="600"/>
      </w:pPr>
      <w:rPr>
        <w:rFonts w:hint="default"/>
      </w:rPr>
    </w:lvl>
    <w:lvl w:ilvl="4">
      <w:start w:val="1"/>
      <w:numFmt w:val="bullet"/>
      <w:lvlText w:val="•"/>
      <w:lvlJc w:val="left"/>
      <w:pPr>
        <w:ind w:left="3330" w:hanging="600"/>
      </w:pPr>
      <w:rPr>
        <w:rFonts w:hint="default"/>
      </w:rPr>
    </w:lvl>
    <w:lvl w:ilvl="5">
      <w:start w:val="1"/>
      <w:numFmt w:val="bullet"/>
      <w:lvlText w:val="•"/>
      <w:lvlJc w:val="left"/>
      <w:pPr>
        <w:ind w:left="4285" w:hanging="600"/>
      </w:pPr>
      <w:rPr>
        <w:rFonts w:hint="default"/>
      </w:rPr>
    </w:lvl>
    <w:lvl w:ilvl="6">
      <w:start w:val="1"/>
      <w:numFmt w:val="bullet"/>
      <w:lvlText w:val="•"/>
      <w:lvlJc w:val="left"/>
      <w:pPr>
        <w:ind w:left="5240" w:hanging="600"/>
      </w:pPr>
      <w:rPr>
        <w:rFonts w:hint="default"/>
      </w:rPr>
    </w:lvl>
    <w:lvl w:ilvl="7">
      <w:start w:val="1"/>
      <w:numFmt w:val="bullet"/>
      <w:lvlText w:val="•"/>
      <w:lvlJc w:val="left"/>
      <w:pPr>
        <w:ind w:left="6195" w:hanging="600"/>
      </w:pPr>
      <w:rPr>
        <w:rFonts w:hint="default"/>
      </w:rPr>
    </w:lvl>
    <w:lvl w:ilvl="8">
      <w:start w:val="1"/>
      <w:numFmt w:val="bullet"/>
      <w:lvlText w:val="•"/>
      <w:lvlJc w:val="left"/>
      <w:pPr>
        <w:ind w:left="7150" w:hanging="600"/>
      </w:pPr>
      <w:rPr>
        <w:rFonts w:hint="default"/>
      </w:rPr>
    </w:lvl>
  </w:abstractNum>
  <w:abstractNum w:abstractNumId="3">
    <w:multiLevelType w:val="hybridMultilevel"/>
    <w:lvl w:ilvl="0">
      <w:start w:val="4"/>
      <w:numFmt w:val="decimal"/>
      <w:lvlText w:val="%1"/>
      <w:lvlJc w:val="left"/>
      <w:pPr>
        <w:ind w:left="517" w:hanging="416"/>
        <w:jc w:val="left"/>
      </w:pPr>
      <w:rPr>
        <w:rFonts w:hint="default"/>
      </w:rPr>
    </w:lvl>
    <w:lvl w:ilvl="1">
      <w:start w:val="1"/>
      <w:numFmt w:val="decimal"/>
      <w:lvlText w:val="%1.%2."/>
      <w:lvlJc w:val="left"/>
      <w:pPr>
        <w:ind w:left="102" w:hanging="416"/>
        <w:jc w:val="left"/>
      </w:pPr>
      <w:rPr>
        <w:rFonts w:hint="default" w:ascii="Times New Roman" w:hAnsi="Times New Roman" w:eastAsia="Times New Roman" w:cs="Times New Roman"/>
        <w:spacing w:val="-1"/>
        <w:w w:val="100"/>
        <w:sz w:val="24"/>
        <w:szCs w:val="24"/>
      </w:rPr>
    </w:lvl>
    <w:lvl w:ilvl="2">
      <w:start w:val="1"/>
      <w:numFmt w:val="decimal"/>
      <w:lvlText w:val="%1.%2.%3."/>
      <w:lvlJc w:val="left"/>
      <w:pPr>
        <w:ind w:left="102" w:hanging="603"/>
        <w:jc w:val="left"/>
      </w:pPr>
      <w:rPr>
        <w:rFonts w:hint="default" w:ascii="Times New Roman" w:hAnsi="Times New Roman" w:eastAsia="Times New Roman" w:cs="Times New Roman"/>
        <w:w w:val="100"/>
        <w:sz w:val="24"/>
        <w:szCs w:val="24"/>
      </w:rPr>
    </w:lvl>
    <w:lvl w:ilvl="3">
      <w:start w:val="1"/>
      <w:numFmt w:val="bullet"/>
      <w:lvlText w:val="•"/>
      <w:lvlJc w:val="left"/>
      <w:pPr>
        <w:ind w:left="2417" w:hanging="603"/>
      </w:pPr>
      <w:rPr>
        <w:rFonts w:hint="default"/>
      </w:rPr>
    </w:lvl>
    <w:lvl w:ilvl="4">
      <w:start w:val="1"/>
      <w:numFmt w:val="bullet"/>
      <w:lvlText w:val="•"/>
      <w:lvlJc w:val="left"/>
      <w:pPr>
        <w:ind w:left="3366" w:hanging="603"/>
      </w:pPr>
      <w:rPr>
        <w:rFonts w:hint="default"/>
      </w:rPr>
    </w:lvl>
    <w:lvl w:ilvl="5">
      <w:start w:val="1"/>
      <w:numFmt w:val="bullet"/>
      <w:lvlText w:val="•"/>
      <w:lvlJc w:val="left"/>
      <w:pPr>
        <w:ind w:left="4315" w:hanging="603"/>
      </w:pPr>
      <w:rPr>
        <w:rFonts w:hint="default"/>
      </w:rPr>
    </w:lvl>
    <w:lvl w:ilvl="6">
      <w:start w:val="1"/>
      <w:numFmt w:val="bullet"/>
      <w:lvlText w:val="•"/>
      <w:lvlJc w:val="left"/>
      <w:pPr>
        <w:ind w:left="5264" w:hanging="603"/>
      </w:pPr>
      <w:rPr>
        <w:rFonts w:hint="default"/>
      </w:rPr>
    </w:lvl>
    <w:lvl w:ilvl="7">
      <w:start w:val="1"/>
      <w:numFmt w:val="bullet"/>
      <w:lvlText w:val="•"/>
      <w:lvlJc w:val="left"/>
      <w:pPr>
        <w:ind w:left="6213" w:hanging="603"/>
      </w:pPr>
      <w:rPr>
        <w:rFonts w:hint="default"/>
      </w:rPr>
    </w:lvl>
    <w:lvl w:ilvl="8">
      <w:start w:val="1"/>
      <w:numFmt w:val="bullet"/>
      <w:lvlText w:val="•"/>
      <w:lvlJc w:val="left"/>
      <w:pPr>
        <w:ind w:left="7162" w:hanging="603"/>
      </w:pPr>
      <w:rPr>
        <w:rFonts w:hint="default"/>
      </w:rPr>
    </w:lvl>
  </w:abstractNum>
  <w:abstractNum w:abstractNumId="2">
    <w:multiLevelType w:val="hybridMultilevel"/>
    <w:lvl w:ilvl="0">
      <w:start w:val="3"/>
      <w:numFmt w:val="decimal"/>
      <w:lvlText w:val="%1"/>
      <w:lvlJc w:val="left"/>
      <w:pPr>
        <w:ind w:left="510" w:hanging="408"/>
        <w:jc w:val="left"/>
      </w:pPr>
      <w:rPr>
        <w:rFonts w:hint="default"/>
      </w:rPr>
    </w:lvl>
    <w:lvl w:ilvl="1">
      <w:start w:val="1"/>
      <w:numFmt w:val="decimal"/>
      <w:lvlText w:val="%1.%2."/>
      <w:lvlJc w:val="left"/>
      <w:pPr>
        <w:ind w:left="510" w:hanging="408"/>
        <w:jc w:val="left"/>
      </w:pPr>
      <w:rPr>
        <w:rFonts w:hint="default" w:ascii="Times New Roman" w:hAnsi="Times New Roman" w:eastAsia="Times New Roman" w:cs="Times New Roman"/>
        <w:spacing w:val="-1"/>
        <w:w w:val="100"/>
        <w:sz w:val="24"/>
        <w:szCs w:val="24"/>
      </w:rPr>
    </w:lvl>
    <w:lvl w:ilvl="2">
      <w:start w:val="1"/>
      <w:numFmt w:val="decimal"/>
      <w:lvlText w:val="%1.%2.%3."/>
      <w:lvlJc w:val="left"/>
      <w:pPr>
        <w:ind w:left="1400" w:hanging="591"/>
        <w:jc w:val="left"/>
      </w:pPr>
      <w:rPr>
        <w:rFonts w:hint="default" w:ascii="Times New Roman" w:hAnsi="Times New Roman" w:eastAsia="Times New Roman" w:cs="Times New Roman"/>
        <w:w w:val="100"/>
        <w:sz w:val="24"/>
        <w:szCs w:val="24"/>
      </w:rPr>
    </w:lvl>
    <w:lvl w:ilvl="3">
      <w:start w:val="1"/>
      <w:numFmt w:val="bullet"/>
      <w:lvlText w:val="•"/>
      <w:lvlJc w:val="left"/>
      <w:pPr>
        <w:ind w:left="2357" w:hanging="591"/>
      </w:pPr>
      <w:rPr>
        <w:rFonts w:hint="default"/>
      </w:rPr>
    </w:lvl>
    <w:lvl w:ilvl="4">
      <w:start w:val="1"/>
      <w:numFmt w:val="bullet"/>
      <w:lvlText w:val="•"/>
      <w:lvlJc w:val="left"/>
      <w:pPr>
        <w:ind w:left="3315" w:hanging="591"/>
      </w:pPr>
      <w:rPr>
        <w:rFonts w:hint="default"/>
      </w:rPr>
    </w:lvl>
    <w:lvl w:ilvl="5">
      <w:start w:val="1"/>
      <w:numFmt w:val="bullet"/>
      <w:lvlText w:val="•"/>
      <w:lvlJc w:val="left"/>
      <w:pPr>
        <w:ind w:left="4272" w:hanging="591"/>
      </w:pPr>
      <w:rPr>
        <w:rFonts w:hint="default"/>
      </w:rPr>
    </w:lvl>
    <w:lvl w:ilvl="6">
      <w:start w:val="1"/>
      <w:numFmt w:val="bullet"/>
      <w:lvlText w:val="•"/>
      <w:lvlJc w:val="left"/>
      <w:pPr>
        <w:ind w:left="5230" w:hanging="591"/>
      </w:pPr>
      <w:rPr>
        <w:rFonts w:hint="default"/>
      </w:rPr>
    </w:lvl>
    <w:lvl w:ilvl="7">
      <w:start w:val="1"/>
      <w:numFmt w:val="bullet"/>
      <w:lvlText w:val="•"/>
      <w:lvlJc w:val="left"/>
      <w:pPr>
        <w:ind w:left="6187" w:hanging="591"/>
      </w:pPr>
      <w:rPr>
        <w:rFonts w:hint="default"/>
      </w:rPr>
    </w:lvl>
    <w:lvl w:ilvl="8">
      <w:start w:val="1"/>
      <w:numFmt w:val="bullet"/>
      <w:lvlText w:val="•"/>
      <w:lvlJc w:val="left"/>
      <w:pPr>
        <w:ind w:left="7145" w:hanging="591"/>
      </w:pPr>
      <w:rPr>
        <w:rFonts w:hint="default"/>
      </w:rPr>
    </w:lvl>
  </w:abstractNum>
  <w:abstractNum w:abstractNumId="1">
    <w:multiLevelType w:val="hybridMultilevel"/>
    <w:lvl w:ilvl="0">
      <w:start w:val="2"/>
      <w:numFmt w:val="decimal"/>
      <w:lvlText w:val="%1"/>
      <w:lvlJc w:val="left"/>
      <w:pPr>
        <w:ind w:left="514" w:hanging="413"/>
        <w:jc w:val="left"/>
      </w:pPr>
      <w:rPr>
        <w:rFonts w:hint="default"/>
      </w:rPr>
    </w:lvl>
    <w:lvl w:ilvl="1">
      <w:start w:val="1"/>
      <w:numFmt w:val="decimal"/>
      <w:lvlText w:val="%1.%2."/>
      <w:lvlJc w:val="left"/>
      <w:pPr>
        <w:ind w:left="514" w:hanging="413"/>
        <w:jc w:val="left"/>
      </w:pPr>
      <w:rPr>
        <w:rFonts w:hint="default" w:ascii="Times New Roman" w:hAnsi="Times New Roman" w:eastAsia="Times New Roman" w:cs="Times New Roman"/>
        <w:w w:val="100"/>
        <w:sz w:val="24"/>
        <w:szCs w:val="24"/>
      </w:rPr>
    </w:lvl>
    <w:lvl w:ilvl="2">
      <w:start w:val="1"/>
      <w:numFmt w:val="decimal"/>
      <w:lvlText w:val="%1.%2.%3."/>
      <w:lvlJc w:val="left"/>
      <w:pPr>
        <w:ind w:left="1400" w:hanging="591"/>
        <w:jc w:val="left"/>
      </w:pPr>
      <w:rPr>
        <w:rFonts w:hint="default" w:ascii="Times New Roman" w:hAnsi="Times New Roman" w:eastAsia="Times New Roman" w:cs="Times New Roman"/>
        <w:w w:val="100"/>
        <w:sz w:val="24"/>
        <w:szCs w:val="24"/>
      </w:rPr>
    </w:lvl>
    <w:lvl w:ilvl="3">
      <w:start w:val="1"/>
      <w:numFmt w:val="bullet"/>
      <w:lvlText w:val="•"/>
      <w:lvlJc w:val="left"/>
      <w:pPr>
        <w:ind w:left="3102" w:hanging="591"/>
      </w:pPr>
      <w:rPr>
        <w:rFonts w:hint="default"/>
      </w:rPr>
    </w:lvl>
    <w:lvl w:ilvl="4">
      <w:start w:val="1"/>
      <w:numFmt w:val="bullet"/>
      <w:lvlText w:val="•"/>
      <w:lvlJc w:val="left"/>
      <w:pPr>
        <w:ind w:left="3953" w:hanging="591"/>
      </w:pPr>
      <w:rPr>
        <w:rFonts w:hint="default"/>
      </w:rPr>
    </w:lvl>
    <w:lvl w:ilvl="5">
      <w:start w:val="1"/>
      <w:numFmt w:val="bullet"/>
      <w:lvlText w:val="•"/>
      <w:lvlJc w:val="left"/>
      <w:pPr>
        <w:ind w:left="4804" w:hanging="591"/>
      </w:pPr>
      <w:rPr>
        <w:rFonts w:hint="default"/>
      </w:rPr>
    </w:lvl>
    <w:lvl w:ilvl="6">
      <w:start w:val="1"/>
      <w:numFmt w:val="bullet"/>
      <w:lvlText w:val="•"/>
      <w:lvlJc w:val="left"/>
      <w:pPr>
        <w:ind w:left="5655" w:hanging="591"/>
      </w:pPr>
      <w:rPr>
        <w:rFonts w:hint="default"/>
      </w:rPr>
    </w:lvl>
    <w:lvl w:ilvl="7">
      <w:start w:val="1"/>
      <w:numFmt w:val="bullet"/>
      <w:lvlText w:val="•"/>
      <w:lvlJc w:val="left"/>
      <w:pPr>
        <w:ind w:left="6506" w:hanging="591"/>
      </w:pPr>
      <w:rPr>
        <w:rFonts w:hint="default"/>
      </w:rPr>
    </w:lvl>
    <w:lvl w:ilvl="8">
      <w:start w:val="1"/>
      <w:numFmt w:val="bullet"/>
      <w:lvlText w:val="•"/>
      <w:lvlJc w:val="left"/>
      <w:pPr>
        <w:ind w:left="7357" w:hanging="591"/>
      </w:pPr>
      <w:rPr>
        <w:rFonts w:hint="default"/>
      </w:rPr>
    </w:lvl>
  </w:abstractNum>
  <w:abstractNum w:abstractNumId="0">
    <w:multiLevelType w:val="hybridMultilevel"/>
    <w:lvl w:ilvl="0">
      <w:start w:val="1"/>
      <w:numFmt w:val="decimal"/>
      <w:lvlText w:val="%1"/>
      <w:lvlJc w:val="left"/>
      <w:pPr>
        <w:ind w:left="522" w:hanging="420"/>
        <w:jc w:val="left"/>
      </w:pPr>
      <w:rPr>
        <w:rFonts w:hint="default"/>
      </w:rPr>
    </w:lvl>
    <w:lvl w:ilvl="1">
      <w:start w:val="1"/>
      <w:numFmt w:val="decimal"/>
      <w:lvlText w:val="%1.%2."/>
      <w:lvlJc w:val="left"/>
      <w:pPr>
        <w:ind w:left="522" w:hanging="420"/>
        <w:jc w:val="left"/>
      </w:pPr>
      <w:rPr>
        <w:rFonts w:hint="default" w:ascii="Times New Roman" w:hAnsi="Times New Roman" w:eastAsia="Times New Roman" w:cs="Times New Roman"/>
        <w:w w:val="100"/>
        <w:sz w:val="24"/>
        <w:szCs w:val="24"/>
      </w:rPr>
    </w:lvl>
    <w:lvl w:ilvl="2">
      <w:start w:val="1"/>
      <w:numFmt w:val="bullet"/>
      <w:lvlText w:val="•"/>
      <w:lvlJc w:val="left"/>
      <w:pPr>
        <w:ind w:left="2228" w:hanging="420"/>
      </w:pPr>
      <w:rPr>
        <w:rFonts w:hint="default"/>
      </w:rPr>
    </w:lvl>
    <w:lvl w:ilvl="3">
      <w:start w:val="1"/>
      <w:numFmt w:val="bullet"/>
      <w:lvlText w:val="•"/>
      <w:lvlJc w:val="left"/>
      <w:pPr>
        <w:ind w:left="3082" w:hanging="420"/>
      </w:pPr>
      <w:rPr>
        <w:rFonts w:hint="default"/>
      </w:rPr>
    </w:lvl>
    <w:lvl w:ilvl="4">
      <w:start w:val="1"/>
      <w:numFmt w:val="bullet"/>
      <w:lvlText w:val="•"/>
      <w:lvlJc w:val="left"/>
      <w:pPr>
        <w:ind w:left="3936" w:hanging="420"/>
      </w:pPr>
      <w:rPr>
        <w:rFonts w:hint="default"/>
      </w:rPr>
    </w:lvl>
    <w:lvl w:ilvl="5">
      <w:start w:val="1"/>
      <w:numFmt w:val="bullet"/>
      <w:lvlText w:val="•"/>
      <w:lvlJc w:val="left"/>
      <w:pPr>
        <w:ind w:left="4790" w:hanging="420"/>
      </w:pPr>
      <w:rPr>
        <w:rFonts w:hint="default"/>
      </w:rPr>
    </w:lvl>
    <w:lvl w:ilvl="6">
      <w:start w:val="1"/>
      <w:numFmt w:val="bullet"/>
      <w:lvlText w:val="•"/>
      <w:lvlJc w:val="left"/>
      <w:pPr>
        <w:ind w:left="5644" w:hanging="420"/>
      </w:pPr>
      <w:rPr>
        <w:rFonts w:hint="default"/>
      </w:rPr>
    </w:lvl>
    <w:lvl w:ilvl="7">
      <w:start w:val="1"/>
      <w:numFmt w:val="bullet"/>
      <w:lvlText w:val="•"/>
      <w:lvlJc w:val="left"/>
      <w:pPr>
        <w:ind w:left="6498" w:hanging="420"/>
      </w:pPr>
      <w:rPr>
        <w:rFonts w:hint="default"/>
      </w:rPr>
    </w:lvl>
    <w:lvl w:ilvl="8">
      <w:start w:val="1"/>
      <w:numFmt w:val="bullet"/>
      <w:lvlText w:val="•"/>
      <w:lvlJc w:val="left"/>
      <w:pPr>
        <w:ind w:left="7352" w:hanging="420"/>
      </w:pPr>
      <w:rPr>
        <w:rFonts w:hint="default"/>
      </w:rPr>
    </w:lvl>
  </w:abstract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381"/>
      <w:ind w:left="102" w:right="117"/>
    </w:pPr>
    <w:rPr>
      <w:rFonts w:ascii="Times New Roman" w:hAnsi="Times New Roman" w:eastAsia="Times New Roman" w:cs="Times New Roman"/>
      <w:b/>
      <w:bCs/>
      <w:sz w:val="24"/>
      <w:szCs w:val="24"/>
    </w:rPr>
  </w:style>
  <w:style w:styleId="TOC2" w:type="paragraph">
    <w:name w:val="TOC 2"/>
    <w:basedOn w:val="Normal"/>
    <w:uiPriority w:val="1"/>
    <w:qFormat/>
    <w:pPr>
      <w:spacing w:before="139"/>
      <w:ind w:left="510" w:hanging="412"/>
    </w:pPr>
    <w:rPr>
      <w:rFonts w:ascii="Times New Roman" w:hAnsi="Times New Roman" w:eastAsia="Times New Roman" w:cs="Times New Roman"/>
      <w:sz w:val="24"/>
      <w:szCs w:val="24"/>
    </w:rPr>
  </w:style>
  <w:style w:styleId="TOC3" w:type="paragraph">
    <w:name w:val="TOC 3"/>
    <w:basedOn w:val="Normal"/>
    <w:uiPriority w:val="1"/>
    <w:qFormat/>
    <w:pPr>
      <w:spacing w:before="137"/>
      <w:ind w:left="102"/>
    </w:pPr>
    <w:rPr>
      <w:rFonts w:ascii="Times New Roman" w:hAnsi="Times New Roman" w:eastAsia="Times New Roman" w:cs="Times New Roman"/>
      <w:b/>
      <w:bCs/>
      <w:i/>
    </w:rPr>
  </w:style>
  <w:style w:styleId="TOC4" w:type="paragraph">
    <w:name w:val="TOC 4"/>
    <w:basedOn w:val="Normal"/>
    <w:uiPriority w:val="1"/>
    <w:qFormat/>
    <w:pPr>
      <w:spacing w:before="139"/>
      <w:ind w:left="102" w:right="119" w:firstLine="660"/>
    </w:pPr>
    <w:rPr>
      <w:rFonts w:ascii="Times New Roman" w:hAnsi="Times New Roman" w:eastAsia="Times New Roman" w:cs="Times New Roman"/>
      <w:sz w:val="24"/>
      <w:szCs w:val="24"/>
    </w:rPr>
  </w:style>
  <w:style w:styleId="TOC5" w:type="paragraph">
    <w:name w:val="TOC 5"/>
    <w:basedOn w:val="Normal"/>
    <w:uiPriority w:val="1"/>
    <w:qFormat/>
    <w:pPr>
      <w:spacing w:before="139"/>
      <w:ind w:left="102" w:firstLine="708"/>
    </w:pPr>
    <w:rPr>
      <w:rFonts w:ascii="Times New Roman" w:hAnsi="Times New Roman" w:eastAsia="Times New Roman" w:cs="Times New Roman"/>
      <w:sz w:val="24"/>
      <w:szCs w:val="24"/>
    </w:rPr>
  </w:style>
  <w:style w:styleId="TOC6" w:type="paragraph">
    <w:name w:val="TOC 6"/>
    <w:basedOn w:val="Normal"/>
    <w:uiPriority w:val="1"/>
    <w:qFormat/>
    <w:pPr>
      <w:spacing w:before="69"/>
      <w:ind w:left="102" w:right="119" w:firstLine="4097"/>
    </w:pPr>
    <w:rPr>
      <w:rFonts w:ascii="Times New Roman" w:hAnsi="Times New Roman" w:eastAsia="Times New Roman" w:cs="Times New Roman"/>
      <w:b/>
      <w:bCs/>
      <w:sz w:val="24"/>
      <w:szCs w:val="24"/>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383"/>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102"/>
      <w:jc w:val="both"/>
    </w:pPr>
    <w:rPr>
      <w:rFonts w:ascii="Times New Roman" w:hAnsi="Times New Roman" w:eastAsia="Times New Roman" w:cs="Times New Roman"/>
    </w:rPr>
  </w:style>
  <w:style w:styleId="TableParagraph" w:type="paragraph">
    <w:name w:val="Table Paragraph"/>
    <w:basedOn w:val="Normal"/>
    <w:uiPriority w:val="1"/>
    <w:qFormat/>
    <w:pPr>
      <w:jc w:val="center"/>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image" Target="media/image3.png"/><Relationship Id="rId10" Type="http://schemas.openxmlformats.org/officeDocument/2006/relationships/image" Target="media/image4.png"/><Relationship Id="rId11" Type="http://schemas.openxmlformats.org/officeDocument/2006/relationships/image" Target="media/image5.png"/><Relationship Id="rId12" Type="http://schemas.openxmlformats.org/officeDocument/2006/relationships/image" Target="media/image6.png"/><Relationship Id="rId13" Type="http://schemas.openxmlformats.org/officeDocument/2006/relationships/footer" Target="footer3.xml"/><Relationship Id="rId14" Type="http://schemas.openxmlformats.org/officeDocument/2006/relationships/image" Target="media/image7.jpeg"/><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image" Target="media/image10.png"/><Relationship Id="rId18" Type="http://schemas.openxmlformats.org/officeDocument/2006/relationships/image" Target="media/image11.png"/><Relationship Id="rId19" Type="http://schemas.openxmlformats.org/officeDocument/2006/relationships/image" Target="media/image12.png"/><Relationship Id="rId20" Type="http://schemas.openxmlformats.org/officeDocument/2006/relationships/image" Target="media/image13.png"/><Relationship Id="rId21" Type="http://schemas.openxmlformats.org/officeDocument/2006/relationships/image" Target="media/image14.png"/><Relationship Id="rId22" Type="http://schemas.openxmlformats.org/officeDocument/2006/relationships/image" Target="media/image15.png"/><Relationship Id="rId23" Type="http://schemas.openxmlformats.org/officeDocument/2006/relationships/image" Target="media/image16.png"/><Relationship Id="rId24" Type="http://schemas.openxmlformats.org/officeDocument/2006/relationships/image" Target="media/image17.png"/><Relationship Id="rId25" Type="http://schemas.openxmlformats.org/officeDocument/2006/relationships/image" Target="media/image18.png"/><Relationship Id="rId26" Type="http://schemas.openxmlformats.org/officeDocument/2006/relationships/image" Target="media/image19.png"/><Relationship Id="rId27" Type="http://schemas.openxmlformats.org/officeDocument/2006/relationships/image" Target="media/image20.png"/><Relationship Id="rId28" Type="http://schemas.openxmlformats.org/officeDocument/2006/relationships/image" Target="media/image21.png"/><Relationship Id="rId29" Type="http://schemas.openxmlformats.org/officeDocument/2006/relationships/image" Target="media/image22.png"/><Relationship Id="rId30" Type="http://schemas.openxmlformats.org/officeDocument/2006/relationships/image" Target="media/image23.png"/><Relationship Id="rId31" Type="http://schemas.openxmlformats.org/officeDocument/2006/relationships/image" Target="media/image24.png"/><Relationship Id="rId32" Type="http://schemas.openxmlformats.org/officeDocument/2006/relationships/footer" Target="footer4.xml"/><Relationship Id="rId33" Type="http://schemas.openxmlformats.org/officeDocument/2006/relationships/footer" Target="footer5.xml"/><Relationship Id="rId34" Type="http://schemas.openxmlformats.org/officeDocument/2006/relationships/image" Target="media/image25.png"/><Relationship Id="rId35" Type="http://schemas.openxmlformats.org/officeDocument/2006/relationships/image" Target="media/image26.png"/><Relationship Id="rId36" Type="http://schemas.openxmlformats.org/officeDocument/2006/relationships/image" Target="media/image27.png"/><Relationship Id="rId37" Type="http://schemas.openxmlformats.org/officeDocument/2006/relationships/image" Target="media/image28.png"/><Relationship Id="rId38" Type="http://schemas.openxmlformats.org/officeDocument/2006/relationships/image" Target="media/image29.png"/><Relationship Id="rId39" Type="http://schemas.openxmlformats.org/officeDocument/2006/relationships/image" Target="media/image30.png"/><Relationship Id="rId40" Type="http://schemas.openxmlformats.org/officeDocument/2006/relationships/image" Target="media/image31.png"/><Relationship Id="rId41" Type="http://schemas.openxmlformats.org/officeDocument/2006/relationships/image" Target="media/image32.png"/><Relationship Id="rId42" Type="http://schemas.openxmlformats.org/officeDocument/2006/relationships/image" Target="media/image33.png"/><Relationship Id="rId43" Type="http://schemas.openxmlformats.org/officeDocument/2006/relationships/image" Target="media/image34.jpeg"/><Relationship Id="rId44" Type="http://schemas.openxmlformats.org/officeDocument/2006/relationships/image" Target="media/image35.jpeg"/><Relationship Id="rId45" Type="http://schemas.openxmlformats.org/officeDocument/2006/relationships/image" Target="media/image36.png"/><Relationship Id="rId46" Type="http://schemas.openxmlformats.org/officeDocument/2006/relationships/image" Target="media/image37.png"/><Relationship Id="rId47" Type="http://schemas.openxmlformats.org/officeDocument/2006/relationships/image" Target="media/image38.png"/><Relationship Id="rId48" Type="http://schemas.openxmlformats.org/officeDocument/2006/relationships/image" Target="media/image39.png"/><Relationship Id="rId49" Type="http://schemas.openxmlformats.org/officeDocument/2006/relationships/image" Target="media/image40.png"/><Relationship Id="rId50" Type="http://schemas.openxmlformats.org/officeDocument/2006/relationships/image" Target="media/image41.png"/><Relationship Id="rId51" Type="http://schemas.openxmlformats.org/officeDocument/2006/relationships/image" Target="media/image42.png"/><Relationship Id="rId52" Type="http://schemas.openxmlformats.org/officeDocument/2006/relationships/image" Target="media/image43.png"/><Relationship Id="rId53" Type="http://schemas.openxmlformats.org/officeDocument/2006/relationships/image" Target="media/image44.png"/><Relationship Id="rId54" Type="http://schemas.openxmlformats.org/officeDocument/2006/relationships/image" Target="media/image45.png"/><Relationship Id="rId55" Type="http://schemas.openxmlformats.org/officeDocument/2006/relationships/footer" Target="footer6.xml"/><Relationship Id="rId56" Type="http://schemas.openxmlformats.org/officeDocument/2006/relationships/image" Target="media/image46.png"/><Relationship Id="rId57" Type="http://schemas.openxmlformats.org/officeDocument/2006/relationships/image" Target="media/image47.png"/><Relationship Id="rId58" Type="http://schemas.openxmlformats.org/officeDocument/2006/relationships/footer" Target="footer7.xml"/><Relationship Id="rId59" Type="http://schemas.openxmlformats.org/officeDocument/2006/relationships/image" Target="media/image48.png"/><Relationship Id="rId60" Type="http://schemas.openxmlformats.org/officeDocument/2006/relationships/image" Target="media/image49.png"/><Relationship Id="rId61" Type="http://schemas.openxmlformats.org/officeDocument/2006/relationships/image" Target="media/image50.png"/><Relationship Id="rId62" Type="http://schemas.openxmlformats.org/officeDocument/2006/relationships/footer" Target="footer8.xml"/><Relationship Id="rId63" Type="http://schemas.openxmlformats.org/officeDocument/2006/relationships/footer" Target="footer9.xml"/><Relationship Id="rId64" Type="http://schemas.openxmlformats.org/officeDocument/2006/relationships/image" Target="media/image51.png"/><Relationship Id="rId65" Type="http://schemas.openxmlformats.org/officeDocument/2006/relationships/image" Target="media/image52.png"/><Relationship Id="rId66" Type="http://schemas.openxmlformats.org/officeDocument/2006/relationships/footer" Target="footer10.xml"/><Relationship Id="rId67" Type="http://schemas.openxmlformats.org/officeDocument/2006/relationships/image" Target="media/image53.png"/><Relationship Id="rId68" Type="http://schemas.openxmlformats.org/officeDocument/2006/relationships/footer" Target="footer11.xml"/><Relationship Id="rId69" Type="http://schemas.openxmlformats.org/officeDocument/2006/relationships/image" Target="media/image54.png"/><Relationship Id="rId70" Type="http://schemas.openxmlformats.org/officeDocument/2006/relationships/footer" Target="footer12.xml"/><Relationship Id="rId71" Type="http://schemas.openxmlformats.org/officeDocument/2006/relationships/footer" Target="footer13.xml"/><Relationship Id="rId72" Type="http://schemas.openxmlformats.org/officeDocument/2006/relationships/image" Target="media/image55.png"/><Relationship Id="rId73" Type="http://schemas.openxmlformats.org/officeDocument/2006/relationships/image" Target="media/image56.png"/><Relationship Id="rId74" Type="http://schemas.openxmlformats.org/officeDocument/2006/relationships/image" Target="media/image57.png"/><Relationship Id="rId75" Type="http://schemas.openxmlformats.org/officeDocument/2006/relationships/image" Target="media/image58.png"/><Relationship Id="rId76" Type="http://schemas.openxmlformats.org/officeDocument/2006/relationships/image" Target="media/image59.png"/><Relationship Id="rId77" Type="http://schemas.openxmlformats.org/officeDocument/2006/relationships/image" Target="media/image60.png"/><Relationship Id="rId78" Type="http://schemas.openxmlformats.org/officeDocument/2006/relationships/footer" Target="footer14.xml"/><Relationship Id="rId79" Type="http://schemas.openxmlformats.org/officeDocument/2006/relationships/hyperlink" Target="http://www.amia.com.mx/" TargetMode="External"/><Relationship Id="rId80" Type="http://schemas.openxmlformats.org/officeDocument/2006/relationships/hyperlink" Target="http://www.eumed.net/libros/2010d/761/" TargetMode="External"/><Relationship Id="rId81" Type="http://schemas.openxmlformats.org/officeDocument/2006/relationships/hyperlink" Target="http://eleconomista.com.mx/estados/2013/05/07/industria-automotriz-60-proveedores-tier%20-1" TargetMode="External"/><Relationship Id="rId82" Type="http://schemas.openxmlformats.org/officeDocument/2006/relationships/hyperlink" Target="http://www.eumed.net/cursecon/economistas/index.htm" TargetMode="External"/><Relationship Id="rId83" Type="http://schemas.openxmlformats.org/officeDocument/2006/relationships/hyperlink" Target="http://www.cnnexpansi&#243;n.com/manufactura/art%C3%ADculos-de-" TargetMode="External"/><Relationship Id="rId84" Type="http://schemas.openxmlformats.org/officeDocument/2006/relationships/hyperlink" Target="http://www.cepal.org/publicaciones" TargetMode="External"/><Relationship Id="rId85" Type="http://schemas.openxmlformats.org/officeDocument/2006/relationships/hyperlink" Target="http://eleconomista.com.mx/estados/2015/05/14/summa-woodbridge-invertira-25-mdd-nueva-planta%20(14" TargetMode="External"/><Relationship Id="rId86" Type="http://schemas.openxmlformats.org/officeDocument/2006/relationships/hyperlink" Target="http://eleconomista.com.mx/estados/2014/03/04/proveeduria-sector-automotriz-" TargetMode="External"/><Relationship Id="rId87" Type="http://schemas.openxmlformats.org/officeDocument/2006/relationships/hyperlink" Target="http://eleconomista.com.mx/estados/2013/05/07/industria-automotriz-60-proveedores-tier-1(07" TargetMode="External"/><Relationship Id="rId88" Type="http://schemas.openxmlformats.org/officeDocument/2006/relationships/hyperlink" Target="http://www.elfinanciero.com.mx/empresas/ford-invierte-500-mdd-en-guanajuato-y-chihuahua.html%20(17" TargetMode="External"/><Relationship Id="rId89" Type="http://schemas.openxmlformats.org/officeDocument/2006/relationships/hyperlink" Target="http://www.elfinanciero.com.mx/empresas/honda-y-mazda-cambian-bases-de-economia-de-guanajuato.html" TargetMode="External"/><Relationship Id="rId90" Type="http://schemas.openxmlformats.org/officeDocument/2006/relationships/hyperlink" Target="http://www.inegi.org.mx/est/contenidos/espanol/proyectos/censos/ce2009/default" TargetMode="External"/><Relationship Id="rId91" Type="http://schemas.openxmlformats.org/officeDocument/2006/relationships/hyperlink" Target="http://www.inegi.org.mx/est/contenidos/espanol/proyectos/censos/ce2009/pdf/RD09-resumen.pdf%3e%20(30" TargetMode="External"/><Relationship Id="rId92" Type="http://schemas.openxmlformats.org/officeDocument/2006/relationships/hyperlink" Target="http://www.inegi.org.mx/sistemas/bie/" TargetMode="External"/><Relationship Id="rId93" Type="http://schemas.openxmlformats.org/officeDocument/2006/relationships/hyperlink" Target="http://www.oica.net/category/production-statistics/" TargetMode="External"/><Relationship Id="rId94" Type="http://schemas.openxmlformats.org/officeDocument/2006/relationships/hyperlink" Target="http://www.eumed.net/tesis/jjrv/" TargetMode="External"/><Relationship Id="rId95" Type="http://schemas.openxmlformats.org/officeDocument/2006/relationships/hyperlink" Target="http://www.mathworks.com/company/pressroom/press_covrg_pdfs/1.5.06_edn.pdf" TargetMode="External"/><Relationship Id="rId96" Type="http://schemas.openxmlformats.org/officeDocument/2006/relationships/hyperlink" Target="http://www.economia.gob.mx/comunidad-negocios/competitividad-" TargetMode="External"/><Relationship Id="rId97" Type="http://schemas.openxmlformats.org/officeDocument/2006/relationships/footer" Target="footer15.xml"/><Relationship Id="rId9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FCB ----</dc:creator>
  <dcterms:created xsi:type="dcterms:W3CDTF">2017-05-24T21:14:58Z</dcterms:created>
  <dcterms:modified xsi:type="dcterms:W3CDTF">2017-05-24T21:14:58Z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2015-08-28T00:00:00Z</vt:filetime>
  </property>
  <property fmtid="{D5CDD505-2E9C-101B-9397-08002B2CF9AE}" pid="3" name="Creator">
    <vt:lpwstr>Microsoft® Word 2013</vt:lpwstr>
  </property>
  <property fmtid="{D5CDD505-2E9C-101B-9397-08002B2CF9AE}" pid="4" name="LastSaved">
    <vt:filetime>2017-05-24T00:00:00Z</vt:filetime>
  </property>
</Properties>
</file>