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5B51" w:rsidRDefault="00715B51" w:rsidP="005F398B">
      <w:pPr>
        <w:spacing w:line="240" w:lineRule="auto"/>
        <w:jc w:val="both"/>
        <w:rPr>
          <w:rFonts w:ascii="Arial" w:hAnsi="Arial" w:cs="Arial"/>
          <w:b/>
          <w:noProof/>
          <w:color w:val="548DD4" w:themeColor="text2" w:themeTint="99"/>
          <w:sz w:val="28"/>
          <w:szCs w:val="28"/>
        </w:rPr>
      </w:pPr>
      <w:bookmarkStart w:id="0" w:name="_GoBack"/>
      <w:r w:rsidRPr="00715B51">
        <w:rPr>
          <w:rFonts w:ascii="Arial" w:hAnsi="Arial" w:cs="Arial"/>
          <w:b/>
          <w:noProof/>
          <w:color w:val="548DD4" w:themeColor="text2" w:themeTint="99"/>
          <w:sz w:val="28"/>
          <w:szCs w:val="28"/>
        </w:rPr>
        <w:drawing>
          <wp:inline distT="0" distB="0" distL="0" distR="0">
            <wp:extent cx="7052310" cy="9696926"/>
            <wp:effectExtent l="0" t="0" r="0" b="0"/>
            <wp:docPr id="4" name="Imagen 4" descr="C:\Users\USUARIO\Desktop\Reporte de inv\Hoja de presentacion de informe final del proyecto de investig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Reporte de inv\Hoja de presentacion de informe final del proyecto de investigacio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2310" cy="9696926"/>
                    </a:xfrm>
                    <a:prstGeom prst="rect">
                      <a:avLst/>
                    </a:prstGeom>
                    <a:noFill/>
                    <a:ln>
                      <a:noFill/>
                    </a:ln>
                  </pic:spPr>
                </pic:pic>
              </a:graphicData>
            </a:graphic>
          </wp:inline>
        </w:drawing>
      </w:r>
      <w:bookmarkEnd w:id="0"/>
    </w:p>
    <w:p w:rsidR="00B56BF6" w:rsidRDefault="00B56BF6" w:rsidP="005F398B">
      <w:pPr>
        <w:spacing w:line="240" w:lineRule="auto"/>
        <w:jc w:val="both"/>
        <w:rPr>
          <w:rFonts w:ascii="Arial" w:hAnsi="Arial" w:cs="Arial"/>
          <w:b/>
          <w:color w:val="548DD4" w:themeColor="text2" w:themeTint="99"/>
          <w:sz w:val="28"/>
          <w:szCs w:val="28"/>
        </w:rPr>
      </w:pPr>
      <w:r>
        <w:rPr>
          <w:rFonts w:ascii="Arial" w:hAnsi="Arial" w:cs="Arial"/>
          <w:b/>
          <w:noProof/>
          <w:color w:val="548DD4" w:themeColor="text2" w:themeTint="99"/>
          <w:sz w:val="28"/>
          <w:szCs w:val="28"/>
        </w:rPr>
        <w:lastRenderedPageBreak/>
        <w:drawing>
          <wp:inline distT="0" distB="0" distL="0" distR="0" wp14:anchorId="5FDC8234" wp14:editId="297BDBA9">
            <wp:extent cx="7045037" cy="9420225"/>
            <wp:effectExtent l="0" t="0" r="3810" b="0"/>
            <wp:docPr id="13" name="Imagen 13" descr="E:\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mag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052310" cy="9429951"/>
                    </a:xfrm>
                    <a:prstGeom prst="rect">
                      <a:avLst/>
                    </a:prstGeom>
                    <a:noFill/>
                    <a:ln>
                      <a:noFill/>
                    </a:ln>
                  </pic:spPr>
                </pic:pic>
              </a:graphicData>
            </a:graphic>
          </wp:inline>
        </w:drawing>
      </w:r>
    </w:p>
    <w:p w:rsidR="003B5831" w:rsidRDefault="003B5831" w:rsidP="00B56BF6">
      <w:pPr>
        <w:spacing w:line="240" w:lineRule="auto"/>
        <w:jc w:val="center"/>
        <w:rPr>
          <w:rFonts w:ascii="Arial" w:hAnsi="Arial" w:cs="Arial"/>
          <w:b/>
          <w:color w:val="548DD4" w:themeColor="text2" w:themeTint="99"/>
          <w:sz w:val="28"/>
          <w:szCs w:val="28"/>
        </w:rPr>
        <w:sectPr w:rsidR="003B5831" w:rsidSect="0089245C">
          <w:footerReference w:type="default" r:id="rId10"/>
          <w:pgSz w:w="12240" w:h="15840"/>
          <w:pgMar w:top="567" w:right="567" w:bottom="567" w:left="567" w:header="709" w:footer="709" w:gutter="0"/>
          <w:cols w:space="708"/>
          <w:docGrid w:linePitch="360"/>
        </w:sectPr>
      </w:pPr>
    </w:p>
    <w:p w:rsidR="003B5831" w:rsidRPr="00036467" w:rsidRDefault="003B5831" w:rsidP="003B5831">
      <w:pPr>
        <w:spacing w:line="240" w:lineRule="auto"/>
        <w:jc w:val="both"/>
        <w:rPr>
          <w:b/>
          <w:color w:val="000000" w:themeColor="text1"/>
          <w:sz w:val="24"/>
          <w:szCs w:val="24"/>
        </w:rPr>
      </w:pPr>
      <w:r w:rsidRPr="00036467">
        <w:rPr>
          <w:b/>
          <w:color w:val="000000" w:themeColor="text1"/>
          <w:sz w:val="24"/>
          <w:szCs w:val="24"/>
        </w:rPr>
        <w:lastRenderedPageBreak/>
        <w:t>EVALUACIÓN DEL ESTADO DE NUTRICIÓN E INGESTA DIETÉTICA EN MUJERES QUE ACUDEN POR LESIONES DEL CÉRVIX UTERINO A LA CLÍNICA DE DISPLASIA DEL HOSPITAL GENERAL VALENTÍN GÓMEZ FARÍAS.</w:t>
      </w:r>
    </w:p>
    <w:p w:rsidR="003B5831" w:rsidRPr="00036467" w:rsidRDefault="003B5831" w:rsidP="003B5831">
      <w:pPr>
        <w:spacing w:line="240" w:lineRule="auto"/>
        <w:jc w:val="both"/>
        <w:rPr>
          <w:color w:val="000000" w:themeColor="text1"/>
          <w:sz w:val="24"/>
          <w:szCs w:val="24"/>
          <w:lang w:val="en-US"/>
        </w:rPr>
      </w:pPr>
      <w:r w:rsidRPr="00036467">
        <w:rPr>
          <w:color w:val="000000" w:themeColor="text1"/>
          <w:sz w:val="24"/>
          <w:szCs w:val="24"/>
          <w:lang w:val="en-US"/>
        </w:rPr>
        <w:t>ASSESSMENT OF NUTRITION AND DIETARY INTAKE IN WOMEN ATTENDING FOR UTERINE CERVICAL LESIONS OF THE CLINIC HOSPITAL GENERAL DISPLASIA VALENTÍN GÓMEZ FARÍAS.</w:t>
      </w:r>
    </w:p>
    <w:p w:rsidR="003B5831" w:rsidRPr="00036467" w:rsidRDefault="003B5831" w:rsidP="003B5831">
      <w:pPr>
        <w:spacing w:line="240" w:lineRule="auto"/>
        <w:jc w:val="both"/>
        <w:rPr>
          <w:color w:val="000000" w:themeColor="text1"/>
          <w:sz w:val="24"/>
          <w:szCs w:val="24"/>
          <w:lang w:val="es-ES"/>
        </w:rPr>
      </w:pPr>
      <w:r w:rsidRPr="00036467">
        <w:rPr>
          <w:b/>
          <w:color w:val="000000" w:themeColor="text1"/>
          <w:sz w:val="24"/>
          <w:szCs w:val="24"/>
          <w:lang w:val="es-ES"/>
        </w:rPr>
        <w:t>Autora:</w:t>
      </w:r>
      <w:r w:rsidRPr="00036467">
        <w:rPr>
          <w:color w:val="000000" w:themeColor="text1"/>
          <w:sz w:val="24"/>
          <w:szCs w:val="24"/>
          <w:lang w:val="es-ES"/>
        </w:rPr>
        <w:t xml:space="preserve"> Diana Carolina García</w:t>
      </w:r>
      <w:r>
        <w:rPr>
          <w:color w:val="000000" w:themeColor="text1"/>
          <w:sz w:val="24"/>
          <w:szCs w:val="24"/>
          <w:lang w:val="es-ES"/>
        </w:rPr>
        <w:t xml:space="preserve"> </w:t>
      </w:r>
      <w:r w:rsidRPr="00036467">
        <w:rPr>
          <w:color w:val="000000" w:themeColor="text1"/>
          <w:sz w:val="24"/>
          <w:szCs w:val="24"/>
          <w:lang w:val="es-ES"/>
        </w:rPr>
        <w:t>González (1) María de Los Ángeles Maya Martínez (2)</w:t>
      </w:r>
    </w:p>
    <w:p w:rsidR="003B5831" w:rsidRPr="00036467" w:rsidRDefault="003B5831" w:rsidP="003B5831">
      <w:pPr>
        <w:spacing w:line="240" w:lineRule="auto"/>
        <w:jc w:val="both"/>
        <w:rPr>
          <w:color w:val="000000" w:themeColor="text1"/>
          <w:sz w:val="24"/>
          <w:szCs w:val="24"/>
          <w:lang w:val="es-ES"/>
        </w:rPr>
      </w:pPr>
      <w:r w:rsidRPr="00036467">
        <w:rPr>
          <w:b/>
          <w:color w:val="000000" w:themeColor="text1"/>
          <w:sz w:val="24"/>
          <w:szCs w:val="24"/>
          <w:lang w:val="es-ES"/>
        </w:rPr>
        <w:t>Filiación:</w:t>
      </w:r>
      <w:r w:rsidRPr="00036467">
        <w:rPr>
          <w:color w:val="000000" w:themeColor="text1"/>
          <w:sz w:val="24"/>
          <w:szCs w:val="24"/>
          <w:lang w:val="es-ES"/>
        </w:rPr>
        <w:t xml:space="preserve"> Hospital General Valentín</w:t>
      </w:r>
      <w:r>
        <w:rPr>
          <w:color w:val="000000" w:themeColor="text1"/>
          <w:sz w:val="24"/>
          <w:szCs w:val="24"/>
          <w:lang w:val="es-ES"/>
        </w:rPr>
        <w:t xml:space="preserve"> </w:t>
      </w:r>
      <w:r w:rsidRPr="00036467">
        <w:rPr>
          <w:color w:val="000000" w:themeColor="text1"/>
          <w:sz w:val="24"/>
          <w:szCs w:val="24"/>
          <w:lang w:val="es-ES"/>
        </w:rPr>
        <w:t>Gómez</w:t>
      </w:r>
      <w:r>
        <w:rPr>
          <w:color w:val="000000" w:themeColor="text1"/>
          <w:sz w:val="24"/>
          <w:szCs w:val="24"/>
          <w:lang w:val="es-ES"/>
        </w:rPr>
        <w:t xml:space="preserve"> </w:t>
      </w:r>
      <w:r w:rsidRPr="00036467">
        <w:rPr>
          <w:color w:val="000000" w:themeColor="text1"/>
          <w:sz w:val="24"/>
          <w:szCs w:val="24"/>
          <w:lang w:val="es-ES"/>
        </w:rPr>
        <w:t xml:space="preserve">Farías, Universidad Autónoma Del Estado de México </w:t>
      </w:r>
    </w:p>
    <w:p w:rsidR="003B5831" w:rsidRPr="00036467" w:rsidRDefault="003B5831" w:rsidP="003B5831">
      <w:pPr>
        <w:spacing w:line="240" w:lineRule="auto"/>
        <w:jc w:val="both"/>
        <w:rPr>
          <w:b/>
          <w:color w:val="000000" w:themeColor="text1"/>
          <w:sz w:val="24"/>
          <w:szCs w:val="24"/>
          <w:lang w:val="es-ES"/>
        </w:rPr>
      </w:pPr>
      <w:r w:rsidRPr="00036467">
        <w:rPr>
          <w:b/>
          <w:color w:val="000000" w:themeColor="text1"/>
          <w:sz w:val="24"/>
          <w:szCs w:val="24"/>
          <w:lang w:val="es-ES"/>
        </w:rPr>
        <w:t xml:space="preserve">Comentario del editor: </w:t>
      </w:r>
    </w:p>
    <w:p w:rsidR="003B5831" w:rsidRPr="00036467" w:rsidRDefault="003B5831" w:rsidP="003B5831">
      <w:pPr>
        <w:spacing w:line="240" w:lineRule="auto"/>
        <w:jc w:val="both"/>
        <w:rPr>
          <w:b/>
          <w:color w:val="000000" w:themeColor="text1"/>
          <w:sz w:val="24"/>
          <w:szCs w:val="24"/>
          <w:lang w:val="es-ES"/>
        </w:rPr>
      </w:pPr>
      <w:r w:rsidRPr="00036467">
        <w:rPr>
          <w:b/>
          <w:color w:val="000000" w:themeColor="text1"/>
          <w:sz w:val="24"/>
          <w:szCs w:val="24"/>
          <w:lang w:val="es-ES"/>
        </w:rPr>
        <w:t xml:space="preserve">Ficha del artículo: </w:t>
      </w:r>
    </w:p>
    <w:p w:rsidR="003B5831" w:rsidRPr="00C4214D" w:rsidRDefault="003B5831" w:rsidP="003B5831">
      <w:pPr>
        <w:spacing w:line="240" w:lineRule="auto"/>
        <w:jc w:val="both"/>
        <w:rPr>
          <w:color w:val="000000" w:themeColor="text1"/>
          <w:sz w:val="24"/>
          <w:szCs w:val="24"/>
        </w:rPr>
      </w:pPr>
      <w:r>
        <w:rPr>
          <w:b/>
          <w:color w:val="0070C0"/>
          <w:sz w:val="24"/>
          <w:szCs w:val="24"/>
        </w:rPr>
        <w:t xml:space="preserve">RESUMEN: </w:t>
      </w:r>
      <w:r w:rsidRPr="00C4214D">
        <w:rPr>
          <w:b/>
          <w:color w:val="000000" w:themeColor="text1"/>
          <w:sz w:val="24"/>
          <w:szCs w:val="24"/>
        </w:rPr>
        <w:t>Introducción:</w:t>
      </w:r>
      <w:r w:rsidRPr="00C4214D">
        <w:rPr>
          <w:color w:val="000000" w:themeColor="text1"/>
          <w:sz w:val="24"/>
          <w:szCs w:val="24"/>
        </w:rPr>
        <w:t xml:space="preserve"> las lesiones pre malignas del cérvix uterino pueden condicionar alteraciones del estado de nutrición, lo cual está relacionado con la ingesta dietética. </w:t>
      </w:r>
      <w:r w:rsidRPr="00036467">
        <w:rPr>
          <w:b/>
          <w:color w:val="000000" w:themeColor="text1"/>
          <w:sz w:val="24"/>
          <w:szCs w:val="24"/>
        </w:rPr>
        <w:t>Objetivo:</w:t>
      </w:r>
      <w:r w:rsidRPr="00C4214D">
        <w:rPr>
          <w:color w:val="000000" w:themeColor="text1"/>
          <w:sz w:val="24"/>
          <w:szCs w:val="24"/>
        </w:rPr>
        <w:t xml:space="preserve"> determinar el estado de nutrición e ingesta dietética de las mujeres que acuden por lesiones del cérvix ut</w:t>
      </w:r>
      <w:r>
        <w:rPr>
          <w:color w:val="000000" w:themeColor="text1"/>
          <w:sz w:val="24"/>
          <w:szCs w:val="24"/>
        </w:rPr>
        <w:t>erino a la clínica de displasias</w:t>
      </w:r>
      <w:r w:rsidRPr="00C4214D">
        <w:rPr>
          <w:color w:val="000000" w:themeColor="text1"/>
          <w:sz w:val="24"/>
          <w:szCs w:val="24"/>
        </w:rPr>
        <w:t xml:space="preserve"> del Hospital General Valentín Gómez Farías. </w:t>
      </w:r>
      <w:r w:rsidRPr="00036467">
        <w:rPr>
          <w:b/>
          <w:color w:val="000000" w:themeColor="text1"/>
          <w:sz w:val="24"/>
          <w:szCs w:val="24"/>
        </w:rPr>
        <w:t>Metodología:</w:t>
      </w:r>
      <w:r w:rsidRPr="00C4214D">
        <w:rPr>
          <w:color w:val="000000" w:themeColor="text1"/>
          <w:sz w:val="24"/>
          <w:szCs w:val="24"/>
        </w:rPr>
        <w:t xml:space="preserve"> estudio prospectivo, descriptivo, transversal, que valoro a 37 pacientes femeninas de 20 a 60 años, de la clínica de displasias, que aceptaron participar en el estudio con firma de consentimiento informado, las herramientas utilizadas fueron ficha de valoración antropométrica, reporte del equipo de impedancia eléctrica, los parámetros dietéticos se valoraron mediante la encuesta de recordatorio de 24 horas, la valoración y diagnostico colposcopico fue realizada por un especialista en el área. </w:t>
      </w:r>
      <w:r w:rsidRPr="00036467">
        <w:rPr>
          <w:b/>
          <w:color w:val="000000" w:themeColor="text1"/>
          <w:sz w:val="24"/>
          <w:szCs w:val="24"/>
        </w:rPr>
        <w:t>Resultados:</w:t>
      </w:r>
      <w:r w:rsidRPr="00C4214D">
        <w:rPr>
          <w:color w:val="000000" w:themeColor="text1"/>
          <w:sz w:val="24"/>
          <w:szCs w:val="24"/>
        </w:rPr>
        <w:t xml:space="preserve"> las edades que predominaron en el estudio fue de 31 a 40 años con (37.83%),  en el estado de nutrición sobresalió sobrepeso en edades de 31 a 50 años con (35.12%), la neoplasia intraepitelial cervical grado (NIC I) fue más frecuente de 31 a 50 años con (54%) </w:t>
      </w:r>
      <w:r w:rsidRPr="00036467">
        <w:rPr>
          <w:b/>
          <w:color w:val="000000" w:themeColor="text1"/>
          <w:sz w:val="24"/>
          <w:szCs w:val="24"/>
        </w:rPr>
        <w:t>Conclusión:</w:t>
      </w:r>
      <w:r w:rsidRPr="00C4214D">
        <w:rPr>
          <w:color w:val="000000" w:themeColor="text1"/>
          <w:sz w:val="24"/>
          <w:szCs w:val="24"/>
        </w:rPr>
        <w:t xml:space="preserve"> en las mujeres del estudio predomino el sobrepeso y la obesidad con (70.22%) diagnósticos que pueden tener relación con el desarrollo de lesiones de cérvix uterino, además la ingesta dietética se encontró desequilibrada predominando los hidratos de carbono y bajo aporte de antioxidantes.</w:t>
      </w:r>
    </w:p>
    <w:p w:rsidR="003B5831" w:rsidRPr="00C4214D" w:rsidRDefault="003B5831" w:rsidP="003B5831">
      <w:pPr>
        <w:spacing w:line="240" w:lineRule="auto"/>
        <w:jc w:val="both"/>
        <w:rPr>
          <w:color w:val="000000" w:themeColor="text1"/>
          <w:sz w:val="24"/>
          <w:szCs w:val="24"/>
          <w:lang w:val="en-US"/>
        </w:rPr>
      </w:pPr>
      <w:r w:rsidRPr="00C4214D">
        <w:rPr>
          <w:b/>
          <w:color w:val="0070C0"/>
          <w:sz w:val="24"/>
          <w:szCs w:val="24"/>
          <w:lang w:val="en-US"/>
        </w:rPr>
        <w:t xml:space="preserve">SUMMARY: </w:t>
      </w:r>
      <w:r w:rsidRPr="00036467">
        <w:rPr>
          <w:b/>
          <w:color w:val="000000" w:themeColor="text1"/>
          <w:sz w:val="24"/>
          <w:szCs w:val="24"/>
          <w:lang w:val="en-US"/>
        </w:rPr>
        <w:t>Introduction:</w:t>
      </w:r>
      <w:r w:rsidRPr="00C4214D">
        <w:rPr>
          <w:color w:val="000000" w:themeColor="text1"/>
          <w:sz w:val="24"/>
          <w:szCs w:val="24"/>
          <w:lang w:val="en-US"/>
        </w:rPr>
        <w:t xml:space="preserve"> pre-malignant cervical lesions may condition alterations in nutritional status, which is related to dietary intake. </w:t>
      </w:r>
      <w:r w:rsidRPr="00036467">
        <w:rPr>
          <w:b/>
          <w:color w:val="000000" w:themeColor="text1"/>
          <w:sz w:val="24"/>
          <w:szCs w:val="24"/>
          <w:lang w:val="en-US"/>
        </w:rPr>
        <w:t>Objective:</w:t>
      </w:r>
      <w:r w:rsidRPr="00C4214D">
        <w:rPr>
          <w:color w:val="000000" w:themeColor="text1"/>
          <w:sz w:val="24"/>
          <w:szCs w:val="24"/>
          <w:lang w:val="en-US"/>
        </w:rPr>
        <w:t xml:space="preserve"> To determine the nutritional status and dietary intake of women attending for cervical lesions to dysplasia clinic of Hospital General Valentín Gómez Farías. </w:t>
      </w:r>
      <w:r w:rsidRPr="00036467">
        <w:rPr>
          <w:b/>
          <w:color w:val="000000" w:themeColor="text1"/>
          <w:sz w:val="24"/>
          <w:szCs w:val="24"/>
          <w:lang w:val="en-US"/>
        </w:rPr>
        <w:t>Methods:</w:t>
      </w:r>
      <w:r w:rsidRPr="00C4214D">
        <w:rPr>
          <w:color w:val="000000" w:themeColor="text1"/>
          <w:sz w:val="24"/>
          <w:szCs w:val="24"/>
          <w:lang w:val="en-US"/>
        </w:rPr>
        <w:t xml:space="preserve"> Prospective, descriptive, cross-sectional study, I value 37 female patients 20-60 years of dysplasia clinic, who agreed to participate in the study signed informed consent, the tools used were record of anthropometric assessment team report electrical impedance, dietary parameters were assessed by the survey of 24-hour recall valuation and colposcopic diagnosis was made by a specialist in the area </w:t>
      </w:r>
      <w:r w:rsidRPr="00036467">
        <w:rPr>
          <w:b/>
          <w:color w:val="000000" w:themeColor="text1"/>
          <w:sz w:val="24"/>
          <w:szCs w:val="24"/>
          <w:lang w:val="en-US"/>
        </w:rPr>
        <w:t>Results:</w:t>
      </w:r>
      <w:r w:rsidRPr="00C4214D">
        <w:rPr>
          <w:color w:val="000000" w:themeColor="text1"/>
          <w:sz w:val="24"/>
          <w:szCs w:val="24"/>
          <w:lang w:val="en-US"/>
        </w:rPr>
        <w:t xml:space="preserve"> ages that dominated the study was 31-40 years (37.83%) in nutritional status excelled overweight at ages 31-50 years (35.12%), cervical intraepithelial neoplasia grade (CIN I) was more frequent in 31-50 years (54%) </w:t>
      </w:r>
      <w:r w:rsidRPr="00036467">
        <w:rPr>
          <w:b/>
          <w:color w:val="000000" w:themeColor="text1"/>
          <w:sz w:val="24"/>
          <w:szCs w:val="24"/>
          <w:lang w:val="en-US"/>
        </w:rPr>
        <w:t>Conclusion:</w:t>
      </w:r>
      <w:r w:rsidRPr="00C4214D">
        <w:rPr>
          <w:color w:val="000000" w:themeColor="text1"/>
          <w:sz w:val="24"/>
          <w:szCs w:val="24"/>
          <w:lang w:val="en-US"/>
        </w:rPr>
        <w:t xml:space="preserve"> women in the study predominance overweight and obesity (70.22%) diagnoses that may relate to the development of lesions of the uterine cervix, plus dietary intake was found predominantly unbalanced carbohydrates and low intake of antioxidants.</w:t>
      </w:r>
    </w:p>
    <w:p w:rsidR="003B5831" w:rsidRDefault="003B5831" w:rsidP="003B5831">
      <w:pPr>
        <w:spacing w:line="240" w:lineRule="auto"/>
        <w:jc w:val="both"/>
        <w:rPr>
          <w:rFonts w:cs="Arial"/>
          <w:sz w:val="24"/>
          <w:szCs w:val="24"/>
        </w:rPr>
      </w:pPr>
      <w:r>
        <w:rPr>
          <w:b/>
          <w:color w:val="0070C0"/>
          <w:sz w:val="24"/>
          <w:szCs w:val="24"/>
        </w:rPr>
        <w:t xml:space="preserve">Palabras </w:t>
      </w:r>
      <w:r w:rsidRPr="00036467">
        <w:rPr>
          <w:b/>
          <w:color w:val="0070C0"/>
          <w:sz w:val="24"/>
          <w:szCs w:val="24"/>
        </w:rPr>
        <w:t>clave:</w:t>
      </w:r>
      <w:r>
        <w:rPr>
          <w:b/>
          <w:color w:val="0070C0"/>
          <w:sz w:val="24"/>
          <w:szCs w:val="24"/>
        </w:rPr>
        <w:t xml:space="preserve"> </w:t>
      </w:r>
      <w:r w:rsidRPr="00A46DDF">
        <w:rPr>
          <w:rFonts w:cs="Arial"/>
          <w:sz w:val="24"/>
          <w:szCs w:val="24"/>
        </w:rPr>
        <w:t>Estado de Nutrición, Ingesta Dietética,</w:t>
      </w:r>
      <w:r>
        <w:rPr>
          <w:rFonts w:cs="Arial"/>
          <w:sz w:val="24"/>
          <w:szCs w:val="24"/>
        </w:rPr>
        <w:t xml:space="preserve"> </w:t>
      </w:r>
      <w:r w:rsidRPr="00A46DDF">
        <w:rPr>
          <w:rFonts w:cs="Arial"/>
          <w:sz w:val="24"/>
          <w:szCs w:val="24"/>
        </w:rPr>
        <w:t>Lesiones de Cérvix Uterino</w:t>
      </w:r>
      <w:r>
        <w:rPr>
          <w:rFonts w:cs="Arial"/>
          <w:sz w:val="24"/>
          <w:szCs w:val="24"/>
        </w:rPr>
        <w:t>.</w:t>
      </w:r>
    </w:p>
    <w:p w:rsidR="003B5831" w:rsidRDefault="003B5831" w:rsidP="003B5831">
      <w:pPr>
        <w:spacing w:line="240" w:lineRule="auto"/>
        <w:jc w:val="both"/>
        <w:rPr>
          <w:rFonts w:cs="Arial"/>
          <w:sz w:val="24"/>
          <w:szCs w:val="24"/>
        </w:rPr>
      </w:pPr>
    </w:p>
    <w:p w:rsidR="00B56BF6" w:rsidRDefault="00B56BF6" w:rsidP="00901A36">
      <w:pPr>
        <w:spacing w:line="240" w:lineRule="auto"/>
        <w:rPr>
          <w:rFonts w:ascii="Arial" w:hAnsi="Arial" w:cs="Arial"/>
          <w:b/>
          <w:color w:val="548DD4" w:themeColor="text2" w:themeTint="99"/>
          <w:sz w:val="28"/>
          <w:szCs w:val="28"/>
        </w:rPr>
        <w:sectPr w:rsidR="00B56BF6" w:rsidSect="0089245C">
          <w:headerReference w:type="default" r:id="rId11"/>
          <w:footerReference w:type="default" r:id="rId12"/>
          <w:pgSz w:w="12240" w:h="15840"/>
          <w:pgMar w:top="567" w:right="567" w:bottom="567" w:left="567" w:header="709" w:footer="709" w:gutter="0"/>
          <w:cols w:space="708"/>
          <w:docGrid w:linePitch="360"/>
        </w:sectPr>
      </w:pPr>
    </w:p>
    <w:p w:rsidR="00195604" w:rsidRDefault="00195604" w:rsidP="004E41F3">
      <w:pPr>
        <w:spacing w:line="240" w:lineRule="auto"/>
        <w:jc w:val="both"/>
        <w:rPr>
          <w:rFonts w:ascii="Arial" w:hAnsi="Arial" w:cs="Arial"/>
          <w:b/>
          <w:color w:val="548DD4" w:themeColor="text2" w:themeTint="99"/>
          <w:sz w:val="28"/>
          <w:szCs w:val="28"/>
        </w:rPr>
      </w:pPr>
    </w:p>
    <w:p w:rsidR="00195604" w:rsidRDefault="00195604" w:rsidP="004E41F3">
      <w:pPr>
        <w:spacing w:line="240" w:lineRule="auto"/>
        <w:jc w:val="both"/>
        <w:rPr>
          <w:rFonts w:ascii="Arial" w:hAnsi="Arial" w:cs="Arial"/>
          <w:b/>
          <w:color w:val="548DD4" w:themeColor="text2" w:themeTint="99"/>
          <w:sz w:val="28"/>
          <w:szCs w:val="28"/>
        </w:rPr>
      </w:pPr>
    </w:p>
    <w:p w:rsidR="00195604" w:rsidRDefault="00195604" w:rsidP="004E41F3">
      <w:pPr>
        <w:spacing w:line="240" w:lineRule="auto"/>
        <w:jc w:val="both"/>
        <w:rPr>
          <w:rFonts w:ascii="Arial" w:hAnsi="Arial" w:cs="Arial"/>
          <w:b/>
          <w:color w:val="548DD4" w:themeColor="text2" w:themeTint="99"/>
          <w:sz w:val="28"/>
          <w:szCs w:val="28"/>
        </w:rPr>
      </w:pPr>
    </w:p>
    <w:p w:rsidR="00195604" w:rsidRDefault="00195604" w:rsidP="004E41F3">
      <w:pPr>
        <w:spacing w:line="240" w:lineRule="auto"/>
        <w:jc w:val="both"/>
        <w:rPr>
          <w:rFonts w:ascii="Arial" w:hAnsi="Arial" w:cs="Arial"/>
          <w:b/>
          <w:color w:val="548DD4" w:themeColor="text2" w:themeTint="99"/>
          <w:sz w:val="28"/>
          <w:szCs w:val="28"/>
        </w:rPr>
      </w:pPr>
    </w:p>
    <w:p w:rsidR="00195604" w:rsidRDefault="00195604" w:rsidP="004E41F3">
      <w:pPr>
        <w:spacing w:line="240" w:lineRule="auto"/>
        <w:jc w:val="both"/>
        <w:rPr>
          <w:rFonts w:ascii="Arial" w:hAnsi="Arial" w:cs="Arial"/>
          <w:b/>
          <w:color w:val="548DD4" w:themeColor="text2" w:themeTint="99"/>
          <w:sz w:val="28"/>
          <w:szCs w:val="28"/>
        </w:rPr>
      </w:pPr>
    </w:p>
    <w:p w:rsidR="00195604" w:rsidRDefault="00195604" w:rsidP="004E41F3">
      <w:pPr>
        <w:spacing w:line="240" w:lineRule="auto"/>
        <w:jc w:val="both"/>
        <w:rPr>
          <w:rFonts w:ascii="Arial" w:hAnsi="Arial" w:cs="Arial"/>
          <w:b/>
          <w:color w:val="548DD4" w:themeColor="text2" w:themeTint="99"/>
          <w:sz w:val="28"/>
          <w:szCs w:val="28"/>
        </w:rPr>
      </w:pPr>
    </w:p>
    <w:p w:rsidR="00195604" w:rsidRPr="00444A6C" w:rsidRDefault="00195604" w:rsidP="00195604">
      <w:pPr>
        <w:jc w:val="center"/>
        <w:rPr>
          <w:rFonts w:ascii="Arial" w:hAnsi="Arial" w:cs="Arial"/>
          <w:b/>
          <w:noProof/>
          <w:szCs w:val="24"/>
        </w:rPr>
      </w:pPr>
      <w:r w:rsidRPr="00444A6C">
        <w:rPr>
          <w:rFonts w:ascii="Arial" w:hAnsi="Arial" w:cs="Arial"/>
          <w:b/>
          <w:noProof/>
          <w:szCs w:val="24"/>
        </w:rPr>
        <w:t>CAPÍTULO PARA LIBRO</w:t>
      </w:r>
    </w:p>
    <w:p w:rsidR="00195604" w:rsidRDefault="00195604" w:rsidP="00195604">
      <w:pPr>
        <w:rPr>
          <w:rFonts w:ascii="Arial" w:hAnsi="Arial" w:cs="Arial"/>
          <w:noProof/>
          <w:szCs w:val="24"/>
        </w:rPr>
      </w:pPr>
    </w:p>
    <w:p w:rsidR="00195604" w:rsidRDefault="00195604" w:rsidP="00195604">
      <w:pPr>
        <w:jc w:val="center"/>
        <w:rPr>
          <w:rFonts w:ascii="Arial" w:hAnsi="Arial" w:cs="Arial"/>
          <w:b/>
          <w:szCs w:val="24"/>
        </w:rPr>
      </w:pPr>
      <w:r w:rsidRPr="00145BF0">
        <w:rPr>
          <w:rFonts w:ascii="Arial" w:hAnsi="Arial" w:cs="Arial"/>
          <w:b/>
          <w:szCs w:val="24"/>
        </w:rPr>
        <w:t>EVALUACIÓN DEL ESTADO DE NUTRICIÓN EN MUJERES QUE ACUDEN POR LESIONES DEL CÉRVIX UTERINO A LA CLÍNICA DE COLPOSCOPIA DEL HOSPITAL GENERAL VALENTÍN GÓMEZ FARÍAS.</w:t>
      </w:r>
    </w:p>
    <w:p w:rsidR="00195604" w:rsidRDefault="00195604" w:rsidP="00195604">
      <w:pPr>
        <w:jc w:val="center"/>
        <w:rPr>
          <w:rFonts w:ascii="Arial" w:hAnsi="Arial" w:cs="Arial"/>
          <w:szCs w:val="24"/>
        </w:rPr>
      </w:pPr>
    </w:p>
    <w:p w:rsidR="00195604" w:rsidRDefault="00195604" w:rsidP="004E41F3">
      <w:pPr>
        <w:spacing w:line="240" w:lineRule="auto"/>
        <w:jc w:val="both"/>
        <w:rPr>
          <w:rFonts w:ascii="Arial" w:hAnsi="Arial" w:cs="Arial"/>
          <w:b/>
          <w:color w:val="548DD4" w:themeColor="text2" w:themeTint="99"/>
          <w:sz w:val="28"/>
          <w:szCs w:val="28"/>
        </w:rPr>
      </w:pPr>
    </w:p>
    <w:p w:rsidR="00195604" w:rsidRDefault="00195604" w:rsidP="004E41F3">
      <w:pPr>
        <w:spacing w:line="240" w:lineRule="auto"/>
        <w:jc w:val="both"/>
        <w:rPr>
          <w:rFonts w:ascii="Arial" w:hAnsi="Arial" w:cs="Arial"/>
          <w:b/>
          <w:color w:val="548DD4" w:themeColor="text2" w:themeTint="99"/>
          <w:sz w:val="28"/>
          <w:szCs w:val="28"/>
        </w:rPr>
      </w:pPr>
    </w:p>
    <w:p w:rsidR="00195604" w:rsidRPr="00444A6C" w:rsidRDefault="00195604" w:rsidP="00195604">
      <w:pPr>
        <w:jc w:val="right"/>
        <w:rPr>
          <w:rFonts w:ascii="Arial" w:hAnsi="Arial" w:cs="Arial"/>
          <w:b/>
          <w:szCs w:val="24"/>
        </w:rPr>
      </w:pPr>
      <w:r w:rsidRPr="00444A6C">
        <w:rPr>
          <w:rFonts w:ascii="Arial" w:hAnsi="Arial" w:cs="Arial"/>
          <w:b/>
          <w:szCs w:val="24"/>
        </w:rPr>
        <w:t>Autores:</w:t>
      </w:r>
    </w:p>
    <w:p w:rsidR="00195604" w:rsidRDefault="00195604" w:rsidP="00195604">
      <w:pPr>
        <w:spacing w:after="0" w:line="240" w:lineRule="auto"/>
        <w:jc w:val="right"/>
        <w:rPr>
          <w:rFonts w:ascii="Arial" w:hAnsi="Arial" w:cs="Arial"/>
          <w:szCs w:val="24"/>
        </w:rPr>
      </w:pPr>
      <w:r w:rsidRPr="00803EFB">
        <w:rPr>
          <w:rFonts w:ascii="Arial" w:hAnsi="Arial" w:cs="Arial"/>
          <w:szCs w:val="24"/>
        </w:rPr>
        <w:t xml:space="preserve">M en Nut. Clínica. María de los Ángeles Maya Martínez, </w:t>
      </w:r>
    </w:p>
    <w:p w:rsidR="00195604" w:rsidRDefault="00195604" w:rsidP="00195604">
      <w:pPr>
        <w:spacing w:after="0" w:line="240" w:lineRule="auto"/>
        <w:jc w:val="right"/>
        <w:rPr>
          <w:rFonts w:ascii="Arial" w:hAnsi="Arial" w:cs="Arial"/>
          <w:szCs w:val="24"/>
        </w:rPr>
      </w:pPr>
      <w:r w:rsidRPr="00803EFB">
        <w:rPr>
          <w:rFonts w:ascii="Arial" w:hAnsi="Arial" w:cs="Arial"/>
          <w:szCs w:val="24"/>
        </w:rPr>
        <w:t xml:space="preserve">P. Lic. en Nut. Diana Carolina García González, </w:t>
      </w:r>
    </w:p>
    <w:p w:rsidR="00195604" w:rsidRDefault="00195604" w:rsidP="00195604">
      <w:pPr>
        <w:spacing w:after="0" w:line="240" w:lineRule="auto"/>
        <w:jc w:val="right"/>
        <w:rPr>
          <w:rFonts w:ascii="Arial" w:hAnsi="Arial" w:cs="Arial"/>
          <w:szCs w:val="24"/>
        </w:rPr>
      </w:pPr>
      <w:r w:rsidRPr="00803EFB">
        <w:rPr>
          <w:rFonts w:ascii="Arial" w:hAnsi="Arial" w:cs="Arial"/>
          <w:szCs w:val="24"/>
        </w:rPr>
        <w:t>Dr. Donovan Casas Patiño.</w:t>
      </w:r>
      <w:r>
        <w:rPr>
          <w:rFonts w:ascii="Arial" w:hAnsi="Arial" w:cs="Arial"/>
          <w:szCs w:val="24"/>
        </w:rPr>
        <w:t xml:space="preserve"> </w:t>
      </w:r>
    </w:p>
    <w:p w:rsidR="00195604" w:rsidRDefault="00195604" w:rsidP="00195604">
      <w:pPr>
        <w:spacing w:after="0" w:line="240" w:lineRule="auto"/>
        <w:jc w:val="right"/>
        <w:rPr>
          <w:rFonts w:ascii="Arial" w:hAnsi="Arial" w:cs="Arial"/>
          <w:szCs w:val="24"/>
        </w:rPr>
      </w:pPr>
      <w:r>
        <w:rPr>
          <w:rFonts w:ascii="Arial" w:hAnsi="Arial" w:cs="Arial"/>
          <w:szCs w:val="24"/>
        </w:rPr>
        <w:t>Dr. Víctor Antonio Moreno Espinosa.</w:t>
      </w:r>
    </w:p>
    <w:p w:rsidR="00195604" w:rsidRDefault="00195604" w:rsidP="00195604">
      <w:pPr>
        <w:spacing w:after="0" w:line="240" w:lineRule="auto"/>
        <w:jc w:val="right"/>
        <w:rPr>
          <w:rFonts w:ascii="Arial" w:hAnsi="Arial" w:cs="Arial"/>
          <w:szCs w:val="24"/>
        </w:rPr>
      </w:pPr>
    </w:p>
    <w:p w:rsidR="00195604" w:rsidRDefault="00195604" w:rsidP="00195604">
      <w:pPr>
        <w:jc w:val="right"/>
        <w:rPr>
          <w:rFonts w:ascii="Arial" w:hAnsi="Arial" w:cs="Arial"/>
          <w:szCs w:val="24"/>
        </w:rPr>
      </w:pPr>
      <w:r>
        <w:rPr>
          <w:rFonts w:ascii="Arial" w:hAnsi="Arial" w:cs="Arial"/>
          <w:szCs w:val="24"/>
        </w:rPr>
        <w:t xml:space="preserve">Correo electrónico:  </w:t>
      </w:r>
      <w:hyperlink r:id="rId13" w:history="1">
        <w:r w:rsidRPr="00383109">
          <w:rPr>
            <w:rStyle w:val="Hipervnculo"/>
            <w:rFonts w:ascii="Arial" w:hAnsi="Arial" w:cs="Arial"/>
            <w:szCs w:val="24"/>
          </w:rPr>
          <w:t>angelesmm_3@hotmail.com</w:t>
        </w:r>
      </w:hyperlink>
    </w:p>
    <w:p w:rsidR="00195604" w:rsidRPr="00803EFB" w:rsidRDefault="00195604" w:rsidP="00195604">
      <w:pPr>
        <w:spacing w:after="0" w:line="240" w:lineRule="auto"/>
        <w:jc w:val="right"/>
        <w:rPr>
          <w:rFonts w:ascii="Arial" w:hAnsi="Arial" w:cs="Arial"/>
          <w:szCs w:val="24"/>
        </w:rPr>
      </w:pPr>
      <w:r>
        <w:rPr>
          <w:rFonts w:ascii="Arial" w:hAnsi="Arial" w:cs="Arial"/>
          <w:szCs w:val="24"/>
        </w:rPr>
        <w:t xml:space="preserve">Febrero 2015 </w:t>
      </w:r>
    </w:p>
    <w:p w:rsidR="00195604" w:rsidRDefault="00195604" w:rsidP="00195604">
      <w:pPr>
        <w:spacing w:line="240" w:lineRule="auto"/>
        <w:rPr>
          <w:rFonts w:ascii="Arial" w:hAnsi="Arial" w:cs="Arial"/>
          <w:b/>
          <w:color w:val="548DD4" w:themeColor="text2" w:themeTint="99"/>
          <w:sz w:val="28"/>
          <w:szCs w:val="28"/>
        </w:rPr>
      </w:pPr>
    </w:p>
    <w:p w:rsidR="00195604" w:rsidRDefault="00195604" w:rsidP="00195604">
      <w:pPr>
        <w:spacing w:line="240" w:lineRule="auto"/>
        <w:rPr>
          <w:rFonts w:ascii="Arial" w:hAnsi="Arial" w:cs="Arial"/>
          <w:b/>
          <w:color w:val="548DD4" w:themeColor="text2" w:themeTint="99"/>
          <w:sz w:val="28"/>
          <w:szCs w:val="28"/>
        </w:rPr>
      </w:pPr>
    </w:p>
    <w:p w:rsidR="00195604" w:rsidRDefault="00195604" w:rsidP="00195604">
      <w:pPr>
        <w:spacing w:line="240" w:lineRule="auto"/>
        <w:rPr>
          <w:rFonts w:ascii="Arial" w:hAnsi="Arial" w:cs="Arial"/>
          <w:b/>
          <w:color w:val="548DD4" w:themeColor="text2" w:themeTint="99"/>
          <w:sz w:val="28"/>
          <w:szCs w:val="28"/>
        </w:rPr>
      </w:pPr>
    </w:p>
    <w:p w:rsidR="00195604" w:rsidRDefault="00195604" w:rsidP="00195604">
      <w:pPr>
        <w:spacing w:line="240" w:lineRule="auto"/>
        <w:rPr>
          <w:rFonts w:ascii="Arial" w:hAnsi="Arial" w:cs="Arial"/>
          <w:b/>
          <w:color w:val="548DD4" w:themeColor="text2" w:themeTint="99"/>
          <w:sz w:val="28"/>
          <w:szCs w:val="28"/>
        </w:rPr>
        <w:sectPr w:rsidR="00195604" w:rsidSect="0089245C">
          <w:headerReference w:type="default" r:id="rId14"/>
          <w:footerReference w:type="default" r:id="rId15"/>
          <w:pgSz w:w="12240" w:h="15840"/>
          <w:pgMar w:top="567" w:right="567" w:bottom="567" w:left="567" w:header="709" w:footer="709" w:gutter="0"/>
          <w:cols w:space="708"/>
          <w:docGrid w:linePitch="360"/>
        </w:sectPr>
      </w:pPr>
    </w:p>
    <w:p w:rsidR="00195604" w:rsidRDefault="00195604" w:rsidP="004E41F3">
      <w:pPr>
        <w:spacing w:line="240" w:lineRule="auto"/>
        <w:jc w:val="both"/>
        <w:rPr>
          <w:rFonts w:ascii="Arial" w:hAnsi="Arial" w:cs="Arial"/>
          <w:b/>
          <w:color w:val="548DD4" w:themeColor="text2" w:themeTint="99"/>
          <w:sz w:val="28"/>
          <w:szCs w:val="28"/>
        </w:rPr>
      </w:pPr>
      <w:r>
        <w:rPr>
          <w:rFonts w:ascii="Arial" w:hAnsi="Arial" w:cs="Arial"/>
          <w:b/>
          <w:color w:val="548DD4" w:themeColor="text2" w:themeTint="99"/>
          <w:sz w:val="28"/>
          <w:szCs w:val="28"/>
        </w:rPr>
        <w:lastRenderedPageBreak/>
        <w:t>Índice</w:t>
      </w:r>
    </w:p>
    <w:tbl>
      <w:tblPr>
        <w:tblStyle w:val="Tablaconcuadrcula"/>
        <w:tblW w:w="9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
        <w:gridCol w:w="558"/>
        <w:gridCol w:w="775"/>
        <w:gridCol w:w="7140"/>
        <w:gridCol w:w="547"/>
      </w:tblGrid>
      <w:tr w:rsidR="00195604" w:rsidTr="003B5831">
        <w:trPr>
          <w:jc w:val="center"/>
        </w:trPr>
        <w:tc>
          <w:tcPr>
            <w:tcW w:w="9019" w:type="dxa"/>
            <w:gridSpan w:val="4"/>
          </w:tcPr>
          <w:p w:rsidR="00195604" w:rsidRPr="00497CFC" w:rsidRDefault="00195604" w:rsidP="0080019A">
            <w:pPr>
              <w:rPr>
                <w:rFonts w:ascii="Arial" w:hAnsi="Arial" w:cs="Arial"/>
              </w:rPr>
            </w:pPr>
          </w:p>
        </w:tc>
        <w:tc>
          <w:tcPr>
            <w:tcW w:w="486" w:type="dxa"/>
          </w:tcPr>
          <w:p w:rsidR="00195604" w:rsidRPr="00497CFC" w:rsidRDefault="00195604" w:rsidP="0080019A">
            <w:pPr>
              <w:rPr>
                <w:rFonts w:ascii="Arial" w:hAnsi="Arial" w:cs="Arial"/>
              </w:rPr>
            </w:pPr>
            <w:r>
              <w:rPr>
                <w:rFonts w:ascii="Arial" w:hAnsi="Arial" w:cs="Arial"/>
              </w:rPr>
              <w:t>Pg.</w:t>
            </w:r>
          </w:p>
        </w:tc>
      </w:tr>
      <w:tr w:rsidR="00195604" w:rsidTr="003B5831">
        <w:trPr>
          <w:jc w:val="center"/>
        </w:trPr>
        <w:tc>
          <w:tcPr>
            <w:tcW w:w="485" w:type="dxa"/>
          </w:tcPr>
          <w:p w:rsidR="00195604" w:rsidRPr="00497CFC" w:rsidRDefault="00195604" w:rsidP="0080019A">
            <w:pPr>
              <w:rPr>
                <w:rFonts w:ascii="Arial" w:hAnsi="Arial" w:cs="Arial"/>
              </w:rPr>
            </w:pPr>
            <w:r w:rsidRPr="00497CFC">
              <w:rPr>
                <w:rFonts w:ascii="Arial" w:hAnsi="Arial" w:cs="Arial"/>
              </w:rPr>
              <w:t>I</w:t>
            </w:r>
          </w:p>
        </w:tc>
        <w:tc>
          <w:tcPr>
            <w:tcW w:w="8534" w:type="dxa"/>
            <w:gridSpan w:val="3"/>
          </w:tcPr>
          <w:p w:rsidR="00195604" w:rsidRPr="00497CFC" w:rsidRDefault="00195604" w:rsidP="0080019A">
            <w:pPr>
              <w:rPr>
                <w:rFonts w:ascii="Arial" w:hAnsi="Arial" w:cs="Arial"/>
              </w:rPr>
            </w:pPr>
            <w:r w:rsidRPr="00497CFC">
              <w:rPr>
                <w:rFonts w:ascii="Arial" w:hAnsi="Arial" w:cs="Arial"/>
              </w:rPr>
              <w:t xml:space="preserve">Introducción </w:t>
            </w:r>
          </w:p>
        </w:tc>
        <w:tc>
          <w:tcPr>
            <w:tcW w:w="486" w:type="dxa"/>
          </w:tcPr>
          <w:p w:rsidR="00195604" w:rsidRPr="00497CFC" w:rsidRDefault="00195604" w:rsidP="0080019A">
            <w:pPr>
              <w:rPr>
                <w:rFonts w:ascii="Arial" w:hAnsi="Arial" w:cs="Arial"/>
              </w:rPr>
            </w:pPr>
            <w:r>
              <w:rPr>
                <w:rFonts w:ascii="Arial" w:hAnsi="Arial" w:cs="Arial"/>
              </w:rPr>
              <w:t>1</w:t>
            </w:r>
          </w:p>
        </w:tc>
      </w:tr>
      <w:tr w:rsidR="00195604" w:rsidTr="003B5831">
        <w:trPr>
          <w:jc w:val="center"/>
        </w:trPr>
        <w:tc>
          <w:tcPr>
            <w:tcW w:w="485" w:type="dxa"/>
          </w:tcPr>
          <w:p w:rsidR="00195604" w:rsidRPr="00497CFC" w:rsidRDefault="00195604" w:rsidP="0080019A">
            <w:pPr>
              <w:rPr>
                <w:rFonts w:ascii="Arial" w:hAnsi="Arial" w:cs="Arial"/>
              </w:rPr>
            </w:pPr>
            <w:r w:rsidRPr="00497CFC">
              <w:rPr>
                <w:rFonts w:ascii="Arial" w:hAnsi="Arial" w:cs="Arial"/>
              </w:rPr>
              <w:t>II</w:t>
            </w:r>
          </w:p>
        </w:tc>
        <w:tc>
          <w:tcPr>
            <w:tcW w:w="8534" w:type="dxa"/>
            <w:gridSpan w:val="3"/>
          </w:tcPr>
          <w:p w:rsidR="00195604" w:rsidRPr="00497CFC" w:rsidRDefault="00195604" w:rsidP="0080019A">
            <w:pPr>
              <w:rPr>
                <w:rFonts w:ascii="Arial" w:hAnsi="Arial" w:cs="Arial"/>
              </w:rPr>
            </w:pPr>
            <w:r w:rsidRPr="00497CFC">
              <w:rPr>
                <w:rFonts w:ascii="Arial" w:hAnsi="Arial" w:cs="Arial"/>
              </w:rPr>
              <w:t xml:space="preserve">Marco Teórico </w:t>
            </w:r>
          </w:p>
        </w:tc>
        <w:tc>
          <w:tcPr>
            <w:tcW w:w="486" w:type="dxa"/>
          </w:tcPr>
          <w:p w:rsidR="00195604" w:rsidRPr="00497CFC" w:rsidRDefault="00195604" w:rsidP="0080019A">
            <w:pPr>
              <w:rPr>
                <w:rFonts w:ascii="Arial" w:hAnsi="Arial" w:cs="Arial"/>
              </w:rPr>
            </w:pPr>
            <w:r>
              <w:rPr>
                <w:rFonts w:ascii="Arial" w:hAnsi="Arial" w:cs="Arial"/>
              </w:rPr>
              <w:t>2</w:t>
            </w:r>
          </w:p>
        </w:tc>
      </w:tr>
      <w:tr w:rsidR="00195604" w:rsidTr="003B5831">
        <w:trPr>
          <w:jc w:val="center"/>
        </w:trPr>
        <w:tc>
          <w:tcPr>
            <w:tcW w:w="485" w:type="dxa"/>
          </w:tcPr>
          <w:p w:rsidR="00195604" w:rsidRPr="00497CFC" w:rsidRDefault="00195604" w:rsidP="0080019A">
            <w:pPr>
              <w:rPr>
                <w:rFonts w:ascii="Arial" w:hAnsi="Arial" w:cs="Arial"/>
              </w:rPr>
            </w:pPr>
          </w:p>
        </w:tc>
        <w:tc>
          <w:tcPr>
            <w:tcW w:w="558" w:type="dxa"/>
          </w:tcPr>
          <w:p w:rsidR="00195604" w:rsidRPr="00497CFC" w:rsidRDefault="00195604" w:rsidP="0080019A">
            <w:pPr>
              <w:rPr>
                <w:rFonts w:ascii="Arial" w:hAnsi="Arial" w:cs="Arial"/>
                <w:sz w:val="18"/>
                <w:szCs w:val="18"/>
              </w:rPr>
            </w:pPr>
            <w:r w:rsidRPr="00497CFC">
              <w:rPr>
                <w:rFonts w:ascii="Arial" w:hAnsi="Arial" w:cs="Arial"/>
                <w:sz w:val="18"/>
                <w:szCs w:val="18"/>
              </w:rPr>
              <w:t>II.1</w:t>
            </w:r>
          </w:p>
        </w:tc>
        <w:tc>
          <w:tcPr>
            <w:tcW w:w="7976" w:type="dxa"/>
            <w:gridSpan w:val="2"/>
          </w:tcPr>
          <w:p w:rsidR="00195604" w:rsidRPr="00497CFC" w:rsidRDefault="00195604" w:rsidP="0080019A">
            <w:pPr>
              <w:rPr>
                <w:rFonts w:ascii="Arial" w:hAnsi="Arial" w:cs="Arial"/>
              </w:rPr>
            </w:pPr>
            <w:r>
              <w:rPr>
                <w:rFonts w:ascii="Arial" w:hAnsi="Arial" w:cs="Arial"/>
              </w:rPr>
              <w:t xml:space="preserve">Evaluación del Estado de Nutrición </w:t>
            </w:r>
          </w:p>
        </w:tc>
        <w:tc>
          <w:tcPr>
            <w:tcW w:w="486" w:type="dxa"/>
          </w:tcPr>
          <w:p w:rsidR="00195604" w:rsidRPr="00497CFC" w:rsidRDefault="00195604" w:rsidP="0080019A">
            <w:pPr>
              <w:rPr>
                <w:rFonts w:ascii="Arial" w:hAnsi="Arial" w:cs="Arial"/>
              </w:rPr>
            </w:pPr>
            <w:r>
              <w:rPr>
                <w:rFonts w:ascii="Arial" w:hAnsi="Arial" w:cs="Arial"/>
              </w:rPr>
              <w:t>2</w:t>
            </w:r>
          </w:p>
        </w:tc>
      </w:tr>
      <w:tr w:rsidR="00195604" w:rsidTr="003B5831">
        <w:trPr>
          <w:jc w:val="center"/>
        </w:trPr>
        <w:tc>
          <w:tcPr>
            <w:tcW w:w="485" w:type="dxa"/>
          </w:tcPr>
          <w:p w:rsidR="00195604" w:rsidRPr="00497CFC" w:rsidRDefault="00195604" w:rsidP="0080019A">
            <w:pPr>
              <w:rPr>
                <w:rFonts w:ascii="Arial" w:hAnsi="Arial" w:cs="Arial"/>
              </w:rPr>
            </w:pPr>
          </w:p>
        </w:tc>
        <w:tc>
          <w:tcPr>
            <w:tcW w:w="558" w:type="dxa"/>
          </w:tcPr>
          <w:p w:rsidR="00195604" w:rsidRPr="00497CFC" w:rsidRDefault="00195604" w:rsidP="0080019A">
            <w:pPr>
              <w:rPr>
                <w:rFonts w:ascii="Arial" w:hAnsi="Arial" w:cs="Arial"/>
                <w:sz w:val="18"/>
                <w:szCs w:val="18"/>
              </w:rPr>
            </w:pPr>
          </w:p>
        </w:tc>
        <w:tc>
          <w:tcPr>
            <w:tcW w:w="777" w:type="dxa"/>
          </w:tcPr>
          <w:p w:rsidR="00195604" w:rsidRPr="00497CFC" w:rsidRDefault="00195604" w:rsidP="0080019A">
            <w:pPr>
              <w:rPr>
                <w:rFonts w:ascii="Arial" w:hAnsi="Arial" w:cs="Arial"/>
                <w:sz w:val="18"/>
                <w:szCs w:val="18"/>
              </w:rPr>
            </w:pPr>
            <w:r w:rsidRPr="00497CFC">
              <w:rPr>
                <w:rFonts w:ascii="Arial" w:hAnsi="Arial" w:cs="Arial"/>
                <w:sz w:val="18"/>
                <w:szCs w:val="18"/>
              </w:rPr>
              <w:t>II.1.1</w:t>
            </w:r>
          </w:p>
        </w:tc>
        <w:tc>
          <w:tcPr>
            <w:tcW w:w="7199" w:type="dxa"/>
          </w:tcPr>
          <w:p w:rsidR="00195604" w:rsidRPr="00497CFC" w:rsidRDefault="00195604" w:rsidP="0080019A">
            <w:pPr>
              <w:rPr>
                <w:rFonts w:ascii="Arial" w:hAnsi="Arial" w:cs="Arial"/>
              </w:rPr>
            </w:pPr>
            <w:r>
              <w:rPr>
                <w:rFonts w:ascii="Arial" w:hAnsi="Arial" w:cs="Arial"/>
              </w:rPr>
              <w:t>Indicadores Directos</w:t>
            </w:r>
          </w:p>
        </w:tc>
        <w:tc>
          <w:tcPr>
            <w:tcW w:w="486" w:type="dxa"/>
          </w:tcPr>
          <w:p w:rsidR="00195604" w:rsidRPr="00497CFC" w:rsidRDefault="00195604" w:rsidP="0080019A">
            <w:pPr>
              <w:rPr>
                <w:rFonts w:ascii="Arial" w:hAnsi="Arial" w:cs="Arial"/>
              </w:rPr>
            </w:pPr>
            <w:r>
              <w:rPr>
                <w:rFonts w:ascii="Arial" w:hAnsi="Arial" w:cs="Arial"/>
              </w:rPr>
              <w:t>2</w:t>
            </w:r>
          </w:p>
        </w:tc>
      </w:tr>
      <w:tr w:rsidR="00195604" w:rsidTr="003B5831">
        <w:trPr>
          <w:jc w:val="center"/>
        </w:trPr>
        <w:tc>
          <w:tcPr>
            <w:tcW w:w="485" w:type="dxa"/>
          </w:tcPr>
          <w:p w:rsidR="00195604" w:rsidRPr="00497CFC" w:rsidRDefault="00195604" w:rsidP="0080019A">
            <w:pPr>
              <w:rPr>
                <w:rFonts w:ascii="Arial" w:hAnsi="Arial" w:cs="Arial"/>
              </w:rPr>
            </w:pPr>
          </w:p>
        </w:tc>
        <w:tc>
          <w:tcPr>
            <w:tcW w:w="558" w:type="dxa"/>
          </w:tcPr>
          <w:p w:rsidR="00195604" w:rsidRPr="00497CFC" w:rsidRDefault="00195604" w:rsidP="0080019A">
            <w:pPr>
              <w:rPr>
                <w:rFonts w:ascii="Arial" w:hAnsi="Arial" w:cs="Arial"/>
                <w:sz w:val="18"/>
                <w:szCs w:val="18"/>
              </w:rPr>
            </w:pPr>
          </w:p>
        </w:tc>
        <w:tc>
          <w:tcPr>
            <w:tcW w:w="777" w:type="dxa"/>
          </w:tcPr>
          <w:p w:rsidR="00195604" w:rsidRPr="00497CFC" w:rsidRDefault="00195604" w:rsidP="0080019A">
            <w:pPr>
              <w:rPr>
                <w:rFonts w:ascii="Arial" w:hAnsi="Arial" w:cs="Arial"/>
                <w:sz w:val="18"/>
                <w:szCs w:val="18"/>
              </w:rPr>
            </w:pPr>
            <w:r>
              <w:rPr>
                <w:rFonts w:ascii="Arial" w:hAnsi="Arial" w:cs="Arial"/>
                <w:sz w:val="18"/>
                <w:szCs w:val="18"/>
              </w:rPr>
              <w:t>II.1.2</w:t>
            </w:r>
          </w:p>
        </w:tc>
        <w:tc>
          <w:tcPr>
            <w:tcW w:w="7199" w:type="dxa"/>
          </w:tcPr>
          <w:p w:rsidR="00195604" w:rsidRPr="00497CFC" w:rsidRDefault="00195604" w:rsidP="0080019A">
            <w:pPr>
              <w:rPr>
                <w:rFonts w:ascii="Arial" w:hAnsi="Arial" w:cs="Arial"/>
              </w:rPr>
            </w:pPr>
            <w:r>
              <w:rPr>
                <w:rFonts w:ascii="Arial" w:hAnsi="Arial" w:cs="Arial"/>
              </w:rPr>
              <w:t>Indicadores Indirectos</w:t>
            </w:r>
          </w:p>
        </w:tc>
        <w:tc>
          <w:tcPr>
            <w:tcW w:w="486" w:type="dxa"/>
          </w:tcPr>
          <w:p w:rsidR="00195604" w:rsidRPr="00497CFC" w:rsidRDefault="00195604" w:rsidP="0080019A">
            <w:pPr>
              <w:rPr>
                <w:rFonts w:ascii="Arial" w:hAnsi="Arial" w:cs="Arial"/>
              </w:rPr>
            </w:pPr>
            <w:r>
              <w:rPr>
                <w:rFonts w:ascii="Arial" w:hAnsi="Arial" w:cs="Arial"/>
              </w:rPr>
              <w:t>4</w:t>
            </w:r>
          </w:p>
        </w:tc>
      </w:tr>
      <w:tr w:rsidR="00195604" w:rsidTr="003B5831">
        <w:trPr>
          <w:jc w:val="center"/>
        </w:trPr>
        <w:tc>
          <w:tcPr>
            <w:tcW w:w="485" w:type="dxa"/>
          </w:tcPr>
          <w:p w:rsidR="00195604" w:rsidRPr="00497CFC" w:rsidRDefault="00195604" w:rsidP="0080019A">
            <w:pPr>
              <w:rPr>
                <w:rFonts w:ascii="Arial" w:hAnsi="Arial" w:cs="Arial"/>
              </w:rPr>
            </w:pPr>
          </w:p>
        </w:tc>
        <w:tc>
          <w:tcPr>
            <w:tcW w:w="558" w:type="dxa"/>
          </w:tcPr>
          <w:p w:rsidR="00195604" w:rsidRPr="00497CFC" w:rsidRDefault="00195604" w:rsidP="0080019A">
            <w:pPr>
              <w:rPr>
                <w:rFonts w:ascii="Arial" w:hAnsi="Arial" w:cs="Arial"/>
                <w:sz w:val="18"/>
                <w:szCs w:val="18"/>
              </w:rPr>
            </w:pPr>
            <w:r>
              <w:rPr>
                <w:rFonts w:ascii="Arial" w:hAnsi="Arial" w:cs="Arial"/>
                <w:sz w:val="18"/>
                <w:szCs w:val="18"/>
              </w:rPr>
              <w:t>II.2</w:t>
            </w:r>
          </w:p>
        </w:tc>
        <w:tc>
          <w:tcPr>
            <w:tcW w:w="7976" w:type="dxa"/>
            <w:gridSpan w:val="2"/>
          </w:tcPr>
          <w:p w:rsidR="00195604" w:rsidRDefault="00195604" w:rsidP="0080019A">
            <w:pPr>
              <w:rPr>
                <w:rFonts w:ascii="Arial" w:hAnsi="Arial" w:cs="Arial"/>
              </w:rPr>
            </w:pPr>
            <w:r>
              <w:rPr>
                <w:rFonts w:ascii="Arial" w:hAnsi="Arial" w:cs="Arial"/>
              </w:rPr>
              <w:t xml:space="preserve">Ingesta Dietética </w:t>
            </w:r>
          </w:p>
        </w:tc>
        <w:tc>
          <w:tcPr>
            <w:tcW w:w="486" w:type="dxa"/>
          </w:tcPr>
          <w:p w:rsidR="00195604" w:rsidRDefault="00195604" w:rsidP="0080019A">
            <w:pPr>
              <w:rPr>
                <w:rFonts w:ascii="Arial" w:hAnsi="Arial" w:cs="Arial"/>
              </w:rPr>
            </w:pPr>
            <w:r>
              <w:rPr>
                <w:rFonts w:ascii="Arial" w:hAnsi="Arial" w:cs="Arial"/>
              </w:rPr>
              <w:t>5</w:t>
            </w:r>
          </w:p>
        </w:tc>
      </w:tr>
      <w:tr w:rsidR="00195604" w:rsidTr="003B5831">
        <w:trPr>
          <w:jc w:val="center"/>
        </w:trPr>
        <w:tc>
          <w:tcPr>
            <w:tcW w:w="485" w:type="dxa"/>
          </w:tcPr>
          <w:p w:rsidR="00195604" w:rsidRPr="00497CFC" w:rsidRDefault="00195604" w:rsidP="0080019A">
            <w:pPr>
              <w:rPr>
                <w:rFonts w:ascii="Arial" w:hAnsi="Arial" w:cs="Arial"/>
              </w:rPr>
            </w:pPr>
          </w:p>
        </w:tc>
        <w:tc>
          <w:tcPr>
            <w:tcW w:w="558" w:type="dxa"/>
          </w:tcPr>
          <w:p w:rsidR="00195604" w:rsidRDefault="00195604" w:rsidP="0080019A">
            <w:pPr>
              <w:rPr>
                <w:rFonts w:ascii="Arial" w:hAnsi="Arial" w:cs="Arial"/>
                <w:sz w:val="18"/>
                <w:szCs w:val="18"/>
              </w:rPr>
            </w:pPr>
            <w:r>
              <w:rPr>
                <w:rFonts w:ascii="Arial" w:hAnsi="Arial" w:cs="Arial"/>
                <w:sz w:val="18"/>
                <w:szCs w:val="18"/>
              </w:rPr>
              <w:t>II.3</w:t>
            </w:r>
          </w:p>
        </w:tc>
        <w:tc>
          <w:tcPr>
            <w:tcW w:w="7976" w:type="dxa"/>
            <w:gridSpan w:val="2"/>
          </w:tcPr>
          <w:p w:rsidR="00195604" w:rsidRDefault="00195604" w:rsidP="0080019A">
            <w:pPr>
              <w:rPr>
                <w:rFonts w:ascii="Arial" w:hAnsi="Arial" w:cs="Arial"/>
              </w:rPr>
            </w:pPr>
            <w:r>
              <w:rPr>
                <w:rFonts w:ascii="Arial" w:hAnsi="Arial" w:cs="Arial"/>
              </w:rPr>
              <w:t>Infecciones de Transmisión Sexual y Neoplasia Intraepitelial de Cervix Uterino</w:t>
            </w:r>
          </w:p>
        </w:tc>
        <w:tc>
          <w:tcPr>
            <w:tcW w:w="486" w:type="dxa"/>
          </w:tcPr>
          <w:p w:rsidR="00195604" w:rsidRDefault="00195604" w:rsidP="0080019A">
            <w:pPr>
              <w:rPr>
                <w:rFonts w:ascii="Arial" w:hAnsi="Arial" w:cs="Arial"/>
              </w:rPr>
            </w:pPr>
            <w:r>
              <w:rPr>
                <w:rFonts w:ascii="Arial" w:hAnsi="Arial" w:cs="Arial"/>
              </w:rPr>
              <w:t>6</w:t>
            </w:r>
          </w:p>
        </w:tc>
      </w:tr>
      <w:tr w:rsidR="00195604" w:rsidTr="003B5831">
        <w:trPr>
          <w:jc w:val="center"/>
        </w:trPr>
        <w:tc>
          <w:tcPr>
            <w:tcW w:w="485" w:type="dxa"/>
          </w:tcPr>
          <w:p w:rsidR="00195604" w:rsidRPr="00497CFC" w:rsidRDefault="00195604" w:rsidP="0080019A">
            <w:pPr>
              <w:rPr>
                <w:rFonts w:ascii="Arial" w:hAnsi="Arial" w:cs="Arial"/>
              </w:rPr>
            </w:pPr>
            <w:r>
              <w:rPr>
                <w:rFonts w:ascii="Arial" w:hAnsi="Arial" w:cs="Arial"/>
              </w:rPr>
              <w:t>III</w:t>
            </w:r>
          </w:p>
        </w:tc>
        <w:tc>
          <w:tcPr>
            <w:tcW w:w="8534" w:type="dxa"/>
            <w:gridSpan w:val="3"/>
          </w:tcPr>
          <w:p w:rsidR="00195604" w:rsidRDefault="00195604" w:rsidP="0080019A">
            <w:pPr>
              <w:rPr>
                <w:rFonts w:ascii="Arial" w:hAnsi="Arial" w:cs="Arial"/>
              </w:rPr>
            </w:pPr>
            <w:r>
              <w:rPr>
                <w:rFonts w:ascii="Arial" w:hAnsi="Arial" w:cs="Arial"/>
              </w:rPr>
              <w:t>Planteamiento del problema</w:t>
            </w:r>
          </w:p>
        </w:tc>
        <w:tc>
          <w:tcPr>
            <w:tcW w:w="486" w:type="dxa"/>
          </w:tcPr>
          <w:p w:rsidR="00195604" w:rsidRDefault="00195604" w:rsidP="0080019A">
            <w:pPr>
              <w:rPr>
                <w:rFonts w:ascii="Arial" w:hAnsi="Arial" w:cs="Arial"/>
              </w:rPr>
            </w:pPr>
            <w:r>
              <w:rPr>
                <w:rFonts w:ascii="Arial" w:hAnsi="Arial" w:cs="Arial"/>
              </w:rPr>
              <w:t>9</w:t>
            </w:r>
          </w:p>
        </w:tc>
      </w:tr>
      <w:tr w:rsidR="00195604" w:rsidTr="003B5831">
        <w:trPr>
          <w:jc w:val="center"/>
        </w:trPr>
        <w:tc>
          <w:tcPr>
            <w:tcW w:w="485" w:type="dxa"/>
          </w:tcPr>
          <w:p w:rsidR="00195604" w:rsidRDefault="00195604" w:rsidP="0080019A">
            <w:pPr>
              <w:rPr>
                <w:rFonts w:ascii="Arial" w:hAnsi="Arial" w:cs="Arial"/>
              </w:rPr>
            </w:pPr>
            <w:r>
              <w:rPr>
                <w:rFonts w:ascii="Arial" w:hAnsi="Arial" w:cs="Arial"/>
              </w:rPr>
              <w:t>IV</w:t>
            </w:r>
          </w:p>
        </w:tc>
        <w:tc>
          <w:tcPr>
            <w:tcW w:w="8534" w:type="dxa"/>
            <w:gridSpan w:val="3"/>
          </w:tcPr>
          <w:p w:rsidR="00195604" w:rsidRDefault="00195604" w:rsidP="0080019A">
            <w:pPr>
              <w:rPr>
                <w:rFonts w:ascii="Arial" w:hAnsi="Arial" w:cs="Arial"/>
              </w:rPr>
            </w:pPr>
            <w:r>
              <w:rPr>
                <w:rFonts w:ascii="Arial" w:hAnsi="Arial" w:cs="Arial"/>
              </w:rPr>
              <w:t>Objetivos</w:t>
            </w:r>
          </w:p>
        </w:tc>
        <w:tc>
          <w:tcPr>
            <w:tcW w:w="486" w:type="dxa"/>
          </w:tcPr>
          <w:p w:rsidR="00195604" w:rsidRDefault="00195604" w:rsidP="0080019A">
            <w:pPr>
              <w:rPr>
                <w:rFonts w:ascii="Arial" w:hAnsi="Arial" w:cs="Arial"/>
              </w:rPr>
            </w:pPr>
            <w:r>
              <w:rPr>
                <w:rFonts w:ascii="Arial" w:hAnsi="Arial" w:cs="Arial"/>
              </w:rPr>
              <w:t>10</w:t>
            </w:r>
          </w:p>
        </w:tc>
      </w:tr>
      <w:tr w:rsidR="00195604" w:rsidTr="003B5831">
        <w:trPr>
          <w:jc w:val="center"/>
        </w:trPr>
        <w:tc>
          <w:tcPr>
            <w:tcW w:w="485" w:type="dxa"/>
          </w:tcPr>
          <w:p w:rsidR="00195604" w:rsidRDefault="00195604" w:rsidP="0080019A">
            <w:pPr>
              <w:rPr>
                <w:rFonts w:ascii="Arial" w:hAnsi="Arial" w:cs="Arial"/>
              </w:rPr>
            </w:pPr>
            <w:r>
              <w:rPr>
                <w:rFonts w:ascii="Arial" w:hAnsi="Arial" w:cs="Arial"/>
              </w:rPr>
              <w:t>V</w:t>
            </w:r>
          </w:p>
        </w:tc>
        <w:tc>
          <w:tcPr>
            <w:tcW w:w="8534" w:type="dxa"/>
            <w:gridSpan w:val="3"/>
          </w:tcPr>
          <w:p w:rsidR="00195604" w:rsidRDefault="00195604" w:rsidP="0080019A">
            <w:pPr>
              <w:rPr>
                <w:rFonts w:ascii="Arial" w:hAnsi="Arial" w:cs="Arial"/>
              </w:rPr>
            </w:pPr>
            <w:r>
              <w:rPr>
                <w:rFonts w:ascii="Arial" w:hAnsi="Arial" w:cs="Arial"/>
              </w:rPr>
              <w:t>Diseño Metodológico</w:t>
            </w:r>
          </w:p>
        </w:tc>
        <w:tc>
          <w:tcPr>
            <w:tcW w:w="486" w:type="dxa"/>
          </w:tcPr>
          <w:p w:rsidR="00195604" w:rsidRDefault="00195604" w:rsidP="0080019A">
            <w:pPr>
              <w:rPr>
                <w:rFonts w:ascii="Arial" w:hAnsi="Arial" w:cs="Arial"/>
              </w:rPr>
            </w:pPr>
            <w:r>
              <w:rPr>
                <w:rFonts w:ascii="Arial" w:hAnsi="Arial" w:cs="Arial"/>
              </w:rPr>
              <w:t>10</w:t>
            </w:r>
          </w:p>
        </w:tc>
      </w:tr>
      <w:tr w:rsidR="00195604" w:rsidTr="003B5831">
        <w:trPr>
          <w:jc w:val="center"/>
        </w:trPr>
        <w:tc>
          <w:tcPr>
            <w:tcW w:w="485" w:type="dxa"/>
          </w:tcPr>
          <w:p w:rsidR="00195604" w:rsidRDefault="00195604" w:rsidP="0080019A">
            <w:pPr>
              <w:rPr>
                <w:rFonts w:ascii="Arial" w:hAnsi="Arial" w:cs="Arial"/>
              </w:rPr>
            </w:pPr>
          </w:p>
        </w:tc>
        <w:tc>
          <w:tcPr>
            <w:tcW w:w="558" w:type="dxa"/>
          </w:tcPr>
          <w:p w:rsidR="00195604" w:rsidRDefault="00195604" w:rsidP="0080019A">
            <w:pPr>
              <w:rPr>
                <w:rFonts w:ascii="Arial" w:hAnsi="Arial" w:cs="Arial"/>
              </w:rPr>
            </w:pPr>
            <w:r>
              <w:rPr>
                <w:rFonts w:ascii="Arial" w:hAnsi="Arial" w:cs="Arial"/>
              </w:rPr>
              <w:t>V.1</w:t>
            </w:r>
          </w:p>
        </w:tc>
        <w:tc>
          <w:tcPr>
            <w:tcW w:w="7976" w:type="dxa"/>
            <w:gridSpan w:val="2"/>
          </w:tcPr>
          <w:p w:rsidR="00195604" w:rsidRDefault="00195604" w:rsidP="0080019A">
            <w:pPr>
              <w:rPr>
                <w:rFonts w:ascii="Arial" w:hAnsi="Arial" w:cs="Arial"/>
              </w:rPr>
            </w:pPr>
            <w:r>
              <w:rPr>
                <w:rFonts w:ascii="Arial" w:hAnsi="Arial" w:cs="Arial"/>
              </w:rPr>
              <w:t>Método</w:t>
            </w:r>
          </w:p>
        </w:tc>
        <w:tc>
          <w:tcPr>
            <w:tcW w:w="486" w:type="dxa"/>
          </w:tcPr>
          <w:p w:rsidR="00195604" w:rsidRDefault="00195604" w:rsidP="0080019A">
            <w:pPr>
              <w:rPr>
                <w:rFonts w:ascii="Arial" w:hAnsi="Arial" w:cs="Arial"/>
              </w:rPr>
            </w:pPr>
            <w:r>
              <w:rPr>
                <w:rFonts w:ascii="Arial" w:hAnsi="Arial" w:cs="Arial"/>
              </w:rPr>
              <w:t>10</w:t>
            </w:r>
          </w:p>
        </w:tc>
      </w:tr>
      <w:tr w:rsidR="00195604" w:rsidTr="003B5831">
        <w:trPr>
          <w:jc w:val="center"/>
        </w:trPr>
        <w:tc>
          <w:tcPr>
            <w:tcW w:w="485" w:type="dxa"/>
          </w:tcPr>
          <w:p w:rsidR="00195604" w:rsidRDefault="00195604" w:rsidP="0080019A">
            <w:pPr>
              <w:rPr>
                <w:rFonts w:ascii="Arial" w:hAnsi="Arial" w:cs="Arial"/>
              </w:rPr>
            </w:pPr>
            <w:r>
              <w:rPr>
                <w:rFonts w:ascii="Arial" w:hAnsi="Arial" w:cs="Arial"/>
              </w:rPr>
              <w:t>VI</w:t>
            </w:r>
          </w:p>
        </w:tc>
        <w:tc>
          <w:tcPr>
            <w:tcW w:w="8534" w:type="dxa"/>
            <w:gridSpan w:val="3"/>
          </w:tcPr>
          <w:p w:rsidR="00195604" w:rsidRDefault="00195604" w:rsidP="0080019A">
            <w:pPr>
              <w:rPr>
                <w:rFonts w:ascii="Arial" w:hAnsi="Arial" w:cs="Arial"/>
              </w:rPr>
            </w:pPr>
            <w:r>
              <w:rPr>
                <w:rFonts w:ascii="Arial" w:hAnsi="Arial" w:cs="Arial"/>
              </w:rPr>
              <w:t xml:space="preserve">Resultados </w:t>
            </w:r>
          </w:p>
        </w:tc>
        <w:tc>
          <w:tcPr>
            <w:tcW w:w="486" w:type="dxa"/>
          </w:tcPr>
          <w:p w:rsidR="00195604" w:rsidRDefault="00195604" w:rsidP="0080019A">
            <w:pPr>
              <w:rPr>
                <w:rFonts w:ascii="Arial" w:hAnsi="Arial" w:cs="Arial"/>
              </w:rPr>
            </w:pPr>
            <w:r>
              <w:rPr>
                <w:rFonts w:ascii="Arial" w:hAnsi="Arial" w:cs="Arial"/>
              </w:rPr>
              <w:t>11</w:t>
            </w:r>
          </w:p>
        </w:tc>
      </w:tr>
      <w:tr w:rsidR="00195604" w:rsidTr="003B5831">
        <w:trPr>
          <w:jc w:val="center"/>
        </w:trPr>
        <w:tc>
          <w:tcPr>
            <w:tcW w:w="485" w:type="dxa"/>
          </w:tcPr>
          <w:p w:rsidR="00195604" w:rsidRDefault="00195604" w:rsidP="0080019A">
            <w:pPr>
              <w:rPr>
                <w:rFonts w:ascii="Arial" w:hAnsi="Arial" w:cs="Arial"/>
              </w:rPr>
            </w:pPr>
            <w:r>
              <w:rPr>
                <w:rFonts w:ascii="Arial" w:hAnsi="Arial" w:cs="Arial"/>
              </w:rPr>
              <w:t>VII</w:t>
            </w:r>
          </w:p>
        </w:tc>
        <w:tc>
          <w:tcPr>
            <w:tcW w:w="8534" w:type="dxa"/>
            <w:gridSpan w:val="3"/>
          </w:tcPr>
          <w:p w:rsidR="00195604" w:rsidRDefault="00195604" w:rsidP="0080019A">
            <w:pPr>
              <w:rPr>
                <w:rFonts w:ascii="Arial" w:hAnsi="Arial" w:cs="Arial"/>
              </w:rPr>
            </w:pPr>
            <w:r>
              <w:rPr>
                <w:rFonts w:ascii="Arial" w:hAnsi="Arial" w:cs="Arial"/>
              </w:rPr>
              <w:t xml:space="preserve">Discusión </w:t>
            </w:r>
          </w:p>
        </w:tc>
        <w:tc>
          <w:tcPr>
            <w:tcW w:w="486" w:type="dxa"/>
          </w:tcPr>
          <w:p w:rsidR="00195604" w:rsidRDefault="00195604" w:rsidP="0080019A">
            <w:pPr>
              <w:rPr>
                <w:rFonts w:ascii="Arial" w:hAnsi="Arial" w:cs="Arial"/>
              </w:rPr>
            </w:pPr>
            <w:r>
              <w:rPr>
                <w:rFonts w:ascii="Arial" w:hAnsi="Arial" w:cs="Arial"/>
              </w:rPr>
              <w:t>15</w:t>
            </w:r>
          </w:p>
        </w:tc>
      </w:tr>
      <w:tr w:rsidR="00195604" w:rsidTr="003B5831">
        <w:trPr>
          <w:jc w:val="center"/>
        </w:trPr>
        <w:tc>
          <w:tcPr>
            <w:tcW w:w="9019" w:type="dxa"/>
            <w:gridSpan w:val="4"/>
          </w:tcPr>
          <w:p w:rsidR="00195604" w:rsidRDefault="00195604" w:rsidP="0080019A">
            <w:pPr>
              <w:rPr>
                <w:rFonts w:ascii="Arial" w:hAnsi="Arial" w:cs="Arial"/>
              </w:rPr>
            </w:pPr>
            <w:r>
              <w:rPr>
                <w:rFonts w:ascii="Arial" w:hAnsi="Arial" w:cs="Arial"/>
              </w:rPr>
              <w:t xml:space="preserve">Referencias  </w:t>
            </w:r>
          </w:p>
        </w:tc>
        <w:tc>
          <w:tcPr>
            <w:tcW w:w="486" w:type="dxa"/>
          </w:tcPr>
          <w:p w:rsidR="00195604" w:rsidRDefault="00195604" w:rsidP="0080019A">
            <w:pPr>
              <w:rPr>
                <w:rFonts w:ascii="Arial" w:hAnsi="Arial" w:cs="Arial"/>
              </w:rPr>
            </w:pPr>
            <w:r>
              <w:rPr>
                <w:rFonts w:ascii="Arial" w:hAnsi="Arial" w:cs="Arial"/>
              </w:rPr>
              <w:t>18</w:t>
            </w:r>
          </w:p>
        </w:tc>
      </w:tr>
    </w:tbl>
    <w:p w:rsidR="00195604" w:rsidRDefault="00195604" w:rsidP="004E41F3">
      <w:pPr>
        <w:spacing w:line="240" w:lineRule="auto"/>
        <w:jc w:val="both"/>
        <w:rPr>
          <w:rFonts w:ascii="Arial" w:hAnsi="Arial" w:cs="Arial"/>
          <w:b/>
          <w:color w:val="548DD4" w:themeColor="text2" w:themeTint="99"/>
          <w:sz w:val="28"/>
          <w:szCs w:val="28"/>
        </w:rPr>
        <w:sectPr w:rsidR="00195604" w:rsidSect="0089245C">
          <w:headerReference w:type="default" r:id="rId16"/>
          <w:footerReference w:type="default" r:id="rId17"/>
          <w:pgSz w:w="12240" w:h="15840"/>
          <w:pgMar w:top="567" w:right="567" w:bottom="567" w:left="567" w:header="709" w:footer="709" w:gutter="0"/>
          <w:cols w:space="708"/>
          <w:docGrid w:linePitch="360"/>
        </w:sectPr>
      </w:pPr>
    </w:p>
    <w:p w:rsidR="00CB6736" w:rsidRPr="00FE4800" w:rsidRDefault="00FE4800" w:rsidP="004E41F3">
      <w:pPr>
        <w:spacing w:line="240" w:lineRule="auto"/>
        <w:jc w:val="both"/>
        <w:rPr>
          <w:rFonts w:ascii="Arial" w:hAnsi="Arial" w:cs="Arial"/>
          <w:b/>
          <w:color w:val="548DD4" w:themeColor="text2" w:themeTint="99"/>
          <w:sz w:val="28"/>
          <w:szCs w:val="28"/>
        </w:rPr>
      </w:pPr>
      <w:r w:rsidRPr="00FE4800">
        <w:rPr>
          <w:rFonts w:ascii="Arial" w:hAnsi="Arial" w:cs="Arial"/>
          <w:b/>
          <w:color w:val="548DD4" w:themeColor="text2" w:themeTint="99"/>
          <w:sz w:val="28"/>
          <w:szCs w:val="28"/>
        </w:rPr>
        <w:lastRenderedPageBreak/>
        <w:t>CAPÍTULO DE LIBRO</w:t>
      </w:r>
    </w:p>
    <w:p w:rsidR="00AC7B76" w:rsidRDefault="00145BF0" w:rsidP="004E41F3">
      <w:pPr>
        <w:spacing w:line="240" w:lineRule="auto"/>
        <w:jc w:val="both"/>
        <w:rPr>
          <w:rFonts w:ascii="Arial" w:hAnsi="Arial" w:cs="Arial"/>
          <w:b/>
          <w:sz w:val="24"/>
          <w:szCs w:val="24"/>
        </w:rPr>
      </w:pPr>
      <w:r w:rsidRPr="00145BF0">
        <w:rPr>
          <w:rFonts w:ascii="Arial" w:hAnsi="Arial" w:cs="Arial"/>
          <w:b/>
          <w:sz w:val="24"/>
          <w:szCs w:val="24"/>
        </w:rPr>
        <w:t>EVALUACIÓN DEL ESTADO DE NUTRICIÓN EN MUJERES QUE ACUDEN POR LESIONES DEL CÉRVIX UTERINO A LA CLÍNICA DE COLPOSCOPIA DEL HOSPITAL GENERAL VALENTÍN GÓMEZ FARÍAS.</w:t>
      </w:r>
    </w:p>
    <w:p w:rsidR="00803EFB" w:rsidRPr="00803EFB" w:rsidRDefault="00803EFB" w:rsidP="00803EFB">
      <w:pPr>
        <w:spacing w:after="0" w:line="240" w:lineRule="auto"/>
        <w:jc w:val="both"/>
        <w:rPr>
          <w:rFonts w:ascii="Arial" w:hAnsi="Arial" w:cs="Arial"/>
          <w:sz w:val="24"/>
          <w:szCs w:val="24"/>
        </w:rPr>
      </w:pPr>
      <w:r w:rsidRPr="00803EFB">
        <w:rPr>
          <w:rFonts w:ascii="Arial" w:hAnsi="Arial" w:cs="Arial"/>
          <w:sz w:val="24"/>
          <w:szCs w:val="24"/>
        </w:rPr>
        <w:t>M en Nut. Clínica. María de los Ángeles Maya Martínez, P. Lic. en Nut. Diana Carolina García González, Dr. Donovan Casas Patiño.</w:t>
      </w:r>
      <w:r>
        <w:rPr>
          <w:rFonts w:ascii="Arial" w:hAnsi="Arial" w:cs="Arial"/>
          <w:sz w:val="24"/>
          <w:szCs w:val="24"/>
        </w:rPr>
        <w:t xml:space="preserve"> Dr. Víctor Antonio Moreno Espinosa.</w:t>
      </w:r>
    </w:p>
    <w:p w:rsidR="00803EFB" w:rsidRPr="00803EFB" w:rsidRDefault="00803EFB" w:rsidP="00803EFB">
      <w:pPr>
        <w:spacing w:after="0" w:line="240" w:lineRule="auto"/>
        <w:jc w:val="both"/>
        <w:rPr>
          <w:rFonts w:ascii="Arial" w:hAnsi="Arial" w:cs="Arial"/>
          <w:sz w:val="24"/>
          <w:szCs w:val="24"/>
        </w:rPr>
      </w:pPr>
      <w:r w:rsidRPr="00803EFB">
        <w:rPr>
          <w:rFonts w:ascii="Arial" w:hAnsi="Arial" w:cs="Arial"/>
          <w:sz w:val="24"/>
          <w:szCs w:val="24"/>
        </w:rPr>
        <w:t>Centro Universitario UAEM Amecameca</w:t>
      </w:r>
    </w:p>
    <w:p w:rsidR="00803EFB" w:rsidRDefault="00803EFB" w:rsidP="00803EFB">
      <w:pPr>
        <w:spacing w:after="0" w:line="240" w:lineRule="auto"/>
        <w:jc w:val="both"/>
        <w:rPr>
          <w:rFonts w:ascii="Arial" w:hAnsi="Arial" w:cs="Arial"/>
          <w:sz w:val="24"/>
          <w:szCs w:val="24"/>
        </w:rPr>
      </w:pPr>
      <w:r w:rsidRPr="00803EFB">
        <w:rPr>
          <w:rFonts w:ascii="Arial" w:hAnsi="Arial" w:cs="Arial"/>
          <w:sz w:val="24"/>
          <w:szCs w:val="24"/>
        </w:rPr>
        <w:t xml:space="preserve">Correo electrónico: </w:t>
      </w:r>
      <w:hyperlink r:id="rId18" w:history="1">
        <w:r w:rsidRPr="00383109">
          <w:rPr>
            <w:rStyle w:val="Hipervnculo"/>
            <w:rFonts w:ascii="Arial" w:hAnsi="Arial" w:cs="Arial"/>
            <w:sz w:val="24"/>
            <w:szCs w:val="24"/>
          </w:rPr>
          <w:t>angelesmm_3@hotmail.com</w:t>
        </w:r>
      </w:hyperlink>
    </w:p>
    <w:p w:rsidR="00803EFB" w:rsidRPr="00803EFB" w:rsidRDefault="00803EFB" w:rsidP="00803EFB">
      <w:pPr>
        <w:spacing w:after="0" w:line="240" w:lineRule="auto"/>
        <w:jc w:val="both"/>
        <w:rPr>
          <w:rFonts w:ascii="Arial" w:hAnsi="Arial" w:cs="Arial"/>
          <w:sz w:val="24"/>
          <w:szCs w:val="24"/>
        </w:rPr>
      </w:pPr>
    </w:p>
    <w:p w:rsidR="00125852" w:rsidRDefault="00AD0729" w:rsidP="004E41F3">
      <w:pPr>
        <w:pStyle w:val="Prrafodelista"/>
        <w:numPr>
          <w:ilvl w:val="0"/>
          <w:numId w:val="5"/>
        </w:numPr>
        <w:spacing w:line="240" w:lineRule="auto"/>
        <w:jc w:val="both"/>
        <w:rPr>
          <w:rFonts w:ascii="Arial" w:hAnsi="Arial" w:cs="Arial"/>
          <w:b/>
          <w:sz w:val="24"/>
          <w:szCs w:val="24"/>
        </w:rPr>
      </w:pPr>
      <w:r w:rsidRPr="00145BF0">
        <w:rPr>
          <w:rFonts w:ascii="Arial" w:hAnsi="Arial" w:cs="Arial"/>
          <w:b/>
          <w:sz w:val="24"/>
          <w:szCs w:val="24"/>
        </w:rPr>
        <w:t>INTRODUCCIÓN</w:t>
      </w:r>
    </w:p>
    <w:p w:rsidR="005F1665" w:rsidRDefault="005F1665" w:rsidP="005F1665">
      <w:pPr>
        <w:spacing w:line="240" w:lineRule="auto"/>
        <w:jc w:val="both"/>
        <w:rPr>
          <w:rFonts w:ascii="Arial" w:hAnsi="Arial" w:cs="Arial"/>
          <w:color w:val="000000" w:themeColor="text1"/>
          <w:sz w:val="24"/>
          <w:szCs w:val="24"/>
        </w:rPr>
      </w:pPr>
      <w:r w:rsidRPr="005F1665">
        <w:rPr>
          <w:rFonts w:ascii="Arial" w:hAnsi="Arial" w:cs="Arial"/>
          <w:color w:val="000000" w:themeColor="text1"/>
          <w:sz w:val="24"/>
          <w:szCs w:val="24"/>
        </w:rPr>
        <w:t xml:space="preserve">En las etapas de detección y tratamiento de las lesiones del cérvix uterino la paciente está en situación de estrés lo cual puede repercutir en su estado de nutrición. (Martínez, </w:t>
      </w:r>
      <w:r>
        <w:rPr>
          <w:rFonts w:ascii="Arial" w:hAnsi="Arial" w:cs="Arial"/>
          <w:color w:val="000000" w:themeColor="text1"/>
          <w:sz w:val="24"/>
          <w:szCs w:val="24"/>
        </w:rPr>
        <w:t>Navarro, Santoyo y Pita, 2011). La evaluación del Estado de N</w:t>
      </w:r>
      <w:r w:rsidRPr="005F1665">
        <w:rPr>
          <w:rFonts w:ascii="Arial" w:hAnsi="Arial" w:cs="Arial"/>
          <w:color w:val="000000" w:themeColor="text1"/>
          <w:sz w:val="24"/>
          <w:szCs w:val="24"/>
        </w:rPr>
        <w:t>utrición se realiza por parámetros clínicos, antropométricos, dietéticos y bioquímicos que dan como resultado un diagnóstico certero que permite establecer las deficiencias o excesos que como comorbilidad pueden alterar el curso de una lesión pre neoplásica o neoplásica; además el tipo</w:t>
      </w:r>
      <w:r>
        <w:rPr>
          <w:rFonts w:ascii="Arial" w:hAnsi="Arial" w:cs="Arial"/>
          <w:color w:val="000000" w:themeColor="text1"/>
          <w:sz w:val="24"/>
          <w:szCs w:val="24"/>
        </w:rPr>
        <w:t xml:space="preserve"> de alimento</w:t>
      </w:r>
      <w:r w:rsidRPr="005F1665">
        <w:rPr>
          <w:rFonts w:ascii="Arial" w:hAnsi="Arial" w:cs="Arial"/>
          <w:color w:val="000000" w:themeColor="text1"/>
          <w:sz w:val="24"/>
          <w:szCs w:val="24"/>
        </w:rPr>
        <w:t xml:space="preserve"> que estén ingiriendo las pacientes repercutirá en la evolución de la lesión, aun cuando no hay datos contundentes entre la relación que existe entre alimentación y cáncer ya desde 1984 el Instituto Nacional de Cáncer en estados Unidos estableció que 35% de los tumores tenían su origen o estaban relacionados con factores alimentarios, la ingesta de alcohol, carne, dietas ricas en grasas incrementan el riesgo de padecer cierto tipo de cáncer, en reciprocidad la ingesta de frutas y verduras disminuye el riesgo a padecer cáncer del tubo digestivo y posiblemente el de ovari</w:t>
      </w:r>
      <w:r>
        <w:rPr>
          <w:rFonts w:ascii="Arial" w:hAnsi="Arial" w:cs="Arial"/>
          <w:color w:val="000000" w:themeColor="text1"/>
          <w:sz w:val="24"/>
          <w:szCs w:val="24"/>
        </w:rPr>
        <w:t xml:space="preserve">o, endometrio y cérvix uterino. </w:t>
      </w:r>
    </w:p>
    <w:p w:rsidR="005F1665" w:rsidRDefault="005F1665" w:rsidP="005F1665">
      <w:pPr>
        <w:spacing w:line="240" w:lineRule="auto"/>
        <w:jc w:val="both"/>
        <w:rPr>
          <w:rFonts w:ascii="Arial" w:hAnsi="Arial" w:cs="Arial"/>
          <w:color w:val="000000" w:themeColor="text1"/>
          <w:sz w:val="24"/>
          <w:szCs w:val="24"/>
        </w:rPr>
      </w:pPr>
      <w:r w:rsidRPr="005F1665">
        <w:rPr>
          <w:rFonts w:ascii="Arial" w:hAnsi="Arial" w:cs="Arial"/>
          <w:color w:val="000000" w:themeColor="text1"/>
          <w:sz w:val="24"/>
          <w:szCs w:val="24"/>
        </w:rPr>
        <w:t>En definitiva, las dietas hipercalóricas, ricas en grasa y proteínas son las más peligrosas, junto con algunas formas de cocinar como la barbacoa, ahumados, salazón, etc. Por el contrario, la fibra (insoluble sobre todo), vitaminas y algunos minerales forman el grupo de protectores frente a las lesiones premalignas y malignas.</w:t>
      </w:r>
    </w:p>
    <w:p w:rsidR="005F1665" w:rsidRDefault="005F1665" w:rsidP="00125852">
      <w:pPr>
        <w:spacing w:line="240" w:lineRule="auto"/>
        <w:jc w:val="both"/>
        <w:rPr>
          <w:rFonts w:ascii="Arial" w:hAnsi="Arial" w:cs="Arial"/>
          <w:color w:val="000000" w:themeColor="text1"/>
          <w:sz w:val="24"/>
          <w:szCs w:val="24"/>
        </w:rPr>
      </w:pPr>
      <w:r>
        <w:rPr>
          <w:rFonts w:ascii="Arial" w:hAnsi="Arial" w:cs="Arial"/>
          <w:color w:val="000000" w:themeColor="text1"/>
          <w:sz w:val="24"/>
          <w:szCs w:val="24"/>
        </w:rPr>
        <w:t>El objetivo de la investigación fue determinar el Estado de N</w:t>
      </w:r>
      <w:r w:rsidRPr="005F1665">
        <w:rPr>
          <w:rFonts w:ascii="Arial" w:hAnsi="Arial" w:cs="Arial"/>
          <w:color w:val="000000" w:themeColor="text1"/>
          <w:sz w:val="24"/>
          <w:szCs w:val="24"/>
        </w:rPr>
        <w:t xml:space="preserve">utrición e ingesta dietética de las mujeres que acuden por lesiones del cérvix uterino a la clínica de displasias del Hospital General Valentín Gómez Farías. </w:t>
      </w:r>
    </w:p>
    <w:p w:rsidR="00125852" w:rsidRPr="005F1665" w:rsidRDefault="005F1665" w:rsidP="00125852">
      <w:pPr>
        <w:spacing w:line="240" w:lineRule="auto"/>
        <w:jc w:val="both"/>
        <w:rPr>
          <w:rFonts w:ascii="Arial" w:hAnsi="Arial" w:cs="Arial"/>
          <w:b/>
          <w:sz w:val="24"/>
          <w:szCs w:val="24"/>
        </w:rPr>
      </w:pPr>
      <w:r w:rsidRPr="005F1665">
        <w:rPr>
          <w:rFonts w:ascii="Arial" w:hAnsi="Arial" w:cs="Arial"/>
          <w:b/>
          <w:color w:val="000000" w:themeColor="text1"/>
          <w:sz w:val="24"/>
          <w:szCs w:val="24"/>
        </w:rPr>
        <w:t>Metodología:</w:t>
      </w:r>
      <w:r w:rsidRPr="005F1665">
        <w:rPr>
          <w:rFonts w:ascii="Arial" w:hAnsi="Arial" w:cs="Arial"/>
          <w:color w:val="000000" w:themeColor="text1"/>
          <w:sz w:val="24"/>
          <w:szCs w:val="24"/>
        </w:rPr>
        <w:t xml:space="preserve"> estudio prospectivo, descriptivo, transversal, que valoro a 37 pacientes femeninas de 20 a 60 años, de la clínica de displasias, que aceptaron participar en el estudio con firma de consentimiento informado, las herramientas utilizadas fueron ficha de valoración antropométrica, reporte del equipo de impedancia eléctrica, los parámetros dietéticos se valoraron mediante la encuesta de recordatorio de 24 horas, la valoración y diagnostico colposcopico fue realizada por un especialista en el área. </w:t>
      </w:r>
      <w:r w:rsidRPr="005F1665">
        <w:rPr>
          <w:rFonts w:ascii="Arial" w:hAnsi="Arial" w:cs="Arial"/>
          <w:b/>
          <w:color w:val="000000" w:themeColor="text1"/>
          <w:sz w:val="24"/>
          <w:szCs w:val="24"/>
        </w:rPr>
        <w:t>Resultados:</w:t>
      </w:r>
      <w:r w:rsidRPr="005F1665">
        <w:rPr>
          <w:rFonts w:ascii="Arial" w:hAnsi="Arial" w:cs="Arial"/>
          <w:color w:val="000000" w:themeColor="text1"/>
          <w:sz w:val="24"/>
          <w:szCs w:val="24"/>
        </w:rPr>
        <w:t xml:space="preserve"> las edades que predominaron en el estudio fue de 31 a 40</w:t>
      </w:r>
      <w:r>
        <w:rPr>
          <w:rFonts w:ascii="Arial" w:hAnsi="Arial" w:cs="Arial"/>
          <w:color w:val="000000" w:themeColor="text1"/>
          <w:sz w:val="24"/>
          <w:szCs w:val="24"/>
        </w:rPr>
        <w:t xml:space="preserve"> años con (37.8%),</w:t>
      </w:r>
      <w:r w:rsidRPr="005F1665">
        <w:rPr>
          <w:rFonts w:ascii="Arial" w:hAnsi="Arial" w:cs="Arial"/>
          <w:color w:val="000000" w:themeColor="text1"/>
          <w:sz w:val="24"/>
          <w:szCs w:val="24"/>
        </w:rPr>
        <w:t xml:space="preserve"> en el estado de nutrición sobresalió sobrepeso en edades de 31 a 50 años con (35.12%), la neoplasia intraepitelial cervical grado (NIC I) fue más frecuente de 31 a 50 años con (54%) </w:t>
      </w:r>
      <w:r w:rsidRPr="005F1665">
        <w:rPr>
          <w:rFonts w:ascii="Arial" w:hAnsi="Arial" w:cs="Arial"/>
          <w:b/>
          <w:color w:val="000000" w:themeColor="text1"/>
          <w:sz w:val="24"/>
          <w:szCs w:val="24"/>
        </w:rPr>
        <w:t>Conclusión:</w:t>
      </w:r>
      <w:r w:rsidRPr="005F1665">
        <w:rPr>
          <w:rFonts w:ascii="Arial" w:hAnsi="Arial" w:cs="Arial"/>
          <w:color w:val="000000" w:themeColor="text1"/>
          <w:sz w:val="24"/>
          <w:szCs w:val="24"/>
        </w:rPr>
        <w:t xml:space="preserve"> en las mujeres del estudio predomino el sobrepeso y la obesidad con (70.22%) diagnósticos que pueden tener relación con el desarrollo de lesiones de cérvix uterino, además la ingesta dietética se encontró desequilibrada predominando los hidratos de carbono y bajo aporte de antioxidantes.</w:t>
      </w:r>
    </w:p>
    <w:p w:rsidR="00187BC9" w:rsidRDefault="00187BC9">
      <w:pPr>
        <w:rPr>
          <w:rFonts w:ascii="Arial" w:hAnsi="Arial" w:cs="Arial"/>
          <w:b/>
          <w:sz w:val="24"/>
          <w:szCs w:val="24"/>
        </w:rPr>
      </w:pPr>
      <w:r>
        <w:rPr>
          <w:rFonts w:ascii="Arial" w:hAnsi="Arial" w:cs="Arial"/>
          <w:b/>
          <w:sz w:val="24"/>
          <w:szCs w:val="24"/>
        </w:rPr>
        <w:br w:type="page"/>
      </w:r>
    </w:p>
    <w:p w:rsidR="00125852" w:rsidRDefault="00125852" w:rsidP="00125852">
      <w:pPr>
        <w:pStyle w:val="Prrafodelista"/>
        <w:numPr>
          <w:ilvl w:val="0"/>
          <w:numId w:val="5"/>
        </w:numPr>
        <w:spacing w:line="240" w:lineRule="auto"/>
        <w:jc w:val="both"/>
        <w:rPr>
          <w:rFonts w:ascii="Arial" w:hAnsi="Arial" w:cs="Arial"/>
          <w:b/>
          <w:sz w:val="24"/>
          <w:szCs w:val="24"/>
        </w:rPr>
      </w:pPr>
      <w:r>
        <w:rPr>
          <w:rFonts w:ascii="Arial" w:hAnsi="Arial" w:cs="Arial"/>
          <w:b/>
          <w:sz w:val="24"/>
          <w:szCs w:val="24"/>
        </w:rPr>
        <w:lastRenderedPageBreak/>
        <w:t>MARCO TEÓRICO</w:t>
      </w:r>
    </w:p>
    <w:p w:rsidR="00863BC0" w:rsidRPr="005F1665" w:rsidRDefault="005F1665" w:rsidP="005F1665">
      <w:pPr>
        <w:pStyle w:val="Prrafodelista"/>
        <w:spacing w:line="240" w:lineRule="auto"/>
        <w:ind w:left="1080"/>
        <w:jc w:val="both"/>
        <w:rPr>
          <w:rFonts w:ascii="Arial" w:hAnsi="Arial" w:cs="Arial"/>
          <w:b/>
          <w:sz w:val="24"/>
          <w:szCs w:val="24"/>
        </w:rPr>
      </w:pPr>
      <w:r>
        <w:rPr>
          <w:rFonts w:ascii="Arial" w:hAnsi="Arial" w:cs="Arial"/>
          <w:b/>
          <w:sz w:val="24"/>
          <w:szCs w:val="24"/>
        </w:rPr>
        <w:t xml:space="preserve">II.1 </w:t>
      </w:r>
      <w:r w:rsidR="00863BC0" w:rsidRPr="005F1665">
        <w:rPr>
          <w:rFonts w:ascii="Arial" w:hAnsi="Arial" w:cs="Arial"/>
          <w:b/>
          <w:sz w:val="24"/>
          <w:szCs w:val="24"/>
        </w:rPr>
        <w:t>Evaluación del Estado de Nutrición</w:t>
      </w:r>
    </w:p>
    <w:p w:rsidR="00BD4781" w:rsidRPr="00BD4781" w:rsidRDefault="00145BF0" w:rsidP="004E41F3">
      <w:pPr>
        <w:spacing w:line="240" w:lineRule="auto"/>
        <w:jc w:val="both"/>
        <w:rPr>
          <w:rFonts w:ascii="Arial" w:hAnsi="Arial" w:cs="Arial"/>
          <w:sz w:val="24"/>
          <w:szCs w:val="24"/>
        </w:rPr>
      </w:pPr>
      <w:r w:rsidRPr="00BD4781">
        <w:rPr>
          <w:rFonts w:ascii="Arial" w:hAnsi="Arial" w:cs="Arial"/>
          <w:sz w:val="24"/>
          <w:szCs w:val="24"/>
        </w:rPr>
        <w:t>El estado de nutrición es consecuencia de diferentes interacciones de tipo biológico, psicológico y social</w:t>
      </w:r>
      <w:r w:rsidR="00BD4781">
        <w:rPr>
          <w:rFonts w:ascii="Arial" w:hAnsi="Arial" w:cs="Arial"/>
          <w:sz w:val="24"/>
          <w:szCs w:val="24"/>
        </w:rPr>
        <w:t>, q</w:t>
      </w:r>
      <w:r w:rsidR="00BD4781" w:rsidRPr="00BD4781">
        <w:rPr>
          <w:rFonts w:ascii="Arial" w:hAnsi="Arial" w:cs="Arial"/>
          <w:sz w:val="24"/>
          <w:szCs w:val="24"/>
        </w:rPr>
        <w:t xml:space="preserve">ue resultan </w:t>
      </w:r>
      <w:r w:rsidR="00BD4781">
        <w:rPr>
          <w:rFonts w:ascii="Arial" w:hAnsi="Arial" w:cs="Arial"/>
          <w:sz w:val="24"/>
          <w:szCs w:val="24"/>
        </w:rPr>
        <w:t xml:space="preserve">de la interacción dinámica en el tiempo y en el espacio, de la alimentación (utilización de la energía y nutrimentos contenidos en los alimentos) en el metabolismo de los diferentes tejidos y órganos del cuerpo. Esta interacción puede estar </w:t>
      </w:r>
      <w:r w:rsidR="00631605">
        <w:rPr>
          <w:rFonts w:ascii="Arial" w:hAnsi="Arial" w:cs="Arial"/>
          <w:sz w:val="24"/>
          <w:szCs w:val="24"/>
        </w:rPr>
        <w:t>influenciada</w:t>
      </w:r>
      <w:r w:rsidR="00BD4781">
        <w:rPr>
          <w:rFonts w:ascii="Arial" w:hAnsi="Arial" w:cs="Arial"/>
          <w:sz w:val="24"/>
          <w:szCs w:val="24"/>
        </w:rPr>
        <w:t xml:space="preserve"> </w:t>
      </w:r>
      <w:r w:rsidR="00631605">
        <w:rPr>
          <w:rFonts w:ascii="Arial" w:hAnsi="Arial" w:cs="Arial"/>
          <w:sz w:val="24"/>
          <w:szCs w:val="24"/>
        </w:rPr>
        <w:t>por múltiples factores</w:t>
      </w:r>
      <w:r w:rsidR="00E8366A">
        <w:rPr>
          <w:rFonts w:ascii="Arial" w:hAnsi="Arial" w:cs="Arial"/>
          <w:sz w:val="24"/>
          <w:szCs w:val="24"/>
        </w:rPr>
        <w:t>, desde los genéticos que determinan la estructura metabólica del individuo así como los factores biopsicosociales que determinan la conducta alimentaria del individuo.</w:t>
      </w:r>
      <w:r w:rsidR="00631605">
        <w:rPr>
          <w:rFonts w:ascii="Arial" w:hAnsi="Arial" w:cs="Arial"/>
          <w:sz w:val="24"/>
          <w:szCs w:val="24"/>
        </w:rPr>
        <w:t xml:space="preserve"> </w:t>
      </w:r>
      <w:r w:rsidR="00E8366A">
        <w:rPr>
          <w:rFonts w:ascii="Arial" w:hAnsi="Arial" w:cs="Arial"/>
          <w:sz w:val="24"/>
          <w:szCs w:val="24"/>
        </w:rPr>
        <w:t xml:space="preserve"> </w:t>
      </w:r>
    </w:p>
    <w:p w:rsidR="007A5E89" w:rsidRPr="002A57EC" w:rsidRDefault="00D57E5E" w:rsidP="004E41F3">
      <w:pPr>
        <w:spacing w:line="240" w:lineRule="auto"/>
        <w:jc w:val="both"/>
        <w:rPr>
          <w:rFonts w:ascii="Arial" w:hAnsi="Arial" w:cs="Arial"/>
          <w:color w:val="000000" w:themeColor="text1"/>
          <w:sz w:val="24"/>
          <w:szCs w:val="24"/>
        </w:rPr>
      </w:pPr>
      <w:r w:rsidRPr="002A57EC">
        <w:rPr>
          <w:rFonts w:ascii="Arial" w:hAnsi="Arial" w:cs="Arial"/>
          <w:color w:val="000000" w:themeColor="text1"/>
          <w:sz w:val="24"/>
          <w:szCs w:val="24"/>
        </w:rPr>
        <w:t>El</w:t>
      </w:r>
      <w:r w:rsidR="00872534">
        <w:rPr>
          <w:rFonts w:ascii="Arial" w:hAnsi="Arial" w:cs="Arial"/>
          <w:color w:val="000000" w:themeColor="text1"/>
          <w:sz w:val="24"/>
          <w:szCs w:val="24"/>
        </w:rPr>
        <w:t xml:space="preserve"> estado nutricional del paciente</w:t>
      </w:r>
      <w:r w:rsidRPr="002A57EC">
        <w:rPr>
          <w:rFonts w:ascii="Arial" w:hAnsi="Arial" w:cs="Arial"/>
          <w:color w:val="000000" w:themeColor="text1"/>
          <w:sz w:val="24"/>
          <w:szCs w:val="24"/>
        </w:rPr>
        <w:t xml:space="preserve"> refleja la extensión con que se han cubierto las necesidades fisiológicas de nutrientes de un indiv</w:t>
      </w:r>
      <w:r w:rsidR="008578E0">
        <w:rPr>
          <w:rFonts w:ascii="Arial" w:hAnsi="Arial" w:cs="Arial"/>
          <w:color w:val="000000" w:themeColor="text1"/>
          <w:sz w:val="24"/>
          <w:szCs w:val="24"/>
        </w:rPr>
        <w:t>iduo. La ingestión</w:t>
      </w:r>
      <w:r w:rsidRPr="002A57EC">
        <w:rPr>
          <w:rFonts w:ascii="Arial" w:hAnsi="Arial" w:cs="Arial"/>
          <w:color w:val="000000" w:themeColor="text1"/>
          <w:sz w:val="24"/>
          <w:szCs w:val="24"/>
        </w:rPr>
        <w:t xml:space="preserve"> depende del consumo real de nutrientes, que está influenciado</w:t>
      </w:r>
      <w:r w:rsidR="00872534">
        <w:rPr>
          <w:rFonts w:ascii="Arial" w:hAnsi="Arial" w:cs="Arial"/>
          <w:color w:val="000000" w:themeColor="text1"/>
          <w:sz w:val="24"/>
          <w:szCs w:val="24"/>
        </w:rPr>
        <w:t xml:space="preserve"> a su vez</w:t>
      </w:r>
      <w:r w:rsidRPr="002A57EC">
        <w:rPr>
          <w:rFonts w:ascii="Arial" w:hAnsi="Arial" w:cs="Arial"/>
          <w:color w:val="000000" w:themeColor="text1"/>
          <w:sz w:val="24"/>
          <w:szCs w:val="24"/>
        </w:rPr>
        <w:t xml:space="preserve"> por fact</w:t>
      </w:r>
      <w:r w:rsidR="00872534">
        <w:rPr>
          <w:rFonts w:ascii="Arial" w:hAnsi="Arial" w:cs="Arial"/>
          <w:color w:val="000000" w:themeColor="text1"/>
          <w:sz w:val="24"/>
          <w:szCs w:val="24"/>
        </w:rPr>
        <w:t>ores económicos</w:t>
      </w:r>
      <w:r w:rsidRPr="002A57EC">
        <w:rPr>
          <w:rFonts w:ascii="Arial" w:hAnsi="Arial" w:cs="Arial"/>
          <w:color w:val="000000" w:themeColor="text1"/>
          <w:sz w:val="24"/>
          <w:szCs w:val="24"/>
        </w:rPr>
        <w:t>, la conducta alimentaria, el clima emocional,</w:t>
      </w:r>
      <w:r w:rsidR="00D92045">
        <w:rPr>
          <w:rFonts w:ascii="Arial" w:hAnsi="Arial" w:cs="Arial"/>
          <w:color w:val="000000" w:themeColor="text1"/>
          <w:sz w:val="24"/>
          <w:szCs w:val="24"/>
        </w:rPr>
        <w:t xml:space="preserve"> las influencias culturales, la</w:t>
      </w:r>
      <w:r w:rsidR="00872534">
        <w:rPr>
          <w:rFonts w:ascii="Arial" w:hAnsi="Arial" w:cs="Arial"/>
          <w:color w:val="000000" w:themeColor="text1"/>
          <w:sz w:val="24"/>
          <w:szCs w:val="24"/>
        </w:rPr>
        <w:t xml:space="preserve"> </w:t>
      </w:r>
      <w:r w:rsidR="00D92045">
        <w:rPr>
          <w:rFonts w:ascii="Arial" w:hAnsi="Arial" w:cs="Arial"/>
          <w:color w:val="000000" w:themeColor="text1"/>
          <w:sz w:val="24"/>
          <w:szCs w:val="24"/>
        </w:rPr>
        <w:t>influencia de estados</w:t>
      </w:r>
      <w:r w:rsidRPr="002A57EC">
        <w:rPr>
          <w:rFonts w:ascii="Arial" w:hAnsi="Arial" w:cs="Arial"/>
          <w:color w:val="000000" w:themeColor="text1"/>
          <w:sz w:val="24"/>
          <w:szCs w:val="24"/>
        </w:rPr>
        <w:t xml:space="preserve"> morbosos sobre el apetito y la capacidad para consumir y absorber los nutrientes </w:t>
      </w:r>
      <w:r w:rsidR="00D92045">
        <w:rPr>
          <w:rFonts w:ascii="Arial" w:hAnsi="Arial" w:cs="Arial"/>
          <w:color w:val="000000" w:themeColor="text1"/>
          <w:sz w:val="24"/>
          <w:szCs w:val="24"/>
        </w:rPr>
        <w:t>ingeridos</w:t>
      </w:r>
      <w:r w:rsidR="00A123D3" w:rsidRPr="002A57EC">
        <w:rPr>
          <w:rFonts w:ascii="Arial" w:hAnsi="Arial" w:cs="Arial"/>
          <w:color w:val="000000" w:themeColor="text1"/>
          <w:sz w:val="24"/>
          <w:szCs w:val="24"/>
        </w:rPr>
        <w:t>. Las necesidades de nutrientes están también in</w:t>
      </w:r>
      <w:r w:rsidR="00872534">
        <w:rPr>
          <w:rFonts w:ascii="Arial" w:hAnsi="Arial" w:cs="Arial"/>
          <w:color w:val="000000" w:themeColor="text1"/>
          <w:sz w:val="24"/>
          <w:szCs w:val="24"/>
        </w:rPr>
        <w:t xml:space="preserve">fluenciadas por </w:t>
      </w:r>
      <w:r w:rsidR="00872534" w:rsidRPr="002A57EC">
        <w:rPr>
          <w:rFonts w:ascii="Arial" w:hAnsi="Arial" w:cs="Arial"/>
          <w:color w:val="000000" w:themeColor="text1"/>
          <w:sz w:val="24"/>
          <w:szCs w:val="24"/>
        </w:rPr>
        <w:t>estados anabóli</w:t>
      </w:r>
      <w:r w:rsidR="00872534">
        <w:rPr>
          <w:rFonts w:ascii="Arial" w:hAnsi="Arial" w:cs="Arial"/>
          <w:color w:val="000000" w:themeColor="text1"/>
          <w:sz w:val="24"/>
          <w:szCs w:val="24"/>
        </w:rPr>
        <w:t>cos normales de crecimiento,</w:t>
      </w:r>
      <w:r w:rsidR="003966CB">
        <w:rPr>
          <w:rFonts w:ascii="Arial" w:hAnsi="Arial" w:cs="Arial"/>
          <w:color w:val="000000" w:themeColor="text1"/>
          <w:sz w:val="24"/>
          <w:szCs w:val="24"/>
        </w:rPr>
        <w:t xml:space="preserve"> estrés fisiológico</w:t>
      </w:r>
      <w:r w:rsidR="00A123D3" w:rsidRPr="002A57EC">
        <w:rPr>
          <w:rFonts w:ascii="Arial" w:hAnsi="Arial" w:cs="Arial"/>
          <w:color w:val="000000" w:themeColor="text1"/>
          <w:sz w:val="24"/>
          <w:szCs w:val="24"/>
        </w:rPr>
        <w:t xml:space="preserve"> como</w:t>
      </w:r>
      <w:r w:rsidR="00872534">
        <w:rPr>
          <w:rFonts w:ascii="Arial" w:hAnsi="Arial" w:cs="Arial"/>
          <w:color w:val="000000" w:themeColor="text1"/>
          <w:sz w:val="24"/>
          <w:szCs w:val="24"/>
        </w:rPr>
        <w:t xml:space="preserve"> infecciones</w:t>
      </w:r>
      <w:r w:rsidR="008578E0">
        <w:rPr>
          <w:rFonts w:ascii="Arial" w:hAnsi="Arial" w:cs="Arial"/>
          <w:color w:val="000000" w:themeColor="text1"/>
          <w:sz w:val="24"/>
          <w:szCs w:val="24"/>
        </w:rPr>
        <w:t>, enfermedades</w:t>
      </w:r>
      <w:r w:rsidR="003966CB">
        <w:rPr>
          <w:rFonts w:ascii="Arial" w:hAnsi="Arial" w:cs="Arial"/>
          <w:color w:val="000000" w:themeColor="text1"/>
          <w:sz w:val="24"/>
          <w:szCs w:val="24"/>
        </w:rPr>
        <w:t xml:space="preserve"> agudas y crónic</w:t>
      </w:r>
      <w:r w:rsidR="00872534">
        <w:rPr>
          <w:rFonts w:ascii="Arial" w:hAnsi="Arial" w:cs="Arial"/>
          <w:color w:val="000000" w:themeColor="text1"/>
          <w:sz w:val="24"/>
          <w:szCs w:val="24"/>
        </w:rPr>
        <w:t>as, fiebre, traumatismos, embarazo, rehabilitación y</w:t>
      </w:r>
      <w:r w:rsidR="00872534" w:rsidRPr="002A57EC">
        <w:rPr>
          <w:rFonts w:ascii="Arial" w:hAnsi="Arial" w:cs="Arial"/>
          <w:color w:val="000000" w:themeColor="text1"/>
          <w:sz w:val="24"/>
          <w:szCs w:val="24"/>
        </w:rPr>
        <w:t xml:space="preserve"> estrés</w:t>
      </w:r>
      <w:r w:rsidR="00B44AAB" w:rsidRPr="002A57EC">
        <w:rPr>
          <w:rFonts w:ascii="Arial" w:hAnsi="Arial" w:cs="Arial"/>
          <w:color w:val="000000" w:themeColor="text1"/>
          <w:sz w:val="24"/>
          <w:szCs w:val="24"/>
        </w:rPr>
        <w:t xml:space="preserve"> psicológico.</w:t>
      </w:r>
      <w:r w:rsidR="003966CB">
        <w:rPr>
          <w:rFonts w:ascii="Arial" w:hAnsi="Arial" w:cs="Arial"/>
          <w:color w:val="000000" w:themeColor="text1"/>
          <w:sz w:val="24"/>
          <w:szCs w:val="24"/>
        </w:rPr>
        <w:t xml:space="preserve"> Por lo tanto</w:t>
      </w:r>
      <w:r w:rsidR="00872534">
        <w:rPr>
          <w:rFonts w:ascii="Arial" w:hAnsi="Arial" w:cs="Arial"/>
          <w:color w:val="000000" w:themeColor="text1"/>
          <w:sz w:val="24"/>
          <w:szCs w:val="24"/>
        </w:rPr>
        <w:t xml:space="preserve"> el equilibrio entre ingestión</w:t>
      </w:r>
      <w:r w:rsidR="00B44AAB" w:rsidRPr="002A57EC">
        <w:rPr>
          <w:rFonts w:ascii="Arial" w:hAnsi="Arial" w:cs="Arial"/>
          <w:color w:val="000000" w:themeColor="text1"/>
          <w:sz w:val="24"/>
          <w:szCs w:val="24"/>
        </w:rPr>
        <w:t xml:space="preserve"> y necesidades de nutrientes </w:t>
      </w:r>
      <w:r w:rsidR="003966CB">
        <w:rPr>
          <w:rFonts w:ascii="Arial" w:hAnsi="Arial" w:cs="Arial"/>
          <w:color w:val="000000" w:themeColor="text1"/>
          <w:sz w:val="24"/>
          <w:szCs w:val="24"/>
        </w:rPr>
        <w:t xml:space="preserve">da por </w:t>
      </w:r>
      <w:r w:rsidR="00872534">
        <w:rPr>
          <w:rFonts w:ascii="Arial" w:hAnsi="Arial" w:cs="Arial"/>
          <w:color w:val="000000" w:themeColor="text1"/>
          <w:sz w:val="24"/>
          <w:szCs w:val="24"/>
        </w:rPr>
        <w:t xml:space="preserve">resultado </w:t>
      </w:r>
      <w:r w:rsidR="00872534" w:rsidRPr="002A57EC">
        <w:rPr>
          <w:rFonts w:ascii="Arial" w:hAnsi="Arial" w:cs="Arial"/>
          <w:color w:val="000000" w:themeColor="text1"/>
          <w:sz w:val="24"/>
          <w:szCs w:val="24"/>
        </w:rPr>
        <w:t>el</w:t>
      </w:r>
      <w:r w:rsidR="00B44AAB" w:rsidRPr="002A57EC">
        <w:rPr>
          <w:rFonts w:ascii="Arial" w:hAnsi="Arial" w:cs="Arial"/>
          <w:color w:val="000000" w:themeColor="text1"/>
          <w:sz w:val="24"/>
          <w:szCs w:val="24"/>
        </w:rPr>
        <w:t xml:space="preserve"> estado nutricional.</w:t>
      </w:r>
      <w:r w:rsidR="005838FE">
        <w:rPr>
          <w:rFonts w:ascii="Arial" w:hAnsi="Arial" w:cs="Arial"/>
          <w:color w:val="000000" w:themeColor="text1"/>
          <w:sz w:val="24"/>
          <w:szCs w:val="24"/>
        </w:rPr>
        <w:t xml:space="preserve"> (</w:t>
      </w:r>
      <w:r w:rsidR="005838FE" w:rsidRPr="005F030D">
        <w:rPr>
          <w:rFonts w:ascii="Arial" w:hAnsi="Arial" w:cs="Arial"/>
          <w:sz w:val="24"/>
          <w:szCs w:val="24"/>
        </w:rPr>
        <w:t>Escott-Stump</w:t>
      </w:r>
      <w:r w:rsidR="005838FE">
        <w:rPr>
          <w:rFonts w:ascii="Arial" w:hAnsi="Arial" w:cs="Arial"/>
          <w:sz w:val="24"/>
          <w:szCs w:val="24"/>
        </w:rPr>
        <w:t>, Mahan y Raymond, 2006</w:t>
      </w:r>
      <w:r w:rsidR="00EF53CA" w:rsidRPr="002A57EC">
        <w:rPr>
          <w:rFonts w:ascii="Arial" w:hAnsi="Arial" w:cs="Arial"/>
          <w:color w:val="000000" w:themeColor="text1"/>
          <w:sz w:val="24"/>
          <w:szCs w:val="24"/>
        </w:rPr>
        <w:t>)</w:t>
      </w:r>
      <w:r w:rsidR="005838FE">
        <w:rPr>
          <w:rFonts w:ascii="Arial" w:hAnsi="Arial" w:cs="Arial"/>
          <w:color w:val="000000" w:themeColor="text1"/>
          <w:sz w:val="24"/>
          <w:szCs w:val="24"/>
        </w:rPr>
        <w:t>.</w:t>
      </w:r>
    </w:p>
    <w:p w:rsidR="00087D09" w:rsidRDefault="00B44AAB" w:rsidP="004E41F3">
      <w:pPr>
        <w:spacing w:line="240" w:lineRule="auto"/>
        <w:jc w:val="both"/>
        <w:rPr>
          <w:rFonts w:ascii="Arial" w:hAnsi="Arial" w:cs="Arial"/>
          <w:color w:val="000000" w:themeColor="text1"/>
          <w:sz w:val="24"/>
          <w:szCs w:val="24"/>
        </w:rPr>
      </w:pPr>
      <w:r w:rsidRPr="002A57EC">
        <w:rPr>
          <w:rFonts w:ascii="Arial" w:hAnsi="Arial" w:cs="Arial"/>
          <w:color w:val="000000" w:themeColor="text1"/>
          <w:sz w:val="24"/>
          <w:szCs w:val="24"/>
        </w:rPr>
        <w:t>Cuando se consumen los nutrientes adecuados para apo</w:t>
      </w:r>
      <w:r w:rsidR="000905A0">
        <w:rPr>
          <w:rFonts w:ascii="Arial" w:hAnsi="Arial" w:cs="Arial"/>
          <w:color w:val="000000" w:themeColor="text1"/>
          <w:sz w:val="24"/>
          <w:szCs w:val="24"/>
        </w:rPr>
        <w:t xml:space="preserve">yar las necesidades corporales ante </w:t>
      </w:r>
      <w:r w:rsidRPr="002A57EC">
        <w:rPr>
          <w:rFonts w:ascii="Arial" w:hAnsi="Arial" w:cs="Arial"/>
          <w:color w:val="000000" w:themeColor="text1"/>
          <w:sz w:val="24"/>
          <w:szCs w:val="24"/>
        </w:rPr>
        <w:t xml:space="preserve"> cualquier aumento de las demandas metabólicas, la persona se mueve en un estado</w:t>
      </w:r>
      <w:r w:rsidR="003966CB">
        <w:rPr>
          <w:rFonts w:ascii="Arial" w:hAnsi="Arial" w:cs="Arial"/>
          <w:color w:val="000000" w:themeColor="text1"/>
          <w:sz w:val="24"/>
          <w:szCs w:val="24"/>
        </w:rPr>
        <w:t xml:space="preserve"> nutricional óptimo, el cual</w:t>
      </w:r>
      <w:r w:rsidRPr="002A57EC">
        <w:rPr>
          <w:rFonts w:ascii="Arial" w:hAnsi="Arial" w:cs="Arial"/>
          <w:color w:val="000000" w:themeColor="text1"/>
          <w:sz w:val="24"/>
          <w:szCs w:val="24"/>
        </w:rPr>
        <w:t xml:space="preserve"> favorece </w:t>
      </w:r>
      <w:r w:rsidR="003966CB">
        <w:rPr>
          <w:rFonts w:ascii="Arial" w:hAnsi="Arial" w:cs="Arial"/>
          <w:color w:val="000000" w:themeColor="text1"/>
          <w:sz w:val="24"/>
          <w:szCs w:val="24"/>
        </w:rPr>
        <w:t>el crecimiento y</w:t>
      </w:r>
      <w:r w:rsidR="007A5E89" w:rsidRPr="002A57EC">
        <w:rPr>
          <w:rFonts w:ascii="Arial" w:hAnsi="Arial" w:cs="Arial"/>
          <w:color w:val="000000" w:themeColor="text1"/>
          <w:sz w:val="24"/>
          <w:szCs w:val="24"/>
        </w:rPr>
        <w:t xml:space="preserve"> desarrollo, mantiene la salud general, apoya las actividades de la vida diaria y ayuda a proteger el cuerpo de la enfermedad. Las técnicas de valoración </w:t>
      </w:r>
      <w:r w:rsidR="00872534">
        <w:rPr>
          <w:rFonts w:ascii="Arial" w:hAnsi="Arial" w:cs="Arial"/>
          <w:color w:val="000000" w:themeColor="text1"/>
          <w:sz w:val="24"/>
          <w:szCs w:val="24"/>
        </w:rPr>
        <w:t>del estado de nutrición</w:t>
      </w:r>
      <w:r w:rsidR="007A5E89" w:rsidRPr="002A57EC">
        <w:rPr>
          <w:rFonts w:ascii="Arial" w:hAnsi="Arial" w:cs="Arial"/>
          <w:color w:val="000000" w:themeColor="text1"/>
          <w:sz w:val="24"/>
          <w:szCs w:val="24"/>
        </w:rPr>
        <w:t xml:space="preserve"> pueden detecta</w:t>
      </w:r>
      <w:r w:rsidR="00872534">
        <w:rPr>
          <w:rFonts w:ascii="Arial" w:hAnsi="Arial" w:cs="Arial"/>
          <w:color w:val="000000" w:themeColor="text1"/>
          <w:sz w:val="24"/>
          <w:szCs w:val="24"/>
        </w:rPr>
        <w:t xml:space="preserve">r un déficit nutricional </w:t>
      </w:r>
      <w:r w:rsidR="003966CB">
        <w:rPr>
          <w:rFonts w:ascii="Arial" w:hAnsi="Arial" w:cs="Arial"/>
          <w:color w:val="000000" w:themeColor="text1"/>
          <w:sz w:val="24"/>
          <w:szCs w:val="24"/>
        </w:rPr>
        <w:t>en sus</w:t>
      </w:r>
      <w:r w:rsidR="00872534">
        <w:rPr>
          <w:rFonts w:ascii="Arial" w:hAnsi="Arial" w:cs="Arial"/>
          <w:color w:val="000000" w:themeColor="text1"/>
          <w:sz w:val="24"/>
          <w:szCs w:val="24"/>
        </w:rPr>
        <w:t xml:space="preserve"> </w:t>
      </w:r>
      <w:r w:rsidR="003966CB">
        <w:rPr>
          <w:rFonts w:ascii="Arial" w:hAnsi="Arial" w:cs="Arial"/>
          <w:color w:val="000000" w:themeColor="text1"/>
          <w:sz w:val="24"/>
          <w:szCs w:val="24"/>
        </w:rPr>
        <w:t xml:space="preserve">primeros estadios, </w:t>
      </w:r>
      <w:r w:rsidR="007A5E89" w:rsidRPr="002A57EC">
        <w:rPr>
          <w:rFonts w:ascii="Arial" w:hAnsi="Arial" w:cs="Arial"/>
          <w:color w:val="000000" w:themeColor="text1"/>
          <w:sz w:val="24"/>
          <w:szCs w:val="24"/>
        </w:rPr>
        <w:t>lo que permite mejorar la ingestión dietética mediante el apoyo y el asesoramiento nutricional antes de que</w:t>
      </w:r>
      <w:r w:rsidR="003966CB">
        <w:rPr>
          <w:rFonts w:ascii="Arial" w:hAnsi="Arial" w:cs="Arial"/>
          <w:color w:val="000000" w:themeColor="text1"/>
          <w:sz w:val="24"/>
          <w:szCs w:val="24"/>
        </w:rPr>
        <w:t xml:space="preserve"> aparezca un trastorno más grave</w:t>
      </w:r>
      <w:r w:rsidR="007A5E89" w:rsidRPr="002A57EC">
        <w:rPr>
          <w:rFonts w:ascii="Arial" w:hAnsi="Arial" w:cs="Arial"/>
          <w:color w:val="000000" w:themeColor="text1"/>
          <w:sz w:val="24"/>
          <w:szCs w:val="24"/>
        </w:rPr>
        <w:t>.</w:t>
      </w:r>
      <w:r w:rsidR="005838FE">
        <w:rPr>
          <w:rFonts w:ascii="Arial" w:hAnsi="Arial" w:cs="Arial"/>
          <w:color w:val="000000" w:themeColor="text1"/>
          <w:sz w:val="24"/>
          <w:szCs w:val="24"/>
        </w:rPr>
        <w:t xml:space="preserve"> (</w:t>
      </w:r>
      <w:r w:rsidR="005838FE" w:rsidRPr="005F030D">
        <w:rPr>
          <w:rFonts w:ascii="Arial" w:hAnsi="Arial" w:cs="Arial"/>
          <w:sz w:val="24"/>
          <w:szCs w:val="24"/>
        </w:rPr>
        <w:t>Escott-Stump</w:t>
      </w:r>
      <w:r w:rsidR="005838FE">
        <w:rPr>
          <w:rFonts w:ascii="Arial" w:hAnsi="Arial" w:cs="Arial"/>
          <w:sz w:val="24"/>
          <w:szCs w:val="24"/>
        </w:rPr>
        <w:t xml:space="preserve"> et al, 2006</w:t>
      </w:r>
      <w:r w:rsidR="005838FE" w:rsidRPr="002A57EC">
        <w:rPr>
          <w:rFonts w:ascii="Arial" w:hAnsi="Arial" w:cs="Arial"/>
          <w:color w:val="000000" w:themeColor="text1"/>
          <w:sz w:val="24"/>
          <w:szCs w:val="24"/>
        </w:rPr>
        <w:t>)</w:t>
      </w:r>
      <w:r w:rsidR="005838FE">
        <w:rPr>
          <w:rFonts w:ascii="Arial" w:hAnsi="Arial" w:cs="Arial"/>
          <w:color w:val="000000" w:themeColor="text1"/>
          <w:sz w:val="24"/>
          <w:szCs w:val="24"/>
        </w:rPr>
        <w:t>.</w:t>
      </w:r>
    </w:p>
    <w:p w:rsidR="00BD7536" w:rsidRDefault="000905A0" w:rsidP="004E41F3">
      <w:pPr>
        <w:spacing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Los objetivos de la valoración del estado de nutrición son: </w:t>
      </w:r>
    </w:p>
    <w:p w:rsidR="000905A0" w:rsidRPr="00BD7536" w:rsidRDefault="00BD7536" w:rsidP="00BD7536">
      <w:pPr>
        <w:pStyle w:val="Prrafodelista"/>
        <w:numPr>
          <w:ilvl w:val="0"/>
          <w:numId w:val="6"/>
        </w:numPr>
        <w:spacing w:line="240" w:lineRule="auto"/>
        <w:jc w:val="both"/>
        <w:rPr>
          <w:rFonts w:ascii="Arial" w:hAnsi="Arial" w:cs="Arial"/>
          <w:color w:val="000000" w:themeColor="text1"/>
          <w:sz w:val="24"/>
          <w:szCs w:val="24"/>
        </w:rPr>
      </w:pPr>
      <w:r w:rsidRPr="00BD7536">
        <w:rPr>
          <w:rFonts w:ascii="Arial" w:hAnsi="Arial" w:cs="Arial"/>
          <w:color w:val="000000" w:themeColor="text1"/>
          <w:sz w:val="24"/>
          <w:szCs w:val="24"/>
        </w:rPr>
        <w:t>Conocer</w:t>
      </w:r>
      <w:r w:rsidR="000905A0" w:rsidRPr="00BD7536">
        <w:rPr>
          <w:rFonts w:ascii="Arial" w:hAnsi="Arial" w:cs="Arial"/>
          <w:color w:val="000000" w:themeColor="text1"/>
          <w:sz w:val="24"/>
          <w:szCs w:val="24"/>
        </w:rPr>
        <w:t xml:space="preserve"> </w:t>
      </w:r>
      <w:r w:rsidRPr="00BD7536">
        <w:rPr>
          <w:rFonts w:ascii="Arial" w:hAnsi="Arial" w:cs="Arial"/>
          <w:color w:val="000000" w:themeColor="text1"/>
          <w:sz w:val="24"/>
          <w:szCs w:val="24"/>
        </w:rPr>
        <w:t xml:space="preserve">o estimar </w:t>
      </w:r>
      <w:r w:rsidR="000905A0" w:rsidRPr="00BD7536">
        <w:rPr>
          <w:rFonts w:ascii="Arial" w:hAnsi="Arial" w:cs="Arial"/>
          <w:color w:val="000000" w:themeColor="text1"/>
          <w:sz w:val="24"/>
          <w:szCs w:val="24"/>
        </w:rPr>
        <w:t xml:space="preserve">el estado de nutrición de </w:t>
      </w:r>
      <w:r w:rsidRPr="00BD7536">
        <w:rPr>
          <w:rFonts w:ascii="Arial" w:hAnsi="Arial" w:cs="Arial"/>
          <w:color w:val="000000" w:themeColor="text1"/>
          <w:sz w:val="24"/>
          <w:szCs w:val="24"/>
        </w:rPr>
        <w:t>un individuo o población en un momento dado.</w:t>
      </w:r>
    </w:p>
    <w:p w:rsidR="00BD7536" w:rsidRPr="00BD7536" w:rsidRDefault="00BD7536" w:rsidP="00BD7536">
      <w:pPr>
        <w:pStyle w:val="Prrafodelista"/>
        <w:numPr>
          <w:ilvl w:val="0"/>
          <w:numId w:val="6"/>
        </w:numPr>
        <w:spacing w:line="240" w:lineRule="auto"/>
        <w:jc w:val="both"/>
        <w:rPr>
          <w:rFonts w:ascii="Arial" w:hAnsi="Arial" w:cs="Arial"/>
          <w:color w:val="000000" w:themeColor="text1"/>
          <w:sz w:val="24"/>
          <w:szCs w:val="24"/>
        </w:rPr>
      </w:pPr>
      <w:r w:rsidRPr="00BD7536">
        <w:rPr>
          <w:rFonts w:ascii="Arial" w:hAnsi="Arial" w:cs="Arial"/>
          <w:color w:val="000000" w:themeColor="text1"/>
          <w:sz w:val="24"/>
          <w:szCs w:val="24"/>
        </w:rPr>
        <w:t>Medir el impacto de la nutrición sobre la salud, el rendimiento o la supervivencia.</w:t>
      </w:r>
    </w:p>
    <w:p w:rsidR="00BD7536" w:rsidRPr="00BD7536" w:rsidRDefault="00BD7536" w:rsidP="00BD7536">
      <w:pPr>
        <w:pStyle w:val="Prrafodelista"/>
        <w:numPr>
          <w:ilvl w:val="0"/>
          <w:numId w:val="6"/>
        </w:numPr>
        <w:spacing w:line="240" w:lineRule="auto"/>
        <w:jc w:val="both"/>
        <w:rPr>
          <w:rFonts w:ascii="Arial" w:hAnsi="Arial" w:cs="Arial"/>
          <w:color w:val="000000" w:themeColor="text1"/>
          <w:sz w:val="24"/>
          <w:szCs w:val="24"/>
        </w:rPr>
      </w:pPr>
      <w:r w:rsidRPr="00BD7536">
        <w:rPr>
          <w:rFonts w:ascii="Arial" w:hAnsi="Arial" w:cs="Arial"/>
          <w:color w:val="000000" w:themeColor="text1"/>
          <w:sz w:val="24"/>
          <w:szCs w:val="24"/>
        </w:rPr>
        <w:t>Identificar individuos en riesgo, prevenir la mala nutrición aplicando acciones profilácticas, planeación e implementación del manejo nutricio.</w:t>
      </w:r>
    </w:p>
    <w:p w:rsidR="00BD7536" w:rsidRPr="00125852" w:rsidRDefault="00BD7536" w:rsidP="00BD7536">
      <w:pPr>
        <w:pStyle w:val="Prrafodelista"/>
        <w:numPr>
          <w:ilvl w:val="0"/>
          <w:numId w:val="6"/>
        </w:numPr>
        <w:spacing w:line="240" w:lineRule="auto"/>
        <w:jc w:val="both"/>
        <w:rPr>
          <w:rFonts w:ascii="Arial" w:hAnsi="Arial" w:cs="Arial"/>
          <w:color w:val="000000" w:themeColor="text1"/>
          <w:sz w:val="24"/>
          <w:szCs w:val="24"/>
        </w:rPr>
      </w:pPr>
      <w:r w:rsidRPr="00BD7536">
        <w:rPr>
          <w:rFonts w:ascii="Arial" w:hAnsi="Arial" w:cs="Arial"/>
          <w:color w:val="000000" w:themeColor="text1"/>
          <w:sz w:val="24"/>
          <w:szCs w:val="24"/>
        </w:rPr>
        <w:t>Monitoreo y vigilancia continua de los diferentes indicado</w:t>
      </w:r>
      <w:r>
        <w:rPr>
          <w:rFonts w:ascii="Arial" w:hAnsi="Arial" w:cs="Arial"/>
          <w:color w:val="000000" w:themeColor="text1"/>
          <w:sz w:val="24"/>
          <w:szCs w:val="24"/>
        </w:rPr>
        <w:t>r</w:t>
      </w:r>
      <w:r w:rsidR="005253AD">
        <w:rPr>
          <w:rFonts w:ascii="Arial" w:hAnsi="Arial" w:cs="Arial"/>
          <w:color w:val="000000" w:themeColor="text1"/>
          <w:sz w:val="24"/>
          <w:szCs w:val="24"/>
        </w:rPr>
        <w:t>es en individuos y poblaciones (Castillo J.L. y Zenteno R, 2004)</w:t>
      </w:r>
    </w:p>
    <w:p w:rsidR="00125852" w:rsidRPr="00125852" w:rsidRDefault="00125852" w:rsidP="00125852">
      <w:pPr>
        <w:spacing w:line="240" w:lineRule="auto"/>
        <w:jc w:val="both"/>
        <w:rPr>
          <w:rFonts w:ascii="Arial" w:hAnsi="Arial" w:cs="Arial"/>
          <w:color w:val="000000" w:themeColor="text1"/>
          <w:sz w:val="24"/>
          <w:szCs w:val="24"/>
        </w:rPr>
      </w:pPr>
      <w:r>
        <w:rPr>
          <w:rFonts w:ascii="Arial" w:hAnsi="Arial" w:cs="Arial"/>
          <w:color w:val="000000" w:themeColor="text1"/>
          <w:sz w:val="24"/>
          <w:szCs w:val="24"/>
        </w:rPr>
        <w:t>Para conocer el estado de nutrición de un individuo o de una población se utilizan los indicadores directos e indirectos; los indicadores directos evalúan a los individuos los indirectos permiten suponer la prevalencia de los problemas nutricionales.</w:t>
      </w:r>
    </w:p>
    <w:p w:rsidR="00BF0C0D" w:rsidRPr="002A57EC" w:rsidRDefault="00125852" w:rsidP="004E41F3">
      <w:pPr>
        <w:spacing w:line="240" w:lineRule="auto"/>
        <w:jc w:val="both"/>
        <w:rPr>
          <w:rFonts w:ascii="Arial" w:hAnsi="Arial" w:cs="Arial"/>
          <w:sz w:val="24"/>
          <w:szCs w:val="24"/>
        </w:rPr>
      </w:pPr>
      <w:r w:rsidRPr="00363C15">
        <w:rPr>
          <w:rFonts w:ascii="Arial" w:hAnsi="Arial" w:cs="Arial"/>
          <w:b/>
          <w:sz w:val="24"/>
          <w:szCs w:val="24"/>
        </w:rPr>
        <w:t>II.1</w:t>
      </w:r>
      <w:r w:rsidR="005F1665">
        <w:rPr>
          <w:rFonts w:ascii="Arial" w:hAnsi="Arial" w:cs="Arial"/>
          <w:b/>
          <w:sz w:val="24"/>
          <w:szCs w:val="24"/>
        </w:rPr>
        <w:t>.1</w:t>
      </w:r>
      <w:r>
        <w:rPr>
          <w:rFonts w:ascii="Arial" w:hAnsi="Arial" w:cs="Arial"/>
          <w:sz w:val="24"/>
          <w:szCs w:val="24"/>
        </w:rPr>
        <w:t xml:space="preserve"> </w:t>
      </w:r>
      <w:r w:rsidRPr="00397EA6">
        <w:rPr>
          <w:rFonts w:ascii="Arial" w:hAnsi="Arial" w:cs="Arial"/>
          <w:b/>
          <w:sz w:val="24"/>
          <w:szCs w:val="24"/>
        </w:rPr>
        <w:t>I</w:t>
      </w:r>
      <w:r w:rsidR="005E68C7" w:rsidRPr="00397EA6">
        <w:rPr>
          <w:rFonts w:ascii="Arial" w:hAnsi="Arial" w:cs="Arial"/>
          <w:b/>
          <w:sz w:val="24"/>
          <w:szCs w:val="24"/>
        </w:rPr>
        <w:t>ndicadores directo</w:t>
      </w:r>
      <w:r w:rsidR="00BF0C0D" w:rsidRPr="00397EA6">
        <w:rPr>
          <w:rFonts w:ascii="Arial" w:hAnsi="Arial" w:cs="Arial"/>
          <w:b/>
          <w:sz w:val="24"/>
          <w:szCs w:val="24"/>
        </w:rPr>
        <w:t>s</w:t>
      </w:r>
      <w:r w:rsidR="00BF0C0D" w:rsidRPr="002A57EC">
        <w:rPr>
          <w:rFonts w:ascii="Arial" w:hAnsi="Arial" w:cs="Arial"/>
          <w:sz w:val="24"/>
          <w:szCs w:val="24"/>
        </w:rPr>
        <w:t>:</w:t>
      </w:r>
      <w:r w:rsidRPr="00125852">
        <w:rPr>
          <w:rFonts w:ascii="Arial" w:hAnsi="Arial" w:cs="Arial"/>
          <w:color w:val="000000" w:themeColor="text1"/>
          <w:sz w:val="24"/>
          <w:szCs w:val="24"/>
        </w:rPr>
        <w:t xml:space="preserve"> </w:t>
      </w:r>
      <w:r>
        <w:rPr>
          <w:rFonts w:ascii="Arial" w:hAnsi="Arial" w:cs="Arial"/>
          <w:color w:val="000000" w:themeColor="text1"/>
          <w:sz w:val="24"/>
          <w:szCs w:val="24"/>
        </w:rPr>
        <w:t>Los más comunes son los clínicos, antropométricos y bioquímicos.</w:t>
      </w:r>
    </w:p>
    <w:p w:rsidR="00C65759" w:rsidRPr="00397EA6" w:rsidRDefault="00125852" w:rsidP="00397EA6">
      <w:pPr>
        <w:pStyle w:val="Prrafodelista"/>
        <w:numPr>
          <w:ilvl w:val="0"/>
          <w:numId w:val="13"/>
        </w:numPr>
        <w:spacing w:line="240" w:lineRule="auto"/>
        <w:jc w:val="both"/>
        <w:rPr>
          <w:rFonts w:ascii="Arial" w:hAnsi="Arial" w:cs="Arial"/>
          <w:color w:val="FF0000"/>
          <w:sz w:val="24"/>
          <w:szCs w:val="24"/>
        </w:rPr>
      </w:pPr>
      <w:r w:rsidRPr="00397EA6">
        <w:rPr>
          <w:rFonts w:ascii="Arial" w:hAnsi="Arial" w:cs="Arial"/>
          <w:sz w:val="24"/>
          <w:szCs w:val="24"/>
        </w:rPr>
        <w:t xml:space="preserve">Indicadores </w:t>
      </w:r>
      <w:r w:rsidR="00BC10C4" w:rsidRPr="00397EA6">
        <w:rPr>
          <w:rFonts w:ascii="Arial" w:hAnsi="Arial" w:cs="Arial"/>
          <w:sz w:val="24"/>
          <w:szCs w:val="24"/>
        </w:rPr>
        <w:t>A</w:t>
      </w:r>
      <w:r w:rsidR="005E68C7" w:rsidRPr="00397EA6">
        <w:rPr>
          <w:rFonts w:ascii="Arial" w:hAnsi="Arial" w:cs="Arial"/>
          <w:sz w:val="24"/>
          <w:szCs w:val="24"/>
        </w:rPr>
        <w:t xml:space="preserve">ntropométricos: </w:t>
      </w:r>
      <w:r w:rsidR="00C65759" w:rsidRPr="00397EA6">
        <w:rPr>
          <w:rFonts w:ascii="Arial" w:hAnsi="Arial" w:cs="Arial"/>
          <w:sz w:val="24"/>
          <w:szCs w:val="24"/>
        </w:rPr>
        <w:t>Miden las dimensiones y composición global del cuerpo humano, variables que son afectadas por la nutrición durante el ciclo de vida. Los indicadores antropométricos miden dimensiones físicas del adulto, a partir de la determinación de la masa corporal total y de la composición corporal tanto en salud como en enfermedad. Son de fácil aplicación, bajo costo y se pueden reproducir en diferentes momentos y con dist</w:t>
      </w:r>
      <w:r w:rsidR="005253AD" w:rsidRPr="00397EA6">
        <w:rPr>
          <w:rFonts w:ascii="Arial" w:hAnsi="Arial" w:cs="Arial"/>
          <w:sz w:val="24"/>
          <w:szCs w:val="24"/>
        </w:rPr>
        <w:t xml:space="preserve">intos individuos o poblaciones. (Anderson, Mardones y Ravasco, 2010) </w:t>
      </w:r>
    </w:p>
    <w:p w:rsidR="005E68C7" w:rsidRPr="00397EA6" w:rsidRDefault="004B30F6" w:rsidP="00397EA6">
      <w:pPr>
        <w:pStyle w:val="Prrafodelista"/>
        <w:spacing w:line="240" w:lineRule="auto"/>
        <w:jc w:val="both"/>
        <w:rPr>
          <w:rFonts w:ascii="Arial" w:hAnsi="Arial" w:cs="Arial"/>
          <w:sz w:val="24"/>
          <w:szCs w:val="24"/>
        </w:rPr>
      </w:pPr>
      <w:r w:rsidRPr="00397EA6">
        <w:rPr>
          <w:rFonts w:ascii="Arial" w:hAnsi="Arial" w:cs="Arial"/>
          <w:sz w:val="24"/>
          <w:szCs w:val="24"/>
        </w:rPr>
        <w:t>Los indicadores antropométricos más comunes son: peso corporal</w:t>
      </w:r>
      <w:r w:rsidR="005E68C7" w:rsidRPr="00397EA6">
        <w:rPr>
          <w:rFonts w:ascii="Arial" w:hAnsi="Arial" w:cs="Arial"/>
          <w:sz w:val="24"/>
          <w:szCs w:val="24"/>
        </w:rPr>
        <w:t>, circunferencias de brazo, pierna, muslo, cefálica y de tórax, estatura o longitud ya sea de pie o sentada,</w:t>
      </w:r>
      <w:r w:rsidRPr="00397EA6">
        <w:rPr>
          <w:rFonts w:ascii="Arial" w:hAnsi="Arial" w:cs="Arial"/>
          <w:sz w:val="24"/>
          <w:szCs w:val="24"/>
        </w:rPr>
        <w:t xml:space="preserve"> grosor de panículos </w:t>
      </w:r>
      <w:r w:rsidRPr="00397EA6">
        <w:rPr>
          <w:rFonts w:ascii="Arial" w:hAnsi="Arial" w:cs="Arial"/>
          <w:sz w:val="24"/>
          <w:szCs w:val="24"/>
        </w:rPr>
        <w:lastRenderedPageBreak/>
        <w:t>adiposos como PCT, PCB, PCSI, PCA, PCM, PCP,</w:t>
      </w:r>
      <w:r w:rsidR="005E68C7" w:rsidRPr="00397EA6">
        <w:rPr>
          <w:rFonts w:ascii="Arial" w:hAnsi="Arial" w:cs="Arial"/>
          <w:sz w:val="24"/>
          <w:szCs w:val="24"/>
        </w:rPr>
        <w:t xml:space="preserve"> índice de masa corporal, relación cintura cadera, tipo de complexión chica, mediana o grande, </w:t>
      </w:r>
      <w:r w:rsidR="00FF1976" w:rsidRPr="00397EA6">
        <w:rPr>
          <w:rFonts w:ascii="Arial" w:hAnsi="Arial" w:cs="Arial"/>
          <w:sz w:val="24"/>
          <w:szCs w:val="24"/>
        </w:rPr>
        <w:t>etc</w:t>
      </w:r>
      <w:r w:rsidR="005E68C7" w:rsidRPr="00397EA6">
        <w:rPr>
          <w:rFonts w:ascii="Arial" w:hAnsi="Arial" w:cs="Arial"/>
          <w:sz w:val="24"/>
          <w:szCs w:val="24"/>
        </w:rPr>
        <w:t xml:space="preserve">. Y por </w:t>
      </w:r>
      <w:r w:rsidR="00BF0C0D" w:rsidRPr="00397EA6">
        <w:rPr>
          <w:rFonts w:ascii="Arial" w:hAnsi="Arial" w:cs="Arial"/>
          <w:sz w:val="24"/>
          <w:szCs w:val="24"/>
        </w:rPr>
        <w:t>último</w:t>
      </w:r>
      <w:r w:rsidR="005E68C7" w:rsidRPr="00397EA6">
        <w:rPr>
          <w:rFonts w:ascii="Arial" w:hAnsi="Arial" w:cs="Arial"/>
          <w:sz w:val="24"/>
          <w:szCs w:val="24"/>
        </w:rPr>
        <w:t xml:space="preserve"> medición de compartimentos corporales masa magra, ma</w:t>
      </w:r>
      <w:r w:rsidR="00122403" w:rsidRPr="00397EA6">
        <w:rPr>
          <w:rFonts w:ascii="Arial" w:hAnsi="Arial" w:cs="Arial"/>
          <w:sz w:val="24"/>
          <w:szCs w:val="24"/>
        </w:rPr>
        <w:t>sa grasa, y agua corporal total</w:t>
      </w:r>
      <w:r w:rsidR="00AE536B" w:rsidRPr="00397EA6">
        <w:rPr>
          <w:rFonts w:ascii="Arial" w:hAnsi="Arial" w:cs="Arial"/>
          <w:sz w:val="24"/>
          <w:szCs w:val="24"/>
        </w:rPr>
        <w:t xml:space="preserve"> (Sánchez-Lara K, et al., 2008:165.171)</w:t>
      </w:r>
      <w:r w:rsidR="00FF211F" w:rsidRPr="00397EA6">
        <w:rPr>
          <w:rFonts w:ascii="Arial" w:hAnsi="Arial" w:cs="Arial"/>
          <w:sz w:val="24"/>
          <w:szCs w:val="24"/>
        </w:rPr>
        <w:t>.</w:t>
      </w:r>
    </w:p>
    <w:p w:rsidR="00CC4E3B" w:rsidRPr="00397EA6" w:rsidRDefault="00CC4E3B" w:rsidP="00397EA6">
      <w:pPr>
        <w:pStyle w:val="Prrafodelista"/>
        <w:spacing w:line="240" w:lineRule="auto"/>
        <w:jc w:val="both"/>
        <w:rPr>
          <w:rFonts w:ascii="Arial" w:hAnsi="Arial" w:cs="Arial"/>
          <w:sz w:val="24"/>
          <w:szCs w:val="24"/>
        </w:rPr>
      </w:pPr>
      <w:r w:rsidRPr="00397EA6">
        <w:rPr>
          <w:rFonts w:ascii="Arial" w:hAnsi="Arial" w:cs="Arial"/>
          <w:sz w:val="24"/>
          <w:szCs w:val="24"/>
        </w:rPr>
        <w:t>Indicadores que evalúan Masa Corporal Total: índice de Peso para la Talla (IPT), porcentaje de peso de referencia (%PR), porcentaje de peso habitual o usual (%PU), y porcentaje de pérdida reciente de peso (%PRP).</w:t>
      </w:r>
    </w:p>
    <w:p w:rsidR="00CC4E3B" w:rsidRPr="00397EA6" w:rsidRDefault="00CC4E3B" w:rsidP="00397EA6">
      <w:pPr>
        <w:pStyle w:val="Prrafodelista"/>
        <w:spacing w:line="240" w:lineRule="auto"/>
        <w:jc w:val="both"/>
        <w:rPr>
          <w:rFonts w:ascii="Arial" w:hAnsi="Arial" w:cs="Arial"/>
          <w:sz w:val="24"/>
          <w:szCs w:val="24"/>
        </w:rPr>
      </w:pPr>
      <w:r w:rsidRPr="00397EA6">
        <w:rPr>
          <w:rFonts w:ascii="Arial" w:hAnsi="Arial" w:cs="Arial"/>
          <w:sz w:val="24"/>
          <w:szCs w:val="24"/>
        </w:rPr>
        <w:t>Indicadores de Masa Grasa o adiposidad. El tejido celular subcutáneo y previsceral se cuantifica a través del Índice de Masa Corporal (IMC), porcentaje de grasa corporal (%GC), Circunferencia de Cintura (CC), pliegue</w:t>
      </w:r>
      <w:r w:rsidR="0069468E" w:rsidRPr="00397EA6">
        <w:rPr>
          <w:rFonts w:ascii="Arial" w:hAnsi="Arial" w:cs="Arial"/>
          <w:sz w:val="24"/>
          <w:szCs w:val="24"/>
        </w:rPr>
        <w:t xml:space="preserve"> cutáneo</w:t>
      </w:r>
      <w:r w:rsidRPr="00397EA6">
        <w:rPr>
          <w:rFonts w:ascii="Arial" w:hAnsi="Arial" w:cs="Arial"/>
          <w:sz w:val="24"/>
          <w:szCs w:val="24"/>
        </w:rPr>
        <w:t xml:space="preserve"> tricipital (P</w:t>
      </w:r>
      <w:r w:rsidR="0069468E" w:rsidRPr="00397EA6">
        <w:rPr>
          <w:rFonts w:ascii="Arial" w:hAnsi="Arial" w:cs="Arial"/>
          <w:sz w:val="24"/>
          <w:szCs w:val="24"/>
        </w:rPr>
        <w:t>C</w:t>
      </w:r>
      <w:r w:rsidRPr="00397EA6">
        <w:rPr>
          <w:rFonts w:ascii="Arial" w:hAnsi="Arial" w:cs="Arial"/>
          <w:sz w:val="24"/>
          <w:szCs w:val="24"/>
        </w:rPr>
        <w:t>T), pliegue</w:t>
      </w:r>
      <w:r w:rsidR="0069468E" w:rsidRPr="00397EA6">
        <w:rPr>
          <w:rFonts w:ascii="Arial" w:hAnsi="Arial" w:cs="Arial"/>
          <w:sz w:val="24"/>
          <w:szCs w:val="24"/>
        </w:rPr>
        <w:t xml:space="preserve"> cutáneo</w:t>
      </w:r>
      <w:r w:rsidRPr="00397EA6">
        <w:rPr>
          <w:rFonts w:ascii="Arial" w:hAnsi="Arial" w:cs="Arial"/>
          <w:sz w:val="24"/>
          <w:szCs w:val="24"/>
        </w:rPr>
        <w:t xml:space="preserve"> subescapular (P</w:t>
      </w:r>
      <w:r w:rsidR="0069468E" w:rsidRPr="00397EA6">
        <w:rPr>
          <w:rFonts w:ascii="Arial" w:hAnsi="Arial" w:cs="Arial"/>
          <w:sz w:val="24"/>
          <w:szCs w:val="24"/>
        </w:rPr>
        <w:t>CS</w:t>
      </w:r>
      <w:r w:rsidRPr="00397EA6">
        <w:rPr>
          <w:rFonts w:ascii="Arial" w:hAnsi="Arial" w:cs="Arial"/>
          <w:sz w:val="24"/>
          <w:szCs w:val="24"/>
        </w:rPr>
        <w:t>), Pliegue suprailíaco</w:t>
      </w:r>
      <w:r w:rsidR="0069468E" w:rsidRPr="00397EA6">
        <w:rPr>
          <w:rFonts w:ascii="Arial" w:hAnsi="Arial" w:cs="Arial"/>
          <w:sz w:val="24"/>
          <w:szCs w:val="24"/>
        </w:rPr>
        <w:t>; en el adulto sano la masa grasa tiene valores de 10 a 20 % en el hombre y de 15 a 30% en la mujer</w:t>
      </w:r>
      <w:r w:rsidR="00005C31" w:rsidRPr="00397EA6">
        <w:rPr>
          <w:rFonts w:ascii="Arial" w:hAnsi="Arial" w:cs="Arial"/>
          <w:sz w:val="24"/>
          <w:szCs w:val="24"/>
        </w:rPr>
        <w:t xml:space="preserve"> (Secretaría de Salud, 2002)</w:t>
      </w:r>
      <w:r w:rsidR="0069468E" w:rsidRPr="00397EA6">
        <w:rPr>
          <w:rFonts w:ascii="Arial" w:hAnsi="Arial" w:cs="Arial"/>
          <w:sz w:val="24"/>
          <w:szCs w:val="24"/>
        </w:rPr>
        <w:t>.</w:t>
      </w:r>
    </w:p>
    <w:p w:rsidR="0069468E" w:rsidRPr="00187BC9" w:rsidRDefault="0069468E" w:rsidP="00397EA6">
      <w:pPr>
        <w:pStyle w:val="Prrafodelista"/>
        <w:spacing w:line="240" w:lineRule="auto"/>
        <w:jc w:val="both"/>
        <w:rPr>
          <w:rFonts w:ascii="Arial" w:hAnsi="Arial" w:cs="Arial"/>
          <w:sz w:val="24"/>
          <w:szCs w:val="24"/>
        </w:rPr>
      </w:pPr>
      <w:r w:rsidRPr="00397EA6">
        <w:rPr>
          <w:rFonts w:ascii="Arial" w:hAnsi="Arial" w:cs="Arial"/>
          <w:sz w:val="24"/>
          <w:szCs w:val="24"/>
        </w:rPr>
        <w:t xml:space="preserve">Los indicadores de Masa Muscular (magra) o masa libre de grasa (MLG) representa aproximadamente el 80% del peso corporal total, incluye todos los componentes funcionales del cuerpo implicados en los procesos metabólicos activos, comprende huesos, músculos, agua extracelular tejido nervioso, y todas las células excepto los adipocitos. Los métodos que se utilizan para su medición son: las áreas musculares de loa diferentes segmentos corporales, índices de relación peso talla, la masa libre de grasa del modelo bicompartimental, las ecuaciones antropométricas para estimar la masa muscular </w:t>
      </w:r>
      <w:r w:rsidR="00363C15" w:rsidRPr="00397EA6">
        <w:rPr>
          <w:rFonts w:ascii="Arial" w:hAnsi="Arial" w:cs="Arial"/>
          <w:sz w:val="24"/>
          <w:szCs w:val="24"/>
        </w:rPr>
        <w:t>e</w:t>
      </w:r>
      <w:r w:rsidR="004E6F79" w:rsidRPr="00397EA6">
        <w:rPr>
          <w:rFonts w:ascii="Arial" w:hAnsi="Arial" w:cs="Arial"/>
          <w:sz w:val="24"/>
          <w:szCs w:val="24"/>
        </w:rPr>
        <w:t>squelética total y apendicular (Martínez y Civera, 2002)</w:t>
      </w:r>
    </w:p>
    <w:p w:rsidR="008E7076" w:rsidRPr="00187BC9" w:rsidRDefault="005F6100" w:rsidP="00397EA6">
      <w:pPr>
        <w:pStyle w:val="Prrafodelista"/>
        <w:spacing w:line="240" w:lineRule="auto"/>
        <w:jc w:val="both"/>
        <w:rPr>
          <w:rFonts w:ascii="Arial" w:hAnsi="Arial" w:cs="Arial"/>
          <w:sz w:val="24"/>
          <w:szCs w:val="24"/>
        </w:rPr>
      </w:pPr>
      <w:r w:rsidRPr="008E7076">
        <w:rPr>
          <w:rFonts w:ascii="Arial" w:hAnsi="Arial" w:cs="Arial"/>
          <w:b/>
          <w:sz w:val="24"/>
          <w:szCs w:val="24"/>
        </w:rPr>
        <w:t>La Impedancia bioeléctrica (BIA</w:t>
      </w:r>
      <w:r w:rsidRPr="008E7076">
        <w:rPr>
          <w:rFonts w:ascii="Arial" w:hAnsi="Arial" w:cs="Arial"/>
          <w:sz w:val="24"/>
          <w:szCs w:val="24"/>
        </w:rPr>
        <w:t xml:space="preserve">). </w:t>
      </w:r>
    </w:p>
    <w:p w:rsidR="005F6100" w:rsidRPr="00187BC9" w:rsidRDefault="004D2F3E" w:rsidP="00397EA6">
      <w:pPr>
        <w:pStyle w:val="Prrafodelista"/>
        <w:spacing w:line="240" w:lineRule="auto"/>
        <w:jc w:val="both"/>
        <w:rPr>
          <w:rFonts w:ascii="Arial" w:hAnsi="Arial" w:cs="Arial"/>
          <w:sz w:val="24"/>
          <w:szCs w:val="24"/>
        </w:rPr>
      </w:pPr>
      <w:r w:rsidRPr="00397EA6">
        <w:rPr>
          <w:rFonts w:ascii="Arial" w:hAnsi="Arial" w:cs="Arial"/>
          <w:sz w:val="24"/>
          <w:szCs w:val="24"/>
        </w:rPr>
        <w:t xml:space="preserve">Es una técnica </w:t>
      </w:r>
      <w:r w:rsidR="008E7076" w:rsidRPr="00397EA6">
        <w:rPr>
          <w:rFonts w:ascii="Arial" w:hAnsi="Arial" w:cs="Arial"/>
          <w:sz w:val="24"/>
          <w:szCs w:val="24"/>
        </w:rPr>
        <w:t xml:space="preserve">complementaria en la valoración </w:t>
      </w:r>
      <w:r w:rsidRPr="00397EA6">
        <w:rPr>
          <w:rFonts w:ascii="Arial" w:hAnsi="Arial" w:cs="Arial"/>
          <w:sz w:val="24"/>
          <w:szCs w:val="24"/>
        </w:rPr>
        <w:t>antropométrica para la estimación de la composición corporal y el grado de adiposidad, e</w:t>
      </w:r>
      <w:r w:rsidR="00CF3CD2" w:rsidRPr="00397EA6">
        <w:rPr>
          <w:rFonts w:ascii="Arial" w:hAnsi="Arial" w:cs="Arial"/>
          <w:sz w:val="24"/>
          <w:szCs w:val="24"/>
        </w:rPr>
        <w:t>s un método rápido, barato y no inv</w:t>
      </w:r>
      <w:r w:rsidRPr="00397EA6">
        <w:rPr>
          <w:rFonts w:ascii="Arial" w:hAnsi="Arial" w:cs="Arial"/>
          <w:sz w:val="24"/>
          <w:szCs w:val="24"/>
        </w:rPr>
        <w:t>asivo</w:t>
      </w:r>
      <w:r w:rsidR="00CF3CD2" w:rsidRPr="00397EA6">
        <w:rPr>
          <w:rFonts w:ascii="Arial" w:hAnsi="Arial" w:cs="Arial"/>
          <w:sz w:val="24"/>
          <w:szCs w:val="24"/>
        </w:rPr>
        <w:t>. La impedancia mide la oposición al flujo de una corriente por el cuerpo entero. La resistencia al flujo presente será más grande en individuos con cantidades grandes de tejido adiposo dado que este es un conductor pobre de la electricidad debido a su bajo volumen de agua relativo. Los tejidos acuosos con gran disolución de electrolitos son grandes conductores eléctricos y no así la grasa y el hueso</w:t>
      </w:r>
      <w:r w:rsidR="004D1739" w:rsidRPr="00397EA6">
        <w:rPr>
          <w:rFonts w:ascii="Arial" w:hAnsi="Arial" w:cs="Arial"/>
          <w:sz w:val="24"/>
          <w:szCs w:val="24"/>
        </w:rPr>
        <w:t xml:space="preserve">. (Alvero, Diego, Fernández y García, 2005). </w:t>
      </w:r>
    </w:p>
    <w:p w:rsidR="004D2F3E" w:rsidRPr="00397EA6" w:rsidRDefault="00857367" w:rsidP="00397EA6">
      <w:pPr>
        <w:pStyle w:val="Prrafodelista"/>
        <w:spacing w:line="240" w:lineRule="auto"/>
        <w:jc w:val="both"/>
        <w:rPr>
          <w:rFonts w:ascii="Arial" w:hAnsi="Arial" w:cs="Arial"/>
          <w:sz w:val="24"/>
          <w:szCs w:val="24"/>
        </w:rPr>
      </w:pPr>
      <w:r w:rsidRPr="00397EA6">
        <w:rPr>
          <w:rFonts w:ascii="Arial" w:hAnsi="Arial" w:cs="Arial"/>
          <w:sz w:val="24"/>
          <w:szCs w:val="24"/>
        </w:rPr>
        <w:t>Los v</w:t>
      </w:r>
      <w:r w:rsidR="004D2F3E" w:rsidRPr="00397EA6">
        <w:rPr>
          <w:rFonts w:ascii="Arial" w:hAnsi="Arial" w:cs="Arial"/>
          <w:sz w:val="24"/>
          <w:szCs w:val="24"/>
        </w:rPr>
        <w:t>alores obtenidos por el Método BIA</w:t>
      </w:r>
      <w:r w:rsidRPr="00397EA6">
        <w:rPr>
          <w:rFonts w:ascii="Arial" w:hAnsi="Arial" w:cs="Arial"/>
          <w:sz w:val="24"/>
          <w:szCs w:val="24"/>
        </w:rPr>
        <w:t xml:space="preserve"> son</w:t>
      </w:r>
      <w:r w:rsidR="004D2F3E" w:rsidRPr="00397EA6">
        <w:rPr>
          <w:rFonts w:ascii="Arial" w:hAnsi="Arial" w:cs="Arial"/>
          <w:sz w:val="24"/>
          <w:szCs w:val="24"/>
        </w:rPr>
        <w:t xml:space="preserve">: </w:t>
      </w:r>
      <w:r w:rsidR="004D2F3E" w:rsidRPr="00397EA6">
        <w:rPr>
          <w:rFonts w:ascii="Arial" w:hAnsi="Arial" w:cs="Arial"/>
          <w:b/>
          <w:sz w:val="24"/>
          <w:szCs w:val="24"/>
        </w:rPr>
        <w:t>Peso corporal</w:t>
      </w:r>
      <w:r w:rsidR="008E7076" w:rsidRPr="00397EA6">
        <w:rPr>
          <w:rFonts w:ascii="Arial" w:hAnsi="Arial" w:cs="Arial"/>
          <w:sz w:val="24"/>
          <w:szCs w:val="24"/>
        </w:rPr>
        <w:t>.</w:t>
      </w:r>
      <w:r w:rsidR="004D2F3E" w:rsidRPr="00397EA6">
        <w:rPr>
          <w:rFonts w:ascii="Arial" w:hAnsi="Arial" w:cs="Arial"/>
          <w:sz w:val="24"/>
          <w:szCs w:val="24"/>
        </w:rPr>
        <w:t xml:space="preserve"> </w:t>
      </w:r>
      <w:r w:rsidR="008E7076" w:rsidRPr="00397EA6">
        <w:rPr>
          <w:rFonts w:ascii="Arial" w:hAnsi="Arial" w:cs="Arial"/>
          <w:sz w:val="24"/>
          <w:szCs w:val="24"/>
        </w:rPr>
        <w:t>Puede</w:t>
      </w:r>
      <w:r w:rsidR="004D2F3E" w:rsidRPr="00397EA6">
        <w:rPr>
          <w:rFonts w:ascii="Arial" w:hAnsi="Arial" w:cs="Arial"/>
          <w:sz w:val="24"/>
          <w:szCs w:val="24"/>
        </w:rPr>
        <w:t xml:space="preserve"> dividirse en distintos compartimientos</w:t>
      </w:r>
      <w:r w:rsidRPr="00397EA6">
        <w:rPr>
          <w:rFonts w:ascii="Arial" w:hAnsi="Arial" w:cs="Arial"/>
          <w:sz w:val="24"/>
          <w:szCs w:val="24"/>
        </w:rPr>
        <w:t>, c</w:t>
      </w:r>
      <w:r w:rsidR="004D2F3E" w:rsidRPr="00397EA6">
        <w:rPr>
          <w:rFonts w:ascii="Arial" w:hAnsi="Arial" w:cs="Arial"/>
          <w:sz w:val="24"/>
          <w:szCs w:val="24"/>
        </w:rPr>
        <w:t>ada uno de ellos provee distintas y a su vez superpuestas funciones en el cuerpo. Para evaluar mejor la salud interna se necesita información de los diferentes compartimientos corporales. BIA, divide al cuerpo en 2 o 3 compartimientos pero siempre partiendo de un fraccionamiento bicompartimental: masa grasa y masa libre de grasa. Masa libre de grasa (MLG). Una vez conocida la impedancia, se puede estimar el agua corporal total (ACT). A partir de este valor, se calcula la MLG, asumiendo que ésta tiene un grado de hidratación constante de 73.2% y una concentración de potasio de 68.1 mmol/kg. Está constituida principalmente por músculos, órganos internos, huesos y sistema nervioso central.</w:t>
      </w:r>
    </w:p>
    <w:p w:rsidR="008E7076" w:rsidRPr="00397EA6" w:rsidRDefault="008E7076" w:rsidP="00397EA6">
      <w:pPr>
        <w:pStyle w:val="Prrafodelista"/>
        <w:spacing w:line="240" w:lineRule="auto"/>
        <w:jc w:val="both"/>
        <w:rPr>
          <w:rFonts w:ascii="Arial" w:hAnsi="Arial" w:cs="Arial"/>
          <w:sz w:val="24"/>
          <w:szCs w:val="24"/>
        </w:rPr>
      </w:pPr>
      <w:r w:rsidRPr="00397EA6">
        <w:rPr>
          <w:rFonts w:ascii="Arial" w:hAnsi="Arial" w:cs="Arial"/>
          <w:sz w:val="24"/>
          <w:szCs w:val="24"/>
        </w:rPr>
        <w:t>Masa grasa: se calcula utilizando el modelo de fraccionamiento bioquímico de dos compartimientos (masa libre de grasa y masa grasa); restando la MLG del peso corporal total, se obtiene la MG.</w:t>
      </w:r>
    </w:p>
    <w:p w:rsidR="004D2F3E" w:rsidRPr="00397EA6" w:rsidRDefault="008E7076" w:rsidP="00397EA6">
      <w:pPr>
        <w:pStyle w:val="Prrafodelista"/>
        <w:spacing w:line="240" w:lineRule="auto"/>
        <w:jc w:val="both"/>
        <w:rPr>
          <w:rFonts w:ascii="Arial" w:hAnsi="Arial" w:cs="Arial"/>
          <w:sz w:val="24"/>
          <w:szCs w:val="24"/>
        </w:rPr>
      </w:pPr>
      <w:r w:rsidRPr="00397EA6">
        <w:rPr>
          <w:rFonts w:ascii="Arial" w:hAnsi="Arial" w:cs="Arial"/>
          <w:sz w:val="24"/>
          <w:szCs w:val="24"/>
        </w:rPr>
        <w:t>Agua corporal total (ACT). Está expresada en porcentaje respecto al peso, e incluye el agua que se encuentra dentro (intracelular) y fuera (extracelular) de las células. Varía dependiendo de la edad y el sexo, y aumenta con el incremento de la masa muscular. Aproximadamente el 50-60% del peso de un adulto corresponde a fluidos. El ACT se distribuye de la siguiente manera: 2/3 en el agua intracelular (AIC), 1/3 en el agua extracelular (AEC) y de ésta, ¼ es intravascular y ¾ intersticial</w:t>
      </w:r>
      <w:r w:rsidR="004D1739" w:rsidRPr="00397EA6">
        <w:rPr>
          <w:rFonts w:ascii="Arial" w:hAnsi="Arial" w:cs="Arial"/>
          <w:sz w:val="24"/>
          <w:szCs w:val="24"/>
        </w:rPr>
        <w:t>. (Bernal y Rodríguez, 2007)</w:t>
      </w:r>
    </w:p>
    <w:p w:rsidR="00BC10C4" w:rsidRPr="00397EA6" w:rsidRDefault="00363C15" w:rsidP="00397EA6">
      <w:pPr>
        <w:pStyle w:val="Prrafodelista"/>
        <w:numPr>
          <w:ilvl w:val="0"/>
          <w:numId w:val="13"/>
        </w:numPr>
        <w:spacing w:line="240" w:lineRule="auto"/>
        <w:jc w:val="both"/>
        <w:rPr>
          <w:rFonts w:ascii="Arial" w:hAnsi="Arial" w:cs="Arial"/>
          <w:color w:val="FF0000"/>
          <w:sz w:val="24"/>
          <w:szCs w:val="24"/>
        </w:rPr>
      </w:pPr>
      <w:r w:rsidRPr="00397EA6">
        <w:rPr>
          <w:rFonts w:ascii="Arial" w:hAnsi="Arial" w:cs="Arial"/>
          <w:color w:val="000000" w:themeColor="text1"/>
          <w:sz w:val="24"/>
          <w:szCs w:val="24"/>
        </w:rPr>
        <w:t xml:space="preserve">Indicadores </w:t>
      </w:r>
      <w:r w:rsidR="00555C99" w:rsidRPr="00397EA6">
        <w:rPr>
          <w:rFonts w:ascii="Arial" w:hAnsi="Arial" w:cs="Arial"/>
          <w:color w:val="000000" w:themeColor="text1"/>
          <w:sz w:val="24"/>
          <w:szCs w:val="24"/>
        </w:rPr>
        <w:t xml:space="preserve">Bioquímicos </w:t>
      </w:r>
      <w:r w:rsidR="00BC10C4" w:rsidRPr="00397EA6">
        <w:rPr>
          <w:rFonts w:ascii="Arial" w:hAnsi="Arial" w:cs="Arial"/>
          <w:color w:val="000000" w:themeColor="text1"/>
          <w:sz w:val="24"/>
          <w:szCs w:val="24"/>
        </w:rPr>
        <w:t>I</w:t>
      </w:r>
      <w:r w:rsidR="005E18C3" w:rsidRPr="00397EA6">
        <w:rPr>
          <w:rFonts w:ascii="Arial" w:hAnsi="Arial" w:cs="Arial"/>
          <w:color w:val="000000" w:themeColor="text1"/>
          <w:sz w:val="24"/>
          <w:szCs w:val="24"/>
        </w:rPr>
        <w:t>ncluyen la determinación y evaluación de muestras orgánicas como saliva, orina, sangre cabello, uñas etc. Detectan estados de mala nutrición subclínicos previos a que se presenten las alteraciones antropométricas y clínicas. Simbolizan indicadores del consumo reciente de nutrimentos, por lo que en conjunto con los métodos dietéticos permite</w:t>
      </w:r>
      <w:r w:rsidR="007401C1" w:rsidRPr="00397EA6">
        <w:rPr>
          <w:rFonts w:ascii="Arial" w:hAnsi="Arial" w:cs="Arial"/>
          <w:color w:val="000000" w:themeColor="text1"/>
          <w:sz w:val="24"/>
          <w:szCs w:val="24"/>
        </w:rPr>
        <w:t>n</w:t>
      </w:r>
      <w:r w:rsidR="005E18C3" w:rsidRPr="00397EA6">
        <w:rPr>
          <w:rFonts w:ascii="Arial" w:hAnsi="Arial" w:cs="Arial"/>
          <w:color w:val="000000" w:themeColor="text1"/>
          <w:sz w:val="24"/>
          <w:szCs w:val="24"/>
        </w:rPr>
        <w:t xml:space="preserve"> evaluar el consumo de alimentos y nutrimentos. Representa</w:t>
      </w:r>
      <w:r w:rsidR="007401C1" w:rsidRPr="00397EA6">
        <w:rPr>
          <w:rFonts w:ascii="Arial" w:hAnsi="Arial" w:cs="Arial"/>
          <w:color w:val="000000" w:themeColor="text1"/>
          <w:sz w:val="24"/>
          <w:szCs w:val="24"/>
        </w:rPr>
        <w:t>n</w:t>
      </w:r>
      <w:r w:rsidR="005E18C3" w:rsidRPr="00397EA6">
        <w:rPr>
          <w:rFonts w:ascii="Arial" w:hAnsi="Arial" w:cs="Arial"/>
          <w:color w:val="000000" w:themeColor="text1"/>
          <w:sz w:val="24"/>
          <w:szCs w:val="24"/>
        </w:rPr>
        <w:t xml:space="preserve"> mediciones objetivas y cuantitativas del estado </w:t>
      </w:r>
      <w:r w:rsidR="005E18C3" w:rsidRPr="00397EA6">
        <w:rPr>
          <w:rFonts w:ascii="Arial" w:hAnsi="Arial" w:cs="Arial"/>
          <w:color w:val="000000" w:themeColor="text1"/>
          <w:sz w:val="24"/>
          <w:szCs w:val="24"/>
        </w:rPr>
        <w:lastRenderedPageBreak/>
        <w:t xml:space="preserve">de nutrición del individuo y permite estimar riesgo de morbilidad y mortalidad. </w:t>
      </w:r>
      <w:r w:rsidR="00E61591" w:rsidRPr="00397EA6">
        <w:rPr>
          <w:rFonts w:ascii="Arial" w:hAnsi="Arial" w:cs="Arial"/>
          <w:color w:val="000000" w:themeColor="text1"/>
          <w:sz w:val="24"/>
          <w:szCs w:val="24"/>
        </w:rPr>
        <w:t xml:space="preserve">(Suverza y Haua, 2010), </w:t>
      </w:r>
      <w:r w:rsidR="00B5065B" w:rsidRPr="00397EA6">
        <w:rPr>
          <w:rFonts w:ascii="Arial" w:hAnsi="Arial" w:cs="Arial"/>
          <w:color w:val="000000" w:themeColor="text1"/>
          <w:sz w:val="24"/>
          <w:szCs w:val="24"/>
        </w:rPr>
        <w:t xml:space="preserve">en este sentido la concentración suero/plasma refleja la ingestión dietética reciente; el contenido de un nutriente refleja un estado crónico del mismo (eritrocitos); los leucocitos se utilizan para monitorear cambios cortos del estado del nutriente. Algunos de los más utilizados para hacer la evaluación del estado de nutrición son: la </w:t>
      </w:r>
      <w:r w:rsidR="00BC10C4" w:rsidRPr="00397EA6">
        <w:rPr>
          <w:rFonts w:ascii="Arial" w:hAnsi="Arial" w:cs="Arial"/>
          <w:color w:val="000000" w:themeColor="text1"/>
          <w:sz w:val="24"/>
          <w:szCs w:val="24"/>
        </w:rPr>
        <w:t>hemoglobina</w:t>
      </w:r>
      <w:r w:rsidR="00B5065B" w:rsidRPr="00397EA6">
        <w:rPr>
          <w:rFonts w:ascii="Arial" w:hAnsi="Arial" w:cs="Arial"/>
          <w:color w:val="000000" w:themeColor="text1"/>
          <w:sz w:val="24"/>
          <w:szCs w:val="24"/>
        </w:rPr>
        <w:t xml:space="preserve"> glucosilada, glucosa postprandial</w:t>
      </w:r>
      <w:r w:rsidR="00BC10C4" w:rsidRPr="00397EA6">
        <w:rPr>
          <w:rFonts w:ascii="Arial" w:hAnsi="Arial" w:cs="Arial"/>
          <w:color w:val="000000" w:themeColor="text1"/>
          <w:sz w:val="24"/>
          <w:szCs w:val="24"/>
        </w:rPr>
        <w:t>, triglicéridos, colesterol, HDL, LDL, albumina, trasferrina, retinol, vitamina c reactiva, calcio, fosforo, pot</w:t>
      </w:r>
      <w:r w:rsidR="00287926" w:rsidRPr="00397EA6">
        <w:rPr>
          <w:rFonts w:ascii="Arial" w:hAnsi="Arial" w:cs="Arial"/>
          <w:color w:val="000000" w:themeColor="text1"/>
          <w:sz w:val="24"/>
          <w:szCs w:val="24"/>
        </w:rPr>
        <w:t xml:space="preserve">asio sérico </w:t>
      </w:r>
      <w:r w:rsidR="00B5065B" w:rsidRPr="00397EA6">
        <w:rPr>
          <w:rFonts w:ascii="Arial" w:hAnsi="Arial" w:cs="Arial"/>
          <w:color w:val="000000" w:themeColor="text1"/>
          <w:sz w:val="24"/>
          <w:szCs w:val="24"/>
        </w:rPr>
        <w:t>y vit</w:t>
      </w:r>
      <w:r w:rsidR="00E61591" w:rsidRPr="00397EA6">
        <w:rPr>
          <w:rFonts w:ascii="Arial" w:hAnsi="Arial" w:cs="Arial"/>
          <w:color w:val="000000" w:themeColor="text1"/>
          <w:sz w:val="24"/>
          <w:szCs w:val="24"/>
        </w:rPr>
        <w:t>aminas séricas entre otros. (Castillo J.L. y Zenteno R, 2004).</w:t>
      </w:r>
    </w:p>
    <w:p w:rsidR="00DB3611" w:rsidRPr="00397EA6" w:rsidRDefault="0068177B" w:rsidP="00397EA6">
      <w:pPr>
        <w:pStyle w:val="Prrafodelista"/>
        <w:numPr>
          <w:ilvl w:val="0"/>
          <w:numId w:val="13"/>
        </w:numPr>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 xml:space="preserve">Indicadores clínicos: </w:t>
      </w:r>
      <w:r w:rsidR="007401C1" w:rsidRPr="00397EA6">
        <w:rPr>
          <w:rFonts w:ascii="Arial" w:hAnsi="Arial" w:cs="Arial"/>
          <w:color w:val="000000" w:themeColor="text1"/>
          <w:sz w:val="24"/>
          <w:szCs w:val="24"/>
        </w:rPr>
        <w:t>La</w:t>
      </w:r>
      <w:r w:rsidR="00B5065B" w:rsidRPr="00397EA6">
        <w:rPr>
          <w:rFonts w:ascii="Arial" w:hAnsi="Arial" w:cs="Arial"/>
          <w:color w:val="000000" w:themeColor="text1"/>
          <w:sz w:val="24"/>
          <w:szCs w:val="24"/>
        </w:rPr>
        <w:t xml:space="preserve"> </w:t>
      </w:r>
      <w:r w:rsidR="00DB3611" w:rsidRPr="00397EA6">
        <w:rPr>
          <w:rFonts w:ascii="Arial" w:hAnsi="Arial" w:cs="Arial"/>
          <w:color w:val="000000" w:themeColor="text1"/>
          <w:sz w:val="24"/>
          <w:szCs w:val="24"/>
        </w:rPr>
        <w:t xml:space="preserve">evaluación clínica del paciente </w:t>
      </w:r>
      <w:r w:rsidR="007401C1" w:rsidRPr="00397EA6">
        <w:rPr>
          <w:rFonts w:ascii="Arial" w:hAnsi="Arial" w:cs="Arial"/>
          <w:color w:val="000000" w:themeColor="text1"/>
          <w:sz w:val="24"/>
          <w:szCs w:val="24"/>
        </w:rPr>
        <w:t>permitirá</w:t>
      </w:r>
      <w:r w:rsidR="00DB3611" w:rsidRPr="00397EA6">
        <w:rPr>
          <w:rFonts w:ascii="Arial" w:hAnsi="Arial" w:cs="Arial"/>
          <w:color w:val="000000" w:themeColor="text1"/>
          <w:sz w:val="24"/>
          <w:szCs w:val="24"/>
        </w:rPr>
        <w:t xml:space="preserve"> conocer de forma detallada su historia médica, realizar un examen físico e interpretar los signos y síntomas asociados con problemas de mala nutrición. Este</w:t>
      </w:r>
      <w:r w:rsidR="00286024" w:rsidRPr="00397EA6">
        <w:rPr>
          <w:rFonts w:ascii="Arial" w:hAnsi="Arial" w:cs="Arial"/>
          <w:color w:val="000000" w:themeColor="text1"/>
          <w:sz w:val="24"/>
          <w:szCs w:val="24"/>
        </w:rPr>
        <w:t xml:space="preserve"> tipo de indicador permite conocer</w:t>
      </w:r>
      <w:r w:rsidR="00DB3611" w:rsidRPr="00397EA6">
        <w:rPr>
          <w:rFonts w:ascii="Arial" w:hAnsi="Arial" w:cs="Arial"/>
          <w:color w:val="000000" w:themeColor="text1"/>
          <w:sz w:val="24"/>
          <w:szCs w:val="24"/>
        </w:rPr>
        <w:t xml:space="preserve"> aquellos factores relacionados con el esta</w:t>
      </w:r>
      <w:r w:rsidRPr="00397EA6">
        <w:rPr>
          <w:rFonts w:ascii="Arial" w:hAnsi="Arial" w:cs="Arial"/>
          <w:color w:val="000000" w:themeColor="text1"/>
          <w:sz w:val="24"/>
          <w:szCs w:val="24"/>
        </w:rPr>
        <w:t xml:space="preserve">do de salud del individuo el cual </w:t>
      </w:r>
      <w:r w:rsidR="00DB3611" w:rsidRPr="00397EA6">
        <w:rPr>
          <w:rFonts w:ascii="Arial" w:hAnsi="Arial" w:cs="Arial"/>
          <w:color w:val="000000" w:themeColor="text1"/>
          <w:sz w:val="24"/>
          <w:szCs w:val="24"/>
        </w:rPr>
        <w:t>afecta el estado de nutrición.</w:t>
      </w:r>
      <w:r w:rsidR="00E61591" w:rsidRPr="00397EA6">
        <w:rPr>
          <w:rFonts w:ascii="Arial" w:hAnsi="Arial" w:cs="Arial"/>
          <w:color w:val="000000" w:themeColor="text1"/>
          <w:sz w:val="24"/>
          <w:szCs w:val="24"/>
        </w:rPr>
        <w:t xml:space="preserve"> (Suverza y Haua, 2010).</w:t>
      </w:r>
    </w:p>
    <w:p w:rsidR="00555C99" w:rsidRPr="00397EA6" w:rsidRDefault="00555C99"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Los indicadores clínicos incluyen la valoración de cabello, cara, ojos, labios, lengua, dientes, encías, uñas y piel.</w:t>
      </w:r>
    </w:p>
    <w:p w:rsidR="001C4FAB" w:rsidRPr="00397EA6" w:rsidRDefault="001A5E5A" w:rsidP="00397EA6">
      <w:pPr>
        <w:pStyle w:val="Prrafodelista"/>
        <w:numPr>
          <w:ilvl w:val="0"/>
          <w:numId w:val="13"/>
        </w:numPr>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Indicadores Dietéticos: actualmente es de gran relevancia conocer el consumo de alimentos, nutrientes y otros componentes de la dieta, la forma más directa, rápida y económica de obtener datos del consumo es la encuesta alimentaria, en el ámbito de la investigación nutricional se consideran importantes los siguientes:</w:t>
      </w:r>
    </w:p>
    <w:p w:rsidR="001C4FAB" w:rsidRPr="00397EA6" w:rsidRDefault="001A5E5A"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 xml:space="preserve">El </w:t>
      </w:r>
      <w:r w:rsidR="00DA3249" w:rsidRPr="00397EA6">
        <w:rPr>
          <w:rFonts w:ascii="Arial" w:hAnsi="Arial" w:cs="Arial"/>
          <w:color w:val="000000" w:themeColor="text1"/>
          <w:sz w:val="24"/>
          <w:szCs w:val="24"/>
        </w:rPr>
        <w:t>Perfil de dieta habitual (DH): descripción de alimentos y bebidas que suele consumir un sujeto. Incluye las opciones más comunes para cada tiemp</w:t>
      </w:r>
      <w:r w:rsidRPr="00397EA6">
        <w:rPr>
          <w:rFonts w:ascii="Arial" w:hAnsi="Arial" w:cs="Arial"/>
          <w:color w:val="000000" w:themeColor="text1"/>
          <w:sz w:val="24"/>
          <w:szCs w:val="24"/>
        </w:rPr>
        <w:t>o de comida.</w:t>
      </w:r>
    </w:p>
    <w:p w:rsidR="001C4FAB" w:rsidRPr="00397EA6" w:rsidRDefault="001A5E5A"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 xml:space="preserve">El </w:t>
      </w:r>
      <w:r w:rsidR="00DA3249" w:rsidRPr="00397EA6">
        <w:rPr>
          <w:rFonts w:ascii="Arial" w:hAnsi="Arial" w:cs="Arial"/>
          <w:color w:val="000000" w:themeColor="text1"/>
          <w:sz w:val="24"/>
          <w:szCs w:val="24"/>
        </w:rPr>
        <w:t>R</w:t>
      </w:r>
      <w:r w:rsidR="001C4FAB" w:rsidRPr="00397EA6">
        <w:rPr>
          <w:rFonts w:ascii="Arial" w:hAnsi="Arial" w:cs="Arial"/>
          <w:color w:val="000000" w:themeColor="text1"/>
          <w:sz w:val="24"/>
          <w:szCs w:val="24"/>
        </w:rPr>
        <w:t>ecordatorio</w:t>
      </w:r>
      <w:r w:rsidR="00DA3249" w:rsidRPr="00397EA6">
        <w:rPr>
          <w:rFonts w:ascii="Arial" w:hAnsi="Arial" w:cs="Arial"/>
          <w:color w:val="000000" w:themeColor="text1"/>
          <w:sz w:val="24"/>
          <w:szCs w:val="24"/>
        </w:rPr>
        <w:t xml:space="preserve"> de 24 horas (R24h): recopilación de datos sobre el consumo de alime</w:t>
      </w:r>
      <w:r w:rsidR="00517A8C" w:rsidRPr="00397EA6">
        <w:rPr>
          <w:rFonts w:ascii="Arial" w:hAnsi="Arial" w:cs="Arial"/>
          <w:color w:val="000000" w:themeColor="text1"/>
          <w:sz w:val="24"/>
          <w:szCs w:val="24"/>
        </w:rPr>
        <w:t>ntos y bebidas del día anterior</w:t>
      </w:r>
      <w:r w:rsidRPr="00397EA6">
        <w:rPr>
          <w:rFonts w:ascii="Arial" w:hAnsi="Arial" w:cs="Arial"/>
          <w:color w:val="000000" w:themeColor="text1"/>
          <w:sz w:val="24"/>
          <w:szCs w:val="24"/>
        </w:rPr>
        <w:t>.</w:t>
      </w:r>
    </w:p>
    <w:p w:rsidR="001C4FAB" w:rsidRPr="00397EA6" w:rsidRDefault="001A5E5A"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 xml:space="preserve">El </w:t>
      </w:r>
      <w:r w:rsidR="00DA3249" w:rsidRPr="00397EA6">
        <w:rPr>
          <w:rFonts w:ascii="Arial" w:hAnsi="Arial" w:cs="Arial"/>
          <w:color w:val="000000" w:themeColor="text1"/>
          <w:sz w:val="24"/>
          <w:szCs w:val="24"/>
        </w:rPr>
        <w:t>C</w:t>
      </w:r>
      <w:r w:rsidR="001C4FAB" w:rsidRPr="00397EA6">
        <w:rPr>
          <w:rFonts w:ascii="Arial" w:hAnsi="Arial" w:cs="Arial"/>
          <w:color w:val="000000" w:themeColor="text1"/>
          <w:sz w:val="24"/>
          <w:szCs w:val="24"/>
        </w:rPr>
        <w:t xml:space="preserve">uestionario de frecuencia de consumo de alimentos </w:t>
      </w:r>
      <w:r w:rsidR="00DA3249" w:rsidRPr="00397EA6">
        <w:rPr>
          <w:rFonts w:ascii="Arial" w:hAnsi="Arial" w:cs="Arial"/>
          <w:color w:val="000000" w:themeColor="text1"/>
          <w:sz w:val="24"/>
          <w:szCs w:val="24"/>
        </w:rPr>
        <w:t xml:space="preserve">(CFCA): listado de alimentos y opciones de respuesta respecto de la frecuencia </w:t>
      </w:r>
      <w:r w:rsidR="00517A8C" w:rsidRPr="00397EA6">
        <w:rPr>
          <w:rFonts w:ascii="Arial" w:hAnsi="Arial" w:cs="Arial"/>
          <w:color w:val="000000" w:themeColor="text1"/>
          <w:sz w:val="24"/>
          <w:szCs w:val="24"/>
        </w:rPr>
        <w:t>con que se consume el alimento</w:t>
      </w:r>
      <w:r w:rsidRPr="00397EA6">
        <w:rPr>
          <w:rFonts w:ascii="Arial" w:hAnsi="Arial" w:cs="Arial"/>
          <w:color w:val="000000" w:themeColor="text1"/>
          <w:sz w:val="24"/>
          <w:szCs w:val="24"/>
        </w:rPr>
        <w:t>.</w:t>
      </w:r>
    </w:p>
    <w:p w:rsidR="001C4FAB" w:rsidRPr="00397EA6" w:rsidRDefault="00DA3249"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D</w:t>
      </w:r>
      <w:r w:rsidR="001C4FAB" w:rsidRPr="00397EA6">
        <w:rPr>
          <w:rFonts w:ascii="Arial" w:hAnsi="Arial" w:cs="Arial"/>
          <w:color w:val="000000" w:themeColor="text1"/>
          <w:sz w:val="24"/>
          <w:szCs w:val="24"/>
        </w:rPr>
        <w:t>iario o registro de alimentos y bebidas (DA)</w:t>
      </w:r>
      <w:r w:rsidRPr="00397EA6">
        <w:rPr>
          <w:rFonts w:ascii="Arial" w:hAnsi="Arial" w:cs="Arial"/>
          <w:color w:val="000000" w:themeColor="text1"/>
          <w:sz w:val="24"/>
          <w:szCs w:val="24"/>
        </w:rPr>
        <w:t>: registro de lo consumido por el su</w:t>
      </w:r>
      <w:r w:rsidR="00517A8C" w:rsidRPr="00397EA6">
        <w:rPr>
          <w:rFonts w:ascii="Arial" w:hAnsi="Arial" w:cs="Arial"/>
          <w:color w:val="000000" w:themeColor="text1"/>
          <w:sz w:val="24"/>
          <w:szCs w:val="24"/>
        </w:rPr>
        <w:t>jeto en un periodo determinado.</w:t>
      </w:r>
    </w:p>
    <w:p w:rsidR="00312CC8" w:rsidRPr="00397EA6" w:rsidRDefault="00DA3249"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D</w:t>
      </w:r>
      <w:r w:rsidR="001C4FAB" w:rsidRPr="00397EA6">
        <w:rPr>
          <w:rFonts w:ascii="Arial" w:hAnsi="Arial" w:cs="Arial"/>
          <w:color w:val="000000" w:themeColor="text1"/>
          <w:sz w:val="24"/>
          <w:szCs w:val="24"/>
        </w:rPr>
        <w:t xml:space="preserve">iario o registro de pesos y medidas </w:t>
      </w:r>
      <w:r w:rsidRPr="00397EA6">
        <w:rPr>
          <w:rFonts w:ascii="Arial" w:hAnsi="Arial" w:cs="Arial"/>
          <w:color w:val="000000" w:themeColor="text1"/>
          <w:sz w:val="24"/>
          <w:szCs w:val="24"/>
        </w:rPr>
        <w:t>(P</w:t>
      </w:r>
      <w:r w:rsidR="00517A8C" w:rsidRPr="00397EA6">
        <w:rPr>
          <w:rFonts w:ascii="Arial" w:hAnsi="Arial" w:cs="Arial"/>
          <w:color w:val="000000" w:themeColor="text1"/>
          <w:sz w:val="24"/>
          <w:szCs w:val="24"/>
        </w:rPr>
        <w:t xml:space="preserve"> </w:t>
      </w:r>
      <w:r w:rsidRPr="00397EA6">
        <w:rPr>
          <w:rFonts w:ascii="Arial" w:hAnsi="Arial" w:cs="Arial"/>
          <w:color w:val="000000" w:themeColor="text1"/>
          <w:sz w:val="24"/>
          <w:szCs w:val="24"/>
        </w:rPr>
        <w:t>y</w:t>
      </w:r>
      <w:r w:rsidR="00517A8C" w:rsidRPr="00397EA6">
        <w:rPr>
          <w:rFonts w:ascii="Arial" w:hAnsi="Arial" w:cs="Arial"/>
          <w:color w:val="000000" w:themeColor="text1"/>
          <w:sz w:val="24"/>
          <w:szCs w:val="24"/>
        </w:rPr>
        <w:t xml:space="preserve"> </w:t>
      </w:r>
      <w:r w:rsidRPr="00397EA6">
        <w:rPr>
          <w:rFonts w:ascii="Arial" w:hAnsi="Arial" w:cs="Arial"/>
          <w:color w:val="000000" w:themeColor="text1"/>
          <w:sz w:val="24"/>
          <w:szCs w:val="24"/>
        </w:rPr>
        <w:t>M): registro del peso y las cantidades de alimentos y bebidas que consumió el s</w:t>
      </w:r>
      <w:r w:rsidR="00517A8C" w:rsidRPr="00397EA6">
        <w:rPr>
          <w:rFonts w:ascii="Arial" w:hAnsi="Arial" w:cs="Arial"/>
          <w:color w:val="000000" w:themeColor="text1"/>
          <w:sz w:val="24"/>
          <w:szCs w:val="24"/>
        </w:rPr>
        <w:t>uje</w:t>
      </w:r>
      <w:r w:rsidR="00BE36C8" w:rsidRPr="00397EA6">
        <w:rPr>
          <w:rFonts w:ascii="Arial" w:hAnsi="Arial" w:cs="Arial"/>
          <w:color w:val="000000" w:themeColor="text1"/>
          <w:sz w:val="24"/>
          <w:szCs w:val="24"/>
        </w:rPr>
        <w:t>to en un periodo determinado (Suverza y Haua, 2010).</w:t>
      </w:r>
    </w:p>
    <w:p w:rsidR="00EE17DB" w:rsidRPr="00397EA6" w:rsidRDefault="00BF0C0D" w:rsidP="00397EA6">
      <w:pPr>
        <w:pStyle w:val="Prrafodelista"/>
        <w:spacing w:line="240" w:lineRule="auto"/>
        <w:jc w:val="both"/>
        <w:rPr>
          <w:rFonts w:ascii="Arial" w:hAnsi="Arial" w:cs="Arial"/>
          <w:color w:val="000000" w:themeColor="text1"/>
          <w:sz w:val="24"/>
          <w:szCs w:val="24"/>
        </w:rPr>
      </w:pPr>
      <w:r w:rsidRPr="00397EA6">
        <w:rPr>
          <w:rFonts w:ascii="Arial" w:hAnsi="Arial" w:cs="Arial"/>
          <w:color w:val="000000" w:themeColor="text1"/>
          <w:sz w:val="24"/>
          <w:szCs w:val="24"/>
        </w:rPr>
        <w:t>Es importante destacar que</w:t>
      </w:r>
      <w:r w:rsidR="00FC4250" w:rsidRPr="00397EA6">
        <w:rPr>
          <w:rFonts w:ascii="Arial" w:hAnsi="Arial" w:cs="Arial"/>
          <w:color w:val="000000" w:themeColor="text1"/>
          <w:sz w:val="24"/>
          <w:szCs w:val="24"/>
        </w:rPr>
        <w:t xml:space="preserve"> para realizar la evolución del estado de nutrición es recomendable</w:t>
      </w:r>
      <w:r w:rsidRPr="00397EA6">
        <w:rPr>
          <w:rFonts w:ascii="Arial" w:hAnsi="Arial" w:cs="Arial"/>
          <w:color w:val="000000" w:themeColor="text1"/>
          <w:sz w:val="24"/>
          <w:szCs w:val="24"/>
        </w:rPr>
        <w:t xml:space="preserve"> utilizar dos o más </w:t>
      </w:r>
      <w:r w:rsidR="00FC4250" w:rsidRPr="00397EA6">
        <w:rPr>
          <w:rFonts w:ascii="Arial" w:hAnsi="Arial" w:cs="Arial"/>
          <w:color w:val="000000" w:themeColor="text1"/>
          <w:sz w:val="24"/>
          <w:szCs w:val="24"/>
        </w:rPr>
        <w:t xml:space="preserve">de los </w:t>
      </w:r>
      <w:r w:rsidRPr="00397EA6">
        <w:rPr>
          <w:rFonts w:ascii="Arial" w:hAnsi="Arial" w:cs="Arial"/>
          <w:color w:val="000000" w:themeColor="text1"/>
          <w:sz w:val="24"/>
          <w:szCs w:val="24"/>
        </w:rPr>
        <w:t>indicadores</w:t>
      </w:r>
      <w:r w:rsidR="00FC4250" w:rsidRPr="00397EA6">
        <w:rPr>
          <w:rFonts w:ascii="Arial" w:hAnsi="Arial" w:cs="Arial"/>
          <w:color w:val="000000" w:themeColor="text1"/>
          <w:sz w:val="24"/>
          <w:szCs w:val="24"/>
        </w:rPr>
        <w:t xml:space="preserve"> antes mencionados</w:t>
      </w:r>
      <w:r w:rsidRPr="00397EA6">
        <w:rPr>
          <w:rFonts w:ascii="Arial" w:hAnsi="Arial" w:cs="Arial"/>
          <w:color w:val="000000" w:themeColor="text1"/>
          <w:sz w:val="24"/>
          <w:szCs w:val="24"/>
        </w:rPr>
        <w:t xml:space="preserve"> </w:t>
      </w:r>
      <w:r w:rsidR="00FC4250" w:rsidRPr="00397EA6">
        <w:rPr>
          <w:rFonts w:ascii="Arial" w:hAnsi="Arial" w:cs="Arial"/>
          <w:color w:val="000000" w:themeColor="text1"/>
          <w:sz w:val="24"/>
          <w:szCs w:val="24"/>
        </w:rPr>
        <w:t xml:space="preserve">con la finalidad de cruzar y/o </w:t>
      </w:r>
      <w:r w:rsidRPr="00397EA6">
        <w:rPr>
          <w:rFonts w:ascii="Arial" w:hAnsi="Arial" w:cs="Arial"/>
          <w:color w:val="000000" w:themeColor="text1"/>
          <w:sz w:val="24"/>
          <w:szCs w:val="24"/>
        </w:rPr>
        <w:t>compara</w:t>
      </w:r>
      <w:r w:rsidR="00FC4250" w:rsidRPr="00397EA6">
        <w:rPr>
          <w:rFonts w:ascii="Arial" w:hAnsi="Arial" w:cs="Arial"/>
          <w:color w:val="000000" w:themeColor="text1"/>
          <w:sz w:val="24"/>
          <w:szCs w:val="24"/>
        </w:rPr>
        <w:t xml:space="preserve">r la información para </w:t>
      </w:r>
      <w:r w:rsidR="007C0BB8" w:rsidRPr="00397EA6">
        <w:rPr>
          <w:rFonts w:ascii="Arial" w:hAnsi="Arial" w:cs="Arial"/>
          <w:color w:val="000000" w:themeColor="text1"/>
          <w:sz w:val="24"/>
          <w:szCs w:val="24"/>
        </w:rPr>
        <w:t>tener resultados fehacientes que permitan una int</w:t>
      </w:r>
      <w:r w:rsidR="00BE36C8" w:rsidRPr="00397EA6">
        <w:rPr>
          <w:rFonts w:ascii="Arial" w:hAnsi="Arial" w:cs="Arial"/>
          <w:color w:val="000000" w:themeColor="text1"/>
          <w:sz w:val="24"/>
          <w:szCs w:val="24"/>
        </w:rPr>
        <w:t>ervención nutricional adecuada.</w:t>
      </w:r>
    </w:p>
    <w:p w:rsidR="00BF0C0D" w:rsidRPr="002A57EC" w:rsidRDefault="007C0BB8" w:rsidP="004E41F3">
      <w:pPr>
        <w:spacing w:line="240" w:lineRule="auto"/>
        <w:jc w:val="both"/>
        <w:rPr>
          <w:rFonts w:ascii="Arial" w:hAnsi="Arial" w:cs="Arial"/>
          <w:sz w:val="24"/>
          <w:szCs w:val="24"/>
        </w:rPr>
      </w:pPr>
      <w:r w:rsidRPr="00397EA6">
        <w:rPr>
          <w:rFonts w:ascii="Arial" w:hAnsi="Arial" w:cs="Arial"/>
          <w:b/>
          <w:sz w:val="24"/>
          <w:szCs w:val="24"/>
        </w:rPr>
        <w:t>I</w:t>
      </w:r>
      <w:r w:rsidR="00397EA6" w:rsidRPr="00397EA6">
        <w:rPr>
          <w:rFonts w:ascii="Arial" w:hAnsi="Arial" w:cs="Arial"/>
          <w:b/>
          <w:sz w:val="24"/>
          <w:szCs w:val="24"/>
        </w:rPr>
        <w:t>I</w:t>
      </w:r>
      <w:r w:rsidRPr="00397EA6">
        <w:rPr>
          <w:rFonts w:ascii="Arial" w:hAnsi="Arial" w:cs="Arial"/>
          <w:b/>
          <w:sz w:val="24"/>
          <w:szCs w:val="24"/>
        </w:rPr>
        <w:t xml:space="preserve">. </w:t>
      </w:r>
      <w:r w:rsidR="00397EA6" w:rsidRPr="00397EA6">
        <w:rPr>
          <w:rFonts w:ascii="Arial" w:hAnsi="Arial" w:cs="Arial"/>
          <w:b/>
          <w:sz w:val="24"/>
          <w:szCs w:val="24"/>
        </w:rPr>
        <w:t xml:space="preserve">1. </w:t>
      </w:r>
      <w:r w:rsidR="00286024" w:rsidRPr="00397EA6">
        <w:rPr>
          <w:rFonts w:ascii="Arial" w:hAnsi="Arial" w:cs="Arial"/>
          <w:b/>
          <w:sz w:val="24"/>
          <w:szCs w:val="24"/>
        </w:rPr>
        <w:t>2.</w:t>
      </w:r>
      <w:r w:rsidR="00286024" w:rsidRPr="00397EA6">
        <w:rPr>
          <w:rFonts w:ascii="Arial" w:hAnsi="Arial" w:cs="Arial"/>
          <w:sz w:val="24"/>
          <w:szCs w:val="24"/>
        </w:rPr>
        <w:t xml:space="preserve"> </w:t>
      </w:r>
      <w:r w:rsidRPr="00397EA6">
        <w:rPr>
          <w:rFonts w:ascii="Arial" w:hAnsi="Arial" w:cs="Arial"/>
          <w:b/>
          <w:sz w:val="24"/>
          <w:szCs w:val="24"/>
        </w:rPr>
        <w:t>I</w:t>
      </w:r>
      <w:r w:rsidR="001F24E7" w:rsidRPr="00397EA6">
        <w:rPr>
          <w:rFonts w:ascii="Arial" w:hAnsi="Arial" w:cs="Arial"/>
          <w:b/>
          <w:sz w:val="24"/>
          <w:szCs w:val="24"/>
        </w:rPr>
        <w:t>ndicadores indirectos</w:t>
      </w:r>
      <w:r w:rsidR="00FB02AC" w:rsidRPr="00397EA6">
        <w:rPr>
          <w:rFonts w:ascii="Arial" w:hAnsi="Arial" w:cs="Arial"/>
          <w:sz w:val="24"/>
          <w:szCs w:val="24"/>
        </w:rPr>
        <w:t>:</w:t>
      </w:r>
      <w:r w:rsidR="00FF1976" w:rsidRPr="00397EA6">
        <w:rPr>
          <w:rFonts w:ascii="Arial" w:hAnsi="Arial" w:cs="Arial"/>
          <w:sz w:val="24"/>
          <w:szCs w:val="24"/>
        </w:rPr>
        <w:t xml:space="preserve"> </w:t>
      </w:r>
      <w:r w:rsidRPr="00397EA6">
        <w:rPr>
          <w:rFonts w:ascii="Arial" w:hAnsi="Arial" w:cs="Arial"/>
          <w:sz w:val="24"/>
          <w:szCs w:val="24"/>
        </w:rPr>
        <w:t>Reflejan el entorno social, cultural, político y económico que influencia la</w:t>
      </w:r>
      <w:r>
        <w:rPr>
          <w:rFonts w:ascii="Arial" w:hAnsi="Arial" w:cs="Arial"/>
          <w:sz w:val="24"/>
          <w:szCs w:val="24"/>
        </w:rPr>
        <w:t xml:space="preserve"> seguridad alimentaria</w:t>
      </w:r>
      <w:r w:rsidR="00FB02AC">
        <w:rPr>
          <w:rFonts w:ascii="Arial" w:hAnsi="Arial" w:cs="Arial"/>
          <w:sz w:val="24"/>
          <w:szCs w:val="24"/>
        </w:rPr>
        <w:t xml:space="preserve"> de una región</w:t>
      </w:r>
      <w:r>
        <w:rPr>
          <w:rFonts w:ascii="Arial" w:hAnsi="Arial" w:cs="Arial"/>
          <w:sz w:val="24"/>
          <w:szCs w:val="24"/>
        </w:rPr>
        <w:t xml:space="preserve"> y</w:t>
      </w:r>
      <w:r w:rsidR="00FB02AC">
        <w:rPr>
          <w:rFonts w:ascii="Arial" w:hAnsi="Arial" w:cs="Arial"/>
          <w:sz w:val="24"/>
          <w:szCs w:val="24"/>
        </w:rPr>
        <w:t xml:space="preserve">a que repercuten de manera directa en el </w:t>
      </w:r>
      <w:r>
        <w:rPr>
          <w:rFonts w:ascii="Arial" w:hAnsi="Arial" w:cs="Arial"/>
          <w:sz w:val="24"/>
          <w:szCs w:val="24"/>
        </w:rPr>
        <w:t>estado de nutrición de los individuos de una población, región o país</w:t>
      </w:r>
      <w:r w:rsidR="00FB02AC">
        <w:rPr>
          <w:rFonts w:ascii="Arial" w:hAnsi="Arial" w:cs="Arial"/>
          <w:sz w:val="24"/>
          <w:szCs w:val="24"/>
        </w:rPr>
        <w:t>, entre ellos destacan, de manera general se engloban en:</w:t>
      </w:r>
    </w:p>
    <w:p w:rsidR="002B02D5" w:rsidRPr="00950008" w:rsidRDefault="00286024" w:rsidP="00FB02AC">
      <w:pPr>
        <w:pStyle w:val="Prrafodelista"/>
        <w:numPr>
          <w:ilvl w:val="0"/>
          <w:numId w:val="8"/>
        </w:numPr>
        <w:spacing w:line="240" w:lineRule="auto"/>
        <w:jc w:val="both"/>
        <w:rPr>
          <w:rFonts w:ascii="Arial" w:hAnsi="Arial" w:cs="Arial"/>
          <w:sz w:val="24"/>
          <w:szCs w:val="24"/>
          <w:shd w:val="clear" w:color="auto" w:fill="FFFFFF"/>
        </w:rPr>
      </w:pPr>
      <w:r w:rsidRPr="00950008">
        <w:rPr>
          <w:rFonts w:ascii="Arial" w:hAnsi="Arial" w:cs="Arial"/>
          <w:sz w:val="24"/>
          <w:szCs w:val="24"/>
        </w:rPr>
        <w:t>S</w:t>
      </w:r>
      <w:r w:rsidR="008E0629" w:rsidRPr="00950008">
        <w:rPr>
          <w:rFonts w:ascii="Arial" w:hAnsi="Arial" w:cs="Arial"/>
          <w:sz w:val="24"/>
          <w:szCs w:val="24"/>
        </w:rPr>
        <w:t>ocioeconómicos</w:t>
      </w:r>
      <w:r w:rsidR="002B02D5" w:rsidRPr="00950008">
        <w:rPr>
          <w:rFonts w:ascii="Arial" w:hAnsi="Arial" w:cs="Arial"/>
          <w:sz w:val="24"/>
          <w:szCs w:val="24"/>
        </w:rPr>
        <w:t>: P</w:t>
      </w:r>
      <w:r w:rsidR="00FB02AC" w:rsidRPr="00950008">
        <w:rPr>
          <w:rFonts w:ascii="Arial" w:hAnsi="Arial" w:cs="Arial"/>
          <w:sz w:val="24"/>
          <w:szCs w:val="24"/>
        </w:rPr>
        <w:t>roducto Interno Bruto</w:t>
      </w:r>
      <w:r w:rsidR="002B02D5" w:rsidRPr="00950008">
        <w:rPr>
          <w:rFonts w:ascii="Arial" w:hAnsi="Arial" w:cs="Arial"/>
          <w:sz w:val="24"/>
          <w:szCs w:val="24"/>
        </w:rPr>
        <w:t>, estrato socia</w:t>
      </w:r>
      <w:r w:rsidR="00FB02AC" w:rsidRPr="00950008">
        <w:rPr>
          <w:rFonts w:ascii="Arial" w:hAnsi="Arial" w:cs="Arial"/>
          <w:sz w:val="24"/>
          <w:szCs w:val="24"/>
        </w:rPr>
        <w:t xml:space="preserve">l, ingresos o salario, y </w:t>
      </w:r>
      <w:r w:rsidR="002B02D5" w:rsidRPr="00950008">
        <w:rPr>
          <w:rFonts w:ascii="Arial" w:hAnsi="Arial" w:cs="Arial"/>
          <w:sz w:val="24"/>
          <w:szCs w:val="24"/>
        </w:rPr>
        <w:t>ocupación.</w:t>
      </w:r>
    </w:p>
    <w:p w:rsidR="00BE36C8" w:rsidRDefault="002B02D5" w:rsidP="00BE36C8">
      <w:pPr>
        <w:pStyle w:val="Prrafodelista"/>
        <w:numPr>
          <w:ilvl w:val="0"/>
          <w:numId w:val="8"/>
        </w:numPr>
        <w:spacing w:line="240" w:lineRule="auto"/>
        <w:jc w:val="both"/>
        <w:rPr>
          <w:rFonts w:ascii="Arial" w:hAnsi="Arial" w:cs="Arial"/>
          <w:sz w:val="24"/>
          <w:szCs w:val="24"/>
          <w:shd w:val="clear" w:color="auto" w:fill="FFFFFF"/>
        </w:rPr>
      </w:pPr>
      <w:r w:rsidRPr="00950008">
        <w:rPr>
          <w:rFonts w:ascii="Arial" w:hAnsi="Arial" w:cs="Arial"/>
          <w:sz w:val="24"/>
          <w:szCs w:val="24"/>
          <w:shd w:val="clear" w:color="auto" w:fill="FFFFFF"/>
        </w:rPr>
        <w:t xml:space="preserve">Políticos: canasta básica, programas alimentarios y nutricionales, programas de asistencia social, </w:t>
      </w:r>
      <w:r w:rsidR="006B4071" w:rsidRPr="00950008">
        <w:rPr>
          <w:rFonts w:ascii="Arial" w:hAnsi="Arial" w:cs="Arial"/>
          <w:sz w:val="24"/>
          <w:szCs w:val="24"/>
          <w:shd w:val="clear" w:color="auto" w:fill="FFFFFF"/>
        </w:rPr>
        <w:t>importación</w:t>
      </w:r>
      <w:r w:rsidRPr="00950008">
        <w:rPr>
          <w:rFonts w:ascii="Arial" w:hAnsi="Arial" w:cs="Arial"/>
          <w:sz w:val="24"/>
          <w:szCs w:val="24"/>
          <w:shd w:val="clear" w:color="auto" w:fill="FFFFFF"/>
        </w:rPr>
        <w:t xml:space="preserve"> y exportación de alimentos, índice de precios nacionales e internacionales.</w:t>
      </w:r>
    </w:p>
    <w:p w:rsidR="00E1768B" w:rsidRPr="00BE36C8" w:rsidRDefault="00E1768B" w:rsidP="00BE36C8">
      <w:pPr>
        <w:pStyle w:val="Prrafodelista"/>
        <w:numPr>
          <w:ilvl w:val="0"/>
          <w:numId w:val="8"/>
        </w:numPr>
        <w:spacing w:line="240" w:lineRule="auto"/>
        <w:jc w:val="both"/>
        <w:rPr>
          <w:rFonts w:ascii="Arial" w:hAnsi="Arial" w:cs="Arial"/>
          <w:sz w:val="24"/>
          <w:szCs w:val="24"/>
          <w:shd w:val="clear" w:color="auto" w:fill="FFFFFF"/>
        </w:rPr>
      </w:pPr>
      <w:r w:rsidRPr="00BE36C8">
        <w:rPr>
          <w:rFonts w:ascii="Arial" w:hAnsi="Arial" w:cs="Arial"/>
          <w:sz w:val="24"/>
          <w:szCs w:val="24"/>
          <w:shd w:val="clear" w:color="auto" w:fill="FFFFFF"/>
        </w:rPr>
        <w:t>Sociales: migración, abasto alimentario, disponibilidad, selección y compra de alimentos, o problemas de alcoholismo drogadicción entre otros.</w:t>
      </w:r>
    </w:p>
    <w:p w:rsidR="005E18C3" w:rsidRPr="00950008" w:rsidRDefault="00E1768B" w:rsidP="00FB02AC">
      <w:pPr>
        <w:pStyle w:val="Prrafodelista"/>
        <w:numPr>
          <w:ilvl w:val="0"/>
          <w:numId w:val="8"/>
        </w:numPr>
        <w:spacing w:line="240" w:lineRule="auto"/>
        <w:jc w:val="both"/>
        <w:rPr>
          <w:rFonts w:ascii="Arial" w:hAnsi="Arial" w:cs="Arial"/>
          <w:sz w:val="24"/>
          <w:szCs w:val="24"/>
          <w:shd w:val="clear" w:color="auto" w:fill="FFFFFF"/>
        </w:rPr>
      </w:pPr>
      <w:r w:rsidRPr="00950008">
        <w:rPr>
          <w:rFonts w:ascii="Arial" w:hAnsi="Arial" w:cs="Arial"/>
          <w:sz w:val="24"/>
          <w:szCs w:val="24"/>
          <w:shd w:val="clear" w:color="auto" w:fill="FFFFFF"/>
        </w:rPr>
        <w:t xml:space="preserve">Culturales: costumbres en la forma de alimentarse, </w:t>
      </w:r>
      <w:r w:rsidR="007B3401" w:rsidRPr="00950008">
        <w:rPr>
          <w:rFonts w:ascii="Arial" w:hAnsi="Arial" w:cs="Arial"/>
          <w:sz w:val="24"/>
          <w:szCs w:val="24"/>
          <w:shd w:val="clear" w:color="auto" w:fill="FFFFFF"/>
        </w:rPr>
        <w:t>tradiciones</w:t>
      </w:r>
      <w:r w:rsidR="00CE048E" w:rsidRPr="00950008">
        <w:rPr>
          <w:rFonts w:ascii="Arial" w:hAnsi="Arial" w:cs="Arial"/>
          <w:sz w:val="24"/>
          <w:szCs w:val="24"/>
          <w:shd w:val="clear" w:color="auto" w:fill="FFFFFF"/>
        </w:rPr>
        <w:t>, hábitos</w:t>
      </w:r>
      <w:r w:rsidR="004D3C9F" w:rsidRPr="00950008">
        <w:rPr>
          <w:rFonts w:ascii="Arial" w:hAnsi="Arial" w:cs="Arial"/>
          <w:sz w:val="24"/>
          <w:szCs w:val="24"/>
          <w:shd w:val="clear" w:color="auto" w:fill="FFFFFF"/>
        </w:rPr>
        <w:t xml:space="preserve"> de alimentación y </w:t>
      </w:r>
      <w:r w:rsidR="007B3401" w:rsidRPr="00950008">
        <w:rPr>
          <w:rFonts w:ascii="Arial" w:hAnsi="Arial" w:cs="Arial"/>
          <w:sz w:val="24"/>
          <w:szCs w:val="24"/>
          <w:shd w:val="clear" w:color="auto" w:fill="FFFFFF"/>
        </w:rPr>
        <w:t>transición</w:t>
      </w:r>
      <w:r w:rsidRPr="00950008">
        <w:rPr>
          <w:rFonts w:ascii="Arial" w:hAnsi="Arial" w:cs="Arial"/>
          <w:sz w:val="24"/>
          <w:szCs w:val="24"/>
          <w:shd w:val="clear" w:color="auto" w:fill="FFFFFF"/>
        </w:rPr>
        <w:t xml:space="preserve"> de </w:t>
      </w:r>
      <w:r w:rsidR="007B3401" w:rsidRPr="00950008">
        <w:rPr>
          <w:rFonts w:ascii="Arial" w:hAnsi="Arial" w:cs="Arial"/>
          <w:sz w:val="24"/>
          <w:szCs w:val="24"/>
          <w:shd w:val="clear" w:color="auto" w:fill="FFFFFF"/>
        </w:rPr>
        <w:t>hábitos</w:t>
      </w:r>
      <w:r w:rsidRPr="00950008">
        <w:rPr>
          <w:rFonts w:ascii="Arial" w:hAnsi="Arial" w:cs="Arial"/>
          <w:sz w:val="24"/>
          <w:szCs w:val="24"/>
          <w:shd w:val="clear" w:color="auto" w:fill="FFFFFF"/>
        </w:rPr>
        <w:t>.</w:t>
      </w:r>
    </w:p>
    <w:p w:rsidR="000F6A69" w:rsidRPr="00BE36C8" w:rsidRDefault="000F6A69" w:rsidP="000F6A69">
      <w:pPr>
        <w:spacing w:line="240" w:lineRule="auto"/>
        <w:jc w:val="both"/>
        <w:rPr>
          <w:rFonts w:ascii="Arial" w:hAnsi="Arial" w:cs="Arial"/>
          <w:color w:val="FF0000"/>
          <w:sz w:val="24"/>
          <w:szCs w:val="24"/>
        </w:rPr>
      </w:pPr>
      <w:r w:rsidRPr="000F6A69">
        <w:rPr>
          <w:rFonts w:ascii="Arial" w:hAnsi="Arial" w:cs="Arial"/>
          <w:color w:val="000000" w:themeColor="text1"/>
          <w:sz w:val="24"/>
          <w:szCs w:val="24"/>
        </w:rPr>
        <w:t xml:space="preserve">Tomando en cuenta la información anterior para fines de este estudio los indicadores que se utilizaron fueron antropométricos </w:t>
      </w:r>
      <w:r>
        <w:rPr>
          <w:rFonts w:ascii="Arial" w:hAnsi="Arial" w:cs="Arial"/>
          <w:color w:val="000000" w:themeColor="text1"/>
          <w:sz w:val="24"/>
          <w:szCs w:val="24"/>
        </w:rPr>
        <w:t xml:space="preserve">a través del método BIA, y para los </w:t>
      </w:r>
      <w:r w:rsidRPr="000F6A69">
        <w:rPr>
          <w:rFonts w:ascii="Arial" w:hAnsi="Arial" w:cs="Arial"/>
          <w:color w:val="000000" w:themeColor="text1"/>
          <w:sz w:val="24"/>
          <w:szCs w:val="24"/>
        </w:rPr>
        <w:t>dietéticos se utilizó la encuesta de recordatorio de 24 horas</w:t>
      </w:r>
      <w:r>
        <w:rPr>
          <w:rFonts w:ascii="Arial" w:hAnsi="Arial" w:cs="Arial"/>
          <w:color w:val="000000" w:themeColor="text1"/>
          <w:sz w:val="24"/>
          <w:szCs w:val="24"/>
        </w:rPr>
        <w:t>.</w:t>
      </w:r>
    </w:p>
    <w:p w:rsidR="00AD134D" w:rsidRDefault="00397EA6" w:rsidP="00AD134D">
      <w:pPr>
        <w:spacing w:line="240" w:lineRule="auto"/>
        <w:jc w:val="both"/>
        <w:rPr>
          <w:rFonts w:ascii="Arial" w:hAnsi="Arial" w:cs="Arial"/>
          <w:sz w:val="24"/>
          <w:szCs w:val="24"/>
        </w:rPr>
      </w:pPr>
      <w:r>
        <w:rPr>
          <w:rFonts w:ascii="Arial" w:hAnsi="Arial" w:cs="Arial"/>
          <w:b/>
          <w:color w:val="252525"/>
          <w:sz w:val="24"/>
          <w:szCs w:val="24"/>
          <w:shd w:val="clear" w:color="auto" w:fill="FFFFFF"/>
        </w:rPr>
        <w:t>II.2</w:t>
      </w:r>
      <w:r w:rsidR="00FB02AC">
        <w:rPr>
          <w:rFonts w:ascii="Arial" w:hAnsi="Arial" w:cs="Arial"/>
          <w:color w:val="252525"/>
          <w:sz w:val="24"/>
          <w:szCs w:val="24"/>
          <w:shd w:val="clear" w:color="auto" w:fill="FFFFFF"/>
        </w:rPr>
        <w:t xml:space="preserve"> </w:t>
      </w:r>
      <w:r w:rsidR="00FB02AC" w:rsidRPr="00397EA6">
        <w:rPr>
          <w:rFonts w:ascii="Arial" w:hAnsi="Arial" w:cs="Arial"/>
          <w:b/>
          <w:sz w:val="24"/>
          <w:szCs w:val="24"/>
          <w:shd w:val="clear" w:color="auto" w:fill="FFFFFF"/>
        </w:rPr>
        <w:t>Ingesta dietética</w:t>
      </w:r>
      <w:r w:rsidR="00FB02AC" w:rsidRPr="00BE36C8">
        <w:rPr>
          <w:rFonts w:ascii="Arial" w:hAnsi="Arial" w:cs="Arial"/>
          <w:sz w:val="24"/>
          <w:szCs w:val="24"/>
          <w:shd w:val="clear" w:color="auto" w:fill="FFFFFF"/>
        </w:rPr>
        <w:t>: se define como</w:t>
      </w:r>
      <w:r w:rsidR="00272A84" w:rsidRPr="00BE36C8">
        <w:rPr>
          <w:rFonts w:ascii="Arial" w:hAnsi="Arial" w:cs="Arial"/>
          <w:sz w:val="24"/>
          <w:szCs w:val="24"/>
        </w:rPr>
        <w:t xml:space="preserve"> la cantidad de alimento qu</w:t>
      </w:r>
      <w:r w:rsidR="000E5F0D" w:rsidRPr="00BE36C8">
        <w:rPr>
          <w:rFonts w:ascii="Arial" w:hAnsi="Arial" w:cs="Arial"/>
          <w:sz w:val="24"/>
          <w:szCs w:val="24"/>
        </w:rPr>
        <w:t>e un individuo consume cada día;</w:t>
      </w:r>
      <w:r w:rsidR="00EE696E" w:rsidRPr="00BE36C8">
        <w:rPr>
          <w:rFonts w:ascii="Arial" w:hAnsi="Arial" w:cs="Arial"/>
          <w:sz w:val="24"/>
          <w:szCs w:val="24"/>
        </w:rPr>
        <w:t xml:space="preserve"> para que una dieta sea </w:t>
      </w:r>
      <w:r w:rsidR="00EE696E">
        <w:rPr>
          <w:rFonts w:ascii="Arial" w:hAnsi="Arial" w:cs="Arial"/>
          <w:sz w:val="24"/>
          <w:szCs w:val="24"/>
        </w:rPr>
        <w:t xml:space="preserve">adecuada y nutricionalmente equilibrada tiene que contener energía y todos los nutrientes en cantidad y calidad adecuados y suficientes para cubrir las necesidades del individuo, con el </w:t>
      </w:r>
      <w:r w:rsidR="00EE696E">
        <w:rPr>
          <w:rFonts w:ascii="Arial" w:hAnsi="Arial" w:cs="Arial"/>
          <w:sz w:val="24"/>
          <w:szCs w:val="24"/>
        </w:rPr>
        <w:lastRenderedPageBreak/>
        <w:t>objetivo de mantener un estado de salud óptimo ya que la inadecuada nutrición puede reducir la inmunidad, aumentar la vulnerabilidad a las enfermedades, alterar el crecimiento y desarrollo y reducir la productividad.</w:t>
      </w:r>
      <w:r w:rsidR="00AD134D" w:rsidRPr="00AD134D">
        <w:rPr>
          <w:rFonts w:ascii="Arial" w:hAnsi="Arial" w:cs="Arial"/>
          <w:sz w:val="24"/>
          <w:szCs w:val="24"/>
        </w:rPr>
        <w:t xml:space="preserve"> </w:t>
      </w:r>
    </w:p>
    <w:p w:rsidR="00AD134D" w:rsidRDefault="00AD134D" w:rsidP="00AD134D">
      <w:pPr>
        <w:spacing w:line="240" w:lineRule="auto"/>
        <w:jc w:val="both"/>
        <w:rPr>
          <w:rFonts w:ascii="Arial" w:hAnsi="Arial" w:cs="Arial"/>
          <w:color w:val="FF0000"/>
          <w:sz w:val="24"/>
          <w:szCs w:val="24"/>
        </w:rPr>
      </w:pPr>
      <w:r>
        <w:rPr>
          <w:rFonts w:ascii="Arial" w:hAnsi="Arial" w:cs="Arial"/>
          <w:sz w:val="24"/>
          <w:szCs w:val="24"/>
        </w:rPr>
        <w:t>Según la cantidad que se ingiere en la dieta, los nutrientes se clasifican en; Macronutrientes aquellos que el organismo necesita en cantidades relativamente grandes y constituyen la mayor parte de los alimentos, son los hidratos de carbono, lípidos y proteínas. Micronutrientes llamados así porque cuerpo humano necesita muy pequeñas cantidades para su funcionamiento, son las vitami</w:t>
      </w:r>
      <w:r w:rsidR="00E61591">
        <w:rPr>
          <w:rFonts w:ascii="Arial" w:hAnsi="Arial" w:cs="Arial"/>
          <w:sz w:val="24"/>
          <w:szCs w:val="24"/>
        </w:rPr>
        <w:t>nas, minerales y oligoelementos. (Alvero et al, 2005).</w:t>
      </w:r>
    </w:p>
    <w:p w:rsidR="00E55C50" w:rsidRDefault="00E55C50" w:rsidP="00AD134D">
      <w:pPr>
        <w:spacing w:line="240" w:lineRule="auto"/>
        <w:jc w:val="both"/>
        <w:rPr>
          <w:rFonts w:ascii="Arial" w:hAnsi="Arial" w:cs="Arial"/>
          <w:sz w:val="24"/>
          <w:szCs w:val="24"/>
        </w:rPr>
      </w:pPr>
      <w:r>
        <w:rPr>
          <w:rFonts w:ascii="Arial" w:hAnsi="Arial" w:cs="Arial"/>
          <w:sz w:val="24"/>
          <w:szCs w:val="24"/>
        </w:rPr>
        <w:t xml:space="preserve">Definir la cantidad de energía, nutrientes y otros componentes dietéticos para mantener una salud óptima es una tarea </w:t>
      </w:r>
      <w:r w:rsidR="00AA7EDC">
        <w:rPr>
          <w:rFonts w:ascii="Arial" w:hAnsi="Arial" w:cs="Arial"/>
          <w:sz w:val="24"/>
          <w:szCs w:val="24"/>
        </w:rPr>
        <w:t>difícil</w:t>
      </w:r>
      <w:r>
        <w:rPr>
          <w:rFonts w:ascii="Arial" w:hAnsi="Arial" w:cs="Arial"/>
          <w:sz w:val="24"/>
          <w:szCs w:val="24"/>
        </w:rPr>
        <w:t xml:space="preserve"> que depende </w:t>
      </w:r>
      <w:r w:rsidR="00AA7EDC">
        <w:rPr>
          <w:rFonts w:ascii="Arial" w:hAnsi="Arial" w:cs="Arial"/>
          <w:sz w:val="24"/>
          <w:szCs w:val="24"/>
        </w:rPr>
        <w:t>fundamentalmente</w:t>
      </w:r>
      <w:r>
        <w:rPr>
          <w:rFonts w:ascii="Arial" w:hAnsi="Arial" w:cs="Arial"/>
          <w:sz w:val="24"/>
          <w:szCs w:val="24"/>
        </w:rPr>
        <w:t xml:space="preserve"> de la cantidad y calidad de la información científica disponible. En primer lugar hay que conocer los problemas nutricionales de la población o del individuo para definir y seleccionar los criterios más apropiados para establecer el requerimient</w:t>
      </w:r>
      <w:r w:rsidR="00AA7EDC">
        <w:rPr>
          <w:rFonts w:ascii="Arial" w:hAnsi="Arial" w:cs="Arial"/>
          <w:sz w:val="24"/>
          <w:szCs w:val="24"/>
        </w:rPr>
        <w:t>o y posteriormente calcular la ingesta recomendada (</w:t>
      </w:r>
      <w:r>
        <w:rPr>
          <w:rFonts w:ascii="Arial" w:hAnsi="Arial" w:cs="Arial"/>
          <w:sz w:val="24"/>
          <w:szCs w:val="24"/>
        </w:rPr>
        <w:t>IR</w:t>
      </w:r>
      <w:r w:rsidR="00AA7EDC">
        <w:rPr>
          <w:rFonts w:ascii="Arial" w:hAnsi="Arial" w:cs="Arial"/>
          <w:sz w:val="24"/>
          <w:szCs w:val="24"/>
        </w:rPr>
        <w:t>).</w:t>
      </w:r>
      <w:r>
        <w:rPr>
          <w:rFonts w:ascii="Arial" w:hAnsi="Arial" w:cs="Arial"/>
          <w:sz w:val="24"/>
          <w:szCs w:val="24"/>
        </w:rPr>
        <w:t xml:space="preserve"> </w:t>
      </w:r>
    </w:p>
    <w:p w:rsidR="00636089" w:rsidRPr="00AD134D" w:rsidRDefault="000E5F0D" w:rsidP="004E41F3">
      <w:pPr>
        <w:spacing w:line="240" w:lineRule="auto"/>
        <w:jc w:val="both"/>
        <w:rPr>
          <w:rFonts w:ascii="Arial" w:hAnsi="Arial" w:cs="Arial"/>
          <w:sz w:val="24"/>
          <w:szCs w:val="24"/>
        </w:rPr>
      </w:pPr>
      <w:r>
        <w:rPr>
          <w:rFonts w:ascii="Arial" w:hAnsi="Arial" w:cs="Arial"/>
          <w:sz w:val="24"/>
          <w:szCs w:val="24"/>
        </w:rPr>
        <w:t>Las Ingestas recomendadas (IR) se definen como los niveles de ingesta de nutrientes esenciales que, sobre la base de los conocimientos científicos actuales, se consideran adecuados para satisfacer las necesidades nutricionales de prácticamente la totalidad de individuos sanos con actividad física moderada.</w:t>
      </w:r>
      <w:r w:rsidR="00636089">
        <w:rPr>
          <w:rFonts w:ascii="Arial" w:hAnsi="Arial" w:cs="Arial"/>
          <w:sz w:val="24"/>
          <w:szCs w:val="24"/>
        </w:rPr>
        <w:t xml:space="preserve"> Los nutrientes son compuestos que forman parte de los alimentos y son necesarios para el funcionamiento del cuerpo humano los cuales se obtienen de la digestión de los alimentos.</w:t>
      </w:r>
    </w:p>
    <w:p w:rsidR="00AD134D" w:rsidRPr="00AD134D" w:rsidRDefault="00636089" w:rsidP="004E41F3">
      <w:pPr>
        <w:spacing w:line="240" w:lineRule="auto"/>
        <w:jc w:val="both"/>
      </w:pPr>
      <w:r w:rsidRPr="00AD134D">
        <w:rPr>
          <w:rFonts w:ascii="Arial" w:hAnsi="Arial" w:cs="Arial"/>
          <w:sz w:val="24"/>
          <w:szCs w:val="24"/>
        </w:rPr>
        <w:t>Las recomendaciones dietéticas más utilizadas son las establecidas por el Panel de Alimentación y Nutrición del Consejo Nacional de Investigación americano (National Research Council): las conocidas RDA (Recommended Dietary Allowances)</w:t>
      </w:r>
      <w:r w:rsidR="00AD134D">
        <w:rPr>
          <w:rFonts w:ascii="Arial" w:hAnsi="Arial" w:cs="Arial"/>
          <w:sz w:val="24"/>
          <w:szCs w:val="24"/>
        </w:rPr>
        <w:t xml:space="preserve">. Es importante conocer los siguientes aspectos: </w:t>
      </w:r>
      <w:r w:rsidR="00AD134D" w:rsidRPr="00AD134D">
        <w:rPr>
          <w:rFonts w:ascii="Arial" w:hAnsi="Arial" w:cs="Arial"/>
          <w:sz w:val="24"/>
          <w:szCs w:val="24"/>
        </w:rPr>
        <w:t>Son recomendaciones de cantidades de nutrientes que deben consumirse a diario y no tienen en cuenta las pérdidas durante</w:t>
      </w:r>
      <w:r w:rsidR="00AD134D">
        <w:rPr>
          <w:rFonts w:ascii="Arial" w:hAnsi="Arial" w:cs="Arial"/>
          <w:sz w:val="24"/>
          <w:szCs w:val="24"/>
        </w:rPr>
        <w:t xml:space="preserve"> el procesamiento y cocinado; en segundo lugar s</w:t>
      </w:r>
      <w:r w:rsidR="00AD134D" w:rsidRPr="00AD134D">
        <w:rPr>
          <w:rFonts w:ascii="Arial" w:hAnsi="Arial" w:cs="Arial"/>
          <w:sz w:val="24"/>
          <w:szCs w:val="24"/>
        </w:rPr>
        <w:t xml:space="preserve">on ingestas para personas sanas; por tanto, no tienen en cuenta las diferencias en pérdidas y necesidades durante la enfermedad y/o tratamientos farmacológicos </w:t>
      </w:r>
      <w:r w:rsidR="00AD134D">
        <w:rPr>
          <w:rFonts w:ascii="Arial" w:hAnsi="Arial" w:cs="Arial"/>
          <w:sz w:val="24"/>
          <w:szCs w:val="24"/>
        </w:rPr>
        <w:t>concomitantes y en tercer lugar s</w:t>
      </w:r>
      <w:r w:rsidR="00AD134D" w:rsidRPr="00AD134D">
        <w:rPr>
          <w:rFonts w:ascii="Arial" w:hAnsi="Arial" w:cs="Arial"/>
          <w:sz w:val="24"/>
          <w:szCs w:val="24"/>
        </w:rPr>
        <w:t xml:space="preserve">e expresan por grupos de </w:t>
      </w:r>
      <w:r w:rsidR="00484F56">
        <w:rPr>
          <w:rFonts w:ascii="Arial" w:hAnsi="Arial" w:cs="Arial"/>
          <w:sz w:val="24"/>
          <w:szCs w:val="24"/>
        </w:rPr>
        <w:t>edad (Velázquez, 2007).</w:t>
      </w:r>
    </w:p>
    <w:p w:rsidR="00E55C50" w:rsidRDefault="00AA7EDC" w:rsidP="004E41F3">
      <w:pPr>
        <w:spacing w:line="240" w:lineRule="auto"/>
        <w:jc w:val="both"/>
        <w:rPr>
          <w:rFonts w:ascii="Arial" w:hAnsi="Arial" w:cs="Arial"/>
          <w:sz w:val="24"/>
          <w:szCs w:val="24"/>
        </w:rPr>
      </w:pPr>
      <w:r>
        <w:rPr>
          <w:rFonts w:ascii="Arial" w:hAnsi="Arial" w:cs="Arial"/>
          <w:sz w:val="24"/>
          <w:szCs w:val="24"/>
        </w:rPr>
        <w:t>Además en México se tiene la Norma Oficial Mexicana NOM-051-SCFI/SSA1-2010 que en el apartado 5.1 marca las pautas a seguir para el cálculo de macronutrimentos</w:t>
      </w:r>
      <w:r w:rsidR="00484F56">
        <w:rPr>
          <w:rFonts w:ascii="Arial" w:hAnsi="Arial" w:cs="Arial"/>
          <w:sz w:val="24"/>
          <w:szCs w:val="24"/>
        </w:rPr>
        <w:t>. (Diario Oficial de la Federación, 2010)</w:t>
      </w:r>
    </w:p>
    <w:p w:rsidR="00AA7EDC" w:rsidRDefault="00AA7EDC" w:rsidP="004E41F3">
      <w:pPr>
        <w:spacing w:line="240" w:lineRule="auto"/>
        <w:jc w:val="both"/>
        <w:rPr>
          <w:rFonts w:ascii="Arial" w:hAnsi="Arial" w:cs="Arial"/>
          <w:sz w:val="24"/>
          <w:szCs w:val="24"/>
        </w:rPr>
      </w:pPr>
      <w:r>
        <w:rPr>
          <w:rFonts w:ascii="Arial" w:hAnsi="Arial" w:cs="Arial"/>
          <w:sz w:val="24"/>
          <w:szCs w:val="24"/>
        </w:rPr>
        <w:t xml:space="preserve">Considerando la reglamentación anterior un profesional de la nutrición es capaz de establecer regímenes de alimentación personalizados tendientes a mantener un estado de salud óptimo no obstante </w:t>
      </w:r>
      <w:r w:rsidR="005D5C0A" w:rsidRPr="005D5C0A">
        <w:rPr>
          <w:rFonts w:ascii="Arial" w:hAnsi="Arial" w:cs="Arial"/>
          <w:sz w:val="24"/>
          <w:szCs w:val="24"/>
        </w:rPr>
        <w:t>las sociedades científicas han establecido objetivos nutricionales (ON) para adecuar la ingesta nutricional a las recomendaciones y para reducir el riesgo de enfermedades,</w:t>
      </w:r>
      <w:r>
        <w:rPr>
          <w:rFonts w:ascii="Arial" w:hAnsi="Arial" w:cs="Arial"/>
          <w:sz w:val="24"/>
          <w:szCs w:val="24"/>
        </w:rPr>
        <w:t xml:space="preserve"> </w:t>
      </w:r>
      <w:r w:rsidR="005D5C0A" w:rsidRPr="005D5C0A">
        <w:rPr>
          <w:rFonts w:ascii="Arial" w:hAnsi="Arial" w:cs="Arial"/>
          <w:sz w:val="24"/>
          <w:szCs w:val="24"/>
        </w:rPr>
        <w:t>generalmente crónicas y/o degenerativas,</w:t>
      </w:r>
      <w:r>
        <w:rPr>
          <w:rFonts w:ascii="Arial" w:hAnsi="Arial" w:cs="Arial"/>
          <w:sz w:val="24"/>
          <w:szCs w:val="24"/>
        </w:rPr>
        <w:t xml:space="preserve"> </w:t>
      </w:r>
      <w:r w:rsidR="005D5C0A" w:rsidRPr="005D5C0A">
        <w:rPr>
          <w:rFonts w:ascii="Arial" w:hAnsi="Arial" w:cs="Arial"/>
          <w:sz w:val="24"/>
          <w:szCs w:val="24"/>
        </w:rPr>
        <w:t xml:space="preserve">más que para asegurar la ingesta de los nutrientes esenciales. </w:t>
      </w:r>
    </w:p>
    <w:p w:rsidR="00636089" w:rsidRPr="00193D1A" w:rsidRDefault="005D5C0A" w:rsidP="004E41F3">
      <w:pPr>
        <w:spacing w:line="240" w:lineRule="auto"/>
        <w:jc w:val="both"/>
        <w:rPr>
          <w:rFonts w:ascii="Arial" w:hAnsi="Arial" w:cs="Arial"/>
          <w:sz w:val="24"/>
          <w:szCs w:val="24"/>
        </w:rPr>
      </w:pPr>
      <w:r w:rsidRPr="005D5C0A">
        <w:rPr>
          <w:rFonts w:ascii="Arial" w:hAnsi="Arial" w:cs="Arial"/>
          <w:sz w:val="24"/>
          <w:szCs w:val="24"/>
        </w:rPr>
        <w:t>Estas recomendaciones hacen referencia a alimentos, a proporciones entre ellos, fuentes de energía, nutrientes esenciales, nutrientes no esenciales como la fibra y el colesterol, o relacionan los grupos de alimentos con los nutrientes que aportan.</w:t>
      </w:r>
      <w:r w:rsidR="00C8357B">
        <w:rPr>
          <w:rFonts w:ascii="Arial" w:hAnsi="Arial" w:cs="Arial"/>
          <w:color w:val="C00000"/>
          <w:sz w:val="24"/>
          <w:szCs w:val="24"/>
        </w:rPr>
        <w:t xml:space="preserve"> </w:t>
      </w:r>
      <w:r w:rsidR="00C8357B">
        <w:rPr>
          <w:rFonts w:ascii="Arial" w:hAnsi="Arial" w:cs="Arial"/>
          <w:sz w:val="24"/>
          <w:szCs w:val="24"/>
        </w:rPr>
        <w:t>De tal manera que para evaluar el estado nutricional desde el punto de vista de la dieta, se utilizan las denominadas ingestas recomendadas (IR) definidas como la cantidad de energía y nutrientes que debe contener la dieta diariamente para mantener la salud de todas las personas sanas de un grupo homogéneo (97% de la población)</w:t>
      </w:r>
      <w:r w:rsidR="005912DD">
        <w:rPr>
          <w:rFonts w:ascii="Arial" w:hAnsi="Arial" w:cs="Arial"/>
          <w:sz w:val="24"/>
          <w:szCs w:val="24"/>
        </w:rPr>
        <w:t>, este concepto considera la cantidad de nutriente en el alimento consumido o las modificaciones que sufren los nutrientes cundo los alimentos se someten a diferentes procesos culinarios,</w:t>
      </w:r>
      <w:r w:rsidR="007749E2">
        <w:rPr>
          <w:rFonts w:ascii="Arial" w:hAnsi="Arial" w:cs="Arial"/>
          <w:sz w:val="24"/>
          <w:szCs w:val="24"/>
        </w:rPr>
        <w:t xml:space="preserve"> industriales o de conservación</w:t>
      </w:r>
      <w:r w:rsidR="00193D1A">
        <w:rPr>
          <w:rFonts w:ascii="Arial" w:hAnsi="Arial" w:cs="Arial"/>
          <w:sz w:val="24"/>
          <w:szCs w:val="24"/>
        </w:rPr>
        <w:t>. (Carbajal, 20103)</w:t>
      </w:r>
    </w:p>
    <w:p w:rsidR="005912DD" w:rsidRPr="00C8357B" w:rsidRDefault="005912DD" w:rsidP="004E41F3">
      <w:pPr>
        <w:spacing w:line="240" w:lineRule="auto"/>
        <w:jc w:val="both"/>
        <w:rPr>
          <w:rFonts w:ascii="Arial" w:hAnsi="Arial" w:cs="Arial"/>
          <w:sz w:val="24"/>
          <w:szCs w:val="24"/>
        </w:rPr>
      </w:pPr>
      <w:r>
        <w:rPr>
          <w:rFonts w:ascii="Arial" w:hAnsi="Arial" w:cs="Arial"/>
          <w:sz w:val="24"/>
          <w:szCs w:val="24"/>
        </w:rPr>
        <w:t xml:space="preserve">Son diferentes para cada individuo en función de su edad, sexo, actividad física y estado fisiológico en que se encuentre por lo tanto valorar la dieta a través de las encuestas de frecuencia de consumo de </w:t>
      </w:r>
      <w:r>
        <w:rPr>
          <w:rFonts w:ascii="Arial" w:hAnsi="Arial" w:cs="Arial"/>
          <w:sz w:val="24"/>
          <w:szCs w:val="24"/>
        </w:rPr>
        <w:lastRenderedPageBreak/>
        <w:t>alimentos y recordatorio de 24 hrs. es importante debido a que da un referente importante de las posibles deficiencias que tienen los individuos en su dieta habitual y permiten al nutriólogo prescribir tratamientos dietoterapéuticos</w:t>
      </w:r>
      <w:r w:rsidR="00EA2FD5">
        <w:rPr>
          <w:rFonts w:ascii="Arial" w:hAnsi="Arial" w:cs="Arial"/>
          <w:sz w:val="24"/>
          <w:szCs w:val="24"/>
        </w:rPr>
        <w:t xml:space="preserve"> que preserven o ayuden a mejorar la salud.</w:t>
      </w:r>
    </w:p>
    <w:p w:rsidR="00C8357B" w:rsidRPr="00397EA6" w:rsidRDefault="00397EA6" w:rsidP="00397EA6">
      <w:pPr>
        <w:spacing w:line="240" w:lineRule="auto"/>
        <w:jc w:val="both"/>
        <w:rPr>
          <w:rFonts w:ascii="Arial" w:hAnsi="Arial" w:cs="Arial"/>
          <w:b/>
          <w:sz w:val="24"/>
          <w:szCs w:val="24"/>
        </w:rPr>
      </w:pPr>
      <w:r w:rsidRPr="00397EA6">
        <w:rPr>
          <w:rFonts w:ascii="Arial" w:hAnsi="Arial" w:cs="Arial"/>
          <w:b/>
          <w:sz w:val="24"/>
          <w:szCs w:val="24"/>
        </w:rPr>
        <w:t>II.3</w:t>
      </w:r>
      <w:r>
        <w:rPr>
          <w:rFonts w:ascii="Arial" w:hAnsi="Arial" w:cs="Arial"/>
          <w:sz w:val="24"/>
          <w:szCs w:val="24"/>
        </w:rPr>
        <w:t xml:space="preserve"> </w:t>
      </w:r>
      <w:r w:rsidR="00863BC0" w:rsidRPr="00397EA6">
        <w:rPr>
          <w:rFonts w:ascii="Arial" w:hAnsi="Arial" w:cs="Arial"/>
          <w:b/>
          <w:sz w:val="24"/>
          <w:szCs w:val="24"/>
        </w:rPr>
        <w:t>Infecciones d</w:t>
      </w:r>
      <w:r w:rsidR="00187BC9">
        <w:rPr>
          <w:rFonts w:ascii="Arial" w:hAnsi="Arial" w:cs="Arial"/>
          <w:b/>
          <w:sz w:val="24"/>
          <w:szCs w:val="24"/>
        </w:rPr>
        <w:t>e Trasmisión Sexual y N</w:t>
      </w:r>
      <w:r w:rsidR="00353B33" w:rsidRPr="00397EA6">
        <w:rPr>
          <w:rFonts w:ascii="Arial" w:hAnsi="Arial" w:cs="Arial"/>
          <w:b/>
          <w:sz w:val="24"/>
          <w:szCs w:val="24"/>
        </w:rPr>
        <w:t>eoplasia intraepitelial</w:t>
      </w:r>
      <w:r w:rsidR="00863BC0" w:rsidRPr="00397EA6">
        <w:rPr>
          <w:rFonts w:ascii="Arial" w:hAnsi="Arial" w:cs="Arial"/>
          <w:b/>
          <w:sz w:val="24"/>
          <w:szCs w:val="24"/>
        </w:rPr>
        <w:t xml:space="preserve"> de cérvix </w:t>
      </w:r>
      <w:r w:rsidR="00B6736C" w:rsidRPr="00397EA6">
        <w:rPr>
          <w:rFonts w:ascii="Arial" w:hAnsi="Arial" w:cs="Arial"/>
          <w:b/>
          <w:sz w:val="24"/>
          <w:szCs w:val="24"/>
        </w:rPr>
        <w:t>uterino</w:t>
      </w:r>
    </w:p>
    <w:p w:rsidR="00F07920" w:rsidRPr="00F07920" w:rsidRDefault="00F07920" w:rsidP="00F07920">
      <w:pPr>
        <w:spacing w:line="240" w:lineRule="auto"/>
        <w:jc w:val="both"/>
        <w:rPr>
          <w:rFonts w:ascii="Arial" w:hAnsi="Arial" w:cs="Arial"/>
          <w:sz w:val="24"/>
          <w:szCs w:val="24"/>
        </w:rPr>
      </w:pPr>
      <w:r>
        <w:rPr>
          <w:rFonts w:ascii="Arial" w:hAnsi="Arial" w:cs="Arial"/>
          <w:sz w:val="24"/>
          <w:szCs w:val="24"/>
        </w:rPr>
        <w:t xml:space="preserve">En el ciclo vital del hombre la pubertad y la </w:t>
      </w:r>
      <w:r w:rsidR="00CB3D06">
        <w:rPr>
          <w:rFonts w:ascii="Arial" w:hAnsi="Arial" w:cs="Arial"/>
          <w:sz w:val="24"/>
          <w:szCs w:val="24"/>
        </w:rPr>
        <w:t>adolescencia</w:t>
      </w:r>
      <w:r>
        <w:rPr>
          <w:rFonts w:ascii="Arial" w:hAnsi="Arial" w:cs="Arial"/>
          <w:sz w:val="24"/>
          <w:szCs w:val="24"/>
        </w:rPr>
        <w:t xml:space="preserve"> juegan un papel importante en el desarrollo del individuo ya que es en este lapso de vida cuando existen cambios fisiológicos y psicológicos profundos que cambian la vida del ser humano y es en estas etapas de la vida cuando se es más vulnerabl</w:t>
      </w:r>
      <w:r w:rsidR="00193D1A">
        <w:rPr>
          <w:rFonts w:ascii="Arial" w:hAnsi="Arial" w:cs="Arial"/>
          <w:sz w:val="24"/>
          <w:szCs w:val="24"/>
        </w:rPr>
        <w:t>e a adoptar conductas de riesgo.</w:t>
      </w:r>
    </w:p>
    <w:p w:rsidR="00863BC0" w:rsidRDefault="00072011" w:rsidP="004E41F3">
      <w:pPr>
        <w:spacing w:line="240" w:lineRule="auto"/>
        <w:jc w:val="both"/>
        <w:rPr>
          <w:rFonts w:ascii="Arial" w:hAnsi="Arial" w:cs="Arial"/>
          <w:sz w:val="24"/>
          <w:szCs w:val="24"/>
        </w:rPr>
      </w:pPr>
      <w:r>
        <w:rPr>
          <w:rFonts w:ascii="Arial" w:hAnsi="Arial" w:cs="Arial"/>
          <w:sz w:val="24"/>
          <w:szCs w:val="24"/>
        </w:rPr>
        <w:t xml:space="preserve">La edad </w:t>
      </w:r>
      <w:r w:rsidR="00353B33">
        <w:rPr>
          <w:rFonts w:ascii="Arial" w:hAnsi="Arial" w:cs="Arial"/>
          <w:sz w:val="24"/>
          <w:szCs w:val="24"/>
        </w:rPr>
        <w:t>a la que una mujer inicie su vida sexual es una decisión personal</w:t>
      </w:r>
      <w:r w:rsidR="00CB3D06">
        <w:rPr>
          <w:rFonts w:ascii="Arial" w:hAnsi="Arial" w:cs="Arial"/>
          <w:sz w:val="24"/>
          <w:szCs w:val="24"/>
        </w:rPr>
        <w:t>,</w:t>
      </w:r>
      <w:r w:rsidR="00353B33">
        <w:rPr>
          <w:rFonts w:ascii="Arial" w:hAnsi="Arial" w:cs="Arial"/>
          <w:sz w:val="24"/>
          <w:szCs w:val="24"/>
        </w:rPr>
        <w:t xml:space="preserve"> sin embargo</w:t>
      </w:r>
      <w:r w:rsidR="00CB3D06">
        <w:rPr>
          <w:rFonts w:ascii="Arial" w:hAnsi="Arial" w:cs="Arial"/>
          <w:sz w:val="24"/>
          <w:szCs w:val="24"/>
        </w:rPr>
        <w:t>,</w:t>
      </w:r>
      <w:r w:rsidR="00353B33">
        <w:rPr>
          <w:rFonts w:ascii="Arial" w:hAnsi="Arial" w:cs="Arial"/>
          <w:sz w:val="24"/>
          <w:szCs w:val="24"/>
        </w:rPr>
        <w:t xml:space="preserve"> esto puede generar riesgos que a</w:t>
      </w:r>
      <w:r w:rsidR="00CB3D06">
        <w:rPr>
          <w:rFonts w:ascii="Arial" w:hAnsi="Arial" w:cs="Arial"/>
          <w:sz w:val="24"/>
          <w:szCs w:val="24"/>
        </w:rPr>
        <w:t xml:space="preserve"> la larga </w:t>
      </w:r>
      <w:r>
        <w:rPr>
          <w:rFonts w:ascii="Arial" w:hAnsi="Arial" w:cs="Arial"/>
          <w:sz w:val="24"/>
          <w:szCs w:val="24"/>
        </w:rPr>
        <w:t>r</w:t>
      </w:r>
      <w:r w:rsidR="00CB3D06">
        <w:rPr>
          <w:rFonts w:ascii="Arial" w:hAnsi="Arial" w:cs="Arial"/>
          <w:sz w:val="24"/>
          <w:szCs w:val="24"/>
        </w:rPr>
        <w:t>epercuten en</w:t>
      </w:r>
      <w:r w:rsidR="00353B33">
        <w:rPr>
          <w:rFonts w:ascii="Arial" w:hAnsi="Arial" w:cs="Arial"/>
          <w:sz w:val="24"/>
          <w:szCs w:val="24"/>
        </w:rPr>
        <w:t xml:space="preserve"> la vida</w:t>
      </w:r>
      <w:r>
        <w:rPr>
          <w:rFonts w:ascii="Arial" w:hAnsi="Arial" w:cs="Arial"/>
          <w:sz w:val="24"/>
          <w:szCs w:val="24"/>
        </w:rPr>
        <w:t xml:space="preserve"> saludable de la mujer. </w:t>
      </w:r>
      <w:r w:rsidR="00863BC0">
        <w:rPr>
          <w:rFonts w:ascii="Arial" w:hAnsi="Arial" w:cs="Arial"/>
          <w:sz w:val="24"/>
          <w:szCs w:val="24"/>
        </w:rPr>
        <w:t>La ENSANUT 2012 reporta un incremento en el inicio de la vida sexual en adolescentes de 12 a 19 años de edad (23%) y de estos el 33.4% de mujeres y 14.4% de los hombres reportaron haber iniciado su vida sexual sin protección, de tal forma que el 2.3% de estos adolescentes reportó haber recibido atención en consulta médica por infecciones de trasmisión sexual en los últimos doce meses</w:t>
      </w:r>
      <w:r w:rsidR="00AF30F4">
        <w:rPr>
          <w:rFonts w:ascii="Arial" w:hAnsi="Arial" w:cs="Arial"/>
          <w:sz w:val="24"/>
          <w:szCs w:val="24"/>
        </w:rPr>
        <w:t>, situación que los convierte en individuos que tienen factores de riesgo precur</w:t>
      </w:r>
      <w:r w:rsidR="00375978">
        <w:rPr>
          <w:rFonts w:ascii="Arial" w:hAnsi="Arial" w:cs="Arial"/>
          <w:sz w:val="24"/>
          <w:szCs w:val="24"/>
        </w:rPr>
        <w:t>sores del cáncer cervicouterino ya que</w:t>
      </w:r>
      <w:r w:rsidR="00306C06">
        <w:rPr>
          <w:rFonts w:ascii="Arial" w:hAnsi="Arial" w:cs="Arial"/>
          <w:sz w:val="24"/>
          <w:szCs w:val="24"/>
        </w:rPr>
        <w:t xml:space="preserve"> entre estos</w:t>
      </w:r>
      <w:r w:rsidR="00AF30F4">
        <w:rPr>
          <w:rFonts w:ascii="Arial" w:hAnsi="Arial" w:cs="Arial"/>
          <w:sz w:val="24"/>
          <w:szCs w:val="24"/>
        </w:rPr>
        <w:t xml:space="preserve"> figuran las infecciones con ciertos tipos oncológicos de papilomavirus humanos (VPH</w:t>
      </w:r>
      <w:r w:rsidR="00B6736C">
        <w:rPr>
          <w:rFonts w:ascii="Arial" w:hAnsi="Arial" w:cs="Arial"/>
          <w:sz w:val="24"/>
          <w:szCs w:val="24"/>
        </w:rPr>
        <w:t>)</w:t>
      </w:r>
      <w:r w:rsidR="00AF30F4">
        <w:rPr>
          <w:rFonts w:ascii="Arial" w:hAnsi="Arial" w:cs="Arial"/>
          <w:sz w:val="24"/>
          <w:szCs w:val="24"/>
        </w:rPr>
        <w:t xml:space="preserve">, las relaciones sexuales a edad temprana, la multiplicidad de compañeros sexuales, la multiparidad, el uso prolongado de anticonceptivos orales, el consumo de tabaco, la pobreza, las infecciones por </w:t>
      </w:r>
      <w:r w:rsidR="00375978">
        <w:rPr>
          <w:rFonts w:ascii="Arial" w:hAnsi="Arial" w:cs="Arial"/>
          <w:sz w:val="24"/>
          <w:szCs w:val="24"/>
        </w:rPr>
        <w:t>Chlamydia</w:t>
      </w:r>
      <w:r w:rsidR="00AF30F4">
        <w:rPr>
          <w:rFonts w:ascii="Arial" w:hAnsi="Arial" w:cs="Arial"/>
          <w:sz w:val="24"/>
          <w:szCs w:val="24"/>
        </w:rPr>
        <w:t xml:space="preserve"> trachomatis, la carencia de micronutrientes y un régimen alimentario con pocas frutas y verduras</w:t>
      </w:r>
      <w:r w:rsidR="00863BC0">
        <w:rPr>
          <w:rFonts w:ascii="Arial" w:hAnsi="Arial" w:cs="Arial"/>
          <w:sz w:val="24"/>
          <w:szCs w:val="24"/>
        </w:rPr>
        <w:t xml:space="preserve">. </w:t>
      </w:r>
    </w:p>
    <w:p w:rsidR="00C21C38" w:rsidRDefault="00072011" w:rsidP="004E41F3">
      <w:pPr>
        <w:spacing w:line="240" w:lineRule="auto"/>
        <w:jc w:val="both"/>
        <w:rPr>
          <w:rFonts w:ascii="Arial" w:hAnsi="Arial" w:cs="Arial"/>
          <w:sz w:val="24"/>
          <w:szCs w:val="24"/>
        </w:rPr>
      </w:pPr>
      <w:r>
        <w:rPr>
          <w:rFonts w:ascii="Arial" w:hAnsi="Arial" w:cs="Arial"/>
          <w:sz w:val="24"/>
          <w:szCs w:val="24"/>
        </w:rPr>
        <w:t>Las infecciones de trasmisión sexual (ITS) incluyen una serie de patologías causadas por virus, bacterias, hongos, protozoos y ectoparásitos, en las que la trasmisión sexual es relevante desde el punto de vista epidemiológico</w:t>
      </w:r>
      <w:r w:rsidR="00B6736C">
        <w:rPr>
          <w:rFonts w:ascii="Arial" w:hAnsi="Arial" w:cs="Arial"/>
          <w:sz w:val="24"/>
          <w:szCs w:val="24"/>
        </w:rPr>
        <w:t>, en México hay una prevalencia de virus del herpes simple tipo 2 (VHS-2) de 9 y 4% en hombres y mujeres respectivamente, de 15 a 18 años de edad.</w:t>
      </w:r>
      <w:r w:rsidR="00D07B86">
        <w:rPr>
          <w:rFonts w:ascii="Arial" w:hAnsi="Arial" w:cs="Arial"/>
          <w:sz w:val="24"/>
          <w:szCs w:val="24"/>
        </w:rPr>
        <w:t xml:space="preserve"> Si bien no existen estudios con representatividad nacional sobre la prevalencia de infecciones por virus del papiloma humano (VPH) en adolescentes estudios locales indican que la población joven se encuentra frecuentemente expuesto al virus. Otro problema importante son las infecciones por VIH ya que la mitad de casos nuevos ocurren en población de 15 – 24 años</w:t>
      </w:r>
      <w:r w:rsidR="00193D1A">
        <w:rPr>
          <w:rFonts w:ascii="Arial" w:hAnsi="Arial" w:cs="Arial"/>
          <w:sz w:val="24"/>
          <w:szCs w:val="24"/>
        </w:rPr>
        <w:t>. (</w:t>
      </w:r>
      <w:r w:rsidR="00193D1A" w:rsidRPr="00193D1A">
        <w:rPr>
          <w:rFonts w:ascii="Arial" w:hAnsi="Arial" w:cs="Arial"/>
          <w:sz w:val="24"/>
          <w:szCs w:val="24"/>
        </w:rPr>
        <w:t>Atienzo, E.,Campero, L., Hernandez, P., Suarez, L., y Villalobos A, 2013)</w:t>
      </w:r>
    </w:p>
    <w:p w:rsidR="00C21C38" w:rsidRDefault="00E52C64" w:rsidP="004E41F3">
      <w:pPr>
        <w:spacing w:line="240" w:lineRule="auto"/>
        <w:jc w:val="both"/>
        <w:rPr>
          <w:rFonts w:ascii="Arial" w:hAnsi="Arial" w:cs="Arial"/>
          <w:sz w:val="24"/>
          <w:szCs w:val="24"/>
        </w:rPr>
      </w:pPr>
      <w:r>
        <w:rPr>
          <w:rFonts w:ascii="Arial" w:hAnsi="Arial" w:cs="Arial"/>
          <w:sz w:val="24"/>
          <w:szCs w:val="24"/>
        </w:rPr>
        <w:t>Dentro de la patología benigna del cérvix uterino se tienen a los procesos inflamatorios (cervicitis) originados por infecciones primarias o secundarias del tracto urogenital inferior o aquellos que se originan a partir de portadores asintomáticos de infecciones de trasmisión sexual. La prevalencia de cervicitis (aguda o crónica) es paralela a la de las ITS con predominio de la forma crónica, hecho que depende de los gérmenes que estén ocasionando la infección, entre los más frecuentes se mencionan: chlamydia Trachomatis, trichomona vaginalis, neisseria gonorrhoeae (gonococo), herpes simple y el virus del papiloma humano.</w:t>
      </w:r>
    </w:p>
    <w:p w:rsidR="007C1B09" w:rsidRPr="007C1B09" w:rsidRDefault="00EC46A4" w:rsidP="007C1B09">
      <w:pPr>
        <w:spacing w:line="240" w:lineRule="auto"/>
        <w:jc w:val="both"/>
        <w:rPr>
          <w:rFonts w:ascii="Arial" w:eastAsiaTheme="minorHAnsi" w:hAnsi="Arial" w:cs="Arial"/>
          <w:sz w:val="24"/>
          <w:szCs w:val="24"/>
          <w:lang w:eastAsia="en-US"/>
        </w:rPr>
      </w:pPr>
      <w:r>
        <w:rPr>
          <w:rFonts w:ascii="Arial" w:hAnsi="Arial" w:cs="Arial"/>
          <w:sz w:val="24"/>
          <w:szCs w:val="24"/>
        </w:rPr>
        <w:t xml:space="preserve">En las cervicitis crónica hay marcada infiltración linfoplasmocitaria acompañada de proliferación de tejido conectivo que puede conducir a hipertrofia adenomatosa; esta infección suele ser asintomática y cuando se manifiesta es a través de leucorrea más o menos abundante y con el aspecto típico del germen causante de la infección. </w:t>
      </w:r>
      <w:r w:rsidR="00914466">
        <w:rPr>
          <w:rFonts w:ascii="Arial" w:hAnsi="Arial" w:cs="Arial"/>
          <w:sz w:val="24"/>
          <w:szCs w:val="24"/>
        </w:rPr>
        <w:t xml:space="preserve">El diagnóstico </w:t>
      </w:r>
      <w:r w:rsidR="00943B18">
        <w:rPr>
          <w:rFonts w:ascii="Arial" w:hAnsi="Arial" w:cs="Arial"/>
          <w:sz w:val="24"/>
          <w:szCs w:val="24"/>
        </w:rPr>
        <w:t>se realiza a través</w:t>
      </w:r>
      <w:r w:rsidR="00311D93">
        <w:rPr>
          <w:rFonts w:ascii="Arial" w:hAnsi="Arial" w:cs="Arial"/>
          <w:sz w:val="24"/>
          <w:szCs w:val="24"/>
        </w:rPr>
        <w:t xml:space="preserve"> del examen fís</w:t>
      </w:r>
      <w:r w:rsidR="00A243D1">
        <w:rPr>
          <w:rFonts w:ascii="Arial" w:hAnsi="Arial" w:cs="Arial"/>
          <w:sz w:val="24"/>
          <w:szCs w:val="24"/>
        </w:rPr>
        <w:t>ico por observación directa y el</w:t>
      </w:r>
      <w:r w:rsidR="00311D93">
        <w:rPr>
          <w:rFonts w:ascii="Arial" w:hAnsi="Arial" w:cs="Arial"/>
          <w:sz w:val="24"/>
          <w:szCs w:val="24"/>
        </w:rPr>
        <w:t xml:space="preserve"> estudio </w:t>
      </w:r>
      <w:r w:rsidR="001647FB">
        <w:rPr>
          <w:rFonts w:ascii="Arial" w:hAnsi="Arial" w:cs="Arial"/>
          <w:sz w:val="24"/>
          <w:szCs w:val="24"/>
        </w:rPr>
        <w:t>citológico e histológico facilita el diagnóstico precoz o temprano de las lesiones premalignas precursoras de las lesiones invasoras del cuello uterino.</w:t>
      </w:r>
      <w:r w:rsidR="007C1B09">
        <w:rPr>
          <w:rFonts w:ascii="Arial" w:hAnsi="Arial" w:cs="Arial"/>
          <w:sz w:val="24"/>
          <w:szCs w:val="24"/>
        </w:rPr>
        <w:t xml:space="preserve"> </w:t>
      </w:r>
      <w:r w:rsidR="007C1B09" w:rsidRPr="007C1B09">
        <w:rPr>
          <w:rFonts w:ascii="Arial" w:eastAsiaTheme="minorHAnsi" w:hAnsi="Arial" w:cs="Arial"/>
          <w:sz w:val="24"/>
          <w:szCs w:val="24"/>
          <w:lang w:eastAsia="en-US"/>
        </w:rPr>
        <w:t xml:space="preserve">Por lo tanto es importante recordar que a través del tiempo se han establecido diferentes clasificaciones para establecer el diagnóstico de las lesiones premalignas y malignas del cérvix uterino, en el siguiente cuadro se resume esta evolución: </w:t>
      </w:r>
    </w:p>
    <w:tbl>
      <w:tblPr>
        <w:tblStyle w:val="Tablaconcuadrcula1"/>
        <w:tblW w:w="0" w:type="auto"/>
        <w:jc w:val="center"/>
        <w:tblLook w:val="04A0" w:firstRow="1" w:lastRow="0" w:firstColumn="1" w:lastColumn="0" w:noHBand="0" w:noVBand="1"/>
      </w:tblPr>
      <w:tblGrid>
        <w:gridCol w:w="1177"/>
        <w:gridCol w:w="1985"/>
        <w:gridCol w:w="3821"/>
        <w:gridCol w:w="3205"/>
      </w:tblGrid>
      <w:tr w:rsidR="007C1B09" w:rsidRPr="007C1B09" w:rsidTr="0028160C">
        <w:trPr>
          <w:jc w:val="center"/>
        </w:trPr>
        <w:tc>
          <w:tcPr>
            <w:tcW w:w="1177" w:type="dxa"/>
            <w:shd w:val="clear" w:color="auto" w:fill="DDD9C3" w:themeFill="background2" w:themeFillShade="E6"/>
            <w:vAlign w:val="center"/>
          </w:tcPr>
          <w:p w:rsidR="007C1B09" w:rsidRPr="007C1B09" w:rsidRDefault="007C1B09" w:rsidP="007C1B09">
            <w:pPr>
              <w:jc w:val="center"/>
              <w:rPr>
                <w:rFonts w:cs="Arial"/>
                <w:b/>
                <w:sz w:val="18"/>
                <w:szCs w:val="18"/>
              </w:rPr>
            </w:pPr>
            <w:r w:rsidRPr="007C1B09">
              <w:rPr>
                <w:rFonts w:cs="Arial"/>
                <w:b/>
                <w:sz w:val="18"/>
                <w:szCs w:val="18"/>
              </w:rPr>
              <w:t>FECHAS</w:t>
            </w:r>
          </w:p>
        </w:tc>
        <w:tc>
          <w:tcPr>
            <w:tcW w:w="1985" w:type="dxa"/>
            <w:shd w:val="clear" w:color="auto" w:fill="DDD9C3" w:themeFill="background2" w:themeFillShade="E6"/>
            <w:vAlign w:val="center"/>
          </w:tcPr>
          <w:p w:rsidR="007C1B09" w:rsidRPr="007C1B09" w:rsidRDefault="007C1B09" w:rsidP="007C1B09">
            <w:pPr>
              <w:jc w:val="center"/>
              <w:rPr>
                <w:rFonts w:cs="Arial"/>
                <w:b/>
                <w:sz w:val="18"/>
                <w:szCs w:val="18"/>
              </w:rPr>
            </w:pPr>
            <w:r w:rsidRPr="007C1B09">
              <w:rPr>
                <w:rFonts w:cs="Arial"/>
                <w:b/>
                <w:sz w:val="18"/>
                <w:szCs w:val="18"/>
              </w:rPr>
              <w:t>AUTORES</w:t>
            </w:r>
          </w:p>
        </w:tc>
        <w:tc>
          <w:tcPr>
            <w:tcW w:w="3821" w:type="dxa"/>
            <w:shd w:val="clear" w:color="auto" w:fill="DDD9C3" w:themeFill="background2" w:themeFillShade="E6"/>
            <w:vAlign w:val="center"/>
          </w:tcPr>
          <w:p w:rsidR="007C1B09" w:rsidRPr="007C1B09" w:rsidRDefault="007C1B09" w:rsidP="007C1B09">
            <w:pPr>
              <w:jc w:val="center"/>
              <w:rPr>
                <w:rFonts w:cs="Arial"/>
                <w:b/>
                <w:sz w:val="18"/>
                <w:szCs w:val="18"/>
              </w:rPr>
            </w:pPr>
            <w:r w:rsidRPr="007C1B09">
              <w:rPr>
                <w:rFonts w:cs="Arial"/>
                <w:b/>
                <w:sz w:val="18"/>
                <w:szCs w:val="18"/>
              </w:rPr>
              <w:t>TÉRMINOS Y CLASIFICACIONES PROPUESTAS</w:t>
            </w:r>
          </w:p>
        </w:tc>
        <w:tc>
          <w:tcPr>
            <w:tcW w:w="3205" w:type="dxa"/>
            <w:shd w:val="clear" w:color="auto" w:fill="DDD9C3" w:themeFill="background2" w:themeFillShade="E6"/>
          </w:tcPr>
          <w:p w:rsidR="007C1B09" w:rsidRPr="007C1B09" w:rsidRDefault="007C1B09" w:rsidP="007C1B09">
            <w:pPr>
              <w:jc w:val="center"/>
              <w:rPr>
                <w:rFonts w:cs="Arial"/>
                <w:b/>
                <w:sz w:val="18"/>
                <w:szCs w:val="18"/>
              </w:rPr>
            </w:pPr>
            <w:r w:rsidRPr="007C1B09">
              <w:rPr>
                <w:rFonts w:cs="Arial"/>
                <w:b/>
                <w:sz w:val="18"/>
                <w:szCs w:val="18"/>
              </w:rPr>
              <w:t>OBSERVACIONES</w:t>
            </w:r>
          </w:p>
        </w:tc>
      </w:tr>
      <w:tr w:rsidR="007C1B09" w:rsidRPr="007C1B09" w:rsidTr="0028160C">
        <w:trPr>
          <w:jc w:val="center"/>
        </w:trPr>
        <w:tc>
          <w:tcPr>
            <w:tcW w:w="1177" w:type="dxa"/>
            <w:vAlign w:val="center"/>
          </w:tcPr>
          <w:p w:rsidR="007C1B09" w:rsidRPr="007C1B09" w:rsidRDefault="007C1B09" w:rsidP="007C1B09">
            <w:pPr>
              <w:jc w:val="center"/>
              <w:rPr>
                <w:rFonts w:cs="Arial"/>
                <w:sz w:val="18"/>
                <w:szCs w:val="18"/>
              </w:rPr>
            </w:pPr>
            <w:r w:rsidRPr="007C1B09">
              <w:rPr>
                <w:rFonts w:cs="Arial"/>
                <w:sz w:val="18"/>
                <w:szCs w:val="18"/>
              </w:rPr>
              <w:t>1949</w:t>
            </w:r>
          </w:p>
        </w:tc>
        <w:tc>
          <w:tcPr>
            <w:tcW w:w="1985" w:type="dxa"/>
          </w:tcPr>
          <w:p w:rsidR="007C1B09" w:rsidRPr="007C1B09" w:rsidRDefault="007C1B09" w:rsidP="007C1B09">
            <w:pPr>
              <w:jc w:val="both"/>
              <w:rPr>
                <w:rFonts w:cs="Arial"/>
                <w:sz w:val="18"/>
                <w:szCs w:val="18"/>
              </w:rPr>
            </w:pPr>
            <w:r w:rsidRPr="007C1B09">
              <w:rPr>
                <w:rFonts w:cs="Arial"/>
                <w:sz w:val="18"/>
                <w:szCs w:val="18"/>
              </w:rPr>
              <w:t>Papanicolaou</w:t>
            </w:r>
          </w:p>
        </w:tc>
        <w:tc>
          <w:tcPr>
            <w:tcW w:w="3821" w:type="dxa"/>
          </w:tcPr>
          <w:p w:rsidR="007C1B09" w:rsidRPr="007C1B09" w:rsidRDefault="007C1B09" w:rsidP="007C1B09">
            <w:pPr>
              <w:jc w:val="both"/>
              <w:rPr>
                <w:rFonts w:cs="Arial"/>
                <w:sz w:val="18"/>
                <w:szCs w:val="18"/>
              </w:rPr>
            </w:pPr>
            <w:r w:rsidRPr="007C1B09">
              <w:rPr>
                <w:rFonts w:cs="Arial"/>
                <w:sz w:val="18"/>
                <w:szCs w:val="18"/>
              </w:rPr>
              <w:t>Displasias</w:t>
            </w:r>
          </w:p>
        </w:tc>
        <w:tc>
          <w:tcPr>
            <w:tcW w:w="3205" w:type="dxa"/>
          </w:tcPr>
          <w:p w:rsidR="007C1B09" w:rsidRPr="007C1B09" w:rsidRDefault="007C1B09" w:rsidP="007C1B09">
            <w:pPr>
              <w:jc w:val="both"/>
              <w:rPr>
                <w:rFonts w:cs="Arial"/>
                <w:sz w:val="18"/>
                <w:szCs w:val="18"/>
              </w:rPr>
            </w:pPr>
          </w:p>
        </w:tc>
      </w:tr>
      <w:tr w:rsidR="007C1B09" w:rsidRPr="007C1B09" w:rsidTr="0028160C">
        <w:trPr>
          <w:jc w:val="center"/>
        </w:trPr>
        <w:tc>
          <w:tcPr>
            <w:tcW w:w="1177" w:type="dxa"/>
            <w:vAlign w:val="center"/>
          </w:tcPr>
          <w:p w:rsidR="007C1B09" w:rsidRPr="007C1B09" w:rsidRDefault="007C1B09" w:rsidP="007C1B09">
            <w:pPr>
              <w:jc w:val="center"/>
              <w:rPr>
                <w:rFonts w:cs="Arial"/>
                <w:sz w:val="18"/>
                <w:szCs w:val="18"/>
              </w:rPr>
            </w:pPr>
            <w:r w:rsidRPr="007C1B09">
              <w:rPr>
                <w:rFonts w:cs="Arial"/>
                <w:sz w:val="18"/>
                <w:szCs w:val="18"/>
              </w:rPr>
              <w:lastRenderedPageBreak/>
              <w:t>1953</w:t>
            </w:r>
          </w:p>
        </w:tc>
        <w:tc>
          <w:tcPr>
            <w:tcW w:w="1985" w:type="dxa"/>
          </w:tcPr>
          <w:p w:rsidR="007C1B09" w:rsidRPr="007C1B09" w:rsidRDefault="007C1B09" w:rsidP="007C1B09">
            <w:pPr>
              <w:jc w:val="both"/>
              <w:rPr>
                <w:rFonts w:cs="Arial"/>
                <w:sz w:val="18"/>
                <w:szCs w:val="18"/>
              </w:rPr>
            </w:pPr>
            <w:r w:rsidRPr="007C1B09">
              <w:rPr>
                <w:rFonts w:cs="Arial"/>
                <w:sz w:val="18"/>
                <w:szCs w:val="18"/>
              </w:rPr>
              <w:t>Reagan</w:t>
            </w:r>
          </w:p>
        </w:tc>
        <w:tc>
          <w:tcPr>
            <w:tcW w:w="3821" w:type="dxa"/>
          </w:tcPr>
          <w:p w:rsidR="007C1B09" w:rsidRPr="007C1B09" w:rsidRDefault="007C1B09" w:rsidP="007C1B09">
            <w:pPr>
              <w:jc w:val="both"/>
              <w:rPr>
                <w:rFonts w:cs="Arial"/>
                <w:sz w:val="18"/>
                <w:szCs w:val="18"/>
              </w:rPr>
            </w:pPr>
            <w:r w:rsidRPr="007C1B09">
              <w:rPr>
                <w:rFonts w:cs="Arial"/>
                <w:sz w:val="18"/>
                <w:szCs w:val="18"/>
              </w:rPr>
              <w:t>Hiperplasias atípicas o displasias</w:t>
            </w:r>
          </w:p>
        </w:tc>
        <w:tc>
          <w:tcPr>
            <w:tcW w:w="3205" w:type="dxa"/>
          </w:tcPr>
          <w:p w:rsidR="007C1B09" w:rsidRPr="007C1B09" w:rsidRDefault="007C1B09" w:rsidP="007C1B09">
            <w:pPr>
              <w:jc w:val="both"/>
              <w:rPr>
                <w:rFonts w:cs="Arial"/>
                <w:sz w:val="18"/>
                <w:szCs w:val="18"/>
              </w:rPr>
            </w:pPr>
            <w:r w:rsidRPr="007C1B09">
              <w:rPr>
                <w:rFonts w:cs="Arial"/>
                <w:sz w:val="18"/>
                <w:szCs w:val="18"/>
              </w:rPr>
              <w:t>Enfatiza que las lesiones regresan o permanecen inalteradas por mucho tiempo.</w:t>
            </w:r>
          </w:p>
        </w:tc>
      </w:tr>
      <w:tr w:rsidR="007C1B09" w:rsidRPr="007C1B09" w:rsidTr="0028160C">
        <w:trPr>
          <w:jc w:val="center"/>
        </w:trPr>
        <w:tc>
          <w:tcPr>
            <w:tcW w:w="1177" w:type="dxa"/>
            <w:vAlign w:val="center"/>
          </w:tcPr>
          <w:p w:rsidR="007C1B09" w:rsidRPr="007C1B09" w:rsidRDefault="007C1B09" w:rsidP="007C1B09">
            <w:pPr>
              <w:jc w:val="center"/>
              <w:rPr>
                <w:rFonts w:cs="Arial"/>
                <w:sz w:val="18"/>
                <w:szCs w:val="18"/>
              </w:rPr>
            </w:pPr>
            <w:r w:rsidRPr="007C1B09">
              <w:rPr>
                <w:rFonts w:cs="Arial"/>
                <w:sz w:val="18"/>
                <w:szCs w:val="18"/>
              </w:rPr>
              <w:t>1961</w:t>
            </w:r>
          </w:p>
        </w:tc>
        <w:tc>
          <w:tcPr>
            <w:tcW w:w="1985" w:type="dxa"/>
          </w:tcPr>
          <w:p w:rsidR="007C1B09" w:rsidRPr="007C1B09" w:rsidRDefault="007C1B09" w:rsidP="007C1B09">
            <w:pPr>
              <w:jc w:val="both"/>
              <w:rPr>
                <w:rFonts w:cs="Arial"/>
                <w:sz w:val="18"/>
                <w:szCs w:val="18"/>
              </w:rPr>
            </w:pPr>
            <w:r w:rsidRPr="007C1B09">
              <w:rPr>
                <w:rFonts w:cs="Arial"/>
                <w:sz w:val="18"/>
                <w:szCs w:val="18"/>
              </w:rPr>
              <w:t>Congreso Internacional de Citología (Viena)</w:t>
            </w:r>
          </w:p>
        </w:tc>
        <w:tc>
          <w:tcPr>
            <w:tcW w:w="3821" w:type="dxa"/>
          </w:tcPr>
          <w:p w:rsidR="007C1B09" w:rsidRPr="007C1B09" w:rsidRDefault="007C1B09" w:rsidP="007C1B09">
            <w:pPr>
              <w:jc w:val="both"/>
              <w:rPr>
                <w:rFonts w:cs="Arial"/>
                <w:sz w:val="18"/>
                <w:szCs w:val="18"/>
              </w:rPr>
            </w:pPr>
            <w:r w:rsidRPr="007C1B09">
              <w:rPr>
                <w:rFonts w:cs="Arial"/>
                <w:sz w:val="18"/>
                <w:szCs w:val="18"/>
              </w:rPr>
              <w:t>Carcinoma In Situ (CIS)</w:t>
            </w:r>
          </w:p>
          <w:p w:rsidR="007C1B09" w:rsidRPr="007C1B09" w:rsidRDefault="007C1B09" w:rsidP="007C1B09">
            <w:pPr>
              <w:jc w:val="both"/>
              <w:rPr>
                <w:rFonts w:cs="Arial"/>
                <w:sz w:val="18"/>
                <w:szCs w:val="18"/>
              </w:rPr>
            </w:pPr>
            <w:r w:rsidRPr="007C1B09">
              <w:rPr>
                <w:rFonts w:cs="Arial"/>
                <w:sz w:val="18"/>
                <w:szCs w:val="18"/>
              </w:rPr>
              <w:t>Carcinoma Invasor</w:t>
            </w:r>
          </w:p>
          <w:p w:rsidR="007C1B09" w:rsidRPr="007C1B09" w:rsidRDefault="007C1B09" w:rsidP="007C1B09">
            <w:pPr>
              <w:jc w:val="both"/>
              <w:rPr>
                <w:rFonts w:cs="Arial"/>
                <w:sz w:val="18"/>
                <w:szCs w:val="18"/>
              </w:rPr>
            </w:pPr>
            <w:r w:rsidRPr="007C1B09">
              <w:rPr>
                <w:rFonts w:cs="Arial"/>
                <w:sz w:val="18"/>
                <w:szCs w:val="18"/>
              </w:rPr>
              <w:t>Displasia:</w:t>
            </w:r>
          </w:p>
          <w:p w:rsidR="007C1B09" w:rsidRPr="007C1B09" w:rsidRDefault="007C1B09" w:rsidP="007C1B09">
            <w:pPr>
              <w:numPr>
                <w:ilvl w:val="0"/>
                <w:numId w:val="11"/>
              </w:numPr>
              <w:contextualSpacing/>
              <w:jc w:val="both"/>
              <w:rPr>
                <w:rFonts w:cs="Arial"/>
                <w:sz w:val="18"/>
                <w:szCs w:val="18"/>
              </w:rPr>
            </w:pPr>
            <w:r w:rsidRPr="007C1B09">
              <w:rPr>
                <w:rFonts w:cs="Arial"/>
                <w:sz w:val="18"/>
                <w:szCs w:val="18"/>
              </w:rPr>
              <w:t>Leve</w:t>
            </w:r>
          </w:p>
          <w:p w:rsidR="007C1B09" w:rsidRPr="007C1B09" w:rsidRDefault="007C1B09" w:rsidP="007C1B09">
            <w:pPr>
              <w:numPr>
                <w:ilvl w:val="0"/>
                <w:numId w:val="11"/>
              </w:numPr>
              <w:contextualSpacing/>
              <w:jc w:val="both"/>
              <w:rPr>
                <w:rFonts w:cs="Arial"/>
                <w:sz w:val="18"/>
                <w:szCs w:val="18"/>
              </w:rPr>
            </w:pPr>
            <w:r w:rsidRPr="007C1B09">
              <w:rPr>
                <w:rFonts w:cs="Arial"/>
                <w:sz w:val="18"/>
                <w:szCs w:val="18"/>
              </w:rPr>
              <w:t>Moderada</w:t>
            </w:r>
          </w:p>
          <w:p w:rsidR="007C1B09" w:rsidRPr="007C1B09" w:rsidRDefault="007C1B09" w:rsidP="007C1B09">
            <w:pPr>
              <w:numPr>
                <w:ilvl w:val="0"/>
                <w:numId w:val="11"/>
              </w:numPr>
              <w:contextualSpacing/>
              <w:jc w:val="both"/>
              <w:rPr>
                <w:rFonts w:cs="Arial"/>
                <w:sz w:val="18"/>
                <w:szCs w:val="18"/>
              </w:rPr>
            </w:pPr>
            <w:r w:rsidRPr="007C1B09">
              <w:rPr>
                <w:rFonts w:cs="Arial"/>
                <w:sz w:val="18"/>
                <w:szCs w:val="18"/>
              </w:rPr>
              <w:t>Severa o grave</w:t>
            </w:r>
          </w:p>
        </w:tc>
        <w:tc>
          <w:tcPr>
            <w:tcW w:w="3205" w:type="dxa"/>
          </w:tcPr>
          <w:p w:rsidR="007C1B09" w:rsidRPr="007C1B09" w:rsidRDefault="007C1B09" w:rsidP="007C1B09">
            <w:pPr>
              <w:jc w:val="both"/>
              <w:rPr>
                <w:rFonts w:cs="Arial"/>
                <w:sz w:val="18"/>
                <w:szCs w:val="18"/>
              </w:rPr>
            </w:pPr>
            <w:r w:rsidRPr="007C1B09">
              <w:rPr>
                <w:rFonts w:cs="Arial"/>
                <w:sz w:val="18"/>
                <w:szCs w:val="18"/>
              </w:rPr>
              <w:t>La clasificación provoca desacuerdos para interpretar las lesiones lo cual condiciona diversidad en los diagnósticos.</w:t>
            </w:r>
          </w:p>
        </w:tc>
      </w:tr>
      <w:tr w:rsidR="007C1B09" w:rsidRPr="007C1B09" w:rsidTr="0028160C">
        <w:trPr>
          <w:jc w:val="center"/>
        </w:trPr>
        <w:tc>
          <w:tcPr>
            <w:tcW w:w="1177" w:type="dxa"/>
            <w:vAlign w:val="center"/>
          </w:tcPr>
          <w:p w:rsidR="007C1B09" w:rsidRPr="007C1B09" w:rsidRDefault="007C1B09" w:rsidP="007C1B09">
            <w:pPr>
              <w:jc w:val="center"/>
              <w:rPr>
                <w:rFonts w:cs="Arial"/>
                <w:sz w:val="18"/>
                <w:szCs w:val="18"/>
              </w:rPr>
            </w:pPr>
            <w:r w:rsidRPr="007C1B09">
              <w:rPr>
                <w:rFonts w:cs="Arial"/>
                <w:sz w:val="18"/>
                <w:szCs w:val="18"/>
              </w:rPr>
              <w:t>1967</w:t>
            </w:r>
          </w:p>
        </w:tc>
        <w:tc>
          <w:tcPr>
            <w:tcW w:w="1985" w:type="dxa"/>
          </w:tcPr>
          <w:p w:rsidR="007C1B09" w:rsidRPr="007C1B09" w:rsidRDefault="003A1DB0" w:rsidP="007C1B09">
            <w:pPr>
              <w:jc w:val="both"/>
              <w:rPr>
                <w:rFonts w:cs="Arial"/>
                <w:sz w:val="18"/>
                <w:szCs w:val="18"/>
              </w:rPr>
            </w:pPr>
            <w:r>
              <w:rPr>
                <w:rFonts w:cs="Arial"/>
                <w:sz w:val="18"/>
                <w:szCs w:val="18"/>
              </w:rPr>
              <w:t>Richar</w:t>
            </w:r>
            <w:r w:rsidR="007C1B09" w:rsidRPr="007C1B09">
              <w:rPr>
                <w:rFonts w:cs="Arial"/>
                <w:sz w:val="18"/>
                <w:szCs w:val="18"/>
              </w:rPr>
              <w:t>t</w:t>
            </w:r>
          </w:p>
        </w:tc>
        <w:tc>
          <w:tcPr>
            <w:tcW w:w="3821" w:type="dxa"/>
          </w:tcPr>
          <w:p w:rsidR="007C1B09" w:rsidRPr="007C1B09" w:rsidRDefault="007C1B09" w:rsidP="007C1B09">
            <w:pPr>
              <w:jc w:val="both"/>
              <w:rPr>
                <w:rFonts w:cs="Arial"/>
                <w:sz w:val="18"/>
                <w:szCs w:val="18"/>
              </w:rPr>
            </w:pPr>
            <w:r w:rsidRPr="007C1B09">
              <w:rPr>
                <w:rFonts w:cs="Arial"/>
                <w:sz w:val="18"/>
                <w:szCs w:val="18"/>
              </w:rPr>
              <w:t>Neoplasia intraepitelial cervical (NIC – CIN) con tres grados progresivos:</w:t>
            </w:r>
          </w:p>
          <w:p w:rsidR="007C1B09" w:rsidRPr="007C1B09" w:rsidRDefault="007C1B09" w:rsidP="007C1B09">
            <w:pPr>
              <w:jc w:val="both"/>
              <w:rPr>
                <w:rFonts w:cs="Arial"/>
                <w:sz w:val="18"/>
                <w:szCs w:val="18"/>
              </w:rPr>
            </w:pPr>
            <w:r w:rsidRPr="007C1B09">
              <w:rPr>
                <w:rFonts w:cs="Arial"/>
                <w:sz w:val="18"/>
                <w:szCs w:val="18"/>
              </w:rPr>
              <w:t>NIC 1</w:t>
            </w:r>
          </w:p>
          <w:p w:rsidR="007C1B09" w:rsidRPr="007C1B09" w:rsidRDefault="007C1B09" w:rsidP="007C1B09">
            <w:pPr>
              <w:jc w:val="both"/>
              <w:rPr>
                <w:rFonts w:cs="Arial"/>
                <w:sz w:val="18"/>
                <w:szCs w:val="18"/>
              </w:rPr>
            </w:pPr>
            <w:r w:rsidRPr="007C1B09">
              <w:rPr>
                <w:rFonts w:cs="Arial"/>
                <w:sz w:val="18"/>
                <w:szCs w:val="18"/>
              </w:rPr>
              <w:t>NIC 2</w:t>
            </w:r>
          </w:p>
          <w:p w:rsidR="007C1B09" w:rsidRPr="007C1B09" w:rsidRDefault="007C1B09" w:rsidP="007C1B09">
            <w:pPr>
              <w:jc w:val="both"/>
              <w:rPr>
                <w:rFonts w:cs="Arial"/>
                <w:sz w:val="18"/>
                <w:szCs w:val="18"/>
              </w:rPr>
            </w:pPr>
            <w:r w:rsidRPr="007C1B09">
              <w:rPr>
                <w:rFonts w:cs="Arial"/>
                <w:sz w:val="18"/>
                <w:szCs w:val="18"/>
              </w:rPr>
              <w:t>NIC 3 que incluye a la displasia grave y al CIS</w:t>
            </w:r>
          </w:p>
        </w:tc>
        <w:tc>
          <w:tcPr>
            <w:tcW w:w="3205" w:type="dxa"/>
          </w:tcPr>
          <w:p w:rsidR="007C1B09" w:rsidRPr="007C1B09" w:rsidRDefault="007C1B09" w:rsidP="007C1B09">
            <w:pPr>
              <w:jc w:val="both"/>
              <w:rPr>
                <w:rFonts w:cs="Arial"/>
                <w:sz w:val="18"/>
                <w:szCs w:val="18"/>
              </w:rPr>
            </w:pPr>
            <w:r w:rsidRPr="007C1B09">
              <w:rPr>
                <w:rFonts w:cs="Arial"/>
                <w:sz w:val="18"/>
                <w:szCs w:val="18"/>
              </w:rPr>
              <w:t>Clasificación utilizada por más de 20 años a nivel internacional y no abandonada del todo hasta el momento actual.</w:t>
            </w:r>
          </w:p>
        </w:tc>
      </w:tr>
      <w:tr w:rsidR="007C1B09" w:rsidRPr="007C1B09" w:rsidTr="0028160C">
        <w:trPr>
          <w:jc w:val="center"/>
        </w:trPr>
        <w:tc>
          <w:tcPr>
            <w:tcW w:w="1177" w:type="dxa"/>
            <w:vAlign w:val="center"/>
          </w:tcPr>
          <w:p w:rsidR="007C1B09" w:rsidRPr="007C1B09" w:rsidRDefault="007C1B09" w:rsidP="007C1B09">
            <w:pPr>
              <w:jc w:val="center"/>
              <w:rPr>
                <w:rFonts w:cs="Arial"/>
                <w:sz w:val="18"/>
                <w:szCs w:val="18"/>
              </w:rPr>
            </w:pPr>
            <w:r w:rsidRPr="007C1B09">
              <w:rPr>
                <w:rFonts w:cs="Arial"/>
                <w:sz w:val="18"/>
                <w:szCs w:val="18"/>
              </w:rPr>
              <w:t>1988</w:t>
            </w:r>
          </w:p>
          <w:p w:rsidR="007C1B09" w:rsidRPr="007C1B09" w:rsidRDefault="007C1B09" w:rsidP="007C1B09">
            <w:pPr>
              <w:jc w:val="center"/>
              <w:rPr>
                <w:rFonts w:cs="Arial"/>
                <w:sz w:val="18"/>
                <w:szCs w:val="18"/>
              </w:rPr>
            </w:pPr>
            <w:r w:rsidRPr="007C1B09">
              <w:rPr>
                <w:rFonts w:cs="Arial"/>
                <w:sz w:val="18"/>
                <w:szCs w:val="18"/>
              </w:rPr>
              <w:t>Modificada en 1991</w:t>
            </w:r>
          </w:p>
          <w:p w:rsidR="007C1B09" w:rsidRPr="007C1B09" w:rsidRDefault="007C1B09" w:rsidP="007C1B09">
            <w:pPr>
              <w:jc w:val="center"/>
              <w:rPr>
                <w:rFonts w:cs="Arial"/>
                <w:sz w:val="18"/>
                <w:szCs w:val="18"/>
              </w:rPr>
            </w:pPr>
            <w:r w:rsidRPr="007C1B09">
              <w:rPr>
                <w:rFonts w:cs="Arial"/>
                <w:sz w:val="18"/>
                <w:szCs w:val="18"/>
              </w:rPr>
              <w:t>Actualizada en el 2001</w:t>
            </w:r>
          </w:p>
        </w:tc>
        <w:tc>
          <w:tcPr>
            <w:tcW w:w="1985" w:type="dxa"/>
          </w:tcPr>
          <w:p w:rsidR="007C1B09" w:rsidRPr="007C1B09" w:rsidRDefault="007C1B09" w:rsidP="007C1B09">
            <w:pPr>
              <w:jc w:val="both"/>
              <w:rPr>
                <w:rFonts w:cs="Arial"/>
                <w:sz w:val="18"/>
                <w:szCs w:val="18"/>
              </w:rPr>
            </w:pPr>
            <w:r w:rsidRPr="007C1B09">
              <w:rPr>
                <w:rFonts w:cs="Arial"/>
                <w:sz w:val="18"/>
                <w:szCs w:val="18"/>
              </w:rPr>
              <w:t>Sistema de Clasificación de Bethesda</w:t>
            </w:r>
          </w:p>
        </w:tc>
        <w:tc>
          <w:tcPr>
            <w:tcW w:w="3821" w:type="dxa"/>
          </w:tcPr>
          <w:p w:rsidR="007C1B09" w:rsidRPr="007C1B09" w:rsidRDefault="007C1B09" w:rsidP="007C1B09">
            <w:pPr>
              <w:jc w:val="both"/>
              <w:rPr>
                <w:rFonts w:cs="Arial"/>
                <w:sz w:val="18"/>
                <w:szCs w:val="18"/>
              </w:rPr>
            </w:pPr>
            <w:r w:rsidRPr="007C1B09">
              <w:rPr>
                <w:rFonts w:cs="Arial"/>
                <w:sz w:val="18"/>
                <w:szCs w:val="18"/>
              </w:rPr>
              <w:t>Lesiones intraepiteliales escamosas de alto o bajo grado:</w:t>
            </w:r>
          </w:p>
          <w:p w:rsidR="007C1B09" w:rsidRPr="007C1B09" w:rsidRDefault="007C1B09" w:rsidP="007C1B09">
            <w:pPr>
              <w:numPr>
                <w:ilvl w:val="0"/>
                <w:numId w:val="12"/>
              </w:numPr>
              <w:contextualSpacing/>
              <w:jc w:val="both"/>
              <w:rPr>
                <w:rFonts w:cs="Arial"/>
                <w:sz w:val="18"/>
                <w:szCs w:val="18"/>
              </w:rPr>
            </w:pPr>
            <w:r w:rsidRPr="007C1B09">
              <w:rPr>
                <w:rFonts w:cs="Arial"/>
                <w:sz w:val="18"/>
                <w:szCs w:val="18"/>
              </w:rPr>
              <w:t>Alto grado incluye NIC 2 y 3</w:t>
            </w:r>
          </w:p>
          <w:p w:rsidR="007C1B09" w:rsidRPr="007C1B09" w:rsidRDefault="007C1B09" w:rsidP="007C1B09">
            <w:pPr>
              <w:numPr>
                <w:ilvl w:val="0"/>
                <w:numId w:val="12"/>
              </w:numPr>
              <w:contextualSpacing/>
              <w:jc w:val="both"/>
              <w:rPr>
                <w:rFonts w:cs="Arial"/>
                <w:sz w:val="18"/>
                <w:szCs w:val="18"/>
              </w:rPr>
            </w:pPr>
            <w:r w:rsidRPr="007C1B09">
              <w:rPr>
                <w:rFonts w:cs="Arial"/>
                <w:sz w:val="18"/>
                <w:szCs w:val="18"/>
              </w:rPr>
              <w:t>Bajo grado incluye al NIC 1 y alteraciones provocadas por el virus del papiloma humano (VPH)</w:t>
            </w:r>
          </w:p>
        </w:tc>
        <w:tc>
          <w:tcPr>
            <w:tcW w:w="3205" w:type="dxa"/>
          </w:tcPr>
          <w:p w:rsidR="007C1B09" w:rsidRPr="007C1B09" w:rsidRDefault="007C1B09" w:rsidP="007C1B09">
            <w:pPr>
              <w:jc w:val="both"/>
              <w:rPr>
                <w:rFonts w:cs="Arial"/>
                <w:sz w:val="18"/>
                <w:szCs w:val="18"/>
              </w:rPr>
            </w:pPr>
            <w:r w:rsidRPr="007C1B09">
              <w:rPr>
                <w:rFonts w:cs="Arial"/>
                <w:sz w:val="18"/>
                <w:szCs w:val="18"/>
              </w:rPr>
              <w:t>Clasificación que no deja de mencion</w:t>
            </w:r>
            <w:r w:rsidR="003A1DB0">
              <w:rPr>
                <w:rFonts w:cs="Arial"/>
                <w:sz w:val="18"/>
                <w:szCs w:val="18"/>
              </w:rPr>
              <w:t>ar a la clasificación de Richar</w:t>
            </w:r>
            <w:r w:rsidRPr="007C1B09">
              <w:rPr>
                <w:rFonts w:cs="Arial"/>
                <w:sz w:val="18"/>
                <w:szCs w:val="18"/>
              </w:rPr>
              <w:t>t.</w:t>
            </w:r>
          </w:p>
          <w:p w:rsidR="007C1B09" w:rsidRPr="007C1B09" w:rsidRDefault="007C1B09" w:rsidP="007C1B09">
            <w:pPr>
              <w:jc w:val="both"/>
              <w:rPr>
                <w:rFonts w:cs="Arial"/>
                <w:sz w:val="18"/>
                <w:szCs w:val="18"/>
              </w:rPr>
            </w:pPr>
            <w:r w:rsidRPr="007C1B09">
              <w:rPr>
                <w:rFonts w:cs="Arial"/>
                <w:sz w:val="18"/>
                <w:szCs w:val="18"/>
              </w:rPr>
              <w:t>En la modificación del 2001 se introduce el término negativo para lesiones intraepiteliales o malignidad, cundo no hay evidencia de neoplasia.</w:t>
            </w:r>
          </w:p>
        </w:tc>
      </w:tr>
      <w:tr w:rsidR="007C1B09" w:rsidRPr="007C1B09" w:rsidTr="0028160C">
        <w:trPr>
          <w:jc w:val="center"/>
        </w:trPr>
        <w:tc>
          <w:tcPr>
            <w:tcW w:w="10188" w:type="dxa"/>
            <w:gridSpan w:val="4"/>
          </w:tcPr>
          <w:p w:rsidR="007C1B09" w:rsidRPr="007C1B09" w:rsidRDefault="007C1B09" w:rsidP="007C1B09">
            <w:pPr>
              <w:jc w:val="both"/>
              <w:rPr>
                <w:rFonts w:cs="Arial"/>
                <w:sz w:val="14"/>
                <w:szCs w:val="14"/>
              </w:rPr>
            </w:pPr>
            <w:r w:rsidRPr="007C1B09">
              <w:rPr>
                <w:rFonts w:cs="Arial"/>
                <w:sz w:val="14"/>
                <w:szCs w:val="14"/>
              </w:rPr>
              <w:t>Fuente: Lacruz, C. 2003. Nomenclatura de las lesiones cervicales (de Papanicolaou a Bethesda 2001). Rev. Esp. Patol. Vol 36, No 1: 5-10</w:t>
            </w:r>
          </w:p>
        </w:tc>
      </w:tr>
    </w:tbl>
    <w:p w:rsidR="007C1B09" w:rsidRDefault="007C1B09" w:rsidP="004E41F3">
      <w:pPr>
        <w:spacing w:line="240" w:lineRule="auto"/>
        <w:jc w:val="both"/>
        <w:rPr>
          <w:rFonts w:ascii="Arial" w:hAnsi="Arial" w:cs="Arial"/>
          <w:sz w:val="24"/>
          <w:szCs w:val="24"/>
        </w:rPr>
      </w:pPr>
    </w:p>
    <w:p w:rsidR="007C1B09" w:rsidRPr="007C1B09" w:rsidRDefault="007C1B09" w:rsidP="007C1B09">
      <w:pPr>
        <w:spacing w:line="240" w:lineRule="auto"/>
        <w:jc w:val="both"/>
        <w:rPr>
          <w:rFonts w:ascii="Arial" w:eastAsiaTheme="minorHAnsi" w:hAnsi="Arial" w:cs="Arial"/>
          <w:sz w:val="24"/>
          <w:szCs w:val="24"/>
          <w:lang w:eastAsia="en-US"/>
        </w:rPr>
      </w:pPr>
      <w:r w:rsidRPr="007C1B09">
        <w:rPr>
          <w:rFonts w:ascii="Arial" w:eastAsiaTheme="minorHAnsi" w:hAnsi="Arial" w:cs="Arial"/>
          <w:sz w:val="24"/>
          <w:szCs w:val="24"/>
          <w:lang w:eastAsia="en-US"/>
        </w:rPr>
        <w:t>Y se establece que para fines del presente estudio serán las clasi</w:t>
      </w:r>
      <w:r w:rsidR="003A1DB0">
        <w:rPr>
          <w:rFonts w:ascii="Arial" w:eastAsiaTheme="minorHAnsi" w:hAnsi="Arial" w:cs="Arial"/>
          <w:sz w:val="24"/>
          <w:szCs w:val="24"/>
          <w:lang w:eastAsia="en-US"/>
        </w:rPr>
        <w:t>ficaciones de Bethesda y Richar</w:t>
      </w:r>
      <w:r w:rsidRPr="007C1B09">
        <w:rPr>
          <w:rFonts w:ascii="Arial" w:eastAsiaTheme="minorHAnsi" w:hAnsi="Arial" w:cs="Arial"/>
          <w:sz w:val="24"/>
          <w:szCs w:val="24"/>
          <w:lang w:eastAsia="en-US"/>
        </w:rPr>
        <w:t>t en las que se basará el diagnóstico de las lesiones de cérvix uterino, según lo establece la modificación a la NOM-014-SSA2 para la prevención, detección, diagnóstico, tratamiento, control y vigilancia epidemiológica del cáncer cérvico uterino:</w:t>
      </w:r>
    </w:p>
    <w:p w:rsidR="00E005CA" w:rsidRDefault="00D93928" w:rsidP="004E41F3">
      <w:pPr>
        <w:spacing w:line="240" w:lineRule="auto"/>
        <w:jc w:val="both"/>
        <w:rPr>
          <w:rFonts w:ascii="Arial" w:hAnsi="Arial" w:cs="Arial"/>
          <w:sz w:val="24"/>
          <w:szCs w:val="24"/>
        </w:rPr>
      </w:pPr>
      <w:r>
        <w:rPr>
          <w:rFonts w:ascii="Arial" w:hAnsi="Arial" w:cs="Arial"/>
          <w:sz w:val="24"/>
          <w:szCs w:val="24"/>
        </w:rPr>
        <w:t xml:space="preserve">Para que aparezca un NIC se precisa que los factores desencadenantes actúen muy precozmente en la vida </w:t>
      </w:r>
      <w:r w:rsidR="00260D51">
        <w:rPr>
          <w:rFonts w:ascii="Arial" w:hAnsi="Arial" w:cs="Arial"/>
          <w:sz w:val="24"/>
          <w:szCs w:val="24"/>
        </w:rPr>
        <w:t>de la mujer y su acción persista</w:t>
      </w:r>
      <w:r>
        <w:rPr>
          <w:rFonts w:ascii="Arial" w:hAnsi="Arial" w:cs="Arial"/>
          <w:sz w:val="24"/>
          <w:szCs w:val="24"/>
        </w:rPr>
        <w:t xml:space="preserve"> durante un largo periodo de tiempo, se acepta que varios agentes trasmitidos sexualmente tienen acción carcinogénica como el ya mencionado virus del papiloma humano y el virus del herpes simple II, que se encuentran en el </w:t>
      </w:r>
      <w:r w:rsidR="0052666C">
        <w:rPr>
          <w:rFonts w:ascii="Arial" w:hAnsi="Arial" w:cs="Arial"/>
          <w:sz w:val="24"/>
          <w:szCs w:val="24"/>
        </w:rPr>
        <w:t>70 a 95% de todas las mujeres con NIC y cáncer de cérvix uterino, otros de lo gérmenes posiblemente implicados s</w:t>
      </w:r>
      <w:r w:rsidR="00A243D1">
        <w:rPr>
          <w:rFonts w:ascii="Arial" w:hAnsi="Arial" w:cs="Arial"/>
          <w:sz w:val="24"/>
          <w:szCs w:val="24"/>
        </w:rPr>
        <w:t>on la trichomona, y la clamidia; a pesar de estas evidencias</w:t>
      </w:r>
      <w:r w:rsidR="005017ED">
        <w:rPr>
          <w:rFonts w:ascii="Arial" w:hAnsi="Arial" w:cs="Arial"/>
          <w:sz w:val="24"/>
          <w:szCs w:val="24"/>
        </w:rPr>
        <w:t xml:space="preserve"> la falta de educación sexual adecuada o de información al respecto condiciona que la mujer mexicana no tenga el hábito del chequeo rutinario del cérvix uterino aun cuando tenga factores de riesgo que la lleven a desarrollar lesiones premalignas o malignas del cérvix uterino.</w:t>
      </w:r>
    </w:p>
    <w:p w:rsidR="00C95F13" w:rsidRDefault="00E005CA" w:rsidP="00C95F13">
      <w:pPr>
        <w:spacing w:line="240" w:lineRule="auto"/>
        <w:jc w:val="both"/>
        <w:rPr>
          <w:rFonts w:ascii="Arial" w:hAnsi="Arial" w:cs="Arial"/>
          <w:sz w:val="24"/>
          <w:szCs w:val="24"/>
        </w:rPr>
      </w:pPr>
      <w:r>
        <w:rPr>
          <w:rFonts w:ascii="Arial" w:hAnsi="Arial" w:cs="Arial"/>
          <w:sz w:val="24"/>
          <w:szCs w:val="24"/>
        </w:rPr>
        <w:t>El cáncer cervicouterino es totalmente prevenible y curable en un buen número de casos, a bajo costo y con bajo riesgo, siempre y cuando se cuente con métodos de tamizaje en mujeres asintomáticas para hacer un diagnóstico oportuno. En México la Secretaria de Salud en el nivel primario de atención realiza como estudio de tamizaje la citología cervicovaginal (Papanicolaou)</w:t>
      </w:r>
      <w:r w:rsidR="005017ED">
        <w:rPr>
          <w:rFonts w:ascii="Arial" w:hAnsi="Arial" w:cs="Arial"/>
          <w:sz w:val="24"/>
          <w:szCs w:val="24"/>
        </w:rPr>
        <w:t xml:space="preserve"> </w:t>
      </w:r>
      <w:r>
        <w:rPr>
          <w:rFonts w:ascii="Arial" w:hAnsi="Arial" w:cs="Arial"/>
          <w:sz w:val="24"/>
          <w:szCs w:val="24"/>
        </w:rPr>
        <w:t>y en este caso las pacientes con citología cervical anormal son referidas al Hospital General “Valentín Gómez Farías”, las cuales son atendidas en la “Clínica de displasias” en donde se les practica la colposcopía, procedimiento diagnóstico que tiene una sensibilidad del 95% y especificidad del 98%, ya que permite realizar una valoración sistemática del cuello uterino y la toma de biopsia bajo visión directa de las áreas sospechosas de malignidad</w:t>
      </w:r>
      <w:r w:rsidR="00F82E9D">
        <w:rPr>
          <w:rFonts w:ascii="Arial" w:hAnsi="Arial" w:cs="Arial"/>
          <w:sz w:val="24"/>
          <w:szCs w:val="24"/>
        </w:rPr>
        <w:t xml:space="preserve">. (Barra, Martínez, Rico y Vázquez, 2009). </w:t>
      </w:r>
    </w:p>
    <w:p w:rsidR="00A82233" w:rsidRDefault="00A82233" w:rsidP="004E41F3">
      <w:pPr>
        <w:spacing w:line="240" w:lineRule="auto"/>
        <w:jc w:val="both"/>
        <w:rPr>
          <w:rFonts w:ascii="Arial" w:hAnsi="Arial" w:cs="Arial"/>
          <w:sz w:val="24"/>
          <w:szCs w:val="24"/>
        </w:rPr>
      </w:pPr>
      <w:r>
        <w:rPr>
          <w:rFonts w:ascii="Arial" w:hAnsi="Arial" w:cs="Arial"/>
          <w:sz w:val="24"/>
          <w:szCs w:val="24"/>
        </w:rPr>
        <w:t>Una vez establecido el diagnóstico de NIC I el tratamiento es decisión del colposcopista pero para fines del presente estudio se consideró la evaluación del Estado de Nutrición de las pacientes que acudía a la “clínica de displasias” ya que además de los ya mencionados se hace alusión como factores de riesgo a padecer lesiones preneoplásicas o neoplásicas a una alimentación con bajo contenido de frutas y verduras y a la presencia de sobrepeso u obesidad.</w:t>
      </w:r>
    </w:p>
    <w:p w:rsidR="00A82233" w:rsidRDefault="00BC1F3C" w:rsidP="004E41F3">
      <w:pPr>
        <w:spacing w:line="240" w:lineRule="auto"/>
        <w:jc w:val="both"/>
        <w:rPr>
          <w:rFonts w:ascii="Arial" w:hAnsi="Arial" w:cs="Arial"/>
          <w:sz w:val="24"/>
          <w:szCs w:val="24"/>
        </w:rPr>
      </w:pPr>
      <w:r>
        <w:rPr>
          <w:rFonts w:ascii="Arial" w:hAnsi="Arial" w:cs="Arial"/>
          <w:sz w:val="24"/>
          <w:szCs w:val="24"/>
        </w:rPr>
        <w:lastRenderedPageBreak/>
        <w:t xml:space="preserve">Un correcto estado de Nutrición permite afrontar con mayor capacidad los problemas de salud, las personas mal nutridas que inician una patología están menos capacitados tanto para superar como para soportar el tratamiento; por lo tanto el asumir y entender que los cuidados nutricionales son parte activa del tratamiento de los pacientes con lesiones preneoplasicas y neoplásicas permitirá el apoyo integral </w:t>
      </w:r>
      <w:r w:rsidR="00E70842">
        <w:rPr>
          <w:rFonts w:ascii="Arial" w:hAnsi="Arial" w:cs="Arial"/>
          <w:sz w:val="24"/>
          <w:szCs w:val="24"/>
        </w:rPr>
        <w:t>de las pacientes</w:t>
      </w:r>
      <w:r w:rsidR="00D72351">
        <w:rPr>
          <w:rFonts w:ascii="Arial" w:hAnsi="Arial" w:cs="Arial"/>
          <w:sz w:val="24"/>
          <w:szCs w:val="24"/>
        </w:rPr>
        <w:t>.</w:t>
      </w:r>
    </w:p>
    <w:p w:rsidR="00D72351" w:rsidRDefault="00D72351">
      <w:pPr>
        <w:rPr>
          <w:rFonts w:ascii="Arial" w:hAnsi="Arial" w:cs="Arial"/>
          <w:color w:val="000000" w:themeColor="text1"/>
          <w:sz w:val="24"/>
          <w:szCs w:val="24"/>
        </w:rPr>
      </w:pPr>
      <w:r>
        <w:rPr>
          <w:rFonts w:ascii="Arial" w:hAnsi="Arial" w:cs="Arial"/>
          <w:color w:val="000000" w:themeColor="text1"/>
          <w:sz w:val="24"/>
          <w:szCs w:val="24"/>
        </w:rPr>
        <w:br w:type="page"/>
      </w:r>
    </w:p>
    <w:p w:rsidR="005E1EC2" w:rsidRDefault="00397EA6" w:rsidP="007605DE">
      <w:pPr>
        <w:spacing w:after="0" w:line="240" w:lineRule="auto"/>
        <w:jc w:val="both"/>
        <w:rPr>
          <w:rFonts w:ascii="Arial" w:hAnsi="Arial" w:cs="Arial"/>
          <w:b/>
          <w:sz w:val="24"/>
          <w:szCs w:val="24"/>
        </w:rPr>
      </w:pPr>
      <w:r>
        <w:rPr>
          <w:rFonts w:ascii="Arial" w:hAnsi="Arial" w:cs="Arial"/>
          <w:b/>
          <w:sz w:val="24"/>
          <w:szCs w:val="24"/>
        </w:rPr>
        <w:lastRenderedPageBreak/>
        <w:t xml:space="preserve">III </w:t>
      </w:r>
      <w:r w:rsidR="005E1EC2" w:rsidRPr="002A57EC">
        <w:rPr>
          <w:rFonts w:ascii="Arial" w:hAnsi="Arial" w:cs="Arial"/>
          <w:b/>
          <w:sz w:val="24"/>
          <w:szCs w:val="24"/>
        </w:rPr>
        <w:t>PLANTEAMIENTO DEL PROBLEMA</w:t>
      </w:r>
    </w:p>
    <w:p w:rsidR="000E11E6" w:rsidRDefault="000E11E6" w:rsidP="007605DE">
      <w:pPr>
        <w:spacing w:after="0" w:line="240" w:lineRule="auto"/>
        <w:jc w:val="both"/>
        <w:rPr>
          <w:rFonts w:ascii="Arial" w:hAnsi="Arial" w:cs="Arial"/>
          <w:b/>
          <w:sz w:val="24"/>
          <w:szCs w:val="24"/>
        </w:rPr>
      </w:pPr>
      <w:r w:rsidRPr="000E11E6">
        <w:rPr>
          <w:rFonts w:ascii="Arial" w:hAnsi="Arial" w:cs="Arial"/>
          <w:sz w:val="24"/>
          <w:szCs w:val="24"/>
        </w:rPr>
        <w:t>Existen factores de riesgo para desarrollar lesiones cervicales preneoplásicas y neoplásicas tales como el inicio de vida sexual antes de los 18 años, tener o haber tenido múltiples parejas sexuales, antecedentes de infecciones de transmisión sexual, bajo nivel cultural de salud sexual y reproductiva, y otras conductas asociadas a la salud (tabaquismo, mal estado nutricional como la deficiencia de folatos y vitaminas A, C y E) y la presencia de infección por virus de papiloma humano (VPH), sobre todo los tipos altamente oncogénicos (tipos</w:t>
      </w:r>
      <w:r>
        <w:rPr>
          <w:rFonts w:ascii="Arial" w:hAnsi="Arial" w:cs="Arial"/>
          <w:sz w:val="24"/>
          <w:szCs w:val="24"/>
        </w:rPr>
        <w:t xml:space="preserve"> 16, 18, 31, 45 y 56)(7) ya que este</w:t>
      </w:r>
      <w:r w:rsidRPr="000E11E6">
        <w:rPr>
          <w:rFonts w:ascii="Arial" w:hAnsi="Arial" w:cs="Arial"/>
          <w:sz w:val="24"/>
          <w:szCs w:val="24"/>
        </w:rPr>
        <w:t xml:space="preserve"> virus ha sido reconocido como el agente causal y necesario para el desarrollo de lesiones precancerosas y cancerosas de cérvix</w:t>
      </w:r>
      <w:r w:rsidR="007368B8">
        <w:rPr>
          <w:rFonts w:ascii="Arial" w:hAnsi="Arial" w:cs="Arial"/>
          <w:sz w:val="24"/>
          <w:szCs w:val="24"/>
        </w:rPr>
        <w:t xml:space="preserve"> </w:t>
      </w:r>
      <w:r w:rsidR="00F82E9D">
        <w:rPr>
          <w:rFonts w:ascii="Arial" w:hAnsi="Arial" w:cs="Arial"/>
          <w:sz w:val="24"/>
          <w:szCs w:val="24"/>
        </w:rPr>
        <w:t xml:space="preserve">(Gutiérrez y Terán, 2009) </w:t>
      </w:r>
    </w:p>
    <w:p w:rsidR="00D72351" w:rsidRPr="002A57EC" w:rsidRDefault="00D72351" w:rsidP="007605DE">
      <w:pPr>
        <w:spacing w:after="0" w:line="240" w:lineRule="auto"/>
        <w:jc w:val="both"/>
        <w:rPr>
          <w:rFonts w:ascii="Arial" w:hAnsi="Arial" w:cs="Arial"/>
          <w:color w:val="FF0000"/>
          <w:sz w:val="24"/>
          <w:szCs w:val="24"/>
        </w:rPr>
      </w:pPr>
      <w:r w:rsidRPr="002A57EC">
        <w:rPr>
          <w:rFonts w:ascii="Arial" w:hAnsi="Arial" w:cs="Arial"/>
          <w:sz w:val="24"/>
          <w:szCs w:val="24"/>
        </w:rPr>
        <w:t>La OMS afirma que cada día, más de 1 millón de personas contraen una infección de transmisión sexual (ITS) y más de 290 millones de mujeres están infectadas con el virus del papiloma humano (VPH) una de las ITS más comunes, anualmente la infección del VPH pro</w:t>
      </w:r>
      <w:r w:rsidR="00A613DE">
        <w:rPr>
          <w:rFonts w:ascii="Arial" w:hAnsi="Arial" w:cs="Arial"/>
          <w:sz w:val="24"/>
          <w:szCs w:val="24"/>
        </w:rPr>
        <w:t>voca 530.000 casos de cáncer cervico</w:t>
      </w:r>
      <w:r w:rsidRPr="002A57EC">
        <w:rPr>
          <w:rFonts w:ascii="Arial" w:hAnsi="Arial" w:cs="Arial"/>
          <w:sz w:val="24"/>
          <w:szCs w:val="24"/>
        </w:rPr>
        <w:t>uterino</w:t>
      </w:r>
      <w:r w:rsidR="00A613DE">
        <w:rPr>
          <w:rFonts w:ascii="Arial" w:hAnsi="Arial" w:cs="Arial"/>
          <w:sz w:val="24"/>
          <w:szCs w:val="24"/>
        </w:rPr>
        <w:t xml:space="preserve"> (CaCu)</w:t>
      </w:r>
      <w:r w:rsidRPr="002A57EC">
        <w:rPr>
          <w:rFonts w:ascii="Arial" w:hAnsi="Arial" w:cs="Arial"/>
          <w:sz w:val="24"/>
          <w:szCs w:val="24"/>
        </w:rPr>
        <w:t xml:space="preserve"> y 275.000 defunciones. </w:t>
      </w:r>
      <w:r w:rsidR="000E1BAC">
        <w:rPr>
          <w:rFonts w:ascii="Arial" w:hAnsi="Arial" w:cs="Arial"/>
          <w:color w:val="000000" w:themeColor="text1"/>
          <w:sz w:val="24"/>
          <w:szCs w:val="24"/>
        </w:rPr>
        <w:t xml:space="preserve">(Canche, Canul, Suarez, de Anda y González, </w:t>
      </w:r>
      <w:r w:rsidR="000E1BAC" w:rsidRPr="000E1BAC">
        <w:rPr>
          <w:rFonts w:ascii="Arial" w:hAnsi="Arial" w:cs="Arial"/>
          <w:color w:val="000000" w:themeColor="text1"/>
          <w:sz w:val="24"/>
          <w:szCs w:val="24"/>
        </w:rPr>
        <w:t>2011).</w:t>
      </w:r>
    </w:p>
    <w:p w:rsidR="000E11E6" w:rsidRPr="000E11E6" w:rsidRDefault="00E70842" w:rsidP="007605DE">
      <w:pPr>
        <w:spacing w:after="0" w:line="240" w:lineRule="auto"/>
        <w:jc w:val="both"/>
        <w:rPr>
          <w:rFonts w:ascii="Arial" w:hAnsi="Arial" w:cs="Arial"/>
          <w:sz w:val="24"/>
          <w:szCs w:val="24"/>
        </w:rPr>
      </w:pPr>
      <w:r>
        <w:rPr>
          <w:rFonts w:ascii="Arial" w:hAnsi="Arial" w:cs="Arial"/>
          <w:sz w:val="24"/>
          <w:szCs w:val="24"/>
        </w:rPr>
        <w:t>En México l</w:t>
      </w:r>
      <w:r w:rsidR="00C334EE">
        <w:rPr>
          <w:rFonts w:ascii="Arial" w:hAnsi="Arial" w:cs="Arial"/>
          <w:sz w:val="24"/>
          <w:szCs w:val="24"/>
        </w:rPr>
        <w:t xml:space="preserve">a Secretaría de Salud en </w:t>
      </w:r>
      <w:r w:rsidR="00C334EE" w:rsidRPr="00C334EE">
        <w:rPr>
          <w:rFonts w:ascii="Arial" w:hAnsi="Arial" w:cs="Arial"/>
          <w:sz w:val="24"/>
          <w:szCs w:val="24"/>
        </w:rPr>
        <w:t>relación co</w:t>
      </w:r>
      <w:r w:rsidR="00C334EE">
        <w:rPr>
          <w:rFonts w:ascii="Arial" w:hAnsi="Arial" w:cs="Arial"/>
          <w:sz w:val="24"/>
          <w:szCs w:val="24"/>
        </w:rPr>
        <w:t xml:space="preserve">n el Virus del Papiloma Humano menciona que </w:t>
      </w:r>
      <w:r w:rsidR="00C334EE" w:rsidRPr="00C334EE">
        <w:rPr>
          <w:rFonts w:ascii="Arial" w:hAnsi="Arial" w:cs="Arial"/>
          <w:sz w:val="24"/>
          <w:szCs w:val="24"/>
        </w:rPr>
        <w:t>en</w:t>
      </w:r>
      <w:r w:rsidR="00C334EE">
        <w:rPr>
          <w:rFonts w:ascii="Arial" w:hAnsi="Arial" w:cs="Arial"/>
          <w:sz w:val="24"/>
          <w:szCs w:val="24"/>
        </w:rPr>
        <w:t xml:space="preserve"> el</w:t>
      </w:r>
      <w:r w:rsidR="00C334EE" w:rsidRPr="00C334EE">
        <w:rPr>
          <w:rFonts w:ascii="Arial" w:hAnsi="Arial" w:cs="Arial"/>
          <w:sz w:val="24"/>
          <w:szCs w:val="24"/>
        </w:rPr>
        <w:t xml:space="preserve"> 2011 se reportaron 36,333 nuevos casos, de estos 96% fueron mujeres. En este mismo año la tasa de incidencia de casos nuevos de VPH es de 2.7 por cada 100 mil hombres y la femenina es de 62.71 por cada 100 mi</w:t>
      </w:r>
      <w:r w:rsidR="00C334EE">
        <w:rPr>
          <w:rFonts w:ascii="Arial" w:hAnsi="Arial" w:cs="Arial"/>
          <w:sz w:val="24"/>
          <w:szCs w:val="24"/>
        </w:rPr>
        <w:t>l mujeres de las mismas edades.</w:t>
      </w:r>
      <w:r w:rsidR="00C334EE" w:rsidRPr="00C334EE">
        <w:rPr>
          <w:rFonts w:ascii="Arial" w:hAnsi="Arial" w:cs="Arial"/>
          <w:sz w:val="24"/>
          <w:szCs w:val="24"/>
        </w:rPr>
        <w:t xml:space="preserve"> 25 a 44 años fue el grupo de edad con mayor afección de nuevos casos de Virus del Papiloma Humano, a razón</w:t>
      </w:r>
      <w:r w:rsidR="00C334EE">
        <w:rPr>
          <w:rFonts w:ascii="Arial" w:hAnsi="Arial" w:cs="Arial"/>
          <w:sz w:val="24"/>
          <w:szCs w:val="24"/>
        </w:rPr>
        <w:t xml:space="preserve"> de 24 mujeres por cada hombre.</w:t>
      </w:r>
      <w:r w:rsidR="00C334EE" w:rsidRPr="00C334EE">
        <w:rPr>
          <w:rFonts w:ascii="Arial" w:hAnsi="Arial" w:cs="Arial"/>
          <w:sz w:val="24"/>
          <w:szCs w:val="24"/>
        </w:rPr>
        <w:t xml:space="preserve"> </w:t>
      </w:r>
      <w:r w:rsidR="00B83880">
        <w:rPr>
          <w:rFonts w:ascii="Arial" w:hAnsi="Arial" w:cs="Arial"/>
          <w:sz w:val="24"/>
          <w:szCs w:val="24"/>
        </w:rPr>
        <w:t xml:space="preserve">(Instituto Nacional de las Mujeres) </w:t>
      </w:r>
    </w:p>
    <w:p w:rsidR="000E1BAC" w:rsidRPr="000E1BAC" w:rsidRDefault="007368B8" w:rsidP="007605DE">
      <w:pPr>
        <w:autoSpaceDE w:val="0"/>
        <w:autoSpaceDN w:val="0"/>
        <w:adjustRightInd w:val="0"/>
        <w:spacing w:after="0" w:line="240" w:lineRule="auto"/>
        <w:jc w:val="both"/>
        <w:rPr>
          <w:rFonts w:ascii="Arial" w:hAnsi="Arial" w:cs="Arial"/>
          <w:sz w:val="24"/>
          <w:szCs w:val="24"/>
          <w:lang w:val="es-ES"/>
        </w:rPr>
      </w:pPr>
      <w:r>
        <w:rPr>
          <w:rFonts w:ascii="Arial" w:hAnsi="Arial" w:cs="Arial"/>
          <w:sz w:val="24"/>
          <w:szCs w:val="24"/>
          <w:lang w:val="es-ES"/>
        </w:rPr>
        <w:t xml:space="preserve">De ahí la </w:t>
      </w:r>
      <w:r w:rsidR="00E736BC" w:rsidRPr="00E736BC">
        <w:rPr>
          <w:rFonts w:ascii="Arial" w:hAnsi="Arial" w:cs="Arial"/>
          <w:sz w:val="24"/>
          <w:szCs w:val="24"/>
          <w:lang w:val="es-ES"/>
        </w:rPr>
        <w:t xml:space="preserve">importancia de que todas las mujeres con resultado citológico anormal </w:t>
      </w:r>
      <w:r>
        <w:rPr>
          <w:rFonts w:ascii="Arial" w:hAnsi="Arial" w:cs="Arial"/>
          <w:sz w:val="24"/>
          <w:szCs w:val="24"/>
          <w:lang w:val="es-ES"/>
        </w:rPr>
        <w:t>sean diferidas a la</w:t>
      </w:r>
      <w:r w:rsidR="00E736BC" w:rsidRPr="00E736BC">
        <w:rPr>
          <w:rFonts w:ascii="Arial" w:hAnsi="Arial" w:cs="Arial"/>
          <w:sz w:val="24"/>
          <w:szCs w:val="24"/>
          <w:lang w:val="es-ES"/>
        </w:rPr>
        <w:t xml:space="preserve"> consu</w:t>
      </w:r>
      <w:r>
        <w:rPr>
          <w:rFonts w:ascii="Arial" w:hAnsi="Arial" w:cs="Arial"/>
          <w:sz w:val="24"/>
          <w:szCs w:val="24"/>
          <w:lang w:val="es-ES"/>
        </w:rPr>
        <w:t xml:space="preserve">lta especializada </w:t>
      </w:r>
      <w:r w:rsidR="00E736BC" w:rsidRPr="00E736BC">
        <w:rPr>
          <w:rFonts w:ascii="Arial" w:hAnsi="Arial" w:cs="Arial"/>
          <w:sz w:val="24"/>
          <w:szCs w:val="24"/>
          <w:lang w:val="es-ES"/>
        </w:rPr>
        <w:t xml:space="preserve">donde </w:t>
      </w:r>
      <w:r>
        <w:rPr>
          <w:rFonts w:ascii="Arial" w:hAnsi="Arial" w:cs="Arial"/>
          <w:sz w:val="24"/>
          <w:szCs w:val="24"/>
          <w:lang w:val="es-ES"/>
        </w:rPr>
        <w:t>sean atendidas por personal altamente capacitado y</w:t>
      </w:r>
      <w:r w:rsidR="00E736BC" w:rsidRPr="00E736BC">
        <w:rPr>
          <w:rFonts w:ascii="Arial" w:hAnsi="Arial" w:cs="Arial"/>
          <w:sz w:val="24"/>
          <w:szCs w:val="24"/>
          <w:lang w:val="es-ES"/>
        </w:rPr>
        <w:t xml:space="preserve"> </w:t>
      </w:r>
      <w:r w:rsidRPr="00E736BC">
        <w:rPr>
          <w:rFonts w:ascii="Arial" w:hAnsi="Arial" w:cs="Arial"/>
          <w:sz w:val="24"/>
          <w:szCs w:val="24"/>
          <w:lang w:val="es-ES"/>
        </w:rPr>
        <w:t>existan recursos específicos como</w:t>
      </w:r>
      <w:r>
        <w:rPr>
          <w:rFonts w:ascii="Arial" w:hAnsi="Arial" w:cs="Arial"/>
          <w:sz w:val="24"/>
          <w:szCs w:val="24"/>
          <w:lang w:val="es-ES"/>
        </w:rPr>
        <w:t xml:space="preserve"> la</w:t>
      </w:r>
      <w:r w:rsidRPr="00E736BC">
        <w:rPr>
          <w:rFonts w:ascii="Arial" w:hAnsi="Arial" w:cs="Arial"/>
          <w:sz w:val="24"/>
          <w:szCs w:val="24"/>
          <w:lang w:val="es-ES"/>
        </w:rPr>
        <w:t xml:space="preserve"> </w:t>
      </w:r>
      <w:r w:rsidR="00E736BC" w:rsidRPr="00E736BC">
        <w:rPr>
          <w:rFonts w:ascii="Arial" w:hAnsi="Arial" w:cs="Arial"/>
          <w:sz w:val="24"/>
          <w:szCs w:val="24"/>
          <w:lang w:val="es-ES"/>
        </w:rPr>
        <w:t xml:space="preserve">colposcopia y material para realizar </w:t>
      </w:r>
      <w:r w:rsidR="00497B0A" w:rsidRPr="00E736BC">
        <w:rPr>
          <w:rFonts w:ascii="Arial" w:hAnsi="Arial" w:cs="Arial"/>
          <w:sz w:val="24"/>
          <w:szCs w:val="24"/>
          <w:lang w:val="es-ES"/>
        </w:rPr>
        <w:t>los estudios histológicos</w:t>
      </w:r>
      <w:r w:rsidR="00D86392">
        <w:rPr>
          <w:rFonts w:ascii="Arial" w:hAnsi="Arial" w:cs="Arial"/>
          <w:sz w:val="24"/>
          <w:szCs w:val="24"/>
          <w:lang w:val="es-ES"/>
        </w:rPr>
        <w:t xml:space="preserve"> del cérvix, </w:t>
      </w:r>
      <w:r w:rsidR="00497B0A">
        <w:rPr>
          <w:rFonts w:ascii="Arial" w:hAnsi="Arial" w:cs="Arial"/>
          <w:sz w:val="24"/>
          <w:szCs w:val="24"/>
          <w:lang w:val="es-ES"/>
        </w:rPr>
        <w:t>que</w:t>
      </w:r>
      <w:r w:rsidR="00D86392">
        <w:rPr>
          <w:rFonts w:ascii="Arial" w:hAnsi="Arial" w:cs="Arial"/>
          <w:sz w:val="24"/>
          <w:szCs w:val="24"/>
          <w:lang w:val="es-ES"/>
        </w:rPr>
        <w:t xml:space="preserve"> permitan un diagnóstico certero y el tratamiento oport</w:t>
      </w:r>
      <w:r w:rsidR="000E1BAC">
        <w:rPr>
          <w:rFonts w:ascii="Arial" w:hAnsi="Arial" w:cs="Arial"/>
          <w:sz w:val="24"/>
          <w:szCs w:val="24"/>
          <w:lang w:val="es-ES"/>
        </w:rPr>
        <w:t>uno de las lesiones cervicales.</w:t>
      </w:r>
    </w:p>
    <w:p w:rsidR="000E1BAC" w:rsidRDefault="000E1BAC" w:rsidP="007605DE">
      <w:pPr>
        <w:spacing w:after="0" w:line="240" w:lineRule="auto"/>
        <w:jc w:val="both"/>
        <w:rPr>
          <w:rFonts w:ascii="Arial" w:hAnsi="Arial" w:cs="Arial"/>
          <w:sz w:val="24"/>
          <w:szCs w:val="24"/>
        </w:rPr>
      </w:pPr>
    </w:p>
    <w:p w:rsidR="003B2EFB" w:rsidRDefault="00913D47" w:rsidP="007605DE">
      <w:pPr>
        <w:spacing w:after="0" w:line="240" w:lineRule="auto"/>
        <w:jc w:val="both"/>
        <w:rPr>
          <w:rFonts w:ascii="Arial" w:hAnsi="Arial" w:cs="Arial"/>
          <w:sz w:val="24"/>
          <w:szCs w:val="24"/>
        </w:rPr>
      </w:pPr>
      <w:r w:rsidRPr="002A57EC">
        <w:rPr>
          <w:rFonts w:ascii="Arial" w:hAnsi="Arial" w:cs="Arial"/>
          <w:sz w:val="24"/>
          <w:szCs w:val="24"/>
        </w:rPr>
        <w:t xml:space="preserve">En las </w:t>
      </w:r>
      <w:r w:rsidR="00591940" w:rsidRPr="002A57EC">
        <w:rPr>
          <w:rFonts w:ascii="Arial" w:hAnsi="Arial" w:cs="Arial"/>
          <w:sz w:val="24"/>
          <w:szCs w:val="24"/>
        </w:rPr>
        <w:t xml:space="preserve">etapas de detección y tratamiento de las lesiones del cérvix uterino la paciente </w:t>
      </w:r>
      <w:r w:rsidR="00A82866" w:rsidRPr="002A57EC">
        <w:rPr>
          <w:rFonts w:ascii="Arial" w:hAnsi="Arial" w:cs="Arial"/>
          <w:sz w:val="24"/>
          <w:szCs w:val="24"/>
        </w:rPr>
        <w:t>está</w:t>
      </w:r>
      <w:r w:rsidR="00591940" w:rsidRPr="002A57EC">
        <w:rPr>
          <w:rFonts w:ascii="Arial" w:hAnsi="Arial" w:cs="Arial"/>
          <w:sz w:val="24"/>
          <w:szCs w:val="24"/>
        </w:rPr>
        <w:t xml:space="preserve"> en situación </w:t>
      </w:r>
      <w:r w:rsidR="00497B0A">
        <w:rPr>
          <w:rFonts w:ascii="Arial" w:hAnsi="Arial" w:cs="Arial"/>
          <w:sz w:val="24"/>
          <w:szCs w:val="24"/>
        </w:rPr>
        <w:t>de estrés lo cual puede repercutir en su</w:t>
      </w:r>
      <w:r w:rsidR="00591940" w:rsidRPr="002A57EC">
        <w:rPr>
          <w:rFonts w:ascii="Arial" w:hAnsi="Arial" w:cs="Arial"/>
          <w:sz w:val="24"/>
          <w:szCs w:val="24"/>
        </w:rPr>
        <w:t xml:space="preserve"> estado de nutrición.</w:t>
      </w:r>
      <w:r w:rsidR="00B83880">
        <w:rPr>
          <w:rFonts w:ascii="Arial" w:hAnsi="Arial" w:cs="Arial"/>
          <w:sz w:val="24"/>
          <w:szCs w:val="24"/>
        </w:rPr>
        <w:t xml:space="preserve"> (Martínez, Navarro, Santoyo y Pita, 2011).</w:t>
      </w:r>
    </w:p>
    <w:p w:rsidR="00C21226" w:rsidRDefault="00497B0A" w:rsidP="007605DE">
      <w:pPr>
        <w:spacing w:after="0" w:line="240" w:lineRule="auto"/>
        <w:jc w:val="both"/>
        <w:rPr>
          <w:rFonts w:ascii="Arial" w:hAnsi="Arial" w:cs="Arial"/>
          <w:sz w:val="24"/>
          <w:szCs w:val="24"/>
        </w:rPr>
      </w:pPr>
      <w:r>
        <w:rPr>
          <w:rFonts w:ascii="Arial" w:hAnsi="Arial" w:cs="Arial"/>
          <w:sz w:val="24"/>
          <w:szCs w:val="24"/>
        </w:rPr>
        <w:t>La evaluación del estado de nutrición se realiza por parámetros clínicos, antropométricos, dietéticos y bioquímicos que dan como resultado un diagnóstico certero que permite establecer las deficiencias o excesos que como comorbilidad pueden alterar el curso de una les</w:t>
      </w:r>
      <w:r w:rsidR="00C21226">
        <w:rPr>
          <w:rFonts w:ascii="Arial" w:hAnsi="Arial" w:cs="Arial"/>
          <w:sz w:val="24"/>
          <w:szCs w:val="24"/>
        </w:rPr>
        <w:t>ión pre neoplásica o neoplásica; además el tipo de alimentos que estén ingiriendo las pacientes repercutirá en la evolución de la lesión, aun cuando no hay datos contundentes entre la relación que existe entre alimentación y cáncer ya desde 1984 el Instituto Nacional de Cáncer en estados Unidos estableció que 35% de los tumores tenían su origen o estaban relacionados con factores alimentarios, la ingesta de alcohol, carne, dietas ricas en grasas</w:t>
      </w:r>
      <w:r w:rsidR="00853F3C">
        <w:rPr>
          <w:rFonts w:ascii="Arial" w:hAnsi="Arial" w:cs="Arial"/>
          <w:sz w:val="24"/>
          <w:szCs w:val="24"/>
        </w:rPr>
        <w:t xml:space="preserve"> incrementan el riesgo de padecer cierto tipo de cáncer, en reciprocidad la ingesta de frutas y verduras disminuye el riesgo a padecer cáncer del tubo digestivo y posiblemente el de ovario, endometrio y cérvix uterino (</w:t>
      </w:r>
    </w:p>
    <w:p w:rsidR="00C21226" w:rsidRPr="00853F3C" w:rsidRDefault="00C21226" w:rsidP="007605DE">
      <w:pPr>
        <w:spacing w:after="0" w:line="240" w:lineRule="auto"/>
        <w:jc w:val="both"/>
        <w:rPr>
          <w:rFonts w:ascii="Arial" w:hAnsi="Arial" w:cs="Arial"/>
          <w:sz w:val="24"/>
          <w:szCs w:val="24"/>
        </w:rPr>
      </w:pPr>
      <w:r w:rsidRPr="00853F3C">
        <w:rPr>
          <w:rFonts w:ascii="Arial" w:hAnsi="Arial" w:cs="Arial"/>
          <w:sz w:val="24"/>
          <w:szCs w:val="24"/>
        </w:rPr>
        <w:t>En definitiva,</w:t>
      </w:r>
      <w:r w:rsidR="00853F3C">
        <w:rPr>
          <w:rFonts w:ascii="Arial" w:hAnsi="Arial" w:cs="Arial"/>
          <w:sz w:val="24"/>
          <w:szCs w:val="24"/>
        </w:rPr>
        <w:t xml:space="preserve"> las dietas hipercalóricas, </w:t>
      </w:r>
      <w:r w:rsidRPr="00853F3C">
        <w:rPr>
          <w:rFonts w:ascii="Arial" w:hAnsi="Arial" w:cs="Arial"/>
          <w:sz w:val="24"/>
          <w:szCs w:val="24"/>
        </w:rPr>
        <w:t>ricas en grasa y proteínas son las más peligrosas, junto con algunas formas de cocinar como la barbacoa, ahumados, salazón, etc. Por el contrario, la fibra (insoluble sobre todo), vitaminas y algunos minerales forman el grupo de prote</w:t>
      </w:r>
      <w:r w:rsidR="00853F3C">
        <w:rPr>
          <w:rFonts w:ascii="Arial" w:hAnsi="Arial" w:cs="Arial"/>
          <w:sz w:val="24"/>
          <w:szCs w:val="24"/>
        </w:rPr>
        <w:t>ctores frente a las lesiones premalignas y malignas.</w:t>
      </w:r>
    </w:p>
    <w:p w:rsidR="00497B0A" w:rsidRPr="002A57EC" w:rsidRDefault="00497B0A" w:rsidP="007605DE">
      <w:pPr>
        <w:spacing w:after="0" w:line="240" w:lineRule="auto"/>
        <w:jc w:val="both"/>
        <w:rPr>
          <w:rFonts w:ascii="Arial" w:hAnsi="Arial" w:cs="Arial"/>
          <w:sz w:val="24"/>
          <w:szCs w:val="24"/>
        </w:rPr>
      </w:pPr>
      <w:r>
        <w:rPr>
          <w:rFonts w:ascii="Arial" w:hAnsi="Arial" w:cs="Arial"/>
          <w:sz w:val="24"/>
          <w:szCs w:val="24"/>
        </w:rPr>
        <w:t>Por lo tanto se plantea la siguiente pregunta de investigación:</w:t>
      </w:r>
    </w:p>
    <w:p w:rsidR="00CB6736" w:rsidRPr="002A57EC" w:rsidRDefault="00D72351" w:rsidP="007605DE">
      <w:pPr>
        <w:spacing w:after="0" w:line="240" w:lineRule="auto"/>
        <w:jc w:val="both"/>
        <w:rPr>
          <w:rFonts w:ascii="Arial" w:hAnsi="Arial" w:cs="Arial"/>
          <w:sz w:val="24"/>
          <w:szCs w:val="24"/>
        </w:rPr>
      </w:pPr>
      <w:r>
        <w:rPr>
          <w:rFonts w:ascii="Arial" w:hAnsi="Arial" w:cs="Arial"/>
          <w:sz w:val="24"/>
          <w:szCs w:val="24"/>
        </w:rPr>
        <w:t>¿</w:t>
      </w:r>
      <w:r w:rsidR="00853F3C">
        <w:rPr>
          <w:rFonts w:ascii="Arial" w:hAnsi="Arial" w:cs="Arial"/>
          <w:sz w:val="24"/>
          <w:szCs w:val="24"/>
        </w:rPr>
        <w:t>Cuál es el Estado de N</w:t>
      </w:r>
      <w:r w:rsidR="00CB6736" w:rsidRPr="002A57EC">
        <w:rPr>
          <w:rFonts w:ascii="Arial" w:hAnsi="Arial" w:cs="Arial"/>
          <w:sz w:val="24"/>
          <w:szCs w:val="24"/>
        </w:rPr>
        <w:t>utrición e ingesta dietética de las mujeres que acuden por lesiones del cérvix ute</w:t>
      </w:r>
      <w:r w:rsidR="00D62E53">
        <w:rPr>
          <w:rFonts w:ascii="Arial" w:hAnsi="Arial" w:cs="Arial"/>
          <w:sz w:val="24"/>
          <w:szCs w:val="24"/>
        </w:rPr>
        <w:t>rino a la clínica de displasias</w:t>
      </w:r>
      <w:r w:rsidR="00CB6736" w:rsidRPr="002A57EC">
        <w:rPr>
          <w:rFonts w:ascii="Arial" w:hAnsi="Arial" w:cs="Arial"/>
          <w:sz w:val="24"/>
          <w:szCs w:val="24"/>
        </w:rPr>
        <w:t xml:space="preserve"> del Hospital General </w:t>
      </w:r>
      <w:r w:rsidR="00D62E53">
        <w:rPr>
          <w:rFonts w:ascii="Arial" w:hAnsi="Arial" w:cs="Arial"/>
          <w:sz w:val="24"/>
          <w:szCs w:val="24"/>
        </w:rPr>
        <w:t>“</w:t>
      </w:r>
      <w:r w:rsidR="00CB6736" w:rsidRPr="002A57EC">
        <w:rPr>
          <w:rFonts w:ascii="Arial" w:hAnsi="Arial" w:cs="Arial"/>
          <w:sz w:val="24"/>
          <w:szCs w:val="24"/>
        </w:rPr>
        <w:t>Valentín Gómez Farías</w:t>
      </w:r>
      <w:r w:rsidR="00D62E53">
        <w:rPr>
          <w:rFonts w:ascii="Arial" w:hAnsi="Arial" w:cs="Arial"/>
          <w:sz w:val="24"/>
          <w:szCs w:val="24"/>
        </w:rPr>
        <w:t>”</w:t>
      </w:r>
      <w:r>
        <w:rPr>
          <w:rFonts w:ascii="Arial" w:hAnsi="Arial" w:cs="Arial"/>
          <w:sz w:val="24"/>
          <w:szCs w:val="24"/>
        </w:rPr>
        <w:t>?</w:t>
      </w:r>
    </w:p>
    <w:p w:rsidR="00397EA6" w:rsidRPr="00397EA6" w:rsidRDefault="0028160C" w:rsidP="00397EA6">
      <w:pPr>
        <w:rPr>
          <w:rFonts w:ascii="Arial" w:hAnsi="Arial" w:cs="Arial"/>
          <w:b/>
          <w:sz w:val="24"/>
          <w:szCs w:val="24"/>
        </w:rPr>
      </w:pPr>
      <w:r>
        <w:rPr>
          <w:rFonts w:ascii="Arial" w:hAnsi="Arial" w:cs="Arial"/>
          <w:b/>
          <w:sz w:val="24"/>
          <w:szCs w:val="24"/>
        </w:rPr>
        <w:br w:type="page"/>
      </w:r>
    </w:p>
    <w:p w:rsidR="00397EA6" w:rsidRDefault="00CB6736" w:rsidP="00397EA6">
      <w:pPr>
        <w:pStyle w:val="Prrafodelista"/>
        <w:numPr>
          <w:ilvl w:val="0"/>
          <w:numId w:val="16"/>
        </w:numPr>
        <w:spacing w:after="0" w:line="240" w:lineRule="auto"/>
        <w:jc w:val="both"/>
        <w:rPr>
          <w:rFonts w:ascii="Arial" w:hAnsi="Arial" w:cs="Arial"/>
          <w:b/>
          <w:sz w:val="24"/>
          <w:szCs w:val="24"/>
        </w:rPr>
      </w:pPr>
      <w:r w:rsidRPr="00397EA6">
        <w:rPr>
          <w:rFonts w:ascii="Arial" w:hAnsi="Arial" w:cs="Arial"/>
          <w:b/>
          <w:sz w:val="24"/>
          <w:szCs w:val="24"/>
        </w:rPr>
        <w:lastRenderedPageBreak/>
        <w:t>OBJETIVO</w:t>
      </w:r>
      <w:r w:rsidR="00397EA6">
        <w:rPr>
          <w:rFonts w:ascii="Arial" w:hAnsi="Arial" w:cs="Arial"/>
          <w:b/>
          <w:sz w:val="24"/>
          <w:szCs w:val="24"/>
        </w:rPr>
        <w:t>S</w:t>
      </w:r>
    </w:p>
    <w:p w:rsidR="00CB6736" w:rsidRPr="00397EA6" w:rsidRDefault="00397EA6" w:rsidP="00397EA6">
      <w:pPr>
        <w:spacing w:after="0" w:line="240" w:lineRule="auto"/>
        <w:jc w:val="both"/>
        <w:rPr>
          <w:rFonts w:ascii="Arial" w:hAnsi="Arial" w:cs="Arial"/>
          <w:b/>
          <w:sz w:val="24"/>
          <w:szCs w:val="24"/>
        </w:rPr>
      </w:pPr>
      <w:r>
        <w:rPr>
          <w:rFonts w:ascii="Arial" w:hAnsi="Arial" w:cs="Arial"/>
          <w:b/>
          <w:sz w:val="24"/>
          <w:szCs w:val="24"/>
        </w:rPr>
        <w:t>OBJETIVO</w:t>
      </w:r>
      <w:r w:rsidR="00CB6736" w:rsidRPr="00397EA6">
        <w:rPr>
          <w:rFonts w:ascii="Arial" w:hAnsi="Arial" w:cs="Arial"/>
          <w:b/>
          <w:sz w:val="24"/>
          <w:szCs w:val="24"/>
        </w:rPr>
        <w:t xml:space="preserve"> GENERAL:</w:t>
      </w:r>
    </w:p>
    <w:p w:rsidR="000E1BAC" w:rsidRPr="00D62E53" w:rsidRDefault="00D62E53" w:rsidP="007605DE">
      <w:pPr>
        <w:spacing w:after="0" w:line="240" w:lineRule="auto"/>
        <w:jc w:val="both"/>
        <w:rPr>
          <w:rFonts w:ascii="Arial" w:hAnsi="Arial" w:cs="Arial"/>
          <w:sz w:val="24"/>
          <w:szCs w:val="24"/>
        </w:rPr>
      </w:pPr>
      <w:r>
        <w:rPr>
          <w:rFonts w:ascii="Arial" w:hAnsi="Arial" w:cs="Arial"/>
          <w:sz w:val="24"/>
          <w:szCs w:val="24"/>
        </w:rPr>
        <w:t>Determinar el Estado de N</w:t>
      </w:r>
      <w:r w:rsidR="00CB6736" w:rsidRPr="002A57EC">
        <w:rPr>
          <w:rFonts w:ascii="Arial" w:hAnsi="Arial" w:cs="Arial"/>
          <w:sz w:val="24"/>
          <w:szCs w:val="24"/>
        </w:rPr>
        <w:t>utrición e ingesta dietética de las mujeres que acuden por lesiones del cérvix ute</w:t>
      </w:r>
      <w:r>
        <w:rPr>
          <w:rFonts w:ascii="Arial" w:hAnsi="Arial" w:cs="Arial"/>
          <w:sz w:val="24"/>
          <w:szCs w:val="24"/>
        </w:rPr>
        <w:t>rino a la clínica de displasias</w:t>
      </w:r>
      <w:r w:rsidR="00CB6736" w:rsidRPr="002A57EC">
        <w:rPr>
          <w:rFonts w:ascii="Arial" w:hAnsi="Arial" w:cs="Arial"/>
          <w:sz w:val="24"/>
          <w:szCs w:val="24"/>
        </w:rPr>
        <w:t xml:space="preserve"> del Hospita</w:t>
      </w:r>
      <w:r w:rsidR="0033526E" w:rsidRPr="002A57EC">
        <w:rPr>
          <w:rFonts w:ascii="Arial" w:hAnsi="Arial" w:cs="Arial"/>
          <w:sz w:val="24"/>
          <w:szCs w:val="24"/>
        </w:rPr>
        <w:t xml:space="preserve">l General </w:t>
      </w:r>
      <w:r>
        <w:rPr>
          <w:rFonts w:ascii="Arial" w:hAnsi="Arial" w:cs="Arial"/>
          <w:sz w:val="24"/>
          <w:szCs w:val="24"/>
        </w:rPr>
        <w:t>“</w:t>
      </w:r>
      <w:r w:rsidR="0033526E" w:rsidRPr="002A57EC">
        <w:rPr>
          <w:rFonts w:ascii="Arial" w:hAnsi="Arial" w:cs="Arial"/>
          <w:sz w:val="24"/>
          <w:szCs w:val="24"/>
        </w:rPr>
        <w:t>Valentín Gómez Farías</w:t>
      </w:r>
      <w:r>
        <w:rPr>
          <w:rFonts w:ascii="Arial" w:hAnsi="Arial" w:cs="Arial"/>
          <w:sz w:val="24"/>
          <w:szCs w:val="24"/>
        </w:rPr>
        <w:t>”</w:t>
      </w:r>
      <w:r w:rsidR="004D5662">
        <w:rPr>
          <w:rFonts w:ascii="Arial" w:hAnsi="Arial" w:cs="Arial"/>
          <w:sz w:val="24"/>
          <w:szCs w:val="24"/>
        </w:rPr>
        <w:t>.</w:t>
      </w:r>
    </w:p>
    <w:p w:rsidR="00CB6736" w:rsidRPr="002A57EC" w:rsidRDefault="00CB6736" w:rsidP="007605DE">
      <w:pPr>
        <w:spacing w:after="0" w:line="240" w:lineRule="auto"/>
        <w:jc w:val="both"/>
        <w:rPr>
          <w:rFonts w:ascii="Arial" w:hAnsi="Arial" w:cs="Arial"/>
          <w:b/>
          <w:sz w:val="24"/>
          <w:szCs w:val="24"/>
        </w:rPr>
      </w:pPr>
      <w:r w:rsidRPr="002A57EC">
        <w:rPr>
          <w:rFonts w:ascii="Arial" w:hAnsi="Arial" w:cs="Arial"/>
          <w:b/>
          <w:sz w:val="24"/>
          <w:szCs w:val="24"/>
        </w:rPr>
        <w:t>OBJETIVOS ESPECÍFICOS:</w:t>
      </w:r>
    </w:p>
    <w:p w:rsidR="00CB6736" w:rsidRPr="002A57EC" w:rsidRDefault="00D62E53" w:rsidP="007605DE">
      <w:pPr>
        <w:spacing w:after="0" w:line="240" w:lineRule="auto"/>
        <w:jc w:val="both"/>
        <w:rPr>
          <w:rFonts w:ascii="Arial" w:hAnsi="Arial" w:cs="Arial"/>
          <w:sz w:val="24"/>
          <w:szCs w:val="24"/>
        </w:rPr>
      </w:pPr>
      <w:r>
        <w:rPr>
          <w:rFonts w:ascii="Arial" w:hAnsi="Arial" w:cs="Arial"/>
          <w:sz w:val="24"/>
          <w:szCs w:val="24"/>
        </w:rPr>
        <w:t>1.-Conocer el Estado de N</w:t>
      </w:r>
      <w:r w:rsidR="00CB6736" w:rsidRPr="002A57EC">
        <w:rPr>
          <w:rFonts w:ascii="Arial" w:hAnsi="Arial" w:cs="Arial"/>
          <w:sz w:val="24"/>
          <w:szCs w:val="24"/>
        </w:rPr>
        <w:t>utrición de las mujeres que acuden por lesiones del cérvix uterino a la cl</w:t>
      </w:r>
      <w:r>
        <w:rPr>
          <w:rFonts w:ascii="Arial" w:hAnsi="Arial" w:cs="Arial"/>
          <w:sz w:val="24"/>
          <w:szCs w:val="24"/>
        </w:rPr>
        <w:t>ínica de displasias</w:t>
      </w:r>
      <w:r w:rsidR="00CB6736" w:rsidRPr="002A57EC">
        <w:rPr>
          <w:rFonts w:ascii="Arial" w:hAnsi="Arial" w:cs="Arial"/>
          <w:sz w:val="24"/>
          <w:szCs w:val="24"/>
        </w:rPr>
        <w:t xml:space="preserve"> del Hospital General </w:t>
      </w:r>
      <w:r>
        <w:rPr>
          <w:rFonts w:ascii="Arial" w:hAnsi="Arial" w:cs="Arial"/>
          <w:sz w:val="24"/>
          <w:szCs w:val="24"/>
        </w:rPr>
        <w:t>“</w:t>
      </w:r>
      <w:r w:rsidR="00CB6736" w:rsidRPr="002A57EC">
        <w:rPr>
          <w:rFonts w:ascii="Arial" w:hAnsi="Arial" w:cs="Arial"/>
          <w:sz w:val="24"/>
          <w:szCs w:val="24"/>
        </w:rPr>
        <w:t>Valentín Gómez Farías</w:t>
      </w:r>
      <w:r>
        <w:rPr>
          <w:rFonts w:ascii="Arial" w:hAnsi="Arial" w:cs="Arial"/>
          <w:sz w:val="24"/>
          <w:szCs w:val="24"/>
        </w:rPr>
        <w:t>”</w:t>
      </w:r>
      <w:r w:rsidR="00CB6736" w:rsidRPr="002A57EC">
        <w:rPr>
          <w:rFonts w:ascii="Arial" w:hAnsi="Arial" w:cs="Arial"/>
          <w:sz w:val="24"/>
          <w:szCs w:val="24"/>
        </w:rPr>
        <w:t>.</w:t>
      </w:r>
    </w:p>
    <w:p w:rsidR="00CB6736" w:rsidRPr="002A57EC" w:rsidRDefault="00CB6736" w:rsidP="007605DE">
      <w:pPr>
        <w:spacing w:after="0" w:line="240" w:lineRule="auto"/>
        <w:jc w:val="both"/>
        <w:rPr>
          <w:rFonts w:ascii="Arial" w:hAnsi="Arial" w:cs="Arial"/>
          <w:sz w:val="24"/>
          <w:szCs w:val="24"/>
        </w:rPr>
      </w:pPr>
      <w:r w:rsidRPr="002A57EC">
        <w:rPr>
          <w:rFonts w:ascii="Arial" w:hAnsi="Arial" w:cs="Arial"/>
          <w:sz w:val="24"/>
          <w:szCs w:val="24"/>
        </w:rPr>
        <w:t>2.-Describir la ingesta dietética de las mujeres que acuden por lesiones del cérvix ute</w:t>
      </w:r>
      <w:r w:rsidR="00D62E53">
        <w:rPr>
          <w:rFonts w:ascii="Arial" w:hAnsi="Arial" w:cs="Arial"/>
          <w:sz w:val="24"/>
          <w:szCs w:val="24"/>
        </w:rPr>
        <w:t>rino a la clínica de displasias</w:t>
      </w:r>
      <w:r w:rsidRPr="002A57EC">
        <w:rPr>
          <w:rFonts w:ascii="Arial" w:hAnsi="Arial" w:cs="Arial"/>
          <w:sz w:val="24"/>
          <w:szCs w:val="24"/>
        </w:rPr>
        <w:t xml:space="preserve"> del Hospital General </w:t>
      </w:r>
      <w:r w:rsidR="00D62E53">
        <w:rPr>
          <w:rFonts w:ascii="Arial" w:hAnsi="Arial" w:cs="Arial"/>
          <w:sz w:val="24"/>
          <w:szCs w:val="24"/>
        </w:rPr>
        <w:t>“</w:t>
      </w:r>
      <w:r w:rsidRPr="002A57EC">
        <w:rPr>
          <w:rFonts w:ascii="Arial" w:hAnsi="Arial" w:cs="Arial"/>
          <w:sz w:val="24"/>
          <w:szCs w:val="24"/>
        </w:rPr>
        <w:t>Valentín Gómez Farías</w:t>
      </w:r>
      <w:r w:rsidR="00D62E53">
        <w:rPr>
          <w:rFonts w:ascii="Arial" w:hAnsi="Arial" w:cs="Arial"/>
          <w:sz w:val="24"/>
          <w:szCs w:val="24"/>
        </w:rPr>
        <w:t>”</w:t>
      </w:r>
      <w:r w:rsidRPr="002A57EC">
        <w:rPr>
          <w:rFonts w:ascii="Arial" w:hAnsi="Arial" w:cs="Arial"/>
          <w:sz w:val="24"/>
          <w:szCs w:val="24"/>
        </w:rPr>
        <w:t>.</w:t>
      </w:r>
    </w:p>
    <w:p w:rsidR="00E34D88" w:rsidRPr="002A57EC" w:rsidRDefault="00D62E53" w:rsidP="007605DE">
      <w:pPr>
        <w:spacing w:after="0" w:line="240" w:lineRule="auto"/>
        <w:jc w:val="both"/>
        <w:rPr>
          <w:rFonts w:ascii="Arial" w:hAnsi="Arial" w:cs="Arial"/>
          <w:sz w:val="24"/>
          <w:szCs w:val="24"/>
        </w:rPr>
      </w:pPr>
      <w:r>
        <w:rPr>
          <w:rFonts w:ascii="Arial" w:hAnsi="Arial" w:cs="Arial"/>
          <w:sz w:val="24"/>
          <w:szCs w:val="24"/>
        </w:rPr>
        <w:t>3.-Relacionar el E</w:t>
      </w:r>
      <w:r w:rsidR="00CB6736" w:rsidRPr="002A57EC">
        <w:rPr>
          <w:rFonts w:ascii="Arial" w:hAnsi="Arial" w:cs="Arial"/>
          <w:sz w:val="24"/>
          <w:szCs w:val="24"/>
        </w:rPr>
        <w:t xml:space="preserve">stado de </w:t>
      </w:r>
      <w:r>
        <w:rPr>
          <w:rFonts w:ascii="Arial" w:hAnsi="Arial" w:cs="Arial"/>
          <w:sz w:val="24"/>
          <w:szCs w:val="24"/>
        </w:rPr>
        <w:t>N</w:t>
      </w:r>
      <w:r w:rsidR="00CB6736" w:rsidRPr="002A57EC">
        <w:rPr>
          <w:rFonts w:ascii="Arial" w:hAnsi="Arial" w:cs="Arial"/>
          <w:sz w:val="24"/>
          <w:szCs w:val="24"/>
        </w:rPr>
        <w:t>utrición con el tipo de lesiones del cérvix uterino de las mujeres que ac</w:t>
      </w:r>
      <w:r>
        <w:rPr>
          <w:rFonts w:ascii="Arial" w:hAnsi="Arial" w:cs="Arial"/>
          <w:sz w:val="24"/>
          <w:szCs w:val="24"/>
        </w:rPr>
        <w:t>uden a la clínica de displasias</w:t>
      </w:r>
      <w:r w:rsidR="00CB6736" w:rsidRPr="002A57EC">
        <w:rPr>
          <w:rFonts w:ascii="Arial" w:hAnsi="Arial" w:cs="Arial"/>
          <w:sz w:val="24"/>
          <w:szCs w:val="24"/>
        </w:rPr>
        <w:t xml:space="preserve"> del Hospital General </w:t>
      </w:r>
      <w:r>
        <w:rPr>
          <w:rFonts w:ascii="Arial" w:hAnsi="Arial" w:cs="Arial"/>
          <w:sz w:val="24"/>
          <w:szCs w:val="24"/>
        </w:rPr>
        <w:t>“</w:t>
      </w:r>
      <w:r w:rsidR="00CB6736" w:rsidRPr="002A57EC">
        <w:rPr>
          <w:rFonts w:ascii="Arial" w:hAnsi="Arial" w:cs="Arial"/>
          <w:sz w:val="24"/>
          <w:szCs w:val="24"/>
        </w:rPr>
        <w:t>Valentín Gómez Farías</w:t>
      </w:r>
      <w:r>
        <w:rPr>
          <w:rFonts w:ascii="Arial" w:hAnsi="Arial" w:cs="Arial"/>
          <w:sz w:val="24"/>
          <w:szCs w:val="24"/>
        </w:rPr>
        <w:t>”</w:t>
      </w:r>
      <w:r w:rsidR="00CB6736" w:rsidRPr="002A57EC">
        <w:rPr>
          <w:rFonts w:ascii="Arial" w:hAnsi="Arial" w:cs="Arial"/>
          <w:sz w:val="24"/>
          <w:szCs w:val="24"/>
        </w:rPr>
        <w:t>.</w:t>
      </w:r>
    </w:p>
    <w:p w:rsidR="0028160C" w:rsidRDefault="0028160C" w:rsidP="007605DE">
      <w:pPr>
        <w:spacing w:after="0" w:line="240" w:lineRule="auto"/>
        <w:jc w:val="both"/>
        <w:rPr>
          <w:rFonts w:ascii="Arial" w:hAnsi="Arial" w:cs="Arial"/>
          <w:b/>
          <w:sz w:val="24"/>
          <w:szCs w:val="24"/>
        </w:rPr>
      </w:pPr>
    </w:p>
    <w:p w:rsidR="00CB6736" w:rsidRPr="00397EA6" w:rsidRDefault="00397EA6" w:rsidP="00397EA6">
      <w:pPr>
        <w:spacing w:after="0" w:line="240" w:lineRule="auto"/>
        <w:jc w:val="both"/>
        <w:rPr>
          <w:rFonts w:ascii="Arial" w:hAnsi="Arial" w:cs="Arial"/>
          <w:sz w:val="24"/>
          <w:szCs w:val="24"/>
        </w:rPr>
      </w:pPr>
      <w:r>
        <w:rPr>
          <w:rFonts w:ascii="Arial" w:hAnsi="Arial" w:cs="Arial"/>
          <w:b/>
          <w:sz w:val="24"/>
          <w:szCs w:val="24"/>
        </w:rPr>
        <w:t xml:space="preserve">V. </w:t>
      </w:r>
      <w:r w:rsidR="001B4121" w:rsidRPr="00397EA6">
        <w:rPr>
          <w:rFonts w:ascii="Arial" w:hAnsi="Arial" w:cs="Arial"/>
          <w:b/>
          <w:sz w:val="24"/>
          <w:szCs w:val="24"/>
        </w:rPr>
        <w:t>DISEÑO METODOLÓGICO</w:t>
      </w:r>
      <w:r w:rsidR="00DE5392" w:rsidRPr="00397EA6">
        <w:rPr>
          <w:rFonts w:ascii="Arial" w:hAnsi="Arial" w:cs="Arial"/>
          <w:b/>
          <w:sz w:val="24"/>
          <w:szCs w:val="24"/>
        </w:rPr>
        <w:t xml:space="preserve">: </w:t>
      </w:r>
      <w:r w:rsidR="00DE5392" w:rsidRPr="00397EA6">
        <w:rPr>
          <w:rFonts w:ascii="Arial" w:hAnsi="Arial" w:cs="Arial"/>
          <w:sz w:val="24"/>
          <w:szCs w:val="24"/>
        </w:rPr>
        <w:t>La investigación se planteó como un estudio descriptivo, transversal y cuantitativo, el cual se realizó con 37 pacientes de la “clínica de displasias” del Hospital General “Valentín Gómez Farías”, del Municipio de Amecameca, durante el año 2014.</w:t>
      </w:r>
    </w:p>
    <w:p w:rsidR="00521712" w:rsidRPr="005C54CC" w:rsidRDefault="00DE5392" w:rsidP="007605DE">
      <w:pPr>
        <w:spacing w:after="0" w:line="240" w:lineRule="auto"/>
        <w:jc w:val="both"/>
        <w:rPr>
          <w:rFonts w:ascii="Arial" w:hAnsi="Arial" w:cs="Arial"/>
          <w:sz w:val="24"/>
          <w:szCs w:val="24"/>
        </w:rPr>
      </w:pPr>
      <w:r>
        <w:rPr>
          <w:rFonts w:ascii="Arial" w:hAnsi="Arial" w:cs="Arial"/>
          <w:sz w:val="24"/>
          <w:szCs w:val="24"/>
        </w:rPr>
        <w:t xml:space="preserve">La muestra fue a </w:t>
      </w:r>
      <w:r w:rsidR="007605DE">
        <w:rPr>
          <w:rFonts w:ascii="Arial" w:hAnsi="Arial" w:cs="Arial"/>
          <w:sz w:val="24"/>
          <w:szCs w:val="24"/>
        </w:rPr>
        <w:t>conveniencia</w:t>
      </w:r>
      <w:r>
        <w:rPr>
          <w:rFonts w:ascii="Arial" w:hAnsi="Arial" w:cs="Arial"/>
          <w:sz w:val="24"/>
          <w:szCs w:val="24"/>
        </w:rPr>
        <w:t xml:space="preserve"> ya q</w:t>
      </w:r>
      <w:r w:rsidR="005C54CC">
        <w:rPr>
          <w:rFonts w:ascii="Arial" w:hAnsi="Arial" w:cs="Arial"/>
          <w:sz w:val="24"/>
          <w:szCs w:val="24"/>
        </w:rPr>
        <w:t xml:space="preserve">ue se consideraron a </w:t>
      </w:r>
      <w:r w:rsidR="000E4988">
        <w:rPr>
          <w:rFonts w:ascii="Arial" w:hAnsi="Arial" w:cs="Arial"/>
          <w:sz w:val="24"/>
          <w:szCs w:val="24"/>
          <w:lang w:val="es-ES"/>
        </w:rPr>
        <w:t>37</w:t>
      </w:r>
      <w:r w:rsidR="00521712">
        <w:rPr>
          <w:rFonts w:ascii="Arial" w:hAnsi="Arial" w:cs="Arial"/>
          <w:sz w:val="24"/>
          <w:szCs w:val="24"/>
          <w:lang w:val="es-ES"/>
        </w:rPr>
        <w:t xml:space="preserve"> pacientes que asistían regularm</w:t>
      </w:r>
      <w:r w:rsidR="005C54CC">
        <w:rPr>
          <w:rFonts w:ascii="Arial" w:hAnsi="Arial" w:cs="Arial"/>
          <w:sz w:val="24"/>
          <w:szCs w:val="24"/>
          <w:lang w:val="es-ES"/>
        </w:rPr>
        <w:t>ente a la clínica de displasias y que cumplieron con los criterios de selección:</w:t>
      </w:r>
    </w:p>
    <w:p w:rsidR="00D85674" w:rsidRDefault="00D85674" w:rsidP="007605DE">
      <w:pPr>
        <w:spacing w:after="0" w:line="240" w:lineRule="auto"/>
        <w:jc w:val="both"/>
        <w:rPr>
          <w:rFonts w:ascii="Arial" w:hAnsi="Arial" w:cs="Arial"/>
          <w:sz w:val="24"/>
          <w:szCs w:val="24"/>
          <w:lang w:val="es-ES"/>
        </w:rPr>
      </w:pPr>
      <w:r w:rsidRPr="00D85674">
        <w:rPr>
          <w:rFonts w:ascii="Arial" w:hAnsi="Arial" w:cs="Arial"/>
          <w:sz w:val="24"/>
          <w:szCs w:val="24"/>
          <w:lang w:val="es-ES"/>
        </w:rPr>
        <w:t xml:space="preserve">CRITERIOS DE </w:t>
      </w:r>
      <w:r w:rsidR="00521712" w:rsidRPr="00D85674">
        <w:rPr>
          <w:rFonts w:ascii="Arial" w:hAnsi="Arial" w:cs="Arial"/>
          <w:sz w:val="24"/>
          <w:szCs w:val="24"/>
          <w:lang w:val="es-ES"/>
        </w:rPr>
        <w:t>INCLUSIÓN:</w:t>
      </w:r>
    </w:p>
    <w:p w:rsidR="00E3183F" w:rsidRDefault="00637B7A" w:rsidP="007605DE">
      <w:pPr>
        <w:spacing w:after="0" w:line="240" w:lineRule="auto"/>
        <w:jc w:val="both"/>
        <w:rPr>
          <w:rFonts w:ascii="Arial" w:hAnsi="Arial" w:cs="Arial"/>
          <w:sz w:val="24"/>
          <w:szCs w:val="24"/>
          <w:lang w:val="es-ES"/>
        </w:rPr>
      </w:pPr>
      <w:r>
        <w:rPr>
          <w:rFonts w:ascii="Arial" w:hAnsi="Arial" w:cs="Arial"/>
          <w:sz w:val="24"/>
          <w:szCs w:val="24"/>
          <w:lang w:val="es-ES"/>
        </w:rPr>
        <w:t>-Mujeres de 20</w:t>
      </w:r>
      <w:r w:rsidR="00E3183F">
        <w:rPr>
          <w:rFonts w:ascii="Arial" w:hAnsi="Arial" w:cs="Arial"/>
          <w:sz w:val="24"/>
          <w:szCs w:val="24"/>
          <w:lang w:val="es-ES"/>
        </w:rPr>
        <w:t xml:space="preserve"> – 60 años</w:t>
      </w:r>
    </w:p>
    <w:p w:rsidR="00E3183F" w:rsidRDefault="00E3183F" w:rsidP="007605DE">
      <w:pPr>
        <w:spacing w:after="0" w:line="240" w:lineRule="auto"/>
        <w:jc w:val="both"/>
        <w:rPr>
          <w:rFonts w:ascii="Arial" w:hAnsi="Arial" w:cs="Arial"/>
          <w:sz w:val="24"/>
          <w:szCs w:val="24"/>
          <w:lang w:val="es-ES"/>
        </w:rPr>
      </w:pPr>
      <w:r>
        <w:rPr>
          <w:rFonts w:ascii="Arial" w:hAnsi="Arial" w:cs="Arial"/>
          <w:sz w:val="24"/>
          <w:szCs w:val="24"/>
          <w:lang w:val="es-ES"/>
        </w:rPr>
        <w:t>-Mujeres que aceptaron participar en el estudio y firmaron consentimiento informado</w:t>
      </w:r>
    </w:p>
    <w:p w:rsidR="00E3183F" w:rsidRDefault="00E3183F" w:rsidP="007605DE">
      <w:pPr>
        <w:spacing w:after="0" w:line="240" w:lineRule="auto"/>
        <w:jc w:val="both"/>
        <w:rPr>
          <w:rFonts w:ascii="Arial" w:hAnsi="Arial" w:cs="Arial"/>
          <w:sz w:val="24"/>
          <w:szCs w:val="24"/>
          <w:lang w:val="es-ES"/>
        </w:rPr>
      </w:pPr>
      <w:r>
        <w:rPr>
          <w:rFonts w:ascii="Arial" w:hAnsi="Arial" w:cs="Arial"/>
          <w:sz w:val="24"/>
          <w:szCs w:val="24"/>
          <w:lang w:val="es-ES"/>
        </w:rPr>
        <w:t>-Mujeres que asisten regularmente a la clínica de colposcopia</w:t>
      </w:r>
    </w:p>
    <w:p w:rsidR="00E3183F" w:rsidRPr="00D85674" w:rsidRDefault="00E3183F" w:rsidP="007605DE">
      <w:pPr>
        <w:spacing w:after="0" w:line="240" w:lineRule="auto"/>
        <w:jc w:val="both"/>
        <w:rPr>
          <w:rFonts w:ascii="Arial" w:hAnsi="Arial" w:cs="Arial"/>
          <w:sz w:val="24"/>
          <w:szCs w:val="24"/>
          <w:lang w:val="es-ES"/>
        </w:rPr>
      </w:pPr>
      <w:r>
        <w:rPr>
          <w:rFonts w:ascii="Arial" w:hAnsi="Arial" w:cs="Arial"/>
          <w:sz w:val="24"/>
          <w:szCs w:val="24"/>
          <w:lang w:val="es-ES"/>
        </w:rPr>
        <w:t>-</w:t>
      </w:r>
      <w:r w:rsidR="003E2070">
        <w:rPr>
          <w:rFonts w:ascii="Arial" w:hAnsi="Arial" w:cs="Arial"/>
          <w:sz w:val="24"/>
          <w:szCs w:val="24"/>
          <w:lang w:val="es-ES"/>
        </w:rPr>
        <w:t>Mujeres que asisten los días de la evaluación</w:t>
      </w:r>
    </w:p>
    <w:p w:rsidR="00D85674" w:rsidRDefault="00D85674" w:rsidP="007605DE">
      <w:pPr>
        <w:spacing w:after="0" w:line="240" w:lineRule="auto"/>
        <w:jc w:val="both"/>
        <w:rPr>
          <w:rFonts w:ascii="Arial" w:hAnsi="Arial" w:cs="Arial"/>
          <w:sz w:val="24"/>
          <w:szCs w:val="24"/>
          <w:lang w:val="es-ES"/>
        </w:rPr>
      </w:pPr>
      <w:r w:rsidRPr="00D85674">
        <w:rPr>
          <w:rFonts w:ascii="Arial" w:hAnsi="Arial" w:cs="Arial"/>
          <w:sz w:val="24"/>
          <w:szCs w:val="24"/>
          <w:lang w:val="es-ES"/>
        </w:rPr>
        <w:t>CRITERIOS DE</w:t>
      </w:r>
      <w:r>
        <w:rPr>
          <w:rFonts w:ascii="Arial" w:hAnsi="Arial" w:cs="Arial"/>
          <w:sz w:val="24"/>
          <w:szCs w:val="24"/>
          <w:lang w:val="es-ES"/>
        </w:rPr>
        <w:t xml:space="preserve"> EXCLUSIÓN:</w:t>
      </w:r>
    </w:p>
    <w:p w:rsidR="003E2070" w:rsidRPr="003E2070" w:rsidRDefault="00637B7A" w:rsidP="007605DE">
      <w:pPr>
        <w:spacing w:after="0" w:line="240" w:lineRule="auto"/>
        <w:jc w:val="both"/>
        <w:rPr>
          <w:rFonts w:ascii="Arial" w:hAnsi="Arial" w:cs="Arial"/>
          <w:sz w:val="24"/>
          <w:szCs w:val="24"/>
          <w:lang w:val="es-ES"/>
        </w:rPr>
      </w:pPr>
      <w:r>
        <w:rPr>
          <w:rFonts w:ascii="Arial" w:hAnsi="Arial" w:cs="Arial"/>
          <w:sz w:val="24"/>
          <w:szCs w:val="24"/>
          <w:lang w:val="es-ES"/>
        </w:rPr>
        <w:t>-Mujeres menores de 20</w:t>
      </w:r>
      <w:r w:rsidR="003E2070">
        <w:rPr>
          <w:rFonts w:ascii="Arial" w:hAnsi="Arial" w:cs="Arial"/>
          <w:sz w:val="24"/>
          <w:szCs w:val="24"/>
          <w:lang w:val="es-ES"/>
        </w:rPr>
        <w:t xml:space="preserve"> años y mayores de 60 años</w:t>
      </w:r>
    </w:p>
    <w:p w:rsidR="003E2070" w:rsidRDefault="003E2070" w:rsidP="007605DE">
      <w:pPr>
        <w:spacing w:after="0" w:line="240" w:lineRule="auto"/>
        <w:jc w:val="both"/>
        <w:rPr>
          <w:rFonts w:ascii="Arial" w:hAnsi="Arial" w:cs="Arial"/>
          <w:sz w:val="24"/>
          <w:szCs w:val="24"/>
          <w:lang w:val="es-ES"/>
        </w:rPr>
      </w:pPr>
      <w:r>
        <w:rPr>
          <w:rFonts w:ascii="Arial" w:hAnsi="Arial" w:cs="Arial"/>
          <w:sz w:val="24"/>
          <w:szCs w:val="24"/>
          <w:lang w:val="es-ES"/>
        </w:rPr>
        <w:t xml:space="preserve">-Mujeres que no aceptan participar en el estudio </w:t>
      </w:r>
    </w:p>
    <w:p w:rsidR="003E2070" w:rsidRDefault="003E2070" w:rsidP="007605DE">
      <w:pPr>
        <w:spacing w:after="0" w:line="240" w:lineRule="auto"/>
        <w:jc w:val="both"/>
        <w:rPr>
          <w:rFonts w:ascii="Arial" w:hAnsi="Arial" w:cs="Arial"/>
          <w:sz w:val="24"/>
          <w:szCs w:val="24"/>
          <w:lang w:val="es-ES"/>
        </w:rPr>
      </w:pPr>
      <w:r>
        <w:rPr>
          <w:rFonts w:ascii="Arial" w:hAnsi="Arial" w:cs="Arial"/>
          <w:sz w:val="24"/>
          <w:szCs w:val="24"/>
          <w:lang w:val="es-ES"/>
        </w:rPr>
        <w:t>-Mujeres que no presentan el consentimiento informado</w:t>
      </w:r>
    </w:p>
    <w:p w:rsidR="003E2070" w:rsidRDefault="003E2070" w:rsidP="007605DE">
      <w:pPr>
        <w:spacing w:after="0" w:line="240" w:lineRule="auto"/>
        <w:jc w:val="both"/>
        <w:rPr>
          <w:rFonts w:ascii="Arial" w:hAnsi="Arial" w:cs="Arial"/>
          <w:sz w:val="24"/>
          <w:szCs w:val="24"/>
          <w:lang w:val="es-ES"/>
        </w:rPr>
      </w:pPr>
      <w:r>
        <w:rPr>
          <w:rFonts w:ascii="Arial" w:hAnsi="Arial" w:cs="Arial"/>
          <w:sz w:val="24"/>
          <w:szCs w:val="24"/>
          <w:lang w:val="es-ES"/>
        </w:rPr>
        <w:t>-Mujeres que no están presentes el día  de la evaluación</w:t>
      </w:r>
    </w:p>
    <w:p w:rsidR="007605DE" w:rsidRDefault="007605DE" w:rsidP="007605DE">
      <w:pPr>
        <w:spacing w:after="0" w:line="240" w:lineRule="auto"/>
        <w:jc w:val="both"/>
        <w:rPr>
          <w:rFonts w:ascii="Arial" w:hAnsi="Arial" w:cs="Arial"/>
          <w:b/>
          <w:sz w:val="24"/>
          <w:szCs w:val="24"/>
          <w:lang w:val="es-ES"/>
        </w:rPr>
      </w:pPr>
    </w:p>
    <w:p w:rsidR="007C3798" w:rsidRDefault="00397EA6" w:rsidP="007605DE">
      <w:pPr>
        <w:spacing w:after="0" w:line="240" w:lineRule="auto"/>
        <w:jc w:val="both"/>
        <w:rPr>
          <w:rFonts w:ascii="Arial" w:hAnsi="Arial" w:cs="Arial"/>
          <w:b/>
          <w:sz w:val="24"/>
          <w:szCs w:val="24"/>
          <w:lang w:val="es-ES"/>
        </w:rPr>
      </w:pPr>
      <w:r>
        <w:rPr>
          <w:rFonts w:ascii="Arial" w:hAnsi="Arial" w:cs="Arial"/>
          <w:b/>
          <w:sz w:val="24"/>
          <w:szCs w:val="24"/>
          <w:lang w:val="es-ES"/>
        </w:rPr>
        <w:t xml:space="preserve">V.1 </w:t>
      </w:r>
      <w:r w:rsidR="003A1DB0">
        <w:rPr>
          <w:rFonts w:ascii="Arial" w:hAnsi="Arial" w:cs="Arial"/>
          <w:b/>
          <w:sz w:val="24"/>
          <w:szCs w:val="24"/>
          <w:lang w:val="es-ES"/>
        </w:rPr>
        <w:t>MÉTODO</w:t>
      </w:r>
    </w:p>
    <w:p w:rsidR="000E1BAC" w:rsidRDefault="003A1DB0" w:rsidP="007605DE">
      <w:pPr>
        <w:spacing w:after="0" w:line="240" w:lineRule="auto"/>
        <w:jc w:val="both"/>
        <w:rPr>
          <w:rFonts w:ascii="Arial" w:hAnsi="Arial" w:cs="Arial"/>
          <w:sz w:val="24"/>
          <w:szCs w:val="24"/>
          <w:lang w:val="es-ES"/>
        </w:rPr>
      </w:pPr>
      <w:r>
        <w:rPr>
          <w:rFonts w:ascii="Arial" w:hAnsi="Arial" w:cs="Arial"/>
          <w:sz w:val="24"/>
          <w:szCs w:val="24"/>
          <w:lang w:val="es-ES"/>
        </w:rPr>
        <w:t xml:space="preserve">La valoración y evolución de las lesiones del cérvix uterino fue responsabilidad del especialista el cual hizo la interpretación de las lesiones en base a </w:t>
      </w:r>
      <w:r w:rsidRPr="007C1B09">
        <w:rPr>
          <w:rFonts w:ascii="Arial" w:eastAsiaTheme="minorHAnsi" w:hAnsi="Arial" w:cs="Arial"/>
          <w:sz w:val="24"/>
          <w:szCs w:val="24"/>
          <w:lang w:eastAsia="en-US"/>
        </w:rPr>
        <w:t>las clasi</w:t>
      </w:r>
      <w:r>
        <w:rPr>
          <w:rFonts w:ascii="Arial" w:eastAsiaTheme="minorHAnsi" w:hAnsi="Arial" w:cs="Arial"/>
          <w:sz w:val="24"/>
          <w:szCs w:val="24"/>
          <w:lang w:eastAsia="en-US"/>
        </w:rPr>
        <w:t>ficaciones de Bethesda y Richar</w:t>
      </w:r>
      <w:r w:rsidRPr="007C1B09">
        <w:rPr>
          <w:rFonts w:ascii="Arial" w:eastAsiaTheme="minorHAnsi" w:hAnsi="Arial" w:cs="Arial"/>
          <w:sz w:val="24"/>
          <w:szCs w:val="24"/>
          <w:lang w:eastAsia="en-US"/>
        </w:rPr>
        <w:t>t, según lo establece la modificación a la NOM-014-SSA2 para la prevención, detección, diagnóstico, tratamiento, control y vigilancia epidemiológica del cáncer cérvico uterino</w:t>
      </w:r>
      <w:r>
        <w:rPr>
          <w:rFonts w:ascii="Arial" w:eastAsiaTheme="minorHAnsi" w:hAnsi="Arial" w:cs="Arial"/>
          <w:sz w:val="24"/>
          <w:szCs w:val="24"/>
          <w:lang w:eastAsia="en-US"/>
        </w:rPr>
        <w:t>.</w:t>
      </w:r>
    </w:p>
    <w:p w:rsidR="00DF04F1" w:rsidRDefault="003A1DB0" w:rsidP="007605DE">
      <w:pPr>
        <w:spacing w:after="0" w:line="240" w:lineRule="auto"/>
        <w:jc w:val="both"/>
        <w:rPr>
          <w:rFonts w:ascii="Arial" w:hAnsi="Arial" w:cs="Arial"/>
          <w:sz w:val="24"/>
          <w:szCs w:val="24"/>
          <w:lang w:val="es-ES"/>
        </w:rPr>
      </w:pPr>
      <w:r>
        <w:rPr>
          <w:rFonts w:ascii="Arial" w:hAnsi="Arial" w:cs="Arial"/>
          <w:sz w:val="24"/>
          <w:szCs w:val="24"/>
          <w:lang w:val="es-ES"/>
        </w:rPr>
        <w:t>L</w:t>
      </w:r>
      <w:r w:rsidR="00DF04F1">
        <w:rPr>
          <w:rFonts w:ascii="Arial" w:hAnsi="Arial" w:cs="Arial"/>
          <w:sz w:val="24"/>
          <w:szCs w:val="24"/>
          <w:lang w:val="es-ES"/>
        </w:rPr>
        <w:t xml:space="preserve">a </w:t>
      </w:r>
      <w:r w:rsidR="003422FE">
        <w:rPr>
          <w:rFonts w:ascii="Arial" w:hAnsi="Arial" w:cs="Arial"/>
          <w:sz w:val="24"/>
          <w:szCs w:val="24"/>
          <w:lang w:val="es-ES"/>
        </w:rPr>
        <w:t>evaluación</w:t>
      </w:r>
      <w:r w:rsidR="00DF04F1">
        <w:rPr>
          <w:rFonts w:ascii="Arial" w:hAnsi="Arial" w:cs="Arial"/>
          <w:sz w:val="24"/>
          <w:szCs w:val="24"/>
          <w:lang w:val="es-ES"/>
        </w:rPr>
        <w:t xml:space="preserve"> de </w:t>
      </w:r>
      <w:r w:rsidR="003422FE">
        <w:rPr>
          <w:rFonts w:ascii="Arial" w:hAnsi="Arial" w:cs="Arial"/>
          <w:sz w:val="24"/>
          <w:szCs w:val="24"/>
          <w:lang w:val="es-ES"/>
        </w:rPr>
        <w:t>composición</w:t>
      </w:r>
      <w:r w:rsidR="00DF04F1">
        <w:rPr>
          <w:rFonts w:ascii="Arial" w:hAnsi="Arial" w:cs="Arial"/>
          <w:sz w:val="24"/>
          <w:szCs w:val="24"/>
          <w:lang w:val="es-ES"/>
        </w:rPr>
        <w:t xml:space="preserve"> corporal se </w:t>
      </w:r>
      <w:r w:rsidR="005C54CC">
        <w:rPr>
          <w:rFonts w:ascii="Arial" w:hAnsi="Arial" w:cs="Arial"/>
          <w:sz w:val="24"/>
          <w:szCs w:val="24"/>
          <w:lang w:val="es-ES"/>
        </w:rPr>
        <w:t>realizó por el método BIA utilizando el equipo: TANITA TBF-310, SERIE: 241480</w:t>
      </w:r>
      <w:r w:rsidR="003422FE">
        <w:rPr>
          <w:rFonts w:ascii="Arial" w:hAnsi="Arial" w:cs="Arial"/>
          <w:sz w:val="24"/>
          <w:szCs w:val="24"/>
          <w:lang w:val="es-ES"/>
        </w:rPr>
        <w:t xml:space="preserve"> de donde se obtuvieron los siguientes datos: peso total, IMC, porcentaje de grasa corporal, masa grasa en kg, masa muscular en kg, y </w:t>
      </w:r>
      <w:r>
        <w:rPr>
          <w:rFonts w:ascii="Arial" w:hAnsi="Arial" w:cs="Arial"/>
          <w:sz w:val="24"/>
          <w:szCs w:val="24"/>
          <w:lang w:val="es-ES"/>
        </w:rPr>
        <w:t>agua corporal total en kg.</w:t>
      </w:r>
    </w:p>
    <w:p w:rsidR="003A1DB0" w:rsidRDefault="003A1DB0" w:rsidP="0089245C">
      <w:pPr>
        <w:spacing w:after="0" w:line="240" w:lineRule="auto"/>
        <w:jc w:val="both"/>
        <w:rPr>
          <w:rFonts w:ascii="Arial" w:hAnsi="Arial" w:cs="Arial"/>
          <w:color w:val="000000" w:themeColor="text1"/>
          <w:sz w:val="24"/>
          <w:szCs w:val="24"/>
          <w:lang w:val="es-ES"/>
        </w:rPr>
      </w:pPr>
      <w:r>
        <w:rPr>
          <w:rFonts w:ascii="Arial" w:hAnsi="Arial" w:cs="Arial"/>
          <w:color w:val="000000" w:themeColor="text1"/>
          <w:sz w:val="24"/>
          <w:szCs w:val="24"/>
          <w:lang w:val="es-ES"/>
        </w:rPr>
        <w:t xml:space="preserve">Se aplicó </w:t>
      </w:r>
      <w:r w:rsidR="003422FE" w:rsidRPr="00375B30">
        <w:rPr>
          <w:rFonts w:ascii="Arial" w:hAnsi="Arial" w:cs="Arial"/>
          <w:color w:val="000000" w:themeColor="text1"/>
          <w:sz w:val="24"/>
          <w:szCs w:val="24"/>
          <w:lang w:val="es-ES"/>
        </w:rPr>
        <w:t>la encuesta de recordatorio de</w:t>
      </w:r>
      <w:r>
        <w:rPr>
          <w:rFonts w:ascii="Arial" w:hAnsi="Arial" w:cs="Arial"/>
          <w:color w:val="000000" w:themeColor="text1"/>
          <w:sz w:val="24"/>
          <w:szCs w:val="24"/>
          <w:lang w:val="es-ES"/>
        </w:rPr>
        <w:t xml:space="preserve"> 24 horas obteniéndose los siguientes datos</w:t>
      </w:r>
      <w:r w:rsidR="0089245C">
        <w:rPr>
          <w:rFonts w:ascii="Arial" w:hAnsi="Arial" w:cs="Arial"/>
          <w:color w:val="000000" w:themeColor="text1"/>
          <w:sz w:val="24"/>
          <w:szCs w:val="24"/>
          <w:lang w:val="es-ES"/>
        </w:rPr>
        <w:t>: tiempos de comida</w:t>
      </w:r>
      <w:r w:rsidR="008A2AF3" w:rsidRPr="00375B30">
        <w:rPr>
          <w:rFonts w:ascii="Arial" w:hAnsi="Arial" w:cs="Arial"/>
          <w:color w:val="000000" w:themeColor="text1"/>
          <w:sz w:val="24"/>
          <w:szCs w:val="24"/>
          <w:lang w:val="es-ES"/>
        </w:rPr>
        <w:t xml:space="preserve">, hora de inicio, hora de finalización, y lugar donde </w:t>
      </w:r>
      <w:r w:rsidR="00375B30" w:rsidRPr="00375B30">
        <w:rPr>
          <w:rFonts w:ascii="Arial" w:hAnsi="Arial" w:cs="Arial"/>
          <w:color w:val="000000" w:themeColor="text1"/>
          <w:sz w:val="24"/>
          <w:szCs w:val="24"/>
          <w:lang w:val="es-ES"/>
        </w:rPr>
        <w:t xml:space="preserve">consumieron </w:t>
      </w:r>
      <w:r w:rsidR="008A2AF3" w:rsidRPr="00375B30">
        <w:rPr>
          <w:rFonts w:ascii="Arial" w:hAnsi="Arial" w:cs="Arial"/>
          <w:color w:val="000000" w:themeColor="text1"/>
          <w:sz w:val="24"/>
          <w:szCs w:val="24"/>
          <w:lang w:val="es-ES"/>
        </w:rPr>
        <w:t>los alimentos, ingredientes</w:t>
      </w:r>
      <w:r w:rsidR="0089245C">
        <w:rPr>
          <w:rFonts w:ascii="Arial" w:hAnsi="Arial" w:cs="Arial"/>
          <w:color w:val="000000" w:themeColor="text1"/>
          <w:sz w:val="24"/>
          <w:szCs w:val="24"/>
          <w:lang w:val="es-ES"/>
        </w:rPr>
        <w:t xml:space="preserve"> (alimentos)</w:t>
      </w:r>
      <w:r w:rsidR="008A2AF3" w:rsidRPr="00375B30">
        <w:rPr>
          <w:rFonts w:ascii="Arial" w:hAnsi="Arial" w:cs="Arial"/>
          <w:color w:val="000000" w:themeColor="text1"/>
          <w:sz w:val="24"/>
          <w:szCs w:val="24"/>
          <w:lang w:val="es-ES"/>
        </w:rPr>
        <w:t>, forma de preparación, medida casera, cantidad en gramos, Kcal del alimento, (g) de proteína, (g) de lípi</w:t>
      </w:r>
      <w:r w:rsidR="0089245C">
        <w:rPr>
          <w:rFonts w:ascii="Arial" w:hAnsi="Arial" w:cs="Arial"/>
          <w:color w:val="000000" w:themeColor="text1"/>
          <w:sz w:val="24"/>
          <w:szCs w:val="24"/>
          <w:lang w:val="es-ES"/>
        </w:rPr>
        <w:t xml:space="preserve">dos, (g) de hidratos de carbono. </w:t>
      </w:r>
      <w:r w:rsidR="00F774EA" w:rsidRPr="00F774EA">
        <w:rPr>
          <w:rFonts w:ascii="Arial" w:hAnsi="Arial" w:cs="Arial"/>
          <w:color w:val="000000" w:themeColor="text1"/>
          <w:sz w:val="24"/>
          <w:szCs w:val="24"/>
          <w:lang w:val="es-ES"/>
        </w:rPr>
        <w:t xml:space="preserve">Los datos obtenidos </w:t>
      </w:r>
      <w:r w:rsidR="00F774EA">
        <w:rPr>
          <w:rFonts w:ascii="Arial" w:hAnsi="Arial" w:cs="Arial"/>
          <w:color w:val="000000" w:themeColor="text1"/>
          <w:sz w:val="24"/>
          <w:szCs w:val="24"/>
          <w:lang w:val="es-ES"/>
        </w:rPr>
        <w:t xml:space="preserve">se procesaron </w:t>
      </w:r>
      <w:r>
        <w:rPr>
          <w:rFonts w:ascii="Arial" w:hAnsi="Arial" w:cs="Arial"/>
          <w:color w:val="000000" w:themeColor="text1"/>
          <w:sz w:val="24"/>
          <w:szCs w:val="24"/>
          <w:lang w:val="es-ES"/>
        </w:rPr>
        <w:t>obteniendo los siguientes resultados:</w:t>
      </w:r>
    </w:p>
    <w:p w:rsidR="0028160C" w:rsidRDefault="0028160C">
      <w:pPr>
        <w:rPr>
          <w:rFonts w:ascii="Arial" w:hAnsi="Arial" w:cs="Arial"/>
          <w:b/>
          <w:color w:val="000000" w:themeColor="text1"/>
          <w:sz w:val="24"/>
          <w:szCs w:val="24"/>
          <w:lang w:val="es-ES"/>
        </w:rPr>
      </w:pPr>
      <w:r>
        <w:rPr>
          <w:rFonts w:ascii="Arial" w:hAnsi="Arial" w:cs="Arial"/>
          <w:b/>
          <w:color w:val="000000" w:themeColor="text1"/>
          <w:sz w:val="24"/>
          <w:szCs w:val="24"/>
          <w:lang w:val="es-ES"/>
        </w:rPr>
        <w:br w:type="page"/>
      </w:r>
    </w:p>
    <w:p w:rsidR="00375B30" w:rsidRPr="00232341" w:rsidRDefault="00232341" w:rsidP="00232341">
      <w:pPr>
        <w:spacing w:line="240" w:lineRule="auto"/>
        <w:jc w:val="both"/>
        <w:rPr>
          <w:rFonts w:ascii="Arial" w:hAnsi="Arial" w:cs="Arial"/>
          <w:b/>
          <w:color w:val="000000" w:themeColor="text1"/>
          <w:sz w:val="24"/>
          <w:szCs w:val="24"/>
          <w:lang w:val="es-ES"/>
        </w:rPr>
      </w:pPr>
      <w:r>
        <w:rPr>
          <w:rFonts w:ascii="Arial" w:hAnsi="Arial" w:cs="Arial"/>
          <w:b/>
          <w:color w:val="000000" w:themeColor="text1"/>
          <w:sz w:val="24"/>
          <w:szCs w:val="24"/>
          <w:lang w:val="es-ES"/>
        </w:rPr>
        <w:lastRenderedPageBreak/>
        <w:t>VI.</w:t>
      </w:r>
      <w:r w:rsidR="0089245C" w:rsidRPr="00232341">
        <w:rPr>
          <w:rFonts w:ascii="Arial" w:hAnsi="Arial" w:cs="Arial"/>
          <w:b/>
          <w:color w:val="000000" w:themeColor="text1"/>
          <w:sz w:val="24"/>
          <w:szCs w:val="24"/>
          <w:lang w:val="es-ES"/>
        </w:rPr>
        <w:t>RESULTADOS:</w:t>
      </w:r>
    </w:p>
    <w:p w:rsidR="0028160C" w:rsidRDefault="0089245C" w:rsidP="0028160C">
      <w:pPr>
        <w:spacing w:line="240" w:lineRule="auto"/>
        <w:jc w:val="both"/>
        <w:rPr>
          <w:rFonts w:eastAsiaTheme="minorHAnsi" w:cs="Arial"/>
          <w:sz w:val="16"/>
          <w:szCs w:val="16"/>
          <w:lang w:val="es-ES" w:eastAsia="en-US"/>
        </w:rPr>
      </w:pPr>
      <w:r w:rsidRPr="0089245C">
        <w:rPr>
          <w:rFonts w:ascii="Arial" w:eastAsiaTheme="minorHAnsi" w:hAnsi="Arial" w:cs="Arial"/>
          <w:sz w:val="24"/>
          <w:szCs w:val="24"/>
          <w:lang w:val="es-ES" w:eastAsia="en-US"/>
        </w:rPr>
        <w:t>La población estudiada fue de 37 pacientes las cuales se dividieron por rango de edad, en el cual se observa que el mayor número de pac</w:t>
      </w:r>
      <w:r w:rsidR="0028160C">
        <w:rPr>
          <w:rFonts w:ascii="Arial" w:eastAsiaTheme="minorHAnsi" w:hAnsi="Arial" w:cs="Arial"/>
          <w:sz w:val="24"/>
          <w:szCs w:val="24"/>
          <w:lang w:val="es-ES" w:eastAsia="en-US"/>
        </w:rPr>
        <w:t>ientes se encuentra con un 37.8</w:t>
      </w:r>
      <w:r w:rsidRPr="0089245C">
        <w:rPr>
          <w:rFonts w:ascii="Arial" w:eastAsiaTheme="minorHAnsi" w:hAnsi="Arial" w:cs="Arial"/>
          <w:sz w:val="24"/>
          <w:szCs w:val="24"/>
          <w:lang w:val="es-ES" w:eastAsia="en-US"/>
        </w:rPr>
        <w:t>% en edades de (31-40 años</w:t>
      </w:r>
      <w:r w:rsidR="0028160C">
        <w:rPr>
          <w:rFonts w:ascii="Arial" w:eastAsiaTheme="minorHAnsi" w:hAnsi="Arial" w:cs="Arial"/>
          <w:sz w:val="24"/>
          <w:szCs w:val="24"/>
          <w:lang w:val="es-ES" w:eastAsia="en-US"/>
        </w:rPr>
        <w:t>), en segundo lugar con un 29.7</w:t>
      </w:r>
      <w:r w:rsidRPr="0089245C">
        <w:rPr>
          <w:rFonts w:ascii="Arial" w:eastAsiaTheme="minorHAnsi" w:hAnsi="Arial" w:cs="Arial"/>
          <w:sz w:val="24"/>
          <w:szCs w:val="24"/>
          <w:lang w:val="es-ES" w:eastAsia="en-US"/>
        </w:rPr>
        <w:t>% en edades de (41-50 años), el siguiente con 21.6% con edades de (51-60 años) y por último se observa el de menor rango con un 10.</w:t>
      </w:r>
      <w:r w:rsidR="00BA2DB0">
        <w:rPr>
          <w:rFonts w:ascii="Arial" w:eastAsiaTheme="minorHAnsi" w:hAnsi="Arial" w:cs="Arial"/>
          <w:sz w:val="24"/>
          <w:szCs w:val="24"/>
          <w:lang w:val="es-ES" w:eastAsia="en-US"/>
        </w:rPr>
        <w:t>8</w:t>
      </w:r>
      <w:r w:rsidRPr="0089245C">
        <w:rPr>
          <w:rFonts w:ascii="Arial" w:eastAsiaTheme="minorHAnsi" w:hAnsi="Arial" w:cs="Arial"/>
          <w:sz w:val="24"/>
          <w:szCs w:val="24"/>
          <w:lang w:val="es-ES" w:eastAsia="en-US"/>
        </w:rPr>
        <w:t>% de (20-30 años) de edad (Gráfica 1)</w:t>
      </w:r>
      <w:r w:rsidR="0028160C" w:rsidRPr="0089245C">
        <w:rPr>
          <w:rFonts w:eastAsiaTheme="minorHAnsi" w:cs="Arial"/>
          <w:sz w:val="16"/>
          <w:szCs w:val="16"/>
          <w:lang w:val="es-ES" w:eastAsia="en-US"/>
        </w:rPr>
        <w:t xml:space="preserve"> </w:t>
      </w:r>
    </w:p>
    <w:p w:rsidR="0089245C" w:rsidRPr="0089245C" w:rsidRDefault="0089245C" w:rsidP="0028160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Grafica 1: POBLACION DEL ESTUDIO DISTRIBUIDA</w:t>
      </w:r>
    </w:p>
    <w:p w:rsidR="0089245C" w:rsidRPr="0089245C" w:rsidRDefault="0089245C" w:rsidP="0028160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POR RANGOS DE EDAD</w:t>
      </w:r>
    </w:p>
    <w:p w:rsidR="0089245C" w:rsidRPr="0089245C" w:rsidRDefault="0089245C" w:rsidP="0028160C">
      <w:pPr>
        <w:spacing w:after="0" w:line="240" w:lineRule="auto"/>
        <w:jc w:val="center"/>
        <w:rPr>
          <w:rFonts w:eastAsiaTheme="minorHAnsi" w:cs="Arial"/>
          <w:sz w:val="24"/>
          <w:szCs w:val="24"/>
          <w:lang w:val="es-ES" w:eastAsia="en-US"/>
        </w:rPr>
      </w:pPr>
      <w:r w:rsidRPr="0089245C">
        <w:rPr>
          <w:rFonts w:eastAsiaTheme="minorHAnsi" w:cs="Arial"/>
          <w:noProof/>
          <w:sz w:val="24"/>
          <w:szCs w:val="24"/>
        </w:rPr>
        <w:drawing>
          <wp:inline distT="0" distB="0" distL="0" distR="0" wp14:anchorId="272AEF30" wp14:editId="3526C7F3">
            <wp:extent cx="2889504" cy="1726387"/>
            <wp:effectExtent l="0" t="0" r="6350" b="762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9245C" w:rsidRPr="0089245C" w:rsidRDefault="0089245C" w:rsidP="0028160C">
      <w:pPr>
        <w:spacing w:after="0" w:line="240" w:lineRule="auto"/>
        <w:jc w:val="center"/>
        <w:rPr>
          <w:rFonts w:eastAsiaTheme="minorHAnsi" w:cs="Arial"/>
          <w:sz w:val="14"/>
          <w:szCs w:val="14"/>
          <w:lang w:val="es-ES" w:eastAsia="en-US"/>
        </w:rPr>
      </w:pPr>
      <w:r w:rsidRPr="0089245C">
        <w:rPr>
          <w:rFonts w:eastAsiaTheme="minorHAnsi" w:cs="Arial"/>
          <w:sz w:val="14"/>
          <w:szCs w:val="14"/>
          <w:lang w:val="es-ES" w:eastAsia="en-US"/>
        </w:rPr>
        <w:t>Fuente: bas</w:t>
      </w:r>
      <w:r w:rsidR="0028160C">
        <w:rPr>
          <w:rFonts w:eastAsiaTheme="minorHAnsi" w:cs="Arial"/>
          <w:sz w:val="14"/>
          <w:szCs w:val="14"/>
          <w:lang w:val="es-ES" w:eastAsia="en-US"/>
        </w:rPr>
        <w:t>e de datos de la investigación O</w:t>
      </w:r>
      <w:r w:rsidRPr="0089245C">
        <w:rPr>
          <w:rFonts w:eastAsiaTheme="minorHAnsi" w:cs="Arial"/>
          <w:sz w:val="14"/>
          <w:szCs w:val="14"/>
          <w:lang w:val="es-ES" w:eastAsia="en-US"/>
        </w:rPr>
        <w:t>btención y Selección de</w:t>
      </w:r>
    </w:p>
    <w:p w:rsidR="0089245C" w:rsidRPr="0089245C" w:rsidRDefault="0028160C" w:rsidP="0028160C">
      <w:pPr>
        <w:spacing w:after="0" w:line="240" w:lineRule="auto"/>
        <w:jc w:val="center"/>
        <w:rPr>
          <w:rFonts w:eastAsiaTheme="minorHAnsi" w:cs="Arial"/>
          <w:sz w:val="14"/>
          <w:szCs w:val="14"/>
          <w:lang w:val="es-ES" w:eastAsia="en-US"/>
        </w:rPr>
      </w:pPr>
      <w:r w:rsidRPr="0028160C">
        <w:rPr>
          <w:rFonts w:eastAsiaTheme="minorHAnsi" w:cs="Arial"/>
          <w:sz w:val="14"/>
          <w:szCs w:val="14"/>
          <w:lang w:val="es-ES" w:eastAsia="en-US"/>
        </w:rPr>
        <w:t>Imágenes</w:t>
      </w:r>
      <w:r w:rsidR="0089245C" w:rsidRPr="0089245C">
        <w:rPr>
          <w:rFonts w:eastAsiaTheme="minorHAnsi" w:cs="Arial"/>
          <w:sz w:val="14"/>
          <w:szCs w:val="14"/>
          <w:lang w:val="es-ES" w:eastAsia="en-US"/>
        </w:rPr>
        <w:t xml:space="preserve"> de cérvix uterino de estado normal Y lesiones neoplásicas</w:t>
      </w:r>
    </w:p>
    <w:p w:rsidR="0089245C" w:rsidRPr="0089245C" w:rsidRDefault="0089245C" w:rsidP="0089245C">
      <w:pPr>
        <w:spacing w:line="240" w:lineRule="auto"/>
        <w:jc w:val="both"/>
        <w:rPr>
          <w:rFonts w:eastAsiaTheme="minorHAnsi" w:cs="Arial"/>
          <w:sz w:val="24"/>
          <w:szCs w:val="24"/>
          <w:lang w:val="es-ES" w:eastAsia="en-US"/>
        </w:rPr>
      </w:pPr>
    </w:p>
    <w:p w:rsidR="0089245C" w:rsidRP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El estado de n</w:t>
      </w:r>
      <w:r w:rsidR="0028160C">
        <w:rPr>
          <w:rFonts w:ascii="Arial" w:eastAsiaTheme="minorHAnsi" w:hAnsi="Arial" w:cs="Arial"/>
          <w:sz w:val="24"/>
          <w:szCs w:val="24"/>
          <w:lang w:val="es-ES" w:eastAsia="en-US"/>
        </w:rPr>
        <w:t>utrición se valoró mediante el Índice de Masa C</w:t>
      </w:r>
      <w:r w:rsidRPr="0089245C">
        <w:rPr>
          <w:rFonts w:ascii="Arial" w:eastAsiaTheme="minorHAnsi" w:hAnsi="Arial" w:cs="Arial"/>
          <w:sz w:val="24"/>
          <w:szCs w:val="24"/>
          <w:lang w:val="es-ES" w:eastAsia="en-US"/>
        </w:rPr>
        <w:t>orporal (IMC) en cual se observó alto porcentaje en sobrepeso</w:t>
      </w:r>
      <w:r w:rsidR="0028160C">
        <w:rPr>
          <w:rFonts w:ascii="Arial" w:eastAsiaTheme="minorHAnsi" w:hAnsi="Arial" w:cs="Arial"/>
          <w:sz w:val="24"/>
          <w:szCs w:val="24"/>
          <w:lang w:val="es-ES" w:eastAsia="en-US"/>
        </w:rPr>
        <w:t xml:space="preserve"> </w:t>
      </w:r>
      <w:r w:rsidRPr="0089245C">
        <w:rPr>
          <w:rFonts w:ascii="Arial" w:eastAsiaTheme="minorHAnsi" w:hAnsi="Arial" w:cs="Arial"/>
          <w:sz w:val="24"/>
          <w:szCs w:val="24"/>
          <w:lang w:val="es-ES" w:eastAsia="en-US"/>
        </w:rPr>
        <w:t>(</w:t>
      </w:r>
      <w:r w:rsidR="00BA2DB0">
        <w:rPr>
          <w:rFonts w:ascii="Arial" w:eastAsiaTheme="minorHAnsi" w:hAnsi="Arial" w:cs="Arial"/>
          <w:sz w:val="24"/>
          <w:szCs w:val="24"/>
          <w:lang w:val="es-ES" w:eastAsia="en-US"/>
        </w:rPr>
        <w:t>48.6</w:t>
      </w:r>
      <w:r w:rsidRPr="0089245C">
        <w:rPr>
          <w:rFonts w:ascii="Arial" w:eastAsiaTheme="minorHAnsi" w:hAnsi="Arial" w:cs="Arial"/>
          <w:sz w:val="24"/>
          <w:szCs w:val="24"/>
          <w:lang w:val="es-ES" w:eastAsia="en-US"/>
        </w:rPr>
        <w:t>%) en edades de 3</w:t>
      </w:r>
      <w:r w:rsidR="0028160C">
        <w:rPr>
          <w:rFonts w:ascii="Arial" w:eastAsiaTheme="minorHAnsi" w:hAnsi="Arial" w:cs="Arial"/>
          <w:sz w:val="24"/>
          <w:szCs w:val="24"/>
          <w:lang w:val="es-ES" w:eastAsia="en-US"/>
        </w:rPr>
        <w:t>1-50 años, en el diagnóstico de</w:t>
      </w:r>
      <w:r w:rsidRPr="0089245C">
        <w:rPr>
          <w:rFonts w:ascii="Arial" w:eastAsiaTheme="minorHAnsi" w:hAnsi="Arial" w:cs="Arial"/>
          <w:sz w:val="24"/>
          <w:szCs w:val="24"/>
          <w:lang w:val="es-ES" w:eastAsia="en-US"/>
        </w:rPr>
        <w:t xml:space="preserve"> normanutrido </w:t>
      </w:r>
      <w:r w:rsidR="00BA2DB0">
        <w:rPr>
          <w:rFonts w:ascii="Arial" w:eastAsiaTheme="minorHAnsi" w:hAnsi="Arial" w:cs="Arial"/>
          <w:sz w:val="24"/>
          <w:szCs w:val="24"/>
          <w:lang w:val="es-ES" w:eastAsia="en-US"/>
        </w:rPr>
        <w:t>se observó el (29.7</w:t>
      </w:r>
      <w:r w:rsidRPr="0089245C">
        <w:rPr>
          <w:rFonts w:ascii="Arial" w:eastAsiaTheme="minorHAnsi" w:hAnsi="Arial" w:cs="Arial"/>
          <w:sz w:val="24"/>
          <w:szCs w:val="24"/>
          <w:lang w:val="es-ES" w:eastAsia="en-US"/>
        </w:rPr>
        <w:t>%) en edades de 31-40 años, el diagnóstico de obesidad 1 se observó en el(</w:t>
      </w:r>
      <w:r w:rsidR="00BA2DB0">
        <w:rPr>
          <w:rFonts w:ascii="Arial" w:eastAsiaTheme="minorHAnsi" w:hAnsi="Arial" w:cs="Arial"/>
          <w:sz w:val="24"/>
          <w:szCs w:val="24"/>
          <w:lang w:val="es-ES" w:eastAsia="en-US"/>
        </w:rPr>
        <w:t>16.2</w:t>
      </w:r>
      <w:r w:rsidRPr="0089245C">
        <w:rPr>
          <w:rFonts w:ascii="Arial" w:eastAsiaTheme="minorHAnsi" w:hAnsi="Arial" w:cs="Arial"/>
          <w:sz w:val="24"/>
          <w:szCs w:val="24"/>
          <w:lang w:val="es-ES" w:eastAsia="en-US"/>
        </w:rPr>
        <w:t>%) en todas las edades con</w:t>
      </w:r>
      <w:r w:rsidR="0028160C">
        <w:rPr>
          <w:rFonts w:ascii="Arial" w:eastAsiaTheme="minorHAnsi" w:hAnsi="Arial" w:cs="Arial"/>
          <w:sz w:val="24"/>
          <w:szCs w:val="24"/>
          <w:lang w:val="es-ES" w:eastAsia="en-US"/>
        </w:rPr>
        <w:t xml:space="preserve"> excepción</w:t>
      </w:r>
      <w:r w:rsidRPr="0089245C">
        <w:rPr>
          <w:rFonts w:ascii="Arial" w:eastAsiaTheme="minorHAnsi" w:hAnsi="Arial" w:cs="Arial"/>
          <w:sz w:val="24"/>
          <w:szCs w:val="24"/>
          <w:lang w:val="es-ES" w:eastAsia="en-US"/>
        </w:rPr>
        <w:t xml:space="preserve"> del rango de 20-30 años y </w:t>
      </w:r>
      <w:r w:rsidR="0028160C">
        <w:rPr>
          <w:rFonts w:ascii="Arial" w:eastAsiaTheme="minorHAnsi" w:hAnsi="Arial" w:cs="Arial"/>
          <w:sz w:val="24"/>
          <w:szCs w:val="24"/>
          <w:lang w:val="es-ES" w:eastAsia="en-US"/>
        </w:rPr>
        <w:t>con diagnóstico de obesidad 2</w:t>
      </w:r>
      <w:r w:rsidR="00BA2DB0">
        <w:rPr>
          <w:rFonts w:ascii="Arial" w:eastAsiaTheme="minorHAnsi" w:hAnsi="Arial" w:cs="Arial"/>
          <w:sz w:val="24"/>
          <w:szCs w:val="24"/>
          <w:lang w:val="es-ES" w:eastAsia="en-US"/>
        </w:rPr>
        <w:t xml:space="preserve"> el 2.7</w:t>
      </w:r>
      <w:r w:rsidRPr="0089245C">
        <w:rPr>
          <w:rFonts w:ascii="Arial" w:eastAsiaTheme="minorHAnsi" w:hAnsi="Arial" w:cs="Arial"/>
          <w:sz w:val="24"/>
          <w:szCs w:val="24"/>
          <w:lang w:val="es-ES" w:eastAsia="en-US"/>
        </w:rPr>
        <w:t xml:space="preserve">% en el rango de edad de 41-50 años y para obesidad 3 </w:t>
      </w:r>
      <w:r w:rsidR="00BA2DB0">
        <w:rPr>
          <w:rFonts w:ascii="Arial" w:eastAsiaTheme="minorHAnsi" w:hAnsi="Arial" w:cs="Arial"/>
          <w:sz w:val="24"/>
          <w:szCs w:val="24"/>
          <w:lang w:val="es-ES" w:eastAsia="en-US"/>
        </w:rPr>
        <w:t>(2.7</w:t>
      </w:r>
      <w:r w:rsidRPr="0089245C">
        <w:rPr>
          <w:rFonts w:ascii="Arial" w:eastAsiaTheme="minorHAnsi" w:hAnsi="Arial" w:cs="Arial"/>
          <w:sz w:val="24"/>
          <w:szCs w:val="24"/>
          <w:lang w:val="es-ES" w:eastAsia="en-US"/>
        </w:rPr>
        <w:t>%) en el rango de 51-60 años. (Gráfica 2)</w:t>
      </w:r>
    </w:p>
    <w:p w:rsidR="0089245C" w:rsidRPr="0089245C" w:rsidRDefault="0089245C" w:rsidP="0028160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Grafica 2: ESTADO DE NUTRICIÓN POR RANGO DE EDAD DE</w:t>
      </w:r>
    </w:p>
    <w:p w:rsidR="0089245C" w:rsidRPr="0089245C" w:rsidRDefault="0089245C" w:rsidP="0028160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ACUERDO AL (IMC)</w:t>
      </w:r>
    </w:p>
    <w:p w:rsidR="0089245C" w:rsidRPr="0089245C" w:rsidRDefault="0089245C" w:rsidP="0028160C">
      <w:pPr>
        <w:spacing w:after="0" w:line="240" w:lineRule="auto"/>
        <w:jc w:val="center"/>
        <w:rPr>
          <w:rFonts w:eastAsiaTheme="minorHAnsi" w:cs="Arial"/>
          <w:sz w:val="24"/>
          <w:szCs w:val="24"/>
          <w:lang w:val="es-ES" w:eastAsia="en-US"/>
        </w:rPr>
      </w:pPr>
      <w:r w:rsidRPr="0089245C">
        <w:rPr>
          <w:rFonts w:eastAsiaTheme="minorHAnsi" w:cs="Arial"/>
          <w:noProof/>
          <w:sz w:val="24"/>
          <w:szCs w:val="24"/>
        </w:rPr>
        <w:drawing>
          <wp:inline distT="0" distB="0" distL="0" distR="0" wp14:anchorId="2BD18201" wp14:editId="1F753A34">
            <wp:extent cx="3247949" cy="1982420"/>
            <wp:effectExtent l="0" t="0" r="10160" b="1841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8160C" w:rsidRDefault="0089245C" w:rsidP="0028160C">
      <w:pPr>
        <w:spacing w:after="0" w:line="240" w:lineRule="auto"/>
        <w:jc w:val="center"/>
        <w:rPr>
          <w:rFonts w:ascii="Arial" w:eastAsiaTheme="minorHAnsi" w:hAnsi="Arial" w:cs="Arial"/>
          <w:sz w:val="14"/>
          <w:szCs w:val="14"/>
          <w:lang w:val="es-ES" w:eastAsia="en-US"/>
        </w:rPr>
      </w:pPr>
      <w:r w:rsidRPr="0089245C">
        <w:rPr>
          <w:rFonts w:ascii="Arial" w:eastAsiaTheme="minorHAnsi" w:hAnsi="Arial" w:cs="Arial"/>
          <w:sz w:val="14"/>
          <w:szCs w:val="14"/>
          <w:lang w:val="es-ES" w:eastAsia="en-US"/>
        </w:rPr>
        <w:t>Fuente: bas</w:t>
      </w:r>
      <w:r w:rsidR="0028160C">
        <w:rPr>
          <w:rFonts w:ascii="Arial" w:eastAsiaTheme="minorHAnsi" w:hAnsi="Arial" w:cs="Arial"/>
          <w:sz w:val="14"/>
          <w:szCs w:val="14"/>
          <w:lang w:val="es-ES" w:eastAsia="en-US"/>
        </w:rPr>
        <w:t>e de datos de la investigación O</w:t>
      </w:r>
      <w:r w:rsidRPr="0089245C">
        <w:rPr>
          <w:rFonts w:ascii="Arial" w:eastAsiaTheme="minorHAnsi" w:hAnsi="Arial" w:cs="Arial"/>
          <w:sz w:val="14"/>
          <w:szCs w:val="14"/>
          <w:lang w:val="es-ES" w:eastAsia="en-US"/>
        </w:rPr>
        <w:t>btención y Selección de imágenes de</w:t>
      </w:r>
    </w:p>
    <w:p w:rsidR="0089245C" w:rsidRPr="0089245C" w:rsidRDefault="0089245C" w:rsidP="0028160C">
      <w:pPr>
        <w:spacing w:after="0" w:line="240" w:lineRule="auto"/>
        <w:jc w:val="center"/>
        <w:rPr>
          <w:rFonts w:ascii="Arial" w:eastAsiaTheme="minorHAnsi" w:hAnsi="Arial" w:cs="Arial"/>
          <w:sz w:val="14"/>
          <w:szCs w:val="14"/>
          <w:lang w:val="es-ES" w:eastAsia="en-US"/>
        </w:rPr>
      </w:pPr>
      <w:r w:rsidRPr="0089245C">
        <w:rPr>
          <w:rFonts w:ascii="Arial" w:eastAsiaTheme="minorHAnsi" w:hAnsi="Arial" w:cs="Arial"/>
          <w:sz w:val="14"/>
          <w:szCs w:val="14"/>
          <w:lang w:val="es-ES" w:eastAsia="en-US"/>
        </w:rPr>
        <w:t xml:space="preserve"> </w:t>
      </w:r>
      <w:r w:rsidR="0028160C">
        <w:rPr>
          <w:rFonts w:ascii="Arial" w:eastAsiaTheme="minorHAnsi" w:hAnsi="Arial" w:cs="Arial"/>
          <w:sz w:val="14"/>
          <w:szCs w:val="14"/>
          <w:lang w:val="es-ES" w:eastAsia="en-US"/>
        </w:rPr>
        <w:t>c</w:t>
      </w:r>
      <w:r w:rsidRPr="0089245C">
        <w:rPr>
          <w:rFonts w:ascii="Arial" w:eastAsiaTheme="minorHAnsi" w:hAnsi="Arial" w:cs="Arial"/>
          <w:sz w:val="14"/>
          <w:szCs w:val="14"/>
          <w:lang w:val="es-ES" w:eastAsia="en-US"/>
        </w:rPr>
        <w:t>érvix</w:t>
      </w:r>
      <w:r w:rsidR="0028160C">
        <w:rPr>
          <w:rFonts w:ascii="Arial" w:eastAsiaTheme="minorHAnsi" w:hAnsi="Arial" w:cs="Arial"/>
          <w:sz w:val="14"/>
          <w:szCs w:val="14"/>
          <w:lang w:val="es-ES" w:eastAsia="en-US"/>
        </w:rPr>
        <w:t xml:space="preserve"> uterino de estado normal y</w:t>
      </w:r>
      <w:r w:rsidRPr="0089245C">
        <w:rPr>
          <w:rFonts w:ascii="Arial" w:eastAsiaTheme="minorHAnsi" w:hAnsi="Arial" w:cs="Arial"/>
          <w:sz w:val="14"/>
          <w:szCs w:val="14"/>
          <w:lang w:val="es-ES" w:eastAsia="en-US"/>
        </w:rPr>
        <w:t xml:space="preserve"> lesiones neoplásicas</w:t>
      </w:r>
    </w:p>
    <w:p w:rsidR="0089245C" w:rsidRPr="0089245C" w:rsidRDefault="0089245C" w:rsidP="0089245C">
      <w:pPr>
        <w:spacing w:line="240" w:lineRule="auto"/>
        <w:jc w:val="both"/>
        <w:rPr>
          <w:rFonts w:eastAsiaTheme="minorHAnsi" w:cs="Arial"/>
          <w:sz w:val="24"/>
          <w:szCs w:val="24"/>
          <w:lang w:val="es-ES" w:eastAsia="en-US"/>
        </w:rPr>
      </w:pPr>
    </w:p>
    <w:p w:rsid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En la población objeto de estudio se observó mayor riesgo de enfe</w:t>
      </w:r>
      <w:r w:rsidR="0028160C" w:rsidRPr="00BA2DB0">
        <w:rPr>
          <w:rFonts w:ascii="Arial" w:eastAsiaTheme="minorHAnsi" w:hAnsi="Arial" w:cs="Arial"/>
          <w:sz w:val="24"/>
          <w:szCs w:val="24"/>
          <w:lang w:val="es-ES" w:eastAsia="en-US"/>
        </w:rPr>
        <w:t>rmedades cardiovasculares (73.3</w:t>
      </w:r>
      <w:r w:rsidRPr="0089245C">
        <w:rPr>
          <w:rFonts w:ascii="Arial" w:eastAsiaTheme="minorHAnsi" w:hAnsi="Arial" w:cs="Arial"/>
          <w:sz w:val="24"/>
          <w:szCs w:val="24"/>
          <w:lang w:val="es-ES" w:eastAsia="en-US"/>
        </w:rPr>
        <w:t>%</w:t>
      </w:r>
      <w:r w:rsidR="0028160C" w:rsidRPr="00BA2DB0">
        <w:rPr>
          <w:rFonts w:ascii="Arial" w:eastAsiaTheme="minorHAnsi" w:hAnsi="Arial" w:cs="Arial"/>
          <w:sz w:val="24"/>
          <w:szCs w:val="24"/>
          <w:lang w:val="es-ES" w:eastAsia="en-US"/>
        </w:rPr>
        <w:t>)</w:t>
      </w:r>
      <w:r w:rsidRPr="0089245C">
        <w:rPr>
          <w:rFonts w:ascii="Arial" w:eastAsiaTheme="minorHAnsi" w:hAnsi="Arial" w:cs="Arial"/>
          <w:sz w:val="24"/>
          <w:szCs w:val="24"/>
          <w:lang w:val="es-ES" w:eastAsia="en-US"/>
        </w:rPr>
        <w:t xml:space="preserve"> en edades de 20-60 años y con riesgo bajo a padecer enfermedades cardiovasculares se identificó el 21.2% en las edades de 20-40 años, y 51-60 año</w:t>
      </w:r>
      <w:r w:rsidR="00BA2DB0">
        <w:rPr>
          <w:rFonts w:ascii="Arial" w:eastAsiaTheme="minorHAnsi" w:hAnsi="Arial" w:cs="Arial"/>
          <w:sz w:val="24"/>
          <w:szCs w:val="24"/>
          <w:lang w:val="es-ES" w:eastAsia="en-US"/>
        </w:rPr>
        <w:t xml:space="preserve"> </w:t>
      </w:r>
      <w:r w:rsidRPr="0089245C">
        <w:rPr>
          <w:rFonts w:ascii="Arial" w:eastAsiaTheme="minorHAnsi" w:hAnsi="Arial" w:cs="Arial"/>
          <w:sz w:val="24"/>
          <w:szCs w:val="24"/>
          <w:lang w:val="es-ES" w:eastAsia="en-US"/>
        </w:rPr>
        <w:t>(Gráfica 3)</w:t>
      </w:r>
      <w:r w:rsidR="00BA2DB0">
        <w:rPr>
          <w:rFonts w:ascii="Arial" w:eastAsiaTheme="minorHAnsi" w:hAnsi="Arial" w:cs="Arial"/>
          <w:sz w:val="24"/>
          <w:szCs w:val="24"/>
          <w:lang w:val="es-ES" w:eastAsia="en-US"/>
        </w:rPr>
        <w:t>.</w:t>
      </w:r>
    </w:p>
    <w:p w:rsidR="00BA2DB0" w:rsidRDefault="00BA2DB0" w:rsidP="0089245C">
      <w:pPr>
        <w:spacing w:line="240" w:lineRule="auto"/>
        <w:jc w:val="both"/>
        <w:rPr>
          <w:rFonts w:ascii="Arial" w:eastAsiaTheme="minorHAnsi" w:hAnsi="Arial" w:cs="Arial"/>
          <w:sz w:val="24"/>
          <w:szCs w:val="24"/>
          <w:lang w:val="es-ES" w:eastAsia="en-US"/>
        </w:rPr>
      </w:pPr>
    </w:p>
    <w:p w:rsidR="00BA2DB0" w:rsidRDefault="00BA2DB0" w:rsidP="0089245C">
      <w:pPr>
        <w:spacing w:line="240" w:lineRule="auto"/>
        <w:jc w:val="both"/>
        <w:rPr>
          <w:rFonts w:ascii="Arial" w:eastAsiaTheme="minorHAnsi" w:hAnsi="Arial" w:cs="Arial"/>
          <w:sz w:val="24"/>
          <w:szCs w:val="24"/>
          <w:lang w:val="es-ES" w:eastAsia="en-US"/>
        </w:rPr>
      </w:pPr>
    </w:p>
    <w:p w:rsidR="00BA2DB0" w:rsidRPr="0089245C" w:rsidRDefault="00BA2DB0" w:rsidP="0089245C">
      <w:pPr>
        <w:spacing w:line="240" w:lineRule="auto"/>
        <w:jc w:val="both"/>
        <w:rPr>
          <w:rFonts w:ascii="Arial" w:eastAsiaTheme="minorHAnsi" w:hAnsi="Arial" w:cs="Arial"/>
          <w:sz w:val="24"/>
          <w:szCs w:val="24"/>
          <w:lang w:val="es-ES" w:eastAsia="en-US"/>
        </w:rPr>
      </w:pPr>
    </w:p>
    <w:p w:rsidR="0089245C" w:rsidRPr="0089245C" w:rsidRDefault="0089245C" w:rsidP="00BA2DB0">
      <w:pPr>
        <w:keepNext/>
        <w:keepLines/>
        <w:spacing w:after="0" w:line="240" w:lineRule="auto"/>
        <w:jc w:val="center"/>
        <w:outlineLvl w:val="0"/>
        <w:rPr>
          <w:rFonts w:ascii="Arial" w:eastAsiaTheme="majorEastAsia" w:hAnsi="Arial" w:cs="Arial"/>
          <w:b/>
          <w:bCs/>
          <w:sz w:val="18"/>
          <w:szCs w:val="18"/>
          <w:lang w:val="es-ES" w:eastAsia="en-US"/>
        </w:rPr>
      </w:pPr>
      <w:r w:rsidRPr="0089245C">
        <w:rPr>
          <w:rFonts w:ascii="Arial" w:eastAsiaTheme="majorEastAsia" w:hAnsi="Arial" w:cs="Arial"/>
          <w:b/>
          <w:bCs/>
          <w:sz w:val="18"/>
          <w:szCs w:val="18"/>
          <w:lang w:val="es-ES" w:eastAsia="en-US"/>
        </w:rPr>
        <w:t>Grafica 3: RELACIÓN CINTURA/CADERA COMO PREDICTOR DE</w:t>
      </w:r>
    </w:p>
    <w:p w:rsidR="0089245C" w:rsidRPr="0089245C" w:rsidRDefault="0089245C" w:rsidP="00BA2DB0">
      <w:pPr>
        <w:keepNext/>
        <w:keepLines/>
        <w:spacing w:after="0" w:line="240" w:lineRule="auto"/>
        <w:jc w:val="center"/>
        <w:outlineLvl w:val="0"/>
        <w:rPr>
          <w:rFonts w:ascii="Arial" w:eastAsiaTheme="majorEastAsia" w:hAnsi="Arial" w:cs="Arial"/>
          <w:b/>
          <w:bCs/>
          <w:sz w:val="18"/>
          <w:szCs w:val="18"/>
          <w:lang w:val="es-ES" w:eastAsia="en-US"/>
        </w:rPr>
      </w:pPr>
      <w:r w:rsidRPr="0089245C">
        <w:rPr>
          <w:rFonts w:ascii="Arial" w:eastAsiaTheme="majorEastAsia" w:hAnsi="Arial" w:cs="Arial"/>
          <w:b/>
          <w:bCs/>
          <w:sz w:val="18"/>
          <w:szCs w:val="18"/>
          <w:lang w:val="es-ES" w:eastAsia="en-US"/>
        </w:rPr>
        <w:t>ENFERMEDADES CARDIO VASCULARES</w:t>
      </w:r>
    </w:p>
    <w:p w:rsidR="0089245C" w:rsidRPr="0089245C" w:rsidRDefault="0089245C" w:rsidP="0089245C">
      <w:pPr>
        <w:spacing w:after="0" w:line="240" w:lineRule="auto"/>
        <w:jc w:val="both"/>
        <w:rPr>
          <w:rFonts w:eastAsiaTheme="minorHAnsi" w:cs="Arial"/>
          <w:sz w:val="16"/>
          <w:szCs w:val="16"/>
          <w:lang w:val="es-ES" w:eastAsia="en-US"/>
        </w:rPr>
      </w:pPr>
    </w:p>
    <w:p w:rsidR="0089245C" w:rsidRPr="0089245C" w:rsidRDefault="0089245C" w:rsidP="00BA2DB0">
      <w:pPr>
        <w:spacing w:after="0" w:line="240" w:lineRule="auto"/>
        <w:jc w:val="center"/>
        <w:rPr>
          <w:rFonts w:eastAsiaTheme="minorHAnsi" w:cs="Arial"/>
          <w:b/>
          <w:sz w:val="24"/>
          <w:szCs w:val="24"/>
          <w:lang w:val="es-ES" w:eastAsia="en-US"/>
        </w:rPr>
      </w:pPr>
      <w:r w:rsidRPr="0089245C">
        <w:rPr>
          <w:rFonts w:eastAsiaTheme="minorHAnsi" w:cs="Arial"/>
          <w:b/>
          <w:noProof/>
          <w:sz w:val="24"/>
          <w:szCs w:val="24"/>
        </w:rPr>
        <w:drawing>
          <wp:inline distT="0" distB="0" distL="0" distR="0" wp14:anchorId="6F46AE8F" wp14:editId="05A3A3B5">
            <wp:extent cx="3408884" cy="1850746"/>
            <wp:effectExtent l="0" t="0" r="1270" b="1651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A2DB0" w:rsidRDefault="00BA2DB0" w:rsidP="00BA2DB0">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Fuente: B</w:t>
      </w:r>
      <w:r w:rsidR="0089245C" w:rsidRPr="0089245C">
        <w:rPr>
          <w:rFonts w:eastAsiaTheme="minorHAnsi" w:cs="Arial"/>
          <w:sz w:val="12"/>
          <w:szCs w:val="12"/>
          <w:lang w:val="es-ES" w:eastAsia="en-US"/>
        </w:rPr>
        <w:t>as</w:t>
      </w:r>
      <w:r>
        <w:rPr>
          <w:rFonts w:eastAsiaTheme="minorHAnsi" w:cs="Arial"/>
          <w:sz w:val="12"/>
          <w:szCs w:val="12"/>
          <w:lang w:val="es-ES" w:eastAsia="en-US"/>
        </w:rPr>
        <w:t>e de datos de la investigación O</w:t>
      </w:r>
      <w:r w:rsidR="0089245C" w:rsidRPr="0089245C">
        <w:rPr>
          <w:rFonts w:eastAsiaTheme="minorHAnsi" w:cs="Arial"/>
          <w:sz w:val="12"/>
          <w:szCs w:val="12"/>
          <w:lang w:val="es-ES" w:eastAsia="en-US"/>
        </w:rPr>
        <w:t>btención y Selección de imágenes de cérvix</w:t>
      </w:r>
      <w:r>
        <w:rPr>
          <w:rFonts w:eastAsiaTheme="minorHAnsi" w:cs="Arial"/>
          <w:sz w:val="12"/>
          <w:szCs w:val="12"/>
          <w:lang w:val="es-ES" w:eastAsia="en-US"/>
        </w:rPr>
        <w:t xml:space="preserve"> </w:t>
      </w:r>
      <w:r w:rsidR="0089245C" w:rsidRPr="0089245C">
        <w:rPr>
          <w:rFonts w:eastAsiaTheme="minorHAnsi" w:cs="Arial"/>
          <w:sz w:val="12"/>
          <w:szCs w:val="12"/>
          <w:lang w:val="es-ES" w:eastAsia="en-US"/>
        </w:rPr>
        <w:t xml:space="preserve">uterino </w:t>
      </w:r>
    </w:p>
    <w:p w:rsidR="0089245C" w:rsidRPr="0089245C" w:rsidRDefault="00BA2DB0" w:rsidP="00BA2DB0">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d</w:t>
      </w:r>
      <w:r w:rsidR="0089245C" w:rsidRPr="0089245C">
        <w:rPr>
          <w:rFonts w:eastAsiaTheme="minorHAnsi" w:cs="Arial"/>
          <w:sz w:val="12"/>
          <w:szCs w:val="12"/>
          <w:lang w:val="es-ES" w:eastAsia="en-US"/>
        </w:rPr>
        <w:t>e estado normal Y lesiones neoplásicas</w:t>
      </w:r>
    </w:p>
    <w:p w:rsidR="0089245C" w:rsidRPr="0089245C" w:rsidRDefault="0089245C" w:rsidP="0089245C">
      <w:pPr>
        <w:keepNext/>
        <w:keepLines/>
        <w:spacing w:before="480" w:after="0" w:line="240" w:lineRule="auto"/>
        <w:jc w:val="both"/>
        <w:outlineLvl w:val="0"/>
        <w:rPr>
          <w:rFonts w:ascii="Arial" w:eastAsiaTheme="majorEastAsia" w:hAnsi="Arial" w:cs="Arial"/>
          <w:bCs/>
          <w:sz w:val="24"/>
          <w:szCs w:val="24"/>
          <w:lang w:val="es-ES" w:eastAsia="en-US"/>
        </w:rPr>
      </w:pPr>
      <w:r w:rsidRPr="0089245C">
        <w:rPr>
          <w:rFonts w:ascii="Arial" w:eastAsiaTheme="majorEastAsia" w:hAnsi="Arial" w:cs="Arial"/>
          <w:bCs/>
          <w:sz w:val="24"/>
          <w:szCs w:val="24"/>
          <w:lang w:val="es-ES" w:eastAsia="en-US"/>
        </w:rPr>
        <w:t>Lesión de cérvix uterino</w:t>
      </w:r>
      <w:r w:rsidR="00BA2DB0">
        <w:rPr>
          <w:rFonts w:ascii="Arial" w:eastAsiaTheme="majorEastAsia" w:hAnsi="Arial" w:cs="Arial"/>
          <w:bCs/>
          <w:sz w:val="24"/>
          <w:szCs w:val="24"/>
          <w:lang w:val="es-ES" w:eastAsia="en-US"/>
        </w:rPr>
        <w:t xml:space="preserve"> según la clasificación </w:t>
      </w:r>
      <w:r w:rsidR="00BA2DB0" w:rsidRPr="0089245C">
        <w:rPr>
          <w:rFonts w:ascii="Arial" w:eastAsiaTheme="majorEastAsia" w:hAnsi="Arial" w:cs="Arial"/>
          <w:bCs/>
          <w:sz w:val="24"/>
          <w:szCs w:val="24"/>
          <w:lang w:val="es-ES" w:eastAsia="en-US"/>
        </w:rPr>
        <w:t>de Richart</w:t>
      </w:r>
      <w:r w:rsidRPr="0089245C">
        <w:rPr>
          <w:rFonts w:ascii="Arial" w:eastAsiaTheme="majorEastAsia" w:hAnsi="Arial" w:cs="Arial"/>
          <w:bCs/>
          <w:sz w:val="24"/>
          <w:szCs w:val="24"/>
          <w:lang w:val="es-ES" w:eastAsia="en-US"/>
        </w:rPr>
        <w:t xml:space="preserve"> </w:t>
      </w:r>
      <w:r w:rsidR="00BA2DB0">
        <w:rPr>
          <w:rFonts w:ascii="Arial" w:eastAsiaTheme="majorEastAsia" w:hAnsi="Arial" w:cs="Arial"/>
          <w:bCs/>
          <w:sz w:val="24"/>
          <w:szCs w:val="24"/>
          <w:lang w:val="es-ES" w:eastAsia="en-US"/>
        </w:rPr>
        <w:t>relacionada con</w:t>
      </w:r>
      <w:r w:rsidRPr="0089245C">
        <w:rPr>
          <w:rFonts w:ascii="Arial" w:eastAsiaTheme="majorEastAsia" w:hAnsi="Arial" w:cs="Arial"/>
          <w:bCs/>
          <w:sz w:val="24"/>
          <w:szCs w:val="24"/>
          <w:lang w:val="es-ES" w:eastAsia="en-US"/>
        </w:rPr>
        <w:t xml:space="preserve"> la e</w:t>
      </w:r>
      <w:r w:rsidR="00BA2DB0">
        <w:rPr>
          <w:rFonts w:ascii="Arial" w:eastAsiaTheme="majorEastAsia" w:hAnsi="Arial" w:cs="Arial"/>
          <w:bCs/>
          <w:sz w:val="24"/>
          <w:szCs w:val="24"/>
          <w:lang w:val="es-ES" w:eastAsia="en-US"/>
        </w:rPr>
        <w:t xml:space="preserve">dad, se observó </w:t>
      </w:r>
      <w:r w:rsidRPr="0089245C">
        <w:rPr>
          <w:rFonts w:ascii="Arial" w:eastAsiaTheme="majorEastAsia" w:hAnsi="Arial" w:cs="Arial"/>
          <w:bCs/>
          <w:sz w:val="24"/>
          <w:szCs w:val="24"/>
          <w:lang w:val="es-ES" w:eastAsia="en-US"/>
        </w:rPr>
        <w:t xml:space="preserve">que predomina la neoplasia intraepitelial cervical grado 1(NIC 1) en el 75.6% de la población en edades de 20-60 </w:t>
      </w:r>
      <w:r w:rsidR="00BA2DB0">
        <w:rPr>
          <w:rFonts w:ascii="Arial" w:eastAsiaTheme="majorEastAsia" w:hAnsi="Arial" w:cs="Arial"/>
          <w:bCs/>
          <w:sz w:val="24"/>
          <w:szCs w:val="24"/>
          <w:lang w:val="es-ES" w:eastAsia="en-US"/>
        </w:rPr>
        <w:t>años, en segundo lugar predominó</w:t>
      </w:r>
      <w:r w:rsidRPr="0089245C">
        <w:rPr>
          <w:rFonts w:ascii="Arial" w:eastAsiaTheme="majorEastAsia" w:hAnsi="Arial" w:cs="Arial"/>
          <w:bCs/>
          <w:sz w:val="24"/>
          <w:szCs w:val="24"/>
          <w:lang w:val="es-ES" w:eastAsia="en-US"/>
        </w:rPr>
        <w:t xml:space="preserve"> la infección por VPH con el 10.8% de la población en edades de 31-40 años y 51-60 años en cuanto a neoplasia intraepitelial cervical grado</w:t>
      </w:r>
      <w:r w:rsidR="00BA2DB0">
        <w:rPr>
          <w:rFonts w:ascii="Arial" w:eastAsiaTheme="majorEastAsia" w:hAnsi="Arial" w:cs="Arial"/>
          <w:bCs/>
          <w:sz w:val="24"/>
          <w:szCs w:val="24"/>
          <w:lang w:val="es-ES" w:eastAsia="en-US"/>
        </w:rPr>
        <w:t xml:space="preserve"> 3 (NIC 3) prevaleció en el 5.4</w:t>
      </w:r>
      <w:r w:rsidRPr="0089245C">
        <w:rPr>
          <w:rFonts w:ascii="Arial" w:eastAsiaTheme="majorEastAsia" w:hAnsi="Arial" w:cs="Arial"/>
          <w:bCs/>
          <w:sz w:val="24"/>
          <w:szCs w:val="24"/>
          <w:lang w:val="es-ES" w:eastAsia="en-US"/>
        </w:rPr>
        <w:t>% en edades de 31-40 años;</w:t>
      </w:r>
      <w:r w:rsidR="00BA2DB0">
        <w:rPr>
          <w:rFonts w:ascii="Arial" w:eastAsiaTheme="majorEastAsia" w:hAnsi="Arial" w:cs="Arial"/>
          <w:bCs/>
          <w:sz w:val="24"/>
          <w:szCs w:val="24"/>
          <w:lang w:val="es-ES" w:eastAsia="en-US"/>
        </w:rPr>
        <w:t xml:space="preserve"> </w:t>
      </w:r>
      <w:r w:rsidRPr="0089245C">
        <w:rPr>
          <w:rFonts w:ascii="Arial" w:eastAsiaTheme="majorEastAsia" w:hAnsi="Arial" w:cs="Arial"/>
          <w:bCs/>
          <w:sz w:val="24"/>
          <w:szCs w:val="24"/>
          <w:lang w:val="es-ES" w:eastAsia="en-US"/>
        </w:rPr>
        <w:t>el rubro otras en</w:t>
      </w:r>
      <w:r w:rsidR="00BA2DB0">
        <w:rPr>
          <w:rFonts w:ascii="Arial" w:eastAsiaTheme="majorEastAsia" w:hAnsi="Arial" w:cs="Arial"/>
          <w:bCs/>
          <w:sz w:val="24"/>
          <w:szCs w:val="24"/>
          <w:lang w:val="es-ES" w:eastAsia="en-US"/>
        </w:rPr>
        <w:t>fermedades se observó en el 5.4</w:t>
      </w:r>
      <w:r w:rsidRPr="0089245C">
        <w:rPr>
          <w:rFonts w:ascii="Arial" w:eastAsiaTheme="majorEastAsia" w:hAnsi="Arial" w:cs="Arial"/>
          <w:bCs/>
          <w:sz w:val="24"/>
          <w:szCs w:val="24"/>
          <w:lang w:val="es-ES" w:eastAsia="en-US"/>
        </w:rPr>
        <w:t>% en edades de 20-</w:t>
      </w:r>
      <w:r w:rsidR="00BA2DB0">
        <w:rPr>
          <w:rFonts w:ascii="Arial" w:eastAsiaTheme="majorEastAsia" w:hAnsi="Arial" w:cs="Arial"/>
          <w:bCs/>
          <w:sz w:val="24"/>
          <w:szCs w:val="24"/>
          <w:lang w:val="es-ES" w:eastAsia="en-US"/>
        </w:rPr>
        <w:t>40 años y para</w:t>
      </w:r>
      <w:r w:rsidRPr="0089245C">
        <w:rPr>
          <w:rFonts w:ascii="Arial" w:eastAsiaTheme="majorEastAsia" w:hAnsi="Arial" w:cs="Arial"/>
          <w:bCs/>
          <w:sz w:val="24"/>
          <w:szCs w:val="24"/>
          <w:lang w:val="es-ES" w:eastAsia="en-US"/>
        </w:rPr>
        <w:t xml:space="preserve"> la atipia escamosa reactiva o imposible de clasificar se</w:t>
      </w:r>
      <w:r w:rsidR="00BA2DB0">
        <w:rPr>
          <w:rFonts w:ascii="Arial" w:eastAsiaTheme="majorEastAsia" w:hAnsi="Arial" w:cs="Arial"/>
          <w:bCs/>
          <w:sz w:val="24"/>
          <w:szCs w:val="24"/>
          <w:lang w:val="es-ES" w:eastAsia="en-US"/>
        </w:rPr>
        <w:t xml:space="preserve"> obtuvo una prevalencia del 2.7</w:t>
      </w:r>
      <w:r w:rsidRPr="0089245C">
        <w:rPr>
          <w:rFonts w:ascii="Arial" w:eastAsiaTheme="majorEastAsia" w:hAnsi="Arial" w:cs="Arial"/>
          <w:bCs/>
          <w:sz w:val="24"/>
          <w:szCs w:val="24"/>
          <w:lang w:val="es-ES" w:eastAsia="en-US"/>
        </w:rPr>
        <w:t>% de la población en edades de 51-60 años</w:t>
      </w:r>
      <w:r w:rsidR="00BA2DB0">
        <w:rPr>
          <w:rFonts w:ascii="Arial" w:eastAsiaTheme="majorEastAsia" w:hAnsi="Arial" w:cs="Arial"/>
          <w:bCs/>
          <w:sz w:val="24"/>
          <w:szCs w:val="24"/>
          <w:lang w:val="es-ES" w:eastAsia="en-US"/>
        </w:rPr>
        <w:t xml:space="preserve"> </w:t>
      </w:r>
      <w:r w:rsidRPr="0089245C">
        <w:rPr>
          <w:rFonts w:ascii="Arial" w:eastAsiaTheme="majorEastAsia" w:hAnsi="Arial" w:cs="Arial"/>
          <w:bCs/>
          <w:sz w:val="24"/>
          <w:szCs w:val="24"/>
          <w:lang w:val="es-ES" w:eastAsia="en-US"/>
        </w:rPr>
        <w:t>(Gráfica 4)</w:t>
      </w:r>
      <w:r w:rsidR="00BA2DB0">
        <w:rPr>
          <w:rFonts w:ascii="Arial" w:eastAsiaTheme="majorEastAsia" w:hAnsi="Arial" w:cs="Arial"/>
          <w:bCs/>
          <w:sz w:val="24"/>
          <w:szCs w:val="24"/>
          <w:lang w:val="es-ES" w:eastAsia="en-US"/>
        </w:rPr>
        <w:t>.</w:t>
      </w:r>
    </w:p>
    <w:p w:rsidR="0089245C" w:rsidRPr="0089245C" w:rsidRDefault="0089245C" w:rsidP="0089245C">
      <w:pPr>
        <w:rPr>
          <w:rFonts w:eastAsiaTheme="minorHAnsi"/>
          <w:lang w:val="es-ES" w:eastAsia="en-US"/>
        </w:rPr>
      </w:pPr>
    </w:p>
    <w:p w:rsidR="00BA2DB0" w:rsidRDefault="0089245C" w:rsidP="00BA2DB0">
      <w:pPr>
        <w:keepNext/>
        <w:keepLines/>
        <w:spacing w:after="0" w:line="240" w:lineRule="auto"/>
        <w:jc w:val="center"/>
        <w:outlineLvl w:val="0"/>
        <w:rPr>
          <w:rFonts w:ascii="Arial" w:eastAsiaTheme="majorEastAsia" w:hAnsi="Arial" w:cs="Arial"/>
          <w:b/>
          <w:bCs/>
          <w:sz w:val="18"/>
          <w:szCs w:val="18"/>
          <w:lang w:val="es-ES" w:eastAsia="en-US"/>
        </w:rPr>
      </w:pPr>
      <w:r w:rsidRPr="0089245C">
        <w:rPr>
          <w:rFonts w:ascii="Arial" w:eastAsiaTheme="majorEastAsia" w:hAnsi="Arial" w:cs="Arial"/>
          <w:b/>
          <w:bCs/>
          <w:sz w:val="18"/>
          <w:szCs w:val="18"/>
          <w:lang w:val="es-ES" w:eastAsia="en-US"/>
        </w:rPr>
        <w:t>(Gráfica 4) LES</w:t>
      </w:r>
      <w:r w:rsidR="00BA2DB0">
        <w:rPr>
          <w:rFonts w:ascii="Arial" w:eastAsiaTheme="majorEastAsia" w:hAnsi="Arial" w:cs="Arial"/>
          <w:b/>
          <w:bCs/>
          <w:sz w:val="18"/>
          <w:szCs w:val="18"/>
          <w:lang w:val="es-ES" w:eastAsia="en-US"/>
        </w:rPr>
        <w:t>IÓN DE CÉRVIX UTERINO SEGÚN LA</w:t>
      </w:r>
      <w:r w:rsidR="00BA2DB0" w:rsidRPr="00BA2DB0">
        <w:rPr>
          <w:rFonts w:ascii="Arial" w:eastAsiaTheme="majorEastAsia" w:hAnsi="Arial" w:cs="Arial"/>
          <w:b/>
          <w:bCs/>
          <w:sz w:val="18"/>
          <w:szCs w:val="18"/>
          <w:lang w:val="es-ES" w:eastAsia="en-US"/>
        </w:rPr>
        <w:t xml:space="preserve"> </w:t>
      </w:r>
      <w:r w:rsidR="00BA2DB0">
        <w:rPr>
          <w:rFonts w:ascii="Arial" w:eastAsiaTheme="majorEastAsia" w:hAnsi="Arial" w:cs="Arial"/>
          <w:b/>
          <w:bCs/>
          <w:sz w:val="18"/>
          <w:szCs w:val="18"/>
          <w:lang w:val="es-ES" w:eastAsia="en-US"/>
        </w:rPr>
        <w:t>CLASIFICACIÓN</w:t>
      </w:r>
      <w:r w:rsidR="00BA2DB0" w:rsidRPr="0089245C">
        <w:rPr>
          <w:rFonts w:ascii="Arial" w:eastAsiaTheme="majorEastAsia" w:hAnsi="Arial" w:cs="Arial"/>
          <w:b/>
          <w:bCs/>
          <w:sz w:val="18"/>
          <w:szCs w:val="18"/>
          <w:lang w:val="es-ES" w:eastAsia="en-US"/>
        </w:rPr>
        <w:t xml:space="preserve"> </w:t>
      </w:r>
    </w:p>
    <w:p w:rsidR="0089245C" w:rsidRPr="0089245C" w:rsidRDefault="00BA2DB0" w:rsidP="00BA2DB0">
      <w:pPr>
        <w:keepNext/>
        <w:keepLines/>
        <w:spacing w:after="0" w:line="240" w:lineRule="auto"/>
        <w:jc w:val="center"/>
        <w:outlineLvl w:val="0"/>
        <w:rPr>
          <w:rFonts w:ascii="Arial" w:eastAsiaTheme="majorEastAsia" w:hAnsi="Arial" w:cs="Arial"/>
          <w:b/>
          <w:bCs/>
          <w:sz w:val="18"/>
          <w:szCs w:val="18"/>
          <w:lang w:val="es-ES" w:eastAsia="en-US"/>
        </w:rPr>
      </w:pPr>
      <w:r w:rsidRPr="0089245C">
        <w:rPr>
          <w:rFonts w:ascii="Arial" w:eastAsiaTheme="majorEastAsia" w:hAnsi="Arial" w:cs="Arial"/>
          <w:b/>
          <w:bCs/>
          <w:sz w:val="18"/>
          <w:szCs w:val="18"/>
          <w:lang w:val="es-ES" w:eastAsia="en-US"/>
        </w:rPr>
        <w:t>DE RICHART</w:t>
      </w:r>
      <w:r>
        <w:rPr>
          <w:rFonts w:ascii="Arial" w:eastAsiaTheme="majorEastAsia" w:hAnsi="Arial" w:cs="Arial"/>
          <w:b/>
          <w:bCs/>
          <w:sz w:val="18"/>
          <w:szCs w:val="18"/>
          <w:lang w:val="es-ES" w:eastAsia="en-US"/>
        </w:rPr>
        <w:t xml:space="preserve">RELACIONADO </w:t>
      </w:r>
      <w:r w:rsidR="0089245C" w:rsidRPr="0089245C">
        <w:rPr>
          <w:rFonts w:ascii="Arial" w:eastAsiaTheme="majorEastAsia" w:hAnsi="Arial" w:cs="Arial"/>
          <w:b/>
          <w:bCs/>
          <w:sz w:val="18"/>
          <w:szCs w:val="18"/>
          <w:lang w:val="es-ES" w:eastAsia="en-US"/>
        </w:rPr>
        <w:t>CON LA EDAD Y</w:t>
      </w:r>
    </w:p>
    <w:p w:rsidR="0089245C" w:rsidRPr="0089245C" w:rsidRDefault="0089245C" w:rsidP="0089245C">
      <w:pPr>
        <w:spacing w:after="0" w:line="240" w:lineRule="auto"/>
        <w:jc w:val="both"/>
        <w:rPr>
          <w:rFonts w:eastAsiaTheme="minorHAnsi" w:cs="Arial"/>
          <w:sz w:val="16"/>
          <w:szCs w:val="16"/>
          <w:lang w:val="es-ES" w:eastAsia="en-US"/>
        </w:rPr>
      </w:pPr>
    </w:p>
    <w:p w:rsidR="0089245C" w:rsidRPr="0089245C" w:rsidRDefault="0089245C" w:rsidP="00BA2DB0">
      <w:pPr>
        <w:spacing w:after="0" w:line="240" w:lineRule="auto"/>
        <w:jc w:val="center"/>
        <w:rPr>
          <w:rFonts w:eastAsiaTheme="minorHAnsi" w:cs="Arial"/>
          <w:b/>
          <w:sz w:val="24"/>
          <w:szCs w:val="24"/>
          <w:lang w:val="es-ES" w:eastAsia="en-US"/>
        </w:rPr>
      </w:pPr>
      <w:r w:rsidRPr="0089245C">
        <w:rPr>
          <w:rFonts w:eastAsiaTheme="minorHAnsi" w:cs="Arial"/>
          <w:b/>
          <w:noProof/>
          <w:sz w:val="24"/>
          <w:szCs w:val="24"/>
        </w:rPr>
        <w:drawing>
          <wp:inline distT="0" distB="0" distL="0" distR="0" wp14:anchorId="71CBFEB0" wp14:editId="39F69F06">
            <wp:extent cx="3569818" cy="2662733"/>
            <wp:effectExtent l="0" t="0" r="12065" b="444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9245C" w:rsidRPr="0089245C" w:rsidRDefault="00BA2DB0" w:rsidP="00BA2DB0">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Fuente: B</w:t>
      </w:r>
      <w:r w:rsidR="0089245C" w:rsidRPr="0089245C">
        <w:rPr>
          <w:rFonts w:eastAsiaTheme="minorHAnsi" w:cs="Arial"/>
          <w:sz w:val="12"/>
          <w:szCs w:val="12"/>
          <w:lang w:val="es-ES" w:eastAsia="en-US"/>
        </w:rPr>
        <w:t>as</w:t>
      </w:r>
      <w:r>
        <w:rPr>
          <w:rFonts w:eastAsiaTheme="minorHAnsi" w:cs="Arial"/>
          <w:sz w:val="12"/>
          <w:szCs w:val="12"/>
          <w:lang w:val="es-ES" w:eastAsia="en-US"/>
        </w:rPr>
        <w:t>e de datos de la investigación O</w:t>
      </w:r>
      <w:r w:rsidR="0089245C" w:rsidRPr="0089245C">
        <w:rPr>
          <w:rFonts w:eastAsiaTheme="minorHAnsi" w:cs="Arial"/>
          <w:sz w:val="12"/>
          <w:szCs w:val="12"/>
          <w:lang w:val="es-ES" w:eastAsia="en-US"/>
        </w:rPr>
        <w:t>btención y Selección de imágenes de cérvix uterino de</w:t>
      </w:r>
    </w:p>
    <w:p w:rsidR="0089245C" w:rsidRPr="0089245C" w:rsidRDefault="000B6032" w:rsidP="00BA2DB0">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e</w:t>
      </w:r>
      <w:r w:rsidR="0089245C" w:rsidRPr="0089245C">
        <w:rPr>
          <w:rFonts w:eastAsiaTheme="minorHAnsi" w:cs="Arial"/>
          <w:sz w:val="12"/>
          <w:szCs w:val="12"/>
          <w:lang w:val="es-ES" w:eastAsia="en-US"/>
        </w:rPr>
        <w:t>stado normal Y lesiones neoplásicas</w:t>
      </w:r>
    </w:p>
    <w:p w:rsidR="0089245C" w:rsidRPr="0089245C" w:rsidRDefault="0089245C" w:rsidP="00BA2DB0">
      <w:pPr>
        <w:spacing w:after="0" w:line="240" w:lineRule="auto"/>
        <w:jc w:val="center"/>
        <w:rPr>
          <w:rFonts w:eastAsiaTheme="minorHAnsi"/>
          <w:color w:val="0070C0"/>
          <w:sz w:val="24"/>
          <w:szCs w:val="24"/>
          <w:lang w:val="es-ES" w:eastAsia="en-US"/>
        </w:rPr>
      </w:pPr>
    </w:p>
    <w:p w:rsidR="0089245C" w:rsidRPr="0089245C" w:rsidRDefault="0089245C" w:rsidP="0089245C">
      <w:pPr>
        <w:spacing w:line="240" w:lineRule="auto"/>
        <w:jc w:val="both"/>
        <w:rPr>
          <w:rFonts w:eastAsiaTheme="minorHAnsi" w:cs="Arial"/>
          <w:sz w:val="24"/>
          <w:szCs w:val="24"/>
          <w:lang w:val="es-ES" w:eastAsia="en-US"/>
        </w:rPr>
      </w:pPr>
    </w:p>
    <w:p w:rsidR="0089245C" w:rsidRPr="0089245C" w:rsidRDefault="00984CA7" w:rsidP="0089245C">
      <w:pPr>
        <w:spacing w:line="240" w:lineRule="auto"/>
        <w:jc w:val="both"/>
        <w:rPr>
          <w:rFonts w:ascii="Arial" w:eastAsiaTheme="minorHAnsi" w:hAnsi="Arial" w:cs="Arial"/>
          <w:sz w:val="24"/>
          <w:szCs w:val="24"/>
          <w:lang w:val="es-ES" w:eastAsia="en-US"/>
        </w:rPr>
      </w:pPr>
      <w:r>
        <w:rPr>
          <w:rFonts w:ascii="Arial" w:eastAsiaTheme="minorHAnsi" w:hAnsi="Arial" w:cs="Arial"/>
          <w:sz w:val="24"/>
          <w:szCs w:val="24"/>
          <w:lang w:val="es-ES" w:eastAsia="en-US"/>
        </w:rPr>
        <w:lastRenderedPageBreak/>
        <w:t>En la relación que existe entre el Estado de N</w:t>
      </w:r>
      <w:r w:rsidR="0089245C" w:rsidRPr="0089245C">
        <w:rPr>
          <w:rFonts w:ascii="Arial" w:eastAsiaTheme="minorHAnsi" w:hAnsi="Arial" w:cs="Arial"/>
          <w:sz w:val="24"/>
          <w:szCs w:val="24"/>
          <w:lang w:val="es-ES" w:eastAsia="en-US"/>
        </w:rPr>
        <w:t>utrición y el tipo de lesión de cérvix</w:t>
      </w:r>
      <w:r w:rsidR="000B6032" w:rsidRPr="000B6032">
        <w:rPr>
          <w:rFonts w:ascii="Arial" w:eastAsiaTheme="minorHAnsi" w:hAnsi="Arial" w:cs="Arial"/>
          <w:sz w:val="24"/>
          <w:szCs w:val="24"/>
          <w:lang w:val="es-ES" w:eastAsia="en-US"/>
        </w:rPr>
        <w:t xml:space="preserve"> </w:t>
      </w:r>
      <w:r w:rsidR="0089245C" w:rsidRPr="0089245C">
        <w:rPr>
          <w:rFonts w:ascii="Arial" w:eastAsiaTheme="minorHAnsi" w:hAnsi="Arial" w:cs="Arial"/>
          <w:sz w:val="24"/>
          <w:szCs w:val="24"/>
          <w:lang w:val="es-ES" w:eastAsia="en-US"/>
        </w:rPr>
        <w:t>uterino se observó que la atipia escamosa reactiva o imposible de clasificar es la predominante en pacientes con dia</w:t>
      </w:r>
      <w:r>
        <w:rPr>
          <w:rFonts w:ascii="Arial" w:eastAsiaTheme="minorHAnsi" w:hAnsi="Arial" w:cs="Arial"/>
          <w:sz w:val="24"/>
          <w:szCs w:val="24"/>
          <w:lang w:val="es-ES" w:eastAsia="en-US"/>
        </w:rPr>
        <w:t>gnóstico de obesidad tipo 1 (2.7</w:t>
      </w:r>
      <w:r w:rsidR="0089245C" w:rsidRPr="0089245C">
        <w:rPr>
          <w:rFonts w:ascii="Arial" w:eastAsiaTheme="minorHAnsi" w:hAnsi="Arial" w:cs="Arial"/>
          <w:sz w:val="24"/>
          <w:szCs w:val="24"/>
          <w:lang w:val="es-ES" w:eastAsia="en-US"/>
        </w:rPr>
        <w:t xml:space="preserve">%) de la población. En relación </w:t>
      </w:r>
      <w:r>
        <w:rPr>
          <w:rFonts w:ascii="Arial" w:eastAsiaTheme="minorHAnsi" w:hAnsi="Arial" w:cs="Arial"/>
          <w:sz w:val="24"/>
          <w:szCs w:val="24"/>
          <w:lang w:val="es-ES" w:eastAsia="en-US"/>
        </w:rPr>
        <w:t>a la infección por VPH predominó</w:t>
      </w:r>
      <w:r w:rsidR="0089245C" w:rsidRPr="0089245C">
        <w:rPr>
          <w:rFonts w:ascii="Arial" w:eastAsiaTheme="minorHAnsi" w:hAnsi="Arial" w:cs="Arial"/>
          <w:sz w:val="24"/>
          <w:szCs w:val="24"/>
          <w:lang w:val="es-ES" w:eastAsia="en-US"/>
        </w:rPr>
        <w:t xml:space="preserve"> el diagnóstico de sobrepeso en el </w:t>
      </w:r>
      <w:r>
        <w:rPr>
          <w:rFonts w:ascii="Arial" w:eastAsiaTheme="minorHAnsi" w:hAnsi="Arial" w:cs="Arial"/>
          <w:sz w:val="24"/>
          <w:szCs w:val="24"/>
          <w:lang w:val="es-ES" w:eastAsia="en-US"/>
        </w:rPr>
        <w:t>5.4</w:t>
      </w:r>
      <w:r w:rsidR="0089245C" w:rsidRPr="0089245C">
        <w:rPr>
          <w:rFonts w:ascii="Arial" w:eastAsiaTheme="minorHAnsi" w:hAnsi="Arial" w:cs="Arial"/>
          <w:sz w:val="24"/>
          <w:szCs w:val="24"/>
          <w:lang w:val="es-ES" w:eastAsia="en-US"/>
        </w:rPr>
        <w:t>% seguido de la obesidad tipo 1 con</w:t>
      </w:r>
      <w:r>
        <w:rPr>
          <w:rFonts w:ascii="Arial" w:eastAsiaTheme="minorHAnsi" w:hAnsi="Arial" w:cs="Arial"/>
          <w:sz w:val="24"/>
          <w:szCs w:val="24"/>
          <w:lang w:val="es-ES" w:eastAsia="en-US"/>
        </w:rPr>
        <w:t xml:space="preserve"> el 5.4</w:t>
      </w:r>
      <w:r w:rsidR="0089245C" w:rsidRPr="0089245C">
        <w:rPr>
          <w:rFonts w:ascii="Arial" w:eastAsiaTheme="minorHAnsi" w:hAnsi="Arial" w:cs="Arial"/>
          <w:sz w:val="24"/>
          <w:szCs w:val="24"/>
          <w:lang w:val="es-ES" w:eastAsia="en-US"/>
        </w:rPr>
        <w:t xml:space="preserve">%. Para la neoplasia intraepitelial cervical grado I (NIC I) el </w:t>
      </w:r>
      <w:r>
        <w:rPr>
          <w:rFonts w:ascii="Arial" w:eastAsiaTheme="minorHAnsi" w:hAnsi="Arial" w:cs="Arial"/>
          <w:sz w:val="24"/>
          <w:szCs w:val="24"/>
          <w:lang w:val="es-ES" w:eastAsia="en-US"/>
        </w:rPr>
        <w:t>porcentaje obtenido fue de 32.4</w:t>
      </w:r>
      <w:r w:rsidR="0089245C" w:rsidRPr="0089245C">
        <w:rPr>
          <w:rFonts w:ascii="Arial" w:eastAsiaTheme="minorHAnsi" w:hAnsi="Arial" w:cs="Arial"/>
          <w:sz w:val="24"/>
          <w:szCs w:val="24"/>
          <w:lang w:val="es-ES" w:eastAsia="en-US"/>
        </w:rPr>
        <w:t xml:space="preserve">% y el </w:t>
      </w:r>
      <w:r w:rsidR="000B6032" w:rsidRPr="0089245C">
        <w:rPr>
          <w:rFonts w:ascii="Arial" w:eastAsiaTheme="minorHAnsi" w:hAnsi="Arial" w:cs="Arial"/>
          <w:sz w:val="24"/>
          <w:szCs w:val="24"/>
          <w:lang w:val="es-ES" w:eastAsia="en-US"/>
        </w:rPr>
        <w:t>diagnóstico</w:t>
      </w:r>
      <w:r w:rsidR="0089245C" w:rsidRPr="0089245C">
        <w:rPr>
          <w:rFonts w:ascii="Arial" w:eastAsiaTheme="minorHAnsi" w:hAnsi="Arial" w:cs="Arial"/>
          <w:sz w:val="24"/>
          <w:szCs w:val="24"/>
          <w:lang w:val="es-ES" w:eastAsia="en-US"/>
        </w:rPr>
        <w:t xml:space="preserve"> del</w:t>
      </w:r>
      <w:r>
        <w:rPr>
          <w:rFonts w:ascii="Arial" w:eastAsiaTheme="minorHAnsi" w:hAnsi="Arial" w:cs="Arial"/>
          <w:sz w:val="24"/>
          <w:szCs w:val="24"/>
          <w:lang w:val="es-ES" w:eastAsia="en-US"/>
        </w:rPr>
        <w:t xml:space="preserve"> E</w:t>
      </w:r>
      <w:r w:rsidR="0089245C" w:rsidRPr="0089245C">
        <w:rPr>
          <w:rFonts w:ascii="Arial" w:eastAsiaTheme="minorHAnsi" w:hAnsi="Arial" w:cs="Arial"/>
          <w:sz w:val="24"/>
          <w:szCs w:val="24"/>
          <w:lang w:val="es-ES" w:eastAsia="en-US"/>
        </w:rPr>
        <w:t>stad</w:t>
      </w:r>
      <w:r>
        <w:rPr>
          <w:rFonts w:ascii="Arial" w:eastAsiaTheme="minorHAnsi" w:hAnsi="Arial" w:cs="Arial"/>
          <w:sz w:val="24"/>
          <w:szCs w:val="24"/>
          <w:lang w:val="es-ES" w:eastAsia="en-US"/>
        </w:rPr>
        <w:t>o de Nutrición fue normal 32.4%, sobrepeso 5.4</w:t>
      </w:r>
      <w:r w:rsidR="0089245C" w:rsidRPr="0089245C">
        <w:rPr>
          <w:rFonts w:ascii="Arial" w:eastAsiaTheme="minorHAnsi" w:hAnsi="Arial" w:cs="Arial"/>
          <w:sz w:val="24"/>
          <w:szCs w:val="24"/>
          <w:lang w:val="es-ES" w:eastAsia="en-US"/>
        </w:rPr>
        <w:t xml:space="preserve">%, para la obesidad 1,2 y3 </w:t>
      </w:r>
      <w:r>
        <w:rPr>
          <w:rFonts w:ascii="Arial" w:eastAsiaTheme="minorHAnsi" w:hAnsi="Arial" w:cs="Arial"/>
          <w:sz w:val="24"/>
          <w:szCs w:val="24"/>
          <w:lang w:val="es-ES" w:eastAsia="en-US"/>
        </w:rPr>
        <w:t>el 2.7</w:t>
      </w:r>
      <w:r w:rsidR="0089245C" w:rsidRPr="0089245C">
        <w:rPr>
          <w:rFonts w:ascii="Arial" w:eastAsiaTheme="minorHAnsi" w:hAnsi="Arial" w:cs="Arial"/>
          <w:sz w:val="24"/>
          <w:szCs w:val="24"/>
          <w:lang w:val="es-ES" w:eastAsia="en-US"/>
        </w:rPr>
        <w:t>% respectivamente. Para la neoplasia intraepitelial</w:t>
      </w:r>
      <w:r>
        <w:rPr>
          <w:rFonts w:ascii="Arial" w:eastAsiaTheme="minorHAnsi" w:hAnsi="Arial" w:cs="Arial"/>
          <w:sz w:val="24"/>
          <w:szCs w:val="24"/>
          <w:lang w:val="es-ES" w:eastAsia="en-US"/>
        </w:rPr>
        <w:t xml:space="preserve"> </w:t>
      </w:r>
      <w:r w:rsidR="0089245C" w:rsidRPr="0089245C">
        <w:rPr>
          <w:rFonts w:ascii="Arial" w:eastAsiaTheme="minorHAnsi" w:hAnsi="Arial" w:cs="Arial"/>
          <w:sz w:val="24"/>
          <w:szCs w:val="24"/>
          <w:lang w:val="es-ES" w:eastAsia="en-US"/>
        </w:rPr>
        <w:t>cervical grado III (NIC III) el</w:t>
      </w:r>
      <w:r>
        <w:rPr>
          <w:rFonts w:ascii="Arial" w:eastAsiaTheme="minorHAnsi" w:hAnsi="Arial" w:cs="Arial"/>
          <w:sz w:val="24"/>
          <w:szCs w:val="24"/>
          <w:lang w:val="es-ES" w:eastAsia="en-US"/>
        </w:rPr>
        <w:t xml:space="preserve"> 2.7</w:t>
      </w:r>
      <w:r w:rsidR="0089245C" w:rsidRPr="0089245C">
        <w:rPr>
          <w:rFonts w:ascii="Arial" w:eastAsiaTheme="minorHAnsi" w:hAnsi="Arial" w:cs="Arial"/>
          <w:sz w:val="24"/>
          <w:szCs w:val="24"/>
          <w:lang w:val="es-ES" w:eastAsia="en-US"/>
        </w:rPr>
        <w:t>% de las pacientes tenían diagnóstico de</w:t>
      </w:r>
      <w:r>
        <w:rPr>
          <w:rFonts w:ascii="Arial" w:eastAsiaTheme="minorHAnsi" w:hAnsi="Arial" w:cs="Arial"/>
          <w:sz w:val="24"/>
          <w:szCs w:val="24"/>
          <w:lang w:val="es-ES" w:eastAsia="en-US"/>
        </w:rPr>
        <w:t xml:space="preserve"> sobrepeso y 2.7</w:t>
      </w:r>
      <w:r w:rsidR="0089245C" w:rsidRPr="0089245C">
        <w:rPr>
          <w:rFonts w:ascii="Arial" w:eastAsiaTheme="minorHAnsi" w:hAnsi="Arial" w:cs="Arial"/>
          <w:sz w:val="24"/>
          <w:szCs w:val="24"/>
          <w:lang w:val="es-ES" w:eastAsia="en-US"/>
        </w:rPr>
        <w:t>% de obesidad tipo 1.</w:t>
      </w:r>
      <w:r>
        <w:rPr>
          <w:rFonts w:ascii="Arial" w:eastAsiaTheme="minorHAnsi" w:hAnsi="Arial" w:cs="Arial"/>
          <w:sz w:val="24"/>
          <w:szCs w:val="24"/>
          <w:lang w:val="es-ES" w:eastAsia="en-US"/>
        </w:rPr>
        <w:t xml:space="preserve"> </w:t>
      </w:r>
      <w:r w:rsidR="0089245C" w:rsidRPr="0089245C">
        <w:rPr>
          <w:rFonts w:ascii="Arial" w:eastAsiaTheme="minorHAnsi" w:hAnsi="Arial" w:cs="Arial"/>
          <w:sz w:val="24"/>
          <w:szCs w:val="24"/>
          <w:lang w:val="es-ES" w:eastAsia="en-US"/>
        </w:rPr>
        <w:t>En el rubro otra</w:t>
      </w:r>
      <w:r w:rsidR="00125BCC">
        <w:rPr>
          <w:rFonts w:ascii="Arial" w:eastAsiaTheme="minorHAnsi" w:hAnsi="Arial" w:cs="Arial"/>
          <w:sz w:val="24"/>
          <w:szCs w:val="24"/>
          <w:lang w:val="es-ES" w:eastAsia="en-US"/>
        </w:rPr>
        <w:t>s enfermedades se dio en el 5.4</w:t>
      </w:r>
      <w:r w:rsidR="0089245C" w:rsidRPr="0089245C">
        <w:rPr>
          <w:rFonts w:ascii="Arial" w:eastAsiaTheme="minorHAnsi" w:hAnsi="Arial" w:cs="Arial"/>
          <w:sz w:val="24"/>
          <w:szCs w:val="24"/>
          <w:lang w:val="es-ES" w:eastAsia="en-US"/>
        </w:rPr>
        <w:t xml:space="preserve">% de la población y el diagnóstico del </w:t>
      </w:r>
      <w:r w:rsidR="00125BCC">
        <w:rPr>
          <w:rFonts w:ascii="Arial" w:eastAsiaTheme="minorHAnsi" w:hAnsi="Arial" w:cs="Arial"/>
          <w:sz w:val="24"/>
          <w:szCs w:val="24"/>
          <w:lang w:val="es-ES" w:eastAsia="en-US"/>
        </w:rPr>
        <w:t>E</w:t>
      </w:r>
      <w:r w:rsidR="0089245C" w:rsidRPr="0089245C">
        <w:rPr>
          <w:rFonts w:ascii="Arial" w:eastAsiaTheme="minorHAnsi" w:hAnsi="Arial" w:cs="Arial"/>
          <w:sz w:val="24"/>
          <w:szCs w:val="24"/>
          <w:lang w:val="es-ES" w:eastAsia="en-US"/>
        </w:rPr>
        <w:t>stado</w:t>
      </w:r>
      <w:r w:rsidR="00125BCC">
        <w:rPr>
          <w:rFonts w:ascii="Arial" w:eastAsiaTheme="minorHAnsi" w:hAnsi="Arial" w:cs="Arial"/>
          <w:sz w:val="24"/>
          <w:szCs w:val="24"/>
          <w:lang w:val="es-ES" w:eastAsia="en-US"/>
        </w:rPr>
        <w:t xml:space="preserve"> de N</w:t>
      </w:r>
      <w:r w:rsidR="0089245C" w:rsidRPr="0089245C">
        <w:rPr>
          <w:rFonts w:ascii="Arial" w:eastAsiaTheme="minorHAnsi" w:hAnsi="Arial" w:cs="Arial"/>
          <w:sz w:val="24"/>
          <w:szCs w:val="24"/>
          <w:lang w:val="es-ES" w:eastAsia="en-US"/>
        </w:rPr>
        <w:t>utrición fue sobrepeso</w:t>
      </w:r>
      <w:r w:rsidR="00125BCC">
        <w:rPr>
          <w:rFonts w:ascii="Arial" w:eastAsiaTheme="minorHAnsi" w:hAnsi="Arial" w:cs="Arial"/>
          <w:sz w:val="24"/>
          <w:szCs w:val="24"/>
          <w:lang w:val="es-ES" w:eastAsia="en-US"/>
        </w:rPr>
        <w:t xml:space="preserve"> </w:t>
      </w:r>
      <w:r w:rsidR="0089245C" w:rsidRPr="0089245C">
        <w:rPr>
          <w:rFonts w:ascii="Arial" w:eastAsiaTheme="minorHAnsi" w:hAnsi="Arial" w:cs="Arial"/>
          <w:sz w:val="24"/>
          <w:szCs w:val="24"/>
          <w:lang w:val="es-ES" w:eastAsia="en-US"/>
        </w:rPr>
        <w:t>(Gráfica: 5)</w:t>
      </w:r>
      <w:r w:rsidR="00125BCC">
        <w:rPr>
          <w:rFonts w:ascii="Arial" w:eastAsiaTheme="minorHAnsi" w:hAnsi="Arial" w:cs="Arial"/>
          <w:sz w:val="24"/>
          <w:szCs w:val="24"/>
          <w:lang w:val="es-ES" w:eastAsia="en-US"/>
        </w:rPr>
        <w:t>.</w:t>
      </w:r>
    </w:p>
    <w:p w:rsidR="0089245C" w:rsidRPr="0089245C" w:rsidRDefault="00125BCC" w:rsidP="00125BCC">
      <w:pPr>
        <w:spacing w:after="0" w:line="240" w:lineRule="auto"/>
        <w:jc w:val="center"/>
        <w:rPr>
          <w:rFonts w:ascii="Arial" w:eastAsiaTheme="minorHAnsi" w:hAnsi="Arial" w:cs="Arial"/>
          <w:b/>
          <w:sz w:val="18"/>
          <w:szCs w:val="18"/>
          <w:lang w:val="es-ES" w:eastAsia="en-US"/>
        </w:rPr>
      </w:pPr>
      <w:r w:rsidRPr="00125BCC">
        <w:rPr>
          <w:rFonts w:ascii="Arial" w:eastAsiaTheme="minorHAnsi" w:hAnsi="Arial" w:cs="Arial"/>
          <w:b/>
          <w:sz w:val="18"/>
          <w:szCs w:val="18"/>
          <w:lang w:val="es-ES" w:eastAsia="en-US"/>
        </w:rPr>
        <w:t>Gráfica: 5</w:t>
      </w:r>
      <w:r w:rsidR="0089245C" w:rsidRPr="0089245C">
        <w:rPr>
          <w:rFonts w:ascii="Arial" w:eastAsiaTheme="minorHAnsi" w:hAnsi="Arial" w:cs="Arial"/>
          <w:b/>
          <w:sz w:val="18"/>
          <w:szCs w:val="18"/>
          <w:lang w:val="es-ES" w:eastAsia="en-US"/>
        </w:rPr>
        <w:t xml:space="preserve"> RELACIÓN ENTRE EL TIPO DE LESIÓN DE CERVIX UTERINO Y EL</w:t>
      </w:r>
    </w:p>
    <w:p w:rsidR="0089245C" w:rsidRPr="0089245C" w:rsidRDefault="0089245C" w:rsidP="00125BCC">
      <w:pPr>
        <w:spacing w:after="0" w:line="240" w:lineRule="auto"/>
        <w:jc w:val="center"/>
        <w:rPr>
          <w:rFonts w:eastAsiaTheme="minorHAnsi" w:cs="Arial"/>
          <w:sz w:val="16"/>
          <w:szCs w:val="16"/>
          <w:lang w:val="es-ES" w:eastAsia="en-US"/>
        </w:rPr>
      </w:pPr>
      <w:r w:rsidRPr="0089245C">
        <w:rPr>
          <w:rFonts w:ascii="Arial" w:eastAsiaTheme="minorHAnsi" w:hAnsi="Arial" w:cs="Arial"/>
          <w:b/>
          <w:sz w:val="18"/>
          <w:szCs w:val="18"/>
          <w:lang w:val="es-ES" w:eastAsia="en-US"/>
        </w:rPr>
        <w:t>DIAGNOSTICO DE (IMC)</w:t>
      </w:r>
    </w:p>
    <w:p w:rsidR="0089245C" w:rsidRPr="0089245C" w:rsidRDefault="0089245C" w:rsidP="00125BCC">
      <w:pPr>
        <w:spacing w:after="0" w:line="240" w:lineRule="auto"/>
        <w:jc w:val="center"/>
        <w:rPr>
          <w:rFonts w:eastAsiaTheme="minorHAnsi" w:cs="Arial"/>
          <w:b/>
          <w:sz w:val="24"/>
          <w:szCs w:val="24"/>
          <w:lang w:val="es-ES" w:eastAsia="en-US"/>
        </w:rPr>
      </w:pPr>
      <w:r w:rsidRPr="0089245C">
        <w:rPr>
          <w:rFonts w:eastAsiaTheme="minorHAnsi" w:cs="Arial"/>
          <w:b/>
          <w:noProof/>
          <w:sz w:val="24"/>
          <w:szCs w:val="24"/>
        </w:rPr>
        <w:drawing>
          <wp:inline distT="0" distB="0" distL="0" distR="0" wp14:anchorId="453F7109" wp14:editId="2DE04787">
            <wp:extent cx="3847796" cy="2523744"/>
            <wp:effectExtent l="0" t="0" r="635" b="1016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25BCC" w:rsidRDefault="00125BCC" w:rsidP="00125BCC">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Fuente: B</w:t>
      </w:r>
      <w:r w:rsidR="0089245C" w:rsidRPr="0089245C">
        <w:rPr>
          <w:rFonts w:eastAsiaTheme="minorHAnsi" w:cs="Arial"/>
          <w:sz w:val="12"/>
          <w:szCs w:val="12"/>
          <w:lang w:val="es-ES" w:eastAsia="en-US"/>
        </w:rPr>
        <w:t>as</w:t>
      </w:r>
      <w:r>
        <w:rPr>
          <w:rFonts w:eastAsiaTheme="minorHAnsi" w:cs="Arial"/>
          <w:sz w:val="12"/>
          <w:szCs w:val="12"/>
          <w:lang w:val="es-ES" w:eastAsia="en-US"/>
        </w:rPr>
        <w:t>e de datos de la investigación O</w:t>
      </w:r>
      <w:r w:rsidR="0089245C" w:rsidRPr="0089245C">
        <w:rPr>
          <w:rFonts w:eastAsiaTheme="minorHAnsi" w:cs="Arial"/>
          <w:sz w:val="12"/>
          <w:szCs w:val="12"/>
          <w:lang w:val="es-ES" w:eastAsia="en-US"/>
        </w:rPr>
        <w:t>btención y Selección de imágenes de cérvix uterino de estado</w:t>
      </w:r>
      <w:r>
        <w:rPr>
          <w:rFonts w:eastAsiaTheme="minorHAnsi" w:cs="Arial"/>
          <w:sz w:val="12"/>
          <w:szCs w:val="12"/>
          <w:lang w:val="es-ES" w:eastAsia="en-US"/>
        </w:rPr>
        <w:t xml:space="preserve"> </w:t>
      </w:r>
      <w:r w:rsidR="0089245C" w:rsidRPr="0089245C">
        <w:rPr>
          <w:rFonts w:eastAsiaTheme="minorHAnsi" w:cs="Arial"/>
          <w:sz w:val="12"/>
          <w:szCs w:val="12"/>
          <w:lang w:val="es-ES" w:eastAsia="en-US"/>
        </w:rPr>
        <w:t xml:space="preserve">Normal </w:t>
      </w:r>
    </w:p>
    <w:p w:rsidR="0089245C" w:rsidRPr="0089245C" w:rsidRDefault="00125BCC" w:rsidP="00125BCC">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y</w:t>
      </w:r>
      <w:r w:rsidR="0089245C" w:rsidRPr="0089245C">
        <w:rPr>
          <w:rFonts w:eastAsiaTheme="minorHAnsi" w:cs="Arial"/>
          <w:sz w:val="12"/>
          <w:szCs w:val="12"/>
          <w:lang w:val="es-ES" w:eastAsia="en-US"/>
        </w:rPr>
        <w:t xml:space="preserve"> lesiones neoplásicas</w:t>
      </w:r>
    </w:p>
    <w:p w:rsidR="0089245C" w:rsidRPr="0089245C" w:rsidRDefault="0089245C" w:rsidP="00125BCC">
      <w:pPr>
        <w:spacing w:after="0" w:line="240" w:lineRule="auto"/>
        <w:jc w:val="both"/>
        <w:rPr>
          <w:rFonts w:eastAsiaTheme="minorHAnsi" w:cs="Arial"/>
          <w:b/>
          <w:sz w:val="24"/>
          <w:szCs w:val="24"/>
          <w:lang w:val="es-ES" w:eastAsia="en-US"/>
        </w:rPr>
      </w:pPr>
    </w:p>
    <w:p w:rsidR="0089245C" w:rsidRP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En relación a la cantidad de grasa corporal en kg por rango de edad y segú</w:t>
      </w:r>
      <w:r w:rsidR="00125BCC">
        <w:rPr>
          <w:rFonts w:ascii="Arial" w:eastAsiaTheme="minorHAnsi" w:hAnsi="Arial" w:cs="Arial"/>
          <w:sz w:val="24"/>
          <w:szCs w:val="24"/>
          <w:lang w:val="es-ES" w:eastAsia="en-US"/>
        </w:rPr>
        <w:t>n los parámetros del método bioimpedancia utilizado el 54</w:t>
      </w:r>
      <w:r w:rsidRPr="0089245C">
        <w:rPr>
          <w:rFonts w:ascii="Arial" w:eastAsiaTheme="minorHAnsi" w:hAnsi="Arial" w:cs="Arial"/>
          <w:sz w:val="24"/>
          <w:szCs w:val="24"/>
          <w:lang w:val="es-ES" w:eastAsia="en-US"/>
        </w:rPr>
        <w:t>% de la población objeto de estudio se encontró por arriba del máximo de grasa corporal</w:t>
      </w:r>
      <w:r w:rsidR="00125BCC">
        <w:rPr>
          <w:rFonts w:ascii="Arial" w:eastAsiaTheme="minorHAnsi" w:hAnsi="Arial" w:cs="Arial"/>
          <w:sz w:val="24"/>
          <w:szCs w:val="24"/>
          <w:lang w:val="es-ES" w:eastAsia="en-US"/>
        </w:rPr>
        <w:t>, y el 45.9</w:t>
      </w:r>
      <w:r w:rsidRPr="0089245C">
        <w:rPr>
          <w:rFonts w:ascii="Arial" w:eastAsiaTheme="minorHAnsi" w:hAnsi="Arial" w:cs="Arial"/>
          <w:sz w:val="24"/>
          <w:szCs w:val="24"/>
          <w:lang w:val="es-ES" w:eastAsia="en-US"/>
        </w:rPr>
        <w:t>% se encontró en la me</w:t>
      </w:r>
      <w:r w:rsidR="00125BCC">
        <w:rPr>
          <w:rFonts w:ascii="Arial" w:eastAsiaTheme="minorHAnsi" w:hAnsi="Arial" w:cs="Arial"/>
          <w:sz w:val="24"/>
          <w:szCs w:val="24"/>
          <w:lang w:val="es-ES" w:eastAsia="en-US"/>
        </w:rPr>
        <w:t xml:space="preserve">dia </w:t>
      </w:r>
      <w:r w:rsidRPr="0089245C">
        <w:rPr>
          <w:rFonts w:ascii="Arial" w:eastAsiaTheme="minorHAnsi" w:hAnsi="Arial" w:cs="Arial"/>
          <w:sz w:val="24"/>
          <w:szCs w:val="24"/>
          <w:lang w:val="es-ES" w:eastAsia="en-US"/>
        </w:rPr>
        <w:t>(Gráfica 6)</w:t>
      </w:r>
      <w:r w:rsidR="00125BCC">
        <w:rPr>
          <w:rFonts w:ascii="Arial" w:eastAsiaTheme="minorHAnsi" w:hAnsi="Arial" w:cs="Arial"/>
          <w:sz w:val="24"/>
          <w:szCs w:val="24"/>
          <w:lang w:val="es-ES" w:eastAsia="en-US"/>
        </w:rPr>
        <w:t>.</w:t>
      </w:r>
    </w:p>
    <w:p w:rsidR="0089245C" w:rsidRPr="0089245C" w:rsidRDefault="00125BCC" w:rsidP="00125BCC">
      <w:pPr>
        <w:spacing w:after="0" w:line="240" w:lineRule="auto"/>
        <w:jc w:val="center"/>
        <w:rPr>
          <w:rFonts w:ascii="Arial" w:eastAsiaTheme="minorHAnsi" w:hAnsi="Arial" w:cs="Arial"/>
          <w:b/>
          <w:sz w:val="18"/>
          <w:szCs w:val="18"/>
          <w:lang w:val="es-ES" w:eastAsia="en-US"/>
        </w:rPr>
      </w:pPr>
      <w:r>
        <w:rPr>
          <w:rFonts w:ascii="Arial" w:eastAsiaTheme="minorHAnsi" w:hAnsi="Arial" w:cs="Arial"/>
          <w:b/>
          <w:sz w:val="18"/>
          <w:szCs w:val="18"/>
          <w:lang w:val="es-ES" w:eastAsia="en-US"/>
        </w:rPr>
        <w:t xml:space="preserve">Gráfica 6 </w:t>
      </w:r>
      <w:r w:rsidR="0089245C" w:rsidRPr="0089245C">
        <w:rPr>
          <w:rFonts w:ascii="Arial" w:eastAsiaTheme="minorHAnsi" w:hAnsi="Arial" w:cs="Arial"/>
          <w:b/>
          <w:sz w:val="18"/>
          <w:szCs w:val="18"/>
          <w:lang w:val="es-ES" w:eastAsia="en-US"/>
        </w:rPr>
        <w:t>CANTIDAD DE GRASA CORPORAL EN (KG) POR RANGO DE</w:t>
      </w:r>
    </w:p>
    <w:p w:rsidR="0089245C" w:rsidRPr="0089245C" w:rsidRDefault="0089245C" w:rsidP="00125BC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EDAD DE ACUERDO A LOS PARÁMETROS DE REFERENCIA EN</w:t>
      </w:r>
    </w:p>
    <w:p w:rsidR="0089245C" w:rsidRPr="0089245C" w:rsidRDefault="0089245C" w:rsidP="00125BC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BIOIMPEDANCIA ELÉCTRICA.</w:t>
      </w:r>
    </w:p>
    <w:p w:rsidR="0089245C" w:rsidRPr="0089245C" w:rsidRDefault="0089245C" w:rsidP="00125BCC">
      <w:pPr>
        <w:spacing w:after="0" w:line="240" w:lineRule="auto"/>
        <w:jc w:val="center"/>
        <w:rPr>
          <w:rFonts w:eastAsiaTheme="minorHAnsi" w:cs="Arial"/>
          <w:sz w:val="24"/>
          <w:szCs w:val="24"/>
          <w:lang w:val="es-ES" w:eastAsia="en-US"/>
        </w:rPr>
      </w:pPr>
      <w:r w:rsidRPr="0089245C">
        <w:rPr>
          <w:rFonts w:eastAsiaTheme="minorHAnsi" w:cs="Arial"/>
          <w:noProof/>
          <w:sz w:val="24"/>
          <w:szCs w:val="24"/>
        </w:rPr>
        <w:drawing>
          <wp:inline distT="0" distB="0" distL="0" distR="0" wp14:anchorId="1024D70B" wp14:editId="705A8208">
            <wp:extent cx="3877056" cy="2596896"/>
            <wp:effectExtent l="0" t="0" r="9525" b="1333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9245C" w:rsidRPr="0089245C" w:rsidRDefault="00125BCC" w:rsidP="00125BCC">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Fuente: B</w:t>
      </w:r>
      <w:r w:rsidR="0089245C" w:rsidRPr="0089245C">
        <w:rPr>
          <w:rFonts w:eastAsiaTheme="minorHAnsi" w:cs="Arial"/>
          <w:sz w:val="12"/>
          <w:szCs w:val="12"/>
          <w:lang w:val="es-ES" w:eastAsia="en-US"/>
        </w:rPr>
        <w:t>as</w:t>
      </w:r>
      <w:r>
        <w:rPr>
          <w:rFonts w:eastAsiaTheme="minorHAnsi" w:cs="Arial"/>
          <w:sz w:val="12"/>
          <w:szCs w:val="12"/>
          <w:lang w:val="es-ES" w:eastAsia="en-US"/>
        </w:rPr>
        <w:t>e de datos de la investigación O</w:t>
      </w:r>
      <w:r w:rsidR="0089245C" w:rsidRPr="0089245C">
        <w:rPr>
          <w:rFonts w:eastAsiaTheme="minorHAnsi" w:cs="Arial"/>
          <w:sz w:val="12"/>
          <w:szCs w:val="12"/>
          <w:lang w:val="es-ES" w:eastAsia="en-US"/>
        </w:rPr>
        <w:t>btención y Selección de imágenes de cérvix uterino</w:t>
      </w:r>
    </w:p>
    <w:p w:rsidR="0089245C" w:rsidRPr="0089245C" w:rsidRDefault="00125BCC" w:rsidP="00125BCC">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lastRenderedPageBreak/>
        <w:t>de estado n</w:t>
      </w:r>
      <w:r w:rsidR="0089245C" w:rsidRPr="0089245C">
        <w:rPr>
          <w:rFonts w:eastAsiaTheme="minorHAnsi" w:cs="Arial"/>
          <w:sz w:val="12"/>
          <w:szCs w:val="12"/>
          <w:lang w:val="es-ES" w:eastAsia="en-US"/>
        </w:rPr>
        <w:t>ormal Y lesiones neoplásicas</w:t>
      </w:r>
    </w:p>
    <w:p w:rsidR="0089245C" w:rsidRPr="0089245C" w:rsidRDefault="0089245C" w:rsidP="0089245C">
      <w:pPr>
        <w:spacing w:line="240" w:lineRule="auto"/>
        <w:jc w:val="both"/>
        <w:rPr>
          <w:rFonts w:eastAsiaTheme="minorHAnsi" w:cs="Arial"/>
          <w:sz w:val="24"/>
          <w:szCs w:val="24"/>
          <w:lang w:val="es-ES" w:eastAsia="en-US"/>
        </w:rPr>
      </w:pPr>
    </w:p>
    <w:p w:rsidR="0089245C" w:rsidRP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La relación que existe entre el rango de edad y el consumo de macronutrientes se observó que en edades de 20 a 30 años el consumo de Hidratos de Carbono es bajo(-55%), seguido de la Proteína con bajo porcentaje(-15%)en cuanto a los Lípidos el consumo se encuentra por debajo de lo normal (-30%).El rango de edades de 31 a 40 años se observa mayor consumo de Hidratos de Carbono (+55%), en cuanto a las Proteínas es elevado(+15%) en Lípidos se encuentra por abajo de lo normal (-30%).En edades de 41 a 50 años el consumo de Hidratos de Carbono se encuentra por debajo de lo normal (-55%), de Proteínase encuentra por debajo de lo normal (-15%) Lípidos se encuentra por debajo de lo normal (-30%).Pasando a edades de 51 a 60 años predomina Hidratos de Carbono con un consumo de (+15%), Proteína con un elevado consumo de (+15%), Lípidos</w:t>
      </w:r>
      <w:r w:rsidR="00125BCC">
        <w:rPr>
          <w:rFonts w:ascii="Arial" w:eastAsiaTheme="minorHAnsi" w:hAnsi="Arial" w:cs="Arial"/>
          <w:sz w:val="24"/>
          <w:szCs w:val="24"/>
          <w:lang w:val="es-ES" w:eastAsia="en-US"/>
        </w:rPr>
        <w:t xml:space="preserve"> </w:t>
      </w:r>
      <w:r w:rsidRPr="0089245C">
        <w:rPr>
          <w:rFonts w:ascii="Arial" w:eastAsiaTheme="minorHAnsi" w:hAnsi="Arial" w:cs="Arial"/>
          <w:sz w:val="24"/>
          <w:szCs w:val="24"/>
          <w:lang w:val="es-ES" w:eastAsia="en-US"/>
        </w:rPr>
        <w:t>se encuentra por debajo de lo normal (-30%)</w:t>
      </w:r>
      <w:r w:rsidR="00125BCC">
        <w:rPr>
          <w:rFonts w:ascii="Arial" w:eastAsiaTheme="minorHAnsi" w:hAnsi="Arial" w:cs="Arial"/>
          <w:sz w:val="24"/>
          <w:szCs w:val="24"/>
          <w:lang w:val="es-ES" w:eastAsia="en-US"/>
        </w:rPr>
        <w:t xml:space="preserve"> </w:t>
      </w:r>
      <w:r w:rsidRPr="0089245C">
        <w:rPr>
          <w:rFonts w:ascii="Arial" w:eastAsiaTheme="minorHAnsi" w:hAnsi="Arial" w:cs="Arial"/>
          <w:sz w:val="24"/>
          <w:szCs w:val="24"/>
          <w:lang w:val="es-ES" w:eastAsia="en-US"/>
        </w:rPr>
        <w:t>(Gráfica 7)</w:t>
      </w:r>
      <w:r w:rsidR="00125BCC">
        <w:rPr>
          <w:rFonts w:ascii="Arial" w:eastAsiaTheme="minorHAnsi" w:hAnsi="Arial" w:cs="Arial"/>
          <w:sz w:val="24"/>
          <w:szCs w:val="24"/>
          <w:lang w:val="es-ES" w:eastAsia="en-US"/>
        </w:rPr>
        <w:t>.</w:t>
      </w:r>
    </w:p>
    <w:p w:rsidR="0089245C" w:rsidRPr="0089245C" w:rsidRDefault="00125BCC" w:rsidP="00125BCC">
      <w:pPr>
        <w:spacing w:after="0" w:line="240" w:lineRule="auto"/>
        <w:jc w:val="center"/>
        <w:rPr>
          <w:rFonts w:ascii="Arial" w:eastAsiaTheme="minorHAnsi" w:hAnsi="Arial" w:cs="Arial"/>
          <w:b/>
          <w:sz w:val="18"/>
          <w:szCs w:val="18"/>
          <w:lang w:val="es-ES" w:eastAsia="en-US"/>
        </w:rPr>
      </w:pPr>
      <w:r>
        <w:rPr>
          <w:rFonts w:ascii="Arial" w:eastAsiaTheme="minorHAnsi" w:hAnsi="Arial" w:cs="Arial"/>
          <w:b/>
          <w:sz w:val="18"/>
          <w:szCs w:val="18"/>
          <w:lang w:val="es-ES" w:eastAsia="en-US"/>
        </w:rPr>
        <w:t>Gráfica 7</w:t>
      </w:r>
      <w:r w:rsidR="0089245C" w:rsidRPr="0089245C">
        <w:rPr>
          <w:rFonts w:ascii="Arial" w:eastAsiaTheme="minorHAnsi" w:hAnsi="Arial" w:cs="Arial"/>
          <w:b/>
          <w:sz w:val="18"/>
          <w:szCs w:val="18"/>
          <w:lang w:val="es-ES" w:eastAsia="en-US"/>
        </w:rPr>
        <w:t xml:space="preserve"> CONSUMO DE MACRONUTRIMENTOS POR RANGO DE EDAD DE</w:t>
      </w:r>
    </w:p>
    <w:p w:rsidR="0089245C" w:rsidRPr="0089245C" w:rsidRDefault="0089245C" w:rsidP="00125BC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ACUERDO A LOS PARAMENTROS DE REFERENCIA: HIDRATOS DE CARBONO 50%,</w:t>
      </w:r>
    </w:p>
    <w:p w:rsidR="0089245C" w:rsidRPr="0089245C" w:rsidRDefault="0089245C" w:rsidP="00125BCC">
      <w:pPr>
        <w:spacing w:after="0" w:line="240" w:lineRule="auto"/>
        <w:jc w:val="center"/>
        <w:rPr>
          <w:rFonts w:ascii="Arial" w:eastAsiaTheme="minorHAnsi" w:hAnsi="Arial" w:cs="Arial"/>
          <w:b/>
          <w:sz w:val="18"/>
          <w:szCs w:val="18"/>
          <w:lang w:val="es-ES" w:eastAsia="en-US"/>
        </w:rPr>
      </w:pPr>
      <w:r w:rsidRPr="0089245C">
        <w:rPr>
          <w:rFonts w:ascii="Arial" w:eastAsiaTheme="minorHAnsi" w:hAnsi="Arial" w:cs="Arial"/>
          <w:b/>
          <w:sz w:val="18"/>
          <w:szCs w:val="18"/>
          <w:lang w:val="es-ES" w:eastAsia="en-US"/>
        </w:rPr>
        <w:t>PROTEINA 15%, LIPIDOS 30% PARA UNA INGESTA DE ENERGIA RECOMENDABLE</w:t>
      </w:r>
    </w:p>
    <w:p w:rsidR="0089245C" w:rsidRPr="0089245C" w:rsidRDefault="0089245C" w:rsidP="0089245C">
      <w:pPr>
        <w:spacing w:after="0" w:line="240" w:lineRule="auto"/>
        <w:jc w:val="both"/>
        <w:rPr>
          <w:rFonts w:eastAsiaTheme="minorHAnsi" w:cs="Arial"/>
          <w:sz w:val="24"/>
          <w:szCs w:val="24"/>
          <w:lang w:val="es-ES" w:eastAsia="en-US"/>
        </w:rPr>
      </w:pPr>
    </w:p>
    <w:p w:rsidR="0089245C" w:rsidRPr="0089245C" w:rsidRDefault="0089245C" w:rsidP="00125BCC">
      <w:pPr>
        <w:spacing w:after="0" w:line="240" w:lineRule="auto"/>
        <w:jc w:val="center"/>
        <w:rPr>
          <w:rFonts w:eastAsiaTheme="minorHAnsi" w:cs="Arial"/>
          <w:sz w:val="24"/>
          <w:szCs w:val="24"/>
          <w:lang w:val="es-ES" w:eastAsia="en-US"/>
        </w:rPr>
      </w:pPr>
      <w:r w:rsidRPr="0089245C">
        <w:rPr>
          <w:rFonts w:eastAsiaTheme="minorHAnsi" w:cs="Arial"/>
          <w:noProof/>
          <w:sz w:val="24"/>
          <w:szCs w:val="24"/>
        </w:rPr>
        <w:drawing>
          <wp:inline distT="0" distB="0" distL="0" distR="0" wp14:anchorId="5B3B6038" wp14:editId="0FE7332A">
            <wp:extent cx="4169664" cy="2355494"/>
            <wp:effectExtent l="0" t="0" r="2540" b="698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9245C" w:rsidRPr="0089245C" w:rsidRDefault="00125BCC" w:rsidP="00125BCC">
      <w:pPr>
        <w:spacing w:after="0" w:line="240" w:lineRule="auto"/>
        <w:jc w:val="center"/>
        <w:rPr>
          <w:rFonts w:eastAsiaTheme="minorHAnsi" w:cs="Arial"/>
          <w:sz w:val="12"/>
          <w:szCs w:val="12"/>
          <w:lang w:val="es-ES" w:eastAsia="en-US"/>
        </w:rPr>
      </w:pPr>
      <w:r>
        <w:rPr>
          <w:rFonts w:eastAsiaTheme="minorHAnsi" w:cs="Arial"/>
          <w:sz w:val="12"/>
          <w:szCs w:val="12"/>
          <w:lang w:val="es-ES" w:eastAsia="en-US"/>
        </w:rPr>
        <w:t>Fuente: B</w:t>
      </w:r>
      <w:r w:rsidR="0089245C" w:rsidRPr="0089245C">
        <w:rPr>
          <w:rFonts w:eastAsiaTheme="minorHAnsi" w:cs="Arial"/>
          <w:sz w:val="12"/>
          <w:szCs w:val="12"/>
          <w:lang w:val="es-ES" w:eastAsia="en-US"/>
        </w:rPr>
        <w:t>as</w:t>
      </w:r>
      <w:r>
        <w:rPr>
          <w:rFonts w:eastAsiaTheme="minorHAnsi" w:cs="Arial"/>
          <w:sz w:val="12"/>
          <w:szCs w:val="12"/>
          <w:lang w:val="es-ES" w:eastAsia="en-US"/>
        </w:rPr>
        <w:t>e de datos de la investigación O</w:t>
      </w:r>
      <w:r w:rsidR="0089245C" w:rsidRPr="0089245C">
        <w:rPr>
          <w:rFonts w:eastAsiaTheme="minorHAnsi" w:cs="Arial"/>
          <w:sz w:val="12"/>
          <w:szCs w:val="12"/>
          <w:lang w:val="es-ES" w:eastAsia="en-US"/>
        </w:rPr>
        <w:t>btención y Selección de imágen</w:t>
      </w:r>
      <w:r>
        <w:rPr>
          <w:rFonts w:eastAsiaTheme="minorHAnsi" w:cs="Arial"/>
          <w:sz w:val="12"/>
          <w:szCs w:val="12"/>
          <w:lang w:val="es-ES" w:eastAsia="en-US"/>
        </w:rPr>
        <w:t>es de cérvix uterino de estado n</w:t>
      </w:r>
      <w:r w:rsidR="0089245C" w:rsidRPr="0089245C">
        <w:rPr>
          <w:rFonts w:eastAsiaTheme="minorHAnsi" w:cs="Arial"/>
          <w:sz w:val="12"/>
          <w:szCs w:val="12"/>
          <w:lang w:val="es-ES" w:eastAsia="en-US"/>
        </w:rPr>
        <w:t>ormal</w:t>
      </w:r>
    </w:p>
    <w:p w:rsidR="0089245C" w:rsidRPr="0089245C" w:rsidRDefault="0089245C" w:rsidP="00125BCC">
      <w:pPr>
        <w:spacing w:after="0" w:line="240" w:lineRule="auto"/>
        <w:jc w:val="center"/>
        <w:rPr>
          <w:rFonts w:eastAsiaTheme="minorHAnsi" w:cs="Arial"/>
          <w:sz w:val="12"/>
          <w:szCs w:val="12"/>
          <w:lang w:val="es-ES" w:eastAsia="en-US"/>
        </w:rPr>
      </w:pPr>
      <w:r w:rsidRPr="0089245C">
        <w:rPr>
          <w:rFonts w:eastAsiaTheme="minorHAnsi" w:cs="Arial"/>
          <w:sz w:val="12"/>
          <w:szCs w:val="12"/>
          <w:lang w:val="es-ES" w:eastAsia="en-US"/>
        </w:rPr>
        <w:t>Y lesiones neoplásicas</w:t>
      </w:r>
    </w:p>
    <w:p w:rsidR="0089245C" w:rsidRPr="0089245C" w:rsidRDefault="0089245C" w:rsidP="0089245C">
      <w:pPr>
        <w:spacing w:line="240" w:lineRule="auto"/>
        <w:jc w:val="both"/>
        <w:rPr>
          <w:rFonts w:eastAsiaTheme="minorHAnsi" w:cs="Arial"/>
          <w:sz w:val="24"/>
          <w:szCs w:val="24"/>
          <w:lang w:val="es-ES" w:eastAsia="en-US"/>
        </w:rPr>
      </w:pPr>
    </w:p>
    <w:p w:rsidR="0089245C" w:rsidRPr="0089245C" w:rsidRDefault="0089245C" w:rsidP="0089245C">
      <w:pPr>
        <w:spacing w:line="240" w:lineRule="auto"/>
        <w:jc w:val="both"/>
        <w:rPr>
          <w:rFonts w:eastAsiaTheme="minorHAnsi" w:cs="Arial"/>
          <w:b/>
          <w:sz w:val="24"/>
          <w:szCs w:val="24"/>
          <w:lang w:val="es-ES" w:eastAsia="en-US"/>
        </w:rPr>
        <w:sectPr w:rsidR="0089245C" w:rsidRPr="0089245C" w:rsidSect="00195604">
          <w:headerReference w:type="default" r:id="rId26"/>
          <w:footerReference w:type="default" r:id="rId27"/>
          <w:pgSz w:w="12240" w:h="15840"/>
          <w:pgMar w:top="567" w:right="567" w:bottom="567" w:left="567" w:header="709" w:footer="709" w:gutter="0"/>
          <w:pgNumType w:start="1"/>
          <w:cols w:space="708"/>
          <w:docGrid w:linePitch="360"/>
        </w:sectPr>
      </w:pPr>
    </w:p>
    <w:p w:rsidR="0089245C" w:rsidRPr="0089245C" w:rsidRDefault="00232341" w:rsidP="0089245C">
      <w:pPr>
        <w:spacing w:line="240" w:lineRule="auto"/>
        <w:jc w:val="both"/>
        <w:rPr>
          <w:rFonts w:ascii="Arial" w:eastAsiaTheme="minorHAnsi" w:hAnsi="Arial" w:cs="Arial"/>
          <w:sz w:val="24"/>
          <w:szCs w:val="24"/>
          <w:lang w:val="es-ES" w:eastAsia="en-US"/>
        </w:rPr>
      </w:pPr>
      <w:r>
        <w:rPr>
          <w:rFonts w:ascii="Arial" w:eastAsiaTheme="minorHAnsi" w:hAnsi="Arial" w:cs="Arial"/>
          <w:b/>
          <w:sz w:val="24"/>
          <w:szCs w:val="24"/>
          <w:lang w:val="es-ES" w:eastAsia="en-US"/>
        </w:rPr>
        <w:lastRenderedPageBreak/>
        <w:t xml:space="preserve">VII. </w:t>
      </w:r>
      <w:r w:rsidR="008248CA" w:rsidRPr="008248CA">
        <w:rPr>
          <w:rFonts w:ascii="Arial" w:eastAsiaTheme="minorHAnsi" w:hAnsi="Arial" w:cs="Arial"/>
          <w:b/>
          <w:sz w:val="24"/>
          <w:szCs w:val="24"/>
          <w:lang w:val="es-ES" w:eastAsia="en-US"/>
        </w:rPr>
        <w:t>DISCUSIÓN</w:t>
      </w:r>
      <w:r w:rsidR="0089245C" w:rsidRPr="0089245C">
        <w:rPr>
          <w:rFonts w:ascii="Arial" w:eastAsiaTheme="minorHAnsi" w:hAnsi="Arial" w:cs="Arial"/>
          <w:b/>
          <w:sz w:val="24"/>
          <w:szCs w:val="24"/>
          <w:lang w:val="es-ES" w:eastAsia="en-US"/>
        </w:rPr>
        <w:t xml:space="preserve"> </w:t>
      </w:r>
    </w:p>
    <w:p w:rsidR="0089245C" w:rsidRP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Las pacientes de la clínica de displasias</w:t>
      </w:r>
      <w:r w:rsidR="008248CA" w:rsidRPr="008248CA">
        <w:rPr>
          <w:rFonts w:ascii="Arial" w:eastAsiaTheme="minorHAnsi" w:hAnsi="Arial" w:cs="Arial"/>
          <w:sz w:val="24"/>
          <w:szCs w:val="24"/>
          <w:lang w:val="es-ES" w:eastAsia="en-US"/>
        </w:rPr>
        <w:t xml:space="preserve"> del Hospital General</w:t>
      </w:r>
      <w:r w:rsidRPr="0089245C">
        <w:rPr>
          <w:rFonts w:ascii="Arial" w:eastAsiaTheme="minorHAnsi" w:hAnsi="Arial" w:cs="Arial"/>
          <w:sz w:val="24"/>
          <w:szCs w:val="24"/>
          <w:lang w:val="es-ES" w:eastAsia="en-US"/>
        </w:rPr>
        <w:t xml:space="preserve"> tienen edades que oscilan entre los 20 y 60 años predominando el rango de edad de 31 a 40 años tiempo en el que la mayoría de las mujeres mexicanas tienen vida sexual activa. </w:t>
      </w:r>
    </w:p>
    <w:p w:rsidR="0089245C" w:rsidRP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 xml:space="preserve">El estado de nutrición por rango de edad de acuerdo al Índice de Masa Corporal (IMC) muestra sobrepeso en todas las edades con predominio en las mujeres de 31-50 años, datos que coinciden con los reportados en la Encuesta Nacional de Salud y Nutrición2012 la cual menciona que predomina el sobrepeso en mujeres entre los 30 a 39 años. A nivel internacional también se observa similitud con </w:t>
      </w:r>
      <w:r w:rsidRPr="0089245C">
        <w:rPr>
          <w:rFonts w:ascii="Arial" w:eastAsiaTheme="minorHAnsi" w:hAnsi="Arial" w:cs="Arial"/>
          <w:color w:val="000000"/>
          <w:sz w:val="24"/>
          <w:szCs w:val="24"/>
          <w:lang w:eastAsia="en-US"/>
        </w:rPr>
        <w:t>el estudio “TheState of Food and Agriculture 2013″ de la Organización de las Naciones Unidas para la Alimentación y la Agricultura (FAO) que menciona que siete de cada 10 adultos tienen sobrepeso.</w:t>
      </w:r>
    </w:p>
    <w:p w:rsidR="0089245C" w:rsidRPr="0089245C" w:rsidRDefault="0089245C" w:rsidP="0089245C">
      <w:pPr>
        <w:spacing w:line="240" w:lineRule="auto"/>
        <w:jc w:val="both"/>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En el caso de obesidad las mujeres del estudio la presentan a partir de los 31 a 60 años. Situación que es comentada en la Encuesta Nacional de Salud y Nutrición 2012 ya que menciona la prevalencia de obesidad en mujeres que es de 31.6% entre los 50 a los 59 años.</w:t>
      </w:r>
    </w:p>
    <w:p w:rsidR="0089245C" w:rsidRPr="0089245C" w:rsidRDefault="0089245C" w:rsidP="0089245C">
      <w:pPr>
        <w:shd w:val="clear" w:color="auto" w:fill="FFFFFF"/>
        <w:spacing w:after="0" w:line="240" w:lineRule="auto"/>
        <w:ind w:right="272"/>
        <w:jc w:val="both"/>
        <w:textAlignment w:val="baseline"/>
        <w:rPr>
          <w:rFonts w:ascii="Arial" w:eastAsiaTheme="minorHAnsi" w:hAnsi="Arial" w:cs="Arial"/>
          <w:sz w:val="24"/>
          <w:szCs w:val="24"/>
          <w:lang w:val="es-ES" w:eastAsia="en-US"/>
        </w:rPr>
      </w:pPr>
      <w:r w:rsidRPr="0089245C">
        <w:rPr>
          <w:rFonts w:ascii="Arial" w:eastAsiaTheme="minorHAnsi" w:hAnsi="Arial" w:cs="Arial"/>
          <w:sz w:val="24"/>
          <w:szCs w:val="24"/>
          <w:lang w:val="es-ES" w:eastAsia="en-US"/>
        </w:rPr>
        <w:t>En cuestión al Índice Cintura/Cadera como predictor de enfermedades cardiovasculares se encontró el 73.35% de riesgo alto de las pacientes estudiadas y 21.2% de riesgo bajo. La OMS menciona que el riesgo a padecer enfermedades cardiovasculares se verá influenciado principalmente por malos hábitos de alimentación, falta de actividad física, obesidad entre otros.</w:t>
      </w:r>
      <w:r w:rsidRPr="0089245C">
        <w:rPr>
          <w:rFonts w:ascii="Arial" w:eastAsiaTheme="minorHAnsi" w:hAnsi="Arial" w:cs="Arial"/>
          <w:color w:val="333333"/>
          <w:sz w:val="18"/>
          <w:szCs w:val="18"/>
          <w:lang w:eastAsia="en-US"/>
        </w:rPr>
        <w:t xml:space="preserve">  </w:t>
      </w:r>
    </w:p>
    <w:p w:rsidR="0089245C" w:rsidRPr="0089245C" w:rsidRDefault="0089245C" w:rsidP="0089245C">
      <w:pPr>
        <w:autoSpaceDE w:val="0"/>
        <w:autoSpaceDN w:val="0"/>
        <w:adjustRightInd w:val="0"/>
        <w:spacing w:after="0"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val="es-ES" w:eastAsia="en-US"/>
        </w:rPr>
        <w:t xml:space="preserve">En cuanto a la relación estado de nutrición mediante el IMC y lesiones de cérvix uterino existe diferencia en edades entre 20-30 años se observa diagnostico normal/ sobrepeso y neoplasia intraepitelial cervical grado I (NIC I), en las pacientes de 31-50añoscondiagnóstico de sobrepeso/obesidad y neoplasia intraepitelial cervical grado I (NIC I). </w:t>
      </w:r>
      <w:r w:rsidRPr="0089245C">
        <w:rPr>
          <w:rFonts w:ascii="Arial" w:eastAsiaTheme="minorHAnsi" w:hAnsi="Arial" w:cs="Arial"/>
          <w:sz w:val="24"/>
          <w:szCs w:val="24"/>
          <w:lang w:eastAsia="en-US"/>
        </w:rPr>
        <w:t>Resultados coincidentes con los datos de la Encuesta Nacional de Salud y Nutrición 2006. Que apoyan la propuesta de que la obesidad podría considerarse como factor de riesgo para lesiones preneoplásicas en el cuello uterino. (11)</w:t>
      </w:r>
    </w:p>
    <w:p w:rsidR="0089245C" w:rsidRPr="0089245C" w:rsidRDefault="0089245C" w:rsidP="0089245C">
      <w:pPr>
        <w:autoSpaceDE w:val="0"/>
        <w:autoSpaceDN w:val="0"/>
        <w:adjustRightInd w:val="0"/>
        <w:spacing w:after="0" w:line="240" w:lineRule="auto"/>
        <w:jc w:val="both"/>
        <w:rPr>
          <w:rFonts w:ascii="Arial" w:eastAsiaTheme="minorHAnsi" w:hAnsi="Arial" w:cs="Arial"/>
          <w:sz w:val="24"/>
          <w:szCs w:val="24"/>
          <w:lang w:eastAsia="en-US"/>
        </w:rPr>
      </w:pPr>
    </w:p>
    <w:p w:rsidR="0089245C" w:rsidRPr="0089245C" w:rsidRDefault="0089245C" w:rsidP="0089245C">
      <w:pPr>
        <w:autoSpaceDE w:val="0"/>
        <w:autoSpaceDN w:val="0"/>
        <w:adjustRightInd w:val="0"/>
        <w:spacing w:after="0"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eastAsia="en-US"/>
        </w:rPr>
        <w:t>La cantidad de grasa corporal de acuerdo al parámetro de referencia en bioimpedancia eléctrica marca que más de la mitad de las pacientes se encontraban por arriba del máximo de los parámetros de referencia y menos de la mitad estaba en la media de kg en grasa de acuerdo a la edad y talla.</w:t>
      </w:r>
    </w:p>
    <w:p w:rsidR="0089245C" w:rsidRPr="0089245C" w:rsidRDefault="0089245C" w:rsidP="0089245C">
      <w:pPr>
        <w:autoSpaceDE w:val="0"/>
        <w:autoSpaceDN w:val="0"/>
        <w:adjustRightInd w:val="0"/>
        <w:spacing w:after="0"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eastAsia="en-US"/>
        </w:rPr>
        <w:t>La relación entre el estado de nutrición y el desarrollo de lesiones de cérvix uterino se encontró gran prevalencia de pacientes con lesiones de cuello uterino y diagnostico nutricional de sobrepeso, obesidad y alta cantidad de grasa corporal.</w:t>
      </w:r>
    </w:p>
    <w:p w:rsidR="0089245C" w:rsidRPr="0089245C" w:rsidRDefault="0089245C" w:rsidP="0089245C">
      <w:pPr>
        <w:autoSpaceDE w:val="0"/>
        <w:autoSpaceDN w:val="0"/>
        <w:adjustRightInd w:val="0"/>
        <w:spacing w:after="0" w:line="240" w:lineRule="auto"/>
        <w:jc w:val="both"/>
        <w:rPr>
          <w:rFonts w:ascii="Arial" w:eastAsiaTheme="minorHAnsi" w:hAnsi="Arial" w:cs="Arial"/>
          <w:sz w:val="24"/>
          <w:szCs w:val="24"/>
          <w:lang w:eastAsia="en-US"/>
        </w:rPr>
      </w:pPr>
    </w:p>
    <w:p w:rsidR="0089245C" w:rsidRPr="0089245C" w:rsidRDefault="0089245C" w:rsidP="0089245C">
      <w:pPr>
        <w:spacing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eastAsia="en-US"/>
        </w:rPr>
        <w:t>La población objeto de estudio de la clínica de displasias en edades de 20 a 30 años tienen bajo consumo de macronutrientes es decir no cubren en su totalidad la cantidad de energía que necesitan al día. Esto se puede relacionar con el cuidado de la apariencia física, ya que generalmente en estas edades se tiende a comer poco, para mantenerse físicamente delgadas.</w:t>
      </w:r>
    </w:p>
    <w:p w:rsidR="0089245C" w:rsidRPr="0089245C" w:rsidRDefault="0089245C" w:rsidP="0089245C">
      <w:pPr>
        <w:spacing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eastAsia="en-US"/>
        </w:rPr>
        <w:t>En cuanto al rango de 31 a 40 años se observó un alto consumo de hidratos de carbono y proteína pero con bajo consumo de lípidos. Esto se puede atribuir a que las mujeres consumen menos cantidad de grasa como una forma de reducir su peso corporal.</w:t>
      </w:r>
    </w:p>
    <w:p w:rsidR="0089245C" w:rsidRPr="0089245C" w:rsidRDefault="0089245C" w:rsidP="0089245C">
      <w:pPr>
        <w:spacing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eastAsia="en-US"/>
        </w:rPr>
        <w:lastRenderedPageBreak/>
        <w:t xml:space="preserve">En edades de 41 a 50 se observa bajo consumo de hidratos de carbono, proteína y lípidos, su bajo consumo en nutrimentos se puede vincular con el tipo de lesión de cérvix que presenta, o si se encuentra en la menopausia ya que en esta etapa las mujeres tienden a tener cambios hormonales, emocionales y físicos. </w:t>
      </w:r>
    </w:p>
    <w:p w:rsidR="0089245C" w:rsidRDefault="0089245C" w:rsidP="0089245C">
      <w:pPr>
        <w:spacing w:line="240" w:lineRule="auto"/>
        <w:jc w:val="both"/>
        <w:rPr>
          <w:rFonts w:ascii="Arial" w:eastAsiaTheme="minorHAnsi" w:hAnsi="Arial" w:cs="Arial"/>
          <w:sz w:val="24"/>
          <w:szCs w:val="24"/>
          <w:lang w:eastAsia="en-US"/>
        </w:rPr>
      </w:pPr>
      <w:r w:rsidRPr="0089245C">
        <w:rPr>
          <w:rFonts w:ascii="Arial" w:eastAsiaTheme="minorHAnsi" w:hAnsi="Arial" w:cs="Arial"/>
          <w:sz w:val="24"/>
          <w:szCs w:val="24"/>
          <w:lang w:eastAsia="en-US"/>
        </w:rPr>
        <w:t>Finalmente en edades de 51 a 60 años hay alto consumo de hidratos de carbono y proteínas; así como bajo consumo de lípidos.</w:t>
      </w:r>
    </w:p>
    <w:p w:rsidR="008248CA" w:rsidRDefault="008248CA">
      <w:pPr>
        <w:rPr>
          <w:rFonts w:eastAsiaTheme="minorHAnsi"/>
          <w:sz w:val="24"/>
          <w:szCs w:val="24"/>
          <w:lang w:eastAsia="en-US"/>
        </w:rPr>
      </w:pPr>
      <w:r>
        <w:rPr>
          <w:rFonts w:eastAsiaTheme="minorHAnsi"/>
          <w:sz w:val="24"/>
          <w:szCs w:val="24"/>
          <w:lang w:eastAsia="en-US"/>
        </w:rPr>
        <w:br w:type="page"/>
      </w:r>
    </w:p>
    <w:p w:rsidR="008248CA" w:rsidRPr="0089245C" w:rsidRDefault="008248CA" w:rsidP="0089245C">
      <w:pPr>
        <w:jc w:val="both"/>
        <w:rPr>
          <w:rFonts w:eastAsiaTheme="minorHAnsi"/>
          <w:sz w:val="24"/>
          <w:szCs w:val="24"/>
          <w:lang w:eastAsia="en-US"/>
        </w:rPr>
      </w:pPr>
    </w:p>
    <w:p w:rsidR="000E1BAC" w:rsidRDefault="000E1BAC" w:rsidP="000E1BAC">
      <w:pPr>
        <w:spacing w:line="360" w:lineRule="auto"/>
        <w:rPr>
          <w:rFonts w:ascii="Arial" w:hAnsi="Arial" w:cs="Arial"/>
          <w:sz w:val="24"/>
          <w:szCs w:val="24"/>
        </w:rPr>
      </w:pPr>
      <w:r>
        <w:rPr>
          <w:rFonts w:ascii="Arial" w:hAnsi="Arial" w:cs="Arial"/>
          <w:sz w:val="24"/>
          <w:szCs w:val="24"/>
        </w:rPr>
        <w:t>REFERENCIAS</w:t>
      </w:r>
    </w:p>
    <w:p w:rsidR="000E1BAC" w:rsidRPr="00532119" w:rsidRDefault="000E1BAC" w:rsidP="008248CA">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 xml:space="preserve">Alvero, C.J., Diego, A.A., Fernández, P. V. y García, R.J. (2005). Métodos de evaluación de la composición corporal: Tendencias actuales. </w:t>
      </w:r>
      <w:r w:rsidRPr="00532119">
        <w:rPr>
          <w:rFonts w:ascii="Times New Roman" w:hAnsi="Times New Roman" w:cs="Times New Roman"/>
          <w:i/>
          <w:sz w:val="24"/>
          <w:szCs w:val="24"/>
        </w:rPr>
        <w:t xml:space="preserve">Archivos de Medicina del Deporte, </w:t>
      </w:r>
      <w:r w:rsidRPr="00532119">
        <w:rPr>
          <w:rFonts w:ascii="Times New Roman" w:hAnsi="Times New Roman" w:cs="Times New Roman"/>
          <w:sz w:val="24"/>
          <w:szCs w:val="24"/>
        </w:rPr>
        <w:t xml:space="preserve">XII (105), 45-49. Disponible en: </w:t>
      </w:r>
      <w:hyperlink r:id="rId28" w:history="1">
        <w:r w:rsidRPr="00532119">
          <w:rPr>
            <w:rStyle w:val="Hipervnculo"/>
            <w:rFonts w:ascii="Times New Roman" w:hAnsi="Times New Roman" w:cs="Times New Roman"/>
            <w:sz w:val="24"/>
            <w:szCs w:val="24"/>
          </w:rPr>
          <w:t>http://femede.es/documentos/Revision_tendenciasII_45_105.pdf</w:t>
        </w:r>
      </w:hyperlink>
    </w:p>
    <w:p w:rsidR="000E1BAC" w:rsidRPr="00532119"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Alaniz, A., Ortuño, M., Cruz, M. y Alaniz, T. (2011). Lesión escamosa intraepitelial de bajo grado y su correlación citocolpohistologica. Revista de la Facultad de Medicina de la UNAM, 54(6): 13-17. Disponible en: http://www.medigraphic.com/pdfs/facmed/un-2011/un116d.pdf</w:t>
      </w:r>
    </w:p>
    <w:p w:rsidR="000E1BAC" w:rsidRPr="00532119"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 xml:space="preserve">Anderson, H. Mardones F. y Ravasco, P. (2010). Métodos de valoración del estado nutricional. </w:t>
      </w:r>
      <w:r w:rsidRPr="00532119">
        <w:rPr>
          <w:rFonts w:ascii="Times New Roman" w:hAnsi="Times New Roman" w:cs="Times New Roman"/>
          <w:i/>
          <w:sz w:val="24"/>
          <w:szCs w:val="24"/>
        </w:rPr>
        <w:t xml:space="preserve">Nutr. Hosp, </w:t>
      </w:r>
      <w:r w:rsidRPr="00532119">
        <w:rPr>
          <w:rFonts w:ascii="Times New Roman" w:hAnsi="Times New Roman" w:cs="Times New Roman"/>
          <w:sz w:val="24"/>
          <w:szCs w:val="24"/>
        </w:rPr>
        <w:t xml:space="preserve">25 (3), 57-66. Disponible en:  </w:t>
      </w:r>
      <w:hyperlink r:id="rId29" w:history="1">
        <w:r w:rsidRPr="00532119">
          <w:rPr>
            <w:rStyle w:val="Hipervnculo"/>
            <w:rFonts w:ascii="Times New Roman" w:hAnsi="Times New Roman" w:cs="Times New Roman"/>
            <w:sz w:val="24"/>
            <w:szCs w:val="24"/>
          </w:rPr>
          <w:t>http://scielo.isciii.es/pdf/nh/v25s3/09_articulo_09.pdf</w:t>
        </w:r>
      </w:hyperlink>
      <w:r w:rsidRPr="00532119">
        <w:rPr>
          <w:rFonts w:ascii="Times New Roman" w:hAnsi="Times New Roman" w:cs="Times New Roman"/>
          <w:sz w:val="24"/>
          <w:szCs w:val="24"/>
        </w:rPr>
        <w:t xml:space="preserve"> </w:t>
      </w:r>
    </w:p>
    <w:p w:rsidR="000E1BAC" w:rsidRPr="00532119" w:rsidRDefault="000E1BAC" w:rsidP="000E1BAC">
      <w:pPr>
        <w:spacing w:line="360" w:lineRule="auto"/>
        <w:ind w:firstLine="708"/>
        <w:rPr>
          <w:rFonts w:ascii="Times New Roman" w:hAnsi="Times New Roman" w:cs="Times New Roman"/>
          <w:color w:val="333333"/>
          <w:sz w:val="24"/>
          <w:szCs w:val="24"/>
        </w:rPr>
      </w:pPr>
      <w:r w:rsidRPr="00532119">
        <w:rPr>
          <w:rFonts w:ascii="Times New Roman" w:hAnsi="Times New Roman" w:cs="Times New Roman"/>
          <w:sz w:val="24"/>
          <w:szCs w:val="24"/>
        </w:rPr>
        <w:t xml:space="preserve">Barra, R., Martinez, R., Rico, M. y Vázquez, S. (2009). Cáncer cervicouterino; la importancia para el médico general. </w:t>
      </w:r>
      <w:r w:rsidRPr="00532119">
        <w:rPr>
          <w:rFonts w:ascii="Times New Roman" w:hAnsi="Times New Roman" w:cs="Times New Roman"/>
          <w:i/>
          <w:sz w:val="24"/>
          <w:szCs w:val="24"/>
        </w:rPr>
        <w:t>Gaceta Mexicana de Oncología,</w:t>
      </w:r>
      <w:r w:rsidRPr="00532119">
        <w:rPr>
          <w:rFonts w:ascii="Times New Roman" w:hAnsi="Times New Roman" w:cs="Times New Roman"/>
          <w:sz w:val="24"/>
          <w:szCs w:val="24"/>
        </w:rPr>
        <w:t>8 (3), 127-131. Disponible en</w:t>
      </w:r>
      <w:r w:rsidRPr="00532119">
        <w:rPr>
          <w:rFonts w:ascii="Times New Roman" w:hAnsi="Times New Roman" w:cs="Times New Roman"/>
          <w:color w:val="333333"/>
          <w:sz w:val="24"/>
          <w:szCs w:val="24"/>
        </w:rPr>
        <w:t xml:space="preserve">: </w:t>
      </w:r>
      <w:hyperlink r:id="rId30" w:history="1">
        <w:r w:rsidRPr="00532119">
          <w:rPr>
            <w:rStyle w:val="Hipervnculo"/>
            <w:rFonts w:ascii="Times New Roman" w:hAnsi="Times New Roman" w:cs="Times New Roman"/>
            <w:sz w:val="24"/>
            <w:szCs w:val="24"/>
          </w:rPr>
          <w:t xml:space="preserve"> http://www.elsevier.es/es-revista-gaceta-mexicana-oncologia-305-articulo-cancer-cervicouterino-importancia-medico-general-13150134f</w:t>
        </w:r>
      </w:hyperlink>
      <w:r w:rsidRPr="00532119">
        <w:rPr>
          <w:rFonts w:ascii="Times New Roman" w:hAnsi="Times New Roman" w:cs="Times New Roman"/>
          <w:sz w:val="24"/>
          <w:szCs w:val="24"/>
        </w:rPr>
        <w:t xml:space="preserve"> </w:t>
      </w:r>
      <w:r w:rsidRPr="00532119">
        <w:rPr>
          <w:rFonts w:ascii="Times New Roman" w:hAnsi="Times New Roman" w:cs="Times New Roman"/>
          <w:color w:val="333333"/>
          <w:sz w:val="24"/>
          <w:szCs w:val="24"/>
        </w:rPr>
        <w:t xml:space="preserve"> </w:t>
      </w:r>
    </w:p>
    <w:p w:rsidR="000E1BAC" w:rsidRPr="00532119" w:rsidRDefault="000E1BAC" w:rsidP="00AE536B">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 xml:space="preserve">Bernal, F.J. y Rodríguez B.E. (2007). Impedancia bioeléctrica y su aplicación en el ámbito hospitalario. </w:t>
      </w:r>
      <w:r w:rsidRPr="00532119">
        <w:rPr>
          <w:rFonts w:ascii="Times New Roman" w:hAnsi="Times New Roman" w:cs="Times New Roman"/>
          <w:i/>
          <w:sz w:val="24"/>
          <w:szCs w:val="24"/>
        </w:rPr>
        <w:t xml:space="preserve">Rev. Hosp. Jua. Mex, </w:t>
      </w:r>
      <w:r w:rsidRPr="00532119">
        <w:rPr>
          <w:rFonts w:ascii="Times New Roman" w:hAnsi="Times New Roman" w:cs="Times New Roman"/>
          <w:sz w:val="24"/>
          <w:szCs w:val="24"/>
        </w:rPr>
        <w:t xml:space="preserve">74(2): 104-112. Disponible en: </w:t>
      </w:r>
      <w:hyperlink r:id="rId31" w:history="1">
        <w:r w:rsidRPr="00532119">
          <w:rPr>
            <w:rStyle w:val="Hipervnculo"/>
            <w:rFonts w:ascii="Times New Roman" w:hAnsi="Times New Roman" w:cs="Times New Roman"/>
            <w:sz w:val="24"/>
            <w:szCs w:val="24"/>
          </w:rPr>
          <w:t>http://www.medigraphic.com/pdfs/juarez/ju-2007/ju072m.pdf</w:t>
        </w:r>
      </w:hyperlink>
    </w:p>
    <w:p w:rsidR="000E1BAC"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 xml:space="preserve">Campero, L., Atienzo, E., Suarez, L., Hernandez, P. y Villalobos A. (2013). Salud sexual y reproductiva en los adolescentes en México: evidencias y propuestas. Gaceta Médica de México, 149: 299-307. Recuperado de:  </w:t>
      </w:r>
      <w:hyperlink r:id="rId32" w:history="1">
        <w:r w:rsidRPr="00116A4D">
          <w:rPr>
            <w:rStyle w:val="Hipervnculo"/>
            <w:rFonts w:ascii="Times New Roman" w:hAnsi="Times New Roman" w:cs="Times New Roman"/>
            <w:sz w:val="24"/>
            <w:szCs w:val="24"/>
          </w:rPr>
          <w:t>http://www.anmm.org.mx/GMM/2013/n3/GMM_149_2013_3_299-307.pdf</w:t>
        </w:r>
      </w:hyperlink>
    </w:p>
    <w:p w:rsidR="000E1BAC" w:rsidRPr="00532119" w:rsidRDefault="000E1BAC" w:rsidP="000E1BAC">
      <w:pPr>
        <w:spacing w:line="360" w:lineRule="auto"/>
        <w:ind w:firstLine="708"/>
        <w:rPr>
          <w:rFonts w:ascii="Times New Roman" w:hAnsi="Times New Roman" w:cs="Times New Roman"/>
          <w:sz w:val="24"/>
          <w:szCs w:val="24"/>
        </w:rPr>
      </w:pPr>
      <w:r w:rsidRPr="0068793E">
        <w:rPr>
          <w:rFonts w:ascii="Times New Roman" w:hAnsi="Times New Roman" w:cs="Times New Roman"/>
          <w:sz w:val="24"/>
          <w:szCs w:val="24"/>
        </w:rPr>
        <w:t>Canche, J.R., Canul, J., Suarez, R., de Anda R., y González, M.R. (2011). Infección por el Virus del Papiloma Humano en mujeres recluidas en Centros de Readaptación Social en el sureste de México</w:t>
      </w:r>
      <w:r w:rsidRPr="0068793E">
        <w:rPr>
          <w:rFonts w:ascii="Times New Roman" w:hAnsi="Times New Roman" w:cs="Times New Roman"/>
          <w:i/>
          <w:sz w:val="24"/>
          <w:szCs w:val="24"/>
        </w:rPr>
        <w:t>. Rev. Esp. Sanid. Penit</w:t>
      </w:r>
      <w:r w:rsidRPr="0068793E">
        <w:rPr>
          <w:rFonts w:ascii="Times New Roman" w:hAnsi="Times New Roman" w:cs="Times New Roman"/>
          <w:sz w:val="24"/>
          <w:szCs w:val="24"/>
        </w:rPr>
        <w:t xml:space="preserve">. 13(3): </w:t>
      </w:r>
      <w:r>
        <w:rPr>
          <w:rFonts w:ascii="Times New Roman" w:hAnsi="Times New Roman" w:cs="Times New Roman"/>
          <w:sz w:val="24"/>
          <w:szCs w:val="24"/>
        </w:rPr>
        <w:t xml:space="preserve">84-90. Disponible en: </w:t>
      </w:r>
      <w:hyperlink r:id="rId33" w:history="1">
        <w:r w:rsidRPr="00116A4D">
          <w:rPr>
            <w:rStyle w:val="Hipervnculo"/>
            <w:rFonts w:ascii="Times New Roman" w:hAnsi="Times New Roman" w:cs="Times New Roman"/>
            <w:sz w:val="24"/>
            <w:szCs w:val="24"/>
          </w:rPr>
          <w:t>http://scielo.isciii.es/pdf/sanipe/v13n3/03_original2.pdf</w:t>
        </w:r>
      </w:hyperlink>
      <w:r>
        <w:rPr>
          <w:rFonts w:ascii="Times New Roman" w:hAnsi="Times New Roman" w:cs="Times New Roman"/>
          <w:sz w:val="24"/>
          <w:szCs w:val="24"/>
        </w:rPr>
        <w:t xml:space="preserve">  </w:t>
      </w:r>
    </w:p>
    <w:p w:rsidR="000E1BAC" w:rsidRPr="00532119" w:rsidRDefault="000E1BAC" w:rsidP="000E1BAC">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 xml:space="preserve">Carbajal, A. (2013). Manual de nutrición y dietética. </w:t>
      </w:r>
      <w:r w:rsidRPr="00532119">
        <w:rPr>
          <w:rFonts w:ascii="Times New Roman" w:hAnsi="Times New Roman" w:cs="Times New Roman"/>
          <w:i/>
          <w:sz w:val="24"/>
          <w:szCs w:val="24"/>
        </w:rPr>
        <w:t>Universidad Compútense de Madrid.</w:t>
      </w:r>
      <w:r w:rsidRPr="00532119">
        <w:rPr>
          <w:rFonts w:ascii="Times New Roman" w:hAnsi="Times New Roman" w:cs="Times New Roman"/>
          <w:sz w:val="24"/>
          <w:szCs w:val="24"/>
        </w:rPr>
        <w:t xml:space="preserve"> Disponible en: </w:t>
      </w:r>
      <w:hyperlink r:id="rId34" w:history="1">
        <w:r w:rsidRPr="00532119">
          <w:rPr>
            <w:rStyle w:val="Hipervnculo"/>
            <w:rFonts w:ascii="Times New Roman" w:hAnsi="Times New Roman" w:cs="Times New Roman"/>
            <w:sz w:val="24"/>
            <w:szCs w:val="24"/>
          </w:rPr>
          <w:t>https://www.ucm.es/nutricioncarbajal/</w:t>
        </w:r>
      </w:hyperlink>
      <w:r w:rsidRPr="00532119">
        <w:rPr>
          <w:rFonts w:ascii="Times New Roman" w:hAnsi="Times New Roman" w:cs="Times New Roman"/>
          <w:sz w:val="24"/>
          <w:szCs w:val="24"/>
        </w:rPr>
        <w:t xml:space="preserve"> </w:t>
      </w:r>
    </w:p>
    <w:p w:rsidR="000E1BAC" w:rsidRPr="00532119"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 xml:space="preserve">Castillo, J. L. y Zenteno, R (2004). Valoración del Estado Nutricional. </w:t>
      </w:r>
      <w:r w:rsidRPr="00532119">
        <w:rPr>
          <w:rFonts w:ascii="Times New Roman" w:hAnsi="Times New Roman" w:cs="Times New Roman"/>
          <w:i/>
          <w:sz w:val="24"/>
          <w:szCs w:val="24"/>
        </w:rPr>
        <w:t>Instituto de Salud Pública Universidad Veracruzana</w:t>
      </w:r>
      <w:r w:rsidRPr="00532119">
        <w:rPr>
          <w:rFonts w:ascii="Times New Roman" w:hAnsi="Times New Roman" w:cs="Times New Roman"/>
          <w:sz w:val="24"/>
          <w:szCs w:val="24"/>
        </w:rPr>
        <w:t xml:space="preserve">. Facultad de Nutrición Universidad Veracruzana. 4 (2) </w:t>
      </w:r>
    </w:p>
    <w:p w:rsidR="000E1BAC" w:rsidRPr="00532119"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lastRenderedPageBreak/>
        <w:t>Diario Oficial de la Federación. (2010). Norma Oficial Mexicana, NOM-051-SCFI/SSA1. Especificaciones generales del etiquetado para alimentos y bebidas no alcohólicas, preenvasados-información general y sanitaria. Apartado 5.1 Cálculo de nutrimentos. Disponible en: http://dof.gob.mx/nota_detalle.php?codigo=5137518&amp;fecha=05/04/2010</w:t>
      </w:r>
    </w:p>
    <w:p w:rsidR="000E1BAC" w:rsidRPr="00532119"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Escott-Stump, S, Mahan, L. K. y Raymod J.L. (2009). Krause Dietoterapia. España: Ed. MASSON.</w:t>
      </w:r>
    </w:p>
    <w:p w:rsidR="000E1BAC" w:rsidRPr="00532119" w:rsidRDefault="000E1BAC" w:rsidP="00AE536B">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 xml:space="preserve">Gutiérrez, S. y Terán, Y. (2009). Epidemiologia de las lesiones de cérvix en un hospital público. Desarrollo Cientif, Enferm, 17(1): 4-8. Disponible en: </w:t>
      </w:r>
      <w:hyperlink r:id="rId35" w:history="1">
        <w:r w:rsidRPr="00532119">
          <w:rPr>
            <w:rStyle w:val="Hipervnculo"/>
            <w:rFonts w:ascii="Times New Roman" w:hAnsi="Times New Roman" w:cs="Times New Roman"/>
            <w:sz w:val="24"/>
            <w:szCs w:val="24"/>
          </w:rPr>
          <w:t>http://www.uaslp.mx/Spanish/Academicas/FEn/OFE/MSP/Publicaciones/Documents/Art_Epid_Lesiones_cervix.pdf</w:t>
        </w:r>
      </w:hyperlink>
    </w:p>
    <w:p w:rsidR="000E1BAC" w:rsidRDefault="000E1BAC" w:rsidP="000E1BAC">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 xml:space="preserve">Instituto Nacional de las Mujeres. (s/f). Enfermedades de trasmisión sexual. Disponible en: </w:t>
      </w:r>
      <w:hyperlink r:id="rId36" w:history="1">
        <w:r w:rsidRPr="00532119">
          <w:rPr>
            <w:rStyle w:val="Hipervnculo"/>
            <w:rFonts w:ascii="Times New Roman" w:hAnsi="Times New Roman" w:cs="Times New Roman"/>
            <w:sz w:val="24"/>
            <w:szCs w:val="24"/>
          </w:rPr>
          <w:t>http://estadistica.inmujeres.gob.mx/formas/tarjetas/its_vih.pdf</w:t>
        </w:r>
      </w:hyperlink>
      <w:r w:rsidRPr="00532119">
        <w:rPr>
          <w:rFonts w:ascii="Times New Roman" w:hAnsi="Times New Roman" w:cs="Times New Roman"/>
          <w:sz w:val="24"/>
          <w:szCs w:val="24"/>
        </w:rPr>
        <w:t xml:space="preserve"> </w:t>
      </w:r>
    </w:p>
    <w:p w:rsidR="00260D51" w:rsidRDefault="007C1B09" w:rsidP="000E1BAC">
      <w:pPr>
        <w:spacing w:line="360" w:lineRule="auto"/>
        <w:ind w:firstLine="708"/>
        <w:rPr>
          <w:rFonts w:ascii="Times New Roman" w:hAnsi="Times New Roman" w:cs="Times New Roman"/>
          <w:sz w:val="24"/>
          <w:szCs w:val="24"/>
        </w:rPr>
      </w:pPr>
      <w:r>
        <w:rPr>
          <w:rFonts w:ascii="Times New Roman" w:hAnsi="Times New Roman" w:cs="Times New Roman"/>
          <w:sz w:val="24"/>
          <w:szCs w:val="24"/>
        </w:rPr>
        <w:t>Lacruz, C. 2003. Nomenclatura de las lesiones cervicales (de Papanicolaou a Bethesda 2001) Esp.</w:t>
      </w:r>
      <w:r w:rsidR="00260D51">
        <w:rPr>
          <w:rFonts w:ascii="Times New Roman" w:hAnsi="Times New Roman" w:cs="Times New Roman"/>
          <w:sz w:val="24"/>
          <w:szCs w:val="24"/>
        </w:rPr>
        <w:t xml:space="preserve"> Patol. 36 (1):5-10. Disponible en: </w:t>
      </w:r>
    </w:p>
    <w:p w:rsidR="007C1B09" w:rsidRDefault="00F4634A" w:rsidP="00260D51">
      <w:pPr>
        <w:spacing w:line="360" w:lineRule="auto"/>
        <w:rPr>
          <w:rFonts w:ascii="Times New Roman" w:hAnsi="Times New Roman" w:cs="Times New Roman"/>
          <w:sz w:val="24"/>
          <w:szCs w:val="24"/>
        </w:rPr>
      </w:pPr>
      <w:hyperlink r:id="rId37" w:history="1">
        <w:r w:rsidR="00260D51" w:rsidRPr="00736ADA">
          <w:rPr>
            <w:rStyle w:val="Hipervnculo"/>
            <w:rFonts w:ascii="Times New Roman" w:hAnsi="Times New Roman" w:cs="Times New Roman"/>
            <w:sz w:val="24"/>
            <w:szCs w:val="24"/>
          </w:rPr>
          <w:t>www.patologia.es/volumen36/vol36-num1/pdf%20patologia%2036-1/36-1-02.pdf</w:t>
        </w:r>
      </w:hyperlink>
    </w:p>
    <w:p w:rsidR="000E1BAC" w:rsidRPr="00532119"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 xml:space="preserve">Martinez, U.y Civera, A. (2002), Protocolo diagnóstico de la malnutrición. Medicine, 8 (87), 4717-4719. Disponible en: </w:t>
      </w:r>
      <w:hyperlink r:id="rId38" w:history="1">
        <w:r w:rsidRPr="00532119">
          <w:rPr>
            <w:rStyle w:val="Hipervnculo"/>
            <w:rFonts w:ascii="Times New Roman" w:hAnsi="Times New Roman" w:cs="Times New Roman"/>
            <w:sz w:val="24"/>
            <w:szCs w:val="24"/>
          </w:rPr>
          <w:t>http://www.sciencedirect.com/science/article/pii/S0304541202708743</w:t>
        </w:r>
      </w:hyperlink>
      <w:r w:rsidRPr="00532119">
        <w:rPr>
          <w:rFonts w:ascii="Times New Roman" w:hAnsi="Times New Roman" w:cs="Times New Roman"/>
          <w:sz w:val="24"/>
          <w:szCs w:val="24"/>
        </w:rPr>
        <w:t xml:space="preserve"> </w:t>
      </w:r>
    </w:p>
    <w:p w:rsidR="000E1BAC" w:rsidRDefault="000E1BAC" w:rsidP="000E1BAC">
      <w:pPr>
        <w:spacing w:line="360" w:lineRule="auto"/>
        <w:ind w:firstLine="708"/>
        <w:jc w:val="both"/>
        <w:rPr>
          <w:rFonts w:ascii="Times New Roman" w:hAnsi="Times New Roman" w:cs="Times New Roman"/>
          <w:sz w:val="24"/>
          <w:szCs w:val="24"/>
        </w:rPr>
      </w:pPr>
      <w:r w:rsidRPr="00532119">
        <w:rPr>
          <w:rFonts w:ascii="Times New Roman" w:hAnsi="Times New Roman" w:cs="Times New Roman"/>
          <w:sz w:val="24"/>
          <w:szCs w:val="24"/>
        </w:rPr>
        <w:t xml:space="preserve">Martínez, M.G., Navarro, M., Santoyo, F. y Pita, M.L. (2011). Glucosa, índice de masa corporal y lesiones pre neoplásicas en el cuello uterino. Ginecol. Obstet. Mex, 79(12): 771-778. Disponible en: </w:t>
      </w:r>
      <w:hyperlink r:id="rId39" w:history="1">
        <w:r w:rsidRPr="00532119">
          <w:rPr>
            <w:rStyle w:val="Hipervnculo"/>
            <w:rFonts w:ascii="Times New Roman" w:hAnsi="Times New Roman" w:cs="Times New Roman"/>
            <w:sz w:val="24"/>
            <w:szCs w:val="24"/>
          </w:rPr>
          <w:t>http://www.medigraphic.com/pdfs/ginobsmex/gom-2011/gom1112b.pdf</w:t>
        </w:r>
      </w:hyperlink>
      <w:r w:rsidRPr="00532119">
        <w:rPr>
          <w:rFonts w:ascii="Times New Roman" w:hAnsi="Times New Roman" w:cs="Times New Roman"/>
          <w:sz w:val="24"/>
          <w:szCs w:val="24"/>
        </w:rPr>
        <w:t xml:space="preserve"> </w:t>
      </w:r>
    </w:p>
    <w:p w:rsidR="00AE536B" w:rsidRPr="00532119" w:rsidRDefault="00AE536B" w:rsidP="000E1BA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Sanchez-Lara, K., Turcott, Jeny., Sosa Sánchez, R., Green-Renner, D. “Evaluación del Estado de Nutrición en pacientes con cáncer”, </w:t>
      </w:r>
      <w:r w:rsidRPr="00AE536B">
        <w:rPr>
          <w:rFonts w:ascii="Times New Roman" w:hAnsi="Times New Roman" w:cs="Times New Roman"/>
          <w:i/>
          <w:sz w:val="24"/>
          <w:szCs w:val="24"/>
        </w:rPr>
        <w:t>Endocrinología y Nutrición</w:t>
      </w:r>
      <w:r>
        <w:rPr>
          <w:rFonts w:ascii="Times New Roman" w:hAnsi="Times New Roman" w:cs="Times New Roman"/>
          <w:sz w:val="24"/>
          <w:szCs w:val="24"/>
        </w:rPr>
        <w:t>, 16 (4): 165-171</w:t>
      </w:r>
    </w:p>
    <w:p w:rsidR="000E1BAC" w:rsidRDefault="000E1BAC" w:rsidP="00AE536B">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Secretaria de Salud. (2002). Programa de Acción: Progra</w:t>
      </w:r>
      <w:r w:rsidR="008248CA">
        <w:rPr>
          <w:rFonts w:ascii="Times New Roman" w:hAnsi="Times New Roman" w:cs="Times New Roman"/>
          <w:sz w:val="24"/>
          <w:szCs w:val="24"/>
        </w:rPr>
        <w:t xml:space="preserve">ma de Atención a la Salud de la </w:t>
      </w:r>
      <w:r w:rsidRPr="00532119">
        <w:rPr>
          <w:rFonts w:ascii="Times New Roman" w:hAnsi="Times New Roman" w:cs="Times New Roman"/>
          <w:sz w:val="24"/>
          <w:szCs w:val="24"/>
        </w:rPr>
        <w:t xml:space="preserve">Adolescencia, México. Disponible en: </w:t>
      </w:r>
      <w:hyperlink r:id="rId40" w:history="1">
        <w:r w:rsidRPr="00532119">
          <w:rPr>
            <w:rStyle w:val="Hipervnculo"/>
            <w:rFonts w:ascii="Times New Roman" w:hAnsi="Times New Roman" w:cs="Times New Roman"/>
            <w:sz w:val="24"/>
            <w:szCs w:val="24"/>
          </w:rPr>
          <w:t>http://www.salud.gob.mx/unidades/conava/varios/MANUAL%20ADOLESCENCIA.pdf</w:t>
        </w:r>
      </w:hyperlink>
      <w:r w:rsidRPr="00532119">
        <w:rPr>
          <w:rFonts w:ascii="Times New Roman" w:hAnsi="Times New Roman" w:cs="Times New Roman"/>
          <w:sz w:val="24"/>
          <w:szCs w:val="24"/>
        </w:rPr>
        <w:t xml:space="preserve"> </w:t>
      </w:r>
    </w:p>
    <w:p w:rsidR="00005C31" w:rsidRDefault="00005C31" w:rsidP="00005C31">
      <w:pPr>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Secretaría de Salud. (2002). Manual de Procedimientos: Toma de medidas clínicas y antropométricas en el adulto y adulto mayor. México. Disponible en </w:t>
      </w:r>
    </w:p>
    <w:p w:rsidR="00005C31" w:rsidRDefault="00F4634A" w:rsidP="00005C31">
      <w:pPr>
        <w:spacing w:after="0" w:line="360" w:lineRule="auto"/>
        <w:rPr>
          <w:rStyle w:val="Hipervnculo"/>
          <w:rFonts w:ascii="Times New Roman" w:hAnsi="Times New Roman" w:cs="Times New Roman"/>
          <w:sz w:val="24"/>
          <w:szCs w:val="24"/>
        </w:rPr>
      </w:pPr>
      <w:hyperlink r:id="rId41" w:history="1">
        <w:r w:rsidR="00005C31" w:rsidRPr="00AB40A8">
          <w:rPr>
            <w:rStyle w:val="Hipervnculo"/>
            <w:rFonts w:ascii="Times New Roman" w:hAnsi="Times New Roman" w:cs="Times New Roman"/>
            <w:sz w:val="24"/>
            <w:szCs w:val="24"/>
          </w:rPr>
          <w:t>http://www.salud.gob.mx/unidades/cdi/documentos/DOCSAL7518.pdf</w:t>
        </w:r>
      </w:hyperlink>
    </w:p>
    <w:p w:rsidR="00005C31" w:rsidRPr="00260D51" w:rsidRDefault="00260D51" w:rsidP="00260D51">
      <w:pPr>
        <w:spacing w:after="0" w:line="360" w:lineRule="auto"/>
      </w:pPr>
      <w:r>
        <w:rPr>
          <w:rStyle w:val="Hipervnculo"/>
          <w:rFonts w:ascii="Times New Roman" w:hAnsi="Times New Roman" w:cs="Times New Roman"/>
          <w:sz w:val="24"/>
          <w:szCs w:val="24"/>
          <w:u w:val="none"/>
        </w:rPr>
        <w:lastRenderedPageBreak/>
        <w:tab/>
      </w:r>
      <w:r w:rsidRPr="00260D51">
        <w:rPr>
          <w:rStyle w:val="Hipervnculo"/>
          <w:rFonts w:ascii="Times New Roman" w:hAnsi="Times New Roman" w:cs="Times New Roman"/>
          <w:color w:val="auto"/>
          <w:sz w:val="24"/>
          <w:szCs w:val="24"/>
          <w:u w:val="none"/>
        </w:rPr>
        <w:t>S</w:t>
      </w:r>
      <w:r>
        <w:rPr>
          <w:rStyle w:val="Hipervnculo"/>
          <w:rFonts w:ascii="Times New Roman" w:hAnsi="Times New Roman" w:cs="Times New Roman"/>
          <w:color w:val="auto"/>
          <w:sz w:val="24"/>
          <w:szCs w:val="24"/>
          <w:u w:val="none"/>
        </w:rPr>
        <w:t xml:space="preserve">ecretaría de Salud. Diario Oficial. (2007). </w:t>
      </w:r>
      <w:r>
        <w:t xml:space="preserve">MODIFICACION a la Norma Oficial Mexicana NOM-014-SSA2-1994, Para la prevención, detección, diagnóstico, tratamiento, control y vigilancia epidemiológica del cáncer cérvico uterino. Disponible en: </w:t>
      </w:r>
      <w:hyperlink r:id="rId42" w:history="1">
        <w:r w:rsidRPr="00736ADA">
          <w:rPr>
            <w:rStyle w:val="Hipervnculo"/>
          </w:rPr>
          <w:t>http://www.salud.gob.mx/unidades/cdi/nom/m014ssa294.pdf</w:t>
        </w:r>
      </w:hyperlink>
    </w:p>
    <w:p w:rsidR="000E1BAC" w:rsidRPr="00532119" w:rsidRDefault="000E1BAC" w:rsidP="000E1BAC">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 xml:space="preserve">Suverza, A. y Haua, K. (2010). EL ABC de la evaluación del estado de nutrición. Ed. McGRAW-HILL. </w:t>
      </w:r>
    </w:p>
    <w:p w:rsidR="00D3076E" w:rsidRPr="000E1BAC" w:rsidRDefault="000E1BAC" w:rsidP="000E1BAC">
      <w:pPr>
        <w:spacing w:line="360" w:lineRule="auto"/>
        <w:ind w:firstLine="708"/>
        <w:rPr>
          <w:rFonts w:ascii="Times New Roman" w:hAnsi="Times New Roman" w:cs="Times New Roman"/>
          <w:sz w:val="24"/>
          <w:szCs w:val="24"/>
        </w:rPr>
      </w:pPr>
      <w:r w:rsidRPr="00532119">
        <w:rPr>
          <w:rFonts w:ascii="Times New Roman" w:hAnsi="Times New Roman" w:cs="Times New Roman"/>
          <w:sz w:val="24"/>
          <w:szCs w:val="24"/>
        </w:rPr>
        <w:t>Velázquez, C. (2007). Ingestas dietéticas de referencia. Objetivos Nutricionales. Nutrición en Salud Pública, 82-86.</w:t>
      </w:r>
    </w:p>
    <w:p w:rsidR="00D3076E" w:rsidRDefault="00D3076E" w:rsidP="00E557C4">
      <w:pPr>
        <w:spacing w:line="240" w:lineRule="auto"/>
        <w:jc w:val="center"/>
        <w:rPr>
          <w:rFonts w:ascii="Arial" w:hAnsi="Arial" w:cs="Arial"/>
          <w:b/>
          <w:sz w:val="24"/>
          <w:szCs w:val="24"/>
          <w:lang w:val="es-ES"/>
        </w:rPr>
      </w:pPr>
    </w:p>
    <w:p w:rsidR="00914466" w:rsidRPr="002A57EC" w:rsidRDefault="00914466" w:rsidP="004E41F3">
      <w:pPr>
        <w:spacing w:line="240" w:lineRule="auto"/>
        <w:jc w:val="both"/>
        <w:rPr>
          <w:rFonts w:ascii="Arial" w:hAnsi="Arial" w:cs="Arial"/>
          <w:sz w:val="24"/>
          <w:szCs w:val="24"/>
        </w:rPr>
      </w:pPr>
    </w:p>
    <w:sectPr w:rsidR="00914466" w:rsidRPr="002A57EC" w:rsidSect="00290C85">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634A" w:rsidRDefault="00F4634A">
      <w:pPr>
        <w:spacing w:after="0" w:line="240" w:lineRule="auto"/>
      </w:pPr>
      <w:r>
        <w:separator/>
      </w:r>
    </w:p>
  </w:endnote>
  <w:endnote w:type="continuationSeparator" w:id="0">
    <w:p w:rsidR="00F4634A" w:rsidRDefault="00F463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HelveticaNeueLT Std">
    <w:panose1 w:val="00000000000000000000"/>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9169713"/>
      <w:placeholder>
        <w:docPart w:val="3972463051C448F5B2946C249A18DAC7"/>
      </w:placeholder>
      <w:temporary/>
      <w:showingPlcHdr/>
    </w:sdtPr>
    <w:sdtEndPr/>
    <w:sdtContent>
      <w:p w:rsidR="003B5831" w:rsidRDefault="003B5831">
        <w:pPr>
          <w:pStyle w:val="Piedepgina"/>
        </w:pPr>
        <w:r>
          <w:rPr>
            <w:lang w:val="es-ES"/>
          </w:rPr>
          <w:t>[Escriba aquí]</w:t>
        </w:r>
      </w:p>
    </w:sdtContent>
  </w:sdt>
  <w:p w:rsidR="00FC1215" w:rsidRPr="00195604" w:rsidRDefault="00F4634A" w:rsidP="003B5831">
    <w:pPr>
      <w:pStyle w:val="Piedepgina"/>
      <w:ind w:right="-374"/>
      <w:rPr>
        <w:rFonts w:ascii="HelveticaNeueLT Std" w:hAnsi="HelveticaNeueLT Std"/>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6131819"/>
      <w:placeholder>
        <w:docPart w:val="9F8F5E07EACC480D83A368F27C0CBDF1"/>
      </w:placeholder>
      <w:temporary/>
      <w:showingPlcHdr/>
    </w:sdtPr>
    <w:sdtEndPr/>
    <w:sdtContent>
      <w:p w:rsidR="003B5831" w:rsidRDefault="003B5831">
        <w:pPr>
          <w:pStyle w:val="Piedepgina"/>
        </w:pPr>
        <w:r>
          <w:rPr>
            <w:lang w:val="es-ES"/>
          </w:rPr>
          <w:t>[Escriba aquí]</w:t>
        </w:r>
      </w:p>
    </w:sdtContent>
  </w:sdt>
  <w:p w:rsidR="003B5831" w:rsidRPr="00195604" w:rsidRDefault="003B5831" w:rsidP="00195604">
    <w:pPr>
      <w:pStyle w:val="Piedepgina"/>
      <w:ind w:right="-374"/>
      <w:jc w:val="right"/>
      <w:rPr>
        <w:rFonts w:ascii="HelveticaNeueLT Std" w:hAnsi="HelveticaNeueLT Std"/>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6BF6" w:rsidRDefault="00B56BF6">
    <w:pPr>
      <w:pStyle w:val="Piedepgina"/>
      <w:jc w:val="right"/>
    </w:pPr>
    <w:r>
      <w:rPr>
        <w:noProof/>
        <w:sz w:val="18"/>
        <w:szCs w:val="18"/>
        <w:lang w:eastAsia="es-MX"/>
      </w:rPr>
      <w:drawing>
        <wp:anchor distT="0" distB="0" distL="114300" distR="114300" simplePos="0" relativeHeight="251666432" behindDoc="1" locked="0" layoutInCell="1" allowOverlap="1" wp14:anchorId="17D7862A" wp14:editId="4242A4B7">
          <wp:simplePos x="0" y="0"/>
          <wp:positionH relativeFrom="column">
            <wp:posOffset>2690495</wp:posOffset>
          </wp:positionH>
          <wp:positionV relativeFrom="paragraph">
            <wp:posOffset>-734695</wp:posOffset>
          </wp:positionV>
          <wp:extent cx="4575810" cy="921385"/>
          <wp:effectExtent l="0" t="0" r="0" b="0"/>
          <wp:wrapNone/>
          <wp:docPr id="2" name="Imagen 2" descr="pie of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ie oficio"/>
                  <pic:cNvPicPr>
                    <a:picLocks noChangeAspect="1" noChangeArrowheads="1"/>
                  </pic:cNvPicPr>
                </pic:nvPicPr>
                <pic:blipFill>
                  <a:blip r:embed="rId1">
                    <a:extLst>
                      <a:ext uri="{28A0092B-C50C-407E-A947-70E740481C1C}">
                        <a14:useLocalDpi xmlns:a14="http://schemas.microsoft.com/office/drawing/2010/main" val="0"/>
                      </a:ext>
                    </a:extLst>
                  </a:blip>
                  <a:srcRect b="22115"/>
                  <a:stretch>
                    <a:fillRect/>
                  </a:stretch>
                </pic:blipFill>
                <pic:spPr bwMode="auto">
                  <a:xfrm>
                    <a:off x="0" y="0"/>
                    <a:ext cx="4575810" cy="921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6BF6" w:rsidRPr="00FC323C" w:rsidRDefault="00B56BF6" w:rsidP="00195604">
    <w:pPr>
      <w:pStyle w:val="Piedepgina"/>
      <w:ind w:right="-374"/>
      <w:jc w:val="right"/>
      <w:rPr>
        <w:rFonts w:ascii="HelveticaNeueLT Std" w:hAnsi="HelveticaNeueLT Std"/>
        <w:sz w:val="18"/>
        <w:szCs w:val="18"/>
      </w:rPr>
    </w:pPr>
    <w:r w:rsidRPr="00FC323C">
      <w:rPr>
        <w:rFonts w:ascii="HelveticaNeueLT Std" w:hAnsi="HelveticaNeueLT Std"/>
        <w:sz w:val="18"/>
        <w:szCs w:val="18"/>
      </w:rPr>
      <w:t>Km. 2.5 Carretera Amecameca-Ayapango. C.P. 56900. Amecameca, Estado de México</w:t>
    </w:r>
  </w:p>
  <w:p w:rsidR="00B56BF6" w:rsidRPr="00195604" w:rsidRDefault="00B56BF6" w:rsidP="00195604">
    <w:pPr>
      <w:pStyle w:val="Piedepgina"/>
      <w:ind w:right="-374"/>
      <w:jc w:val="right"/>
      <w:rPr>
        <w:rFonts w:ascii="HelveticaNeueLT Std" w:hAnsi="HelveticaNeueLT Std"/>
        <w:sz w:val="18"/>
        <w:szCs w:val="18"/>
      </w:rPr>
    </w:pPr>
    <w:r w:rsidRPr="00FC323C">
      <w:rPr>
        <w:rFonts w:ascii="HelveticaNeueLT Std" w:hAnsi="HelveticaNeueLT Std"/>
        <w:sz w:val="18"/>
        <w:szCs w:val="18"/>
      </w:rPr>
      <w:t>Tels. (597)  978-2</w:t>
    </w:r>
    <w:r>
      <w:rPr>
        <w:rFonts w:ascii="HelveticaNeueLT Std" w:hAnsi="HelveticaNeueLT Std"/>
        <w:sz w:val="18"/>
        <w:szCs w:val="18"/>
      </w:rPr>
      <w:t>1-58 y (597) 978-21-59 ext. 101</w:t>
    </w:r>
    <w:r>
      <w:rPr>
        <w:noProof/>
        <w:lang w:eastAsia="es-MX"/>
      </w:rPr>
      <w:drawing>
        <wp:anchor distT="0" distB="0" distL="114300" distR="114300" simplePos="0" relativeHeight="251665408" behindDoc="1" locked="0" layoutInCell="1" allowOverlap="1" wp14:anchorId="11B5E7CF" wp14:editId="0A8AB630">
          <wp:simplePos x="0" y="0"/>
          <wp:positionH relativeFrom="column">
            <wp:posOffset>2689860</wp:posOffset>
          </wp:positionH>
          <wp:positionV relativeFrom="paragraph">
            <wp:posOffset>8404225</wp:posOffset>
          </wp:positionV>
          <wp:extent cx="4575810" cy="921385"/>
          <wp:effectExtent l="0" t="0" r="0" b="0"/>
          <wp:wrapNone/>
          <wp:docPr id="5" name="Imagen 5" descr="pie of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ie oficio"/>
                  <pic:cNvPicPr>
                    <a:picLocks noChangeAspect="1" noChangeArrowheads="1"/>
                  </pic:cNvPicPr>
                </pic:nvPicPr>
                <pic:blipFill>
                  <a:blip r:embed="rId1">
                    <a:extLst>
                      <a:ext uri="{28A0092B-C50C-407E-A947-70E740481C1C}">
                        <a14:useLocalDpi xmlns:a14="http://schemas.microsoft.com/office/drawing/2010/main" val="0"/>
                      </a:ext>
                    </a:extLst>
                  </a:blip>
                  <a:srcRect b="22115"/>
                  <a:stretch>
                    <a:fillRect/>
                  </a:stretch>
                </pic:blipFill>
                <pic:spPr bwMode="auto">
                  <a:xfrm>
                    <a:off x="0" y="0"/>
                    <a:ext cx="4575810" cy="92138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604" w:rsidRDefault="00195604" w:rsidP="00195604">
    <w:pPr>
      <w:pStyle w:val="Piedepgina"/>
    </w:pPr>
  </w:p>
  <w:p w:rsidR="00195604" w:rsidRDefault="00195604">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1482972"/>
      <w:docPartObj>
        <w:docPartGallery w:val="Page Numbers (Bottom of Page)"/>
        <w:docPartUnique/>
      </w:docPartObj>
    </w:sdtPr>
    <w:sdtEndPr/>
    <w:sdtContent>
      <w:p w:rsidR="00195604" w:rsidRDefault="00195604">
        <w:pPr>
          <w:pStyle w:val="Piedepgina"/>
          <w:jc w:val="right"/>
        </w:pPr>
        <w:r>
          <w:fldChar w:fldCharType="begin"/>
        </w:r>
        <w:r>
          <w:instrText>PAGE   \* MERGEFORMAT</w:instrText>
        </w:r>
        <w:r>
          <w:fldChar w:fldCharType="separate"/>
        </w:r>
        <w:r w:rsidR="00B75EC4" w:rsidRPr="00B75EC4">
          <w:rPr>
            <w:noProof/>
            <w:lang w:val="es-ES"/>
          </w:rPr>
          <w:t>11</w:t>
        </w:r>
        <w:r>
          <w:fldChar w:fldCharType="end"/>
        </w:r>
      </w:p>
    </w:sdtContent>
  </w:sdt>
  <w:p w:rsidR="00195604" w:rsidRDefault="0019560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634A" w:rsidRDefault="00F4634A">
      <w:pPr>
        <w:spacing w:after="0" w:line="240" w:lineRule="auto"/>
      </w:pPr>
      <w:r>
        <w:separator/>
      </w:r>
    </w:p>
  </w:footnote>
  <w:footnote w:type="continuationSeparator" w:id="0">
    <w:p w:rsidR="00F4634A" w:rsidRDefault="00F463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5831" w:rsidRDefault="003B583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6BF6" w:rsidRDefault="00B56BF6">
    <w:pPr>
      <w:pStyle w:val="Encabezado"/>
    </w:pPr>
    <w:r>
      <w:rPr>
        <w:noProof/>
      </w:rPr>
      <w:drawing>
        <wp:anchor distT="0" distB="0" distL="114300" distR="114300" simplePos="0" relativeHeight="251663360" behindDoc="1" locked="0" layoutInCell="1" allowOverlap="1" wp14:anchorId="7774B58C" wp14:editId="5365AE20">
          <wp:simplePos x="0" y="0"/>
          <wp:positionH relativeFrom="column">
            <wp:posOffset>-276860</wp:posOffset>
          </wp:positionH>
          <wp:positionV relativeFrom="paragraph">
            <wp:posOffset>-455295</wp:posOffset>
          </wp:positionV>
          <wp:extent cx="7644765" cy="1508760"/>
          <wp:effectExtent l="0" t="0" r="0" b="0"/>
          <wp:wrapNone/>
          <wp:docPr id="1" name="Imagen 1" descr="encabezado of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cabezado ofic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44765" cy="15087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6BF6" w:rsidRDefault="00B56BF6">
    <w:pPr>
      <w:pStyle w:val="Encabezado"/>
    </w:pPr>
  </w:p>
  <w:p w:rsidR="00B56BF6" w:rsidRDefault="00B56BF6">
    <w:pPr>
      <w:pStyle w:val="Encabezado"/>
    </w:pPr>
  </w:p>
  <w:p w:rsidR="00B56BF6" w:rsidRDefault="00B56BF6">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604" w:rsidRDefault="0019560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604" w:rsidRDefault="0019560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550CA"/>
    <w:multiLevelType w:val="hybridMultilevel"/>
    <w:tmpl w:val="21F07F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433422E"/>
    <w:multiLevelType w:val="hybridMultilevel"/>
    <w:tmpl w:val="39643F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8CD2621"/>
    <w:multiLevelType w:val="hybridMultilevel"/>
    <w:tmpl w:val="F47E3BDE"/>
    <w:lvl w:ilvl="0" w:tplc="68585540">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46579F2"/>
    <w:multiLevelType w:val="hybridMultilevel"/>
    <w:tmpl w:val="131C83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15A156E"/>
    <w:multiLevelType w:val="hybridMultilevel"/>
    <w:tmpl w:val="BF4C6F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D5C285C"/>
    <w:multiLevelType w:val="hybridMultilevel"/>
    <w:tmpl w:val="6B00758A"/>
    <w:lvl w:ilvl="0" w:tplc="9A88E68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41F63D50"/>
    <w:multiLevelType w:val="hybridMultilevel"/>
    <w:tmpl w:val="24786E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35D087E"/>
    <w:multiLevelType w:val="hybridMultilevel"/>
    <w:tmpl w:val="21E6BACC"/>
    <w:lvl w:ilvl="0" w:tplc="9C82D496">
      <w:start w:val="2"/>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4D9E736D"/>
    <w:multiLevelType w:val="hybridMultilevel"/>
    <w:tmpl w:val="3B9E9272"/>
    <w:lvl w:ilvl="0" w:tplc="A81252A0">
      <w:start w:val="4"/>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5A4D00C8"/>
    <w:multiLevelType w:val="hybridMultilevel"/>
    <w:tmpl w:val="6F3482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5D5A00C9"/>
    <w:multiLevelType w:val="multilevel"/>
    <w:tmpl w:val="7B3E833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7267C4E"/>
    <w:multiLevelType w:val="hybridMultilevel"/>
    <w:tmpl w:val="016E2C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696C1C60"/>
    <w:multiLevelType w:val="hybridMultilevel"/>
    <w:tmpl w:val="75EC6702"/>
    <w:lvl w:ilvl="0" w:tplc="2EB086DA">
      <w:start w:val="1"/>
      <w:numFmt w:val="bullet"/>
      <w:lvlText w:val=""/>
      <w:lvlJc w:val="center"/>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B32198B"/>
    <w:multiLevelType w:val="hybridMultilevel"/>
    <w:tmpl w:val="E1227436"/>
    <w:lvl w:ilvl="0" w:tplc="2B441EDA">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4" w15:restartNumberingAfterBreak="0">
    <w:nsid w:val="7CED54FD"/>
    <w:multiLevelType w:val="hybridMultilevel"/>
    <w:tmpl w:val="BDE45A1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7F010DFB"/>
    <w:multiLevelType w:val="hybridMultilevel"/>
    <w:tmpl w:val="EE8AD102"/>
    <w:lvl w:ilvl="0" w:tplc="C8D4072C">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2"/>
  </w:num>
  <w:num w:numId="4">
    <w:abstractNumId w:val="6"/>
  </w:num>
  <w:num w:numId="5">
    <w:abstractNumId w:val="5"/>
  </w:num>
  <w:num w:numId="6">
    <w:abstractNumId w:val="9"/>
  </w:num>
  <w:num w:numId="7">
    <w:abstractNumId w:val="10"/>
  </w:num>
  <w:num w:numId="8">
    <w:abstractNumId w:val="11"/>
  </w:num>
  <w:num w:numId="9">
    <w:abstractNumId w:val="4"/>
  </w:num>
  <w:num w:numId="10">
    <w:abstractNumId w:val="13"/>
  </w:num>
  <w:num w:numId="11">
    <w:abstractNumId w:val="1"/>
  </w:num>
  <w:num w:numId="12">
    <w:abstractNumId w:val="0"/>
  </w:num>
  <w:num w:numId="13">
    <w:abstractNumId w:val="15"/>
  </w:num>
  <w:num w:numId="14">
    <w:abstractNumId w:val="14"/>
  </w:num>
  <w:num w:numId="15">
    <w:abstractNumId w:val="7"/>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736"/>
    <w:rsid w:val="00003F66"/>
    <w:rsid w:val="00004DC4"/>
    <w:rsid w:val="00004E3D"/>
    <w:rsid w:val="00005C31"/>
    <w:rsid w:val="00014FFB"/>
    <w:rsid w:val="00015E30"/>
    <w:rsid w:val="00017281"/>
    <w:rsid w:val="00024C53"/>
    <w:rsid w:val="00042BE8"/>
    <w:rsid w:val="000446C8"/>
    <w:rsid w:val="00054853"/>
    <w:rsid w:val="000568FC"/>
    <w:rsid w:val="000674B5"/>
    <w:rsid w:val="00067B69"/>
    <w:rsid w:val="000702B1"/>
    <w:rsid w:val="00072011"/>
    <w:rsid w:val="000723AC"/>
    <w:rsid w:val="00072BC8"/>
    <w:rsid w:val="00074861"/>
    <w:rsid w:val="00082B01"/>
    <w:rsid w:val="000845AB"/>
    <w:rsid w:val="00086C4F"/>
    <w:rsid w:val="00087D09"/>
    <w:rsid w:val="000905A0"/>
    <w:rsid w:val="0009178F"/>
    <w:rsid w:val="00091ABC"/>
    <w:rsid w:val="000930C5"/>
    <w:rsid w:val="0009590E"/>
    <w:rsid w:val="00095C09"/>
    <w:rsid w:val="000A2596"/>
    <w:rsid w:val="000A2C6F"/>
    <w:rsid w:val="000A621C"/>
    <w:rsid w:val="000B6032"/>
    <w:rsid w:val="000C2681"/>
    <w:rsid w:val="000D1368"/>
    <w:rsid w:val="000D5B7C"/>
    <w:rsid w:val="000E0599"/>
    <w:rsid w:val="000E11E6"/>
    <w:rsid w:val="000E1BAC"/>
    <w:rsid w:val="000E2C2E"/>
    <w:rsid w:val="000E4988"/>
    <w:rsid w:val="000E5F0D"/>
    <w:rsid w:val="000F1415"/>
    <w:rsid w:val="000F6A69"/>
    <w:rsid w:val="00100B29"/>
    <w:rsid w:val="00101569"/>
    <w:rsid w:val="00110469"/>
    <w:rsid w:val="00110628"/>
    <w:rsid w:val="001117DA"/>
    <w:rsid w:val="00111ED8"/>
    <w:rsid w:val="00121D67"/>
    <w:rsid w:val="00122403"/>
    <w:rsid w:val="001255A0"/>
    <w:rsid w:val="00125852"/>
    <w:rsid w:val="00125BCC"/>
    <w:rsid w:val="00145BF0"/>
    <w:rsid w:val="001465AA"/>
    <w:rsid w:val="00152F7A"/>
    <w:rsid w:val="00157AD9"/>
    <w:rsid w:val="00162065"/>
    <w:rsid w:val="001647FB"/>
    <w:rsid w:val="00165302"/>
    <w:rsid w:val="00167585"/>
    <w:rsid w:val="00170446"/>
    <w:rsid w:val="00171730"/>
    <w:rsid w:val="0017305A"/>
    <w:rsid w:val="00175A88"/>
    <w:rsid w:val="0018677E"/>
    <w:rsid w:val="00187BC9"/>
    <w:rsid w:val="00193D1A"/>
    <w:rsid w:val="00195604"/>
    <w:rsid w:val="00195D92"/>
    <w:rsid w:val="001A0183"/>
    <w:rsid w:val="001A49D4"/>
    <w:rsid w:val="001A4CA3"/>
    <w:rsid w:val="001A50DE"/>
    <w:rsid w:val="001A5E5A"/>
    <w:rsid w:val="001B0562"/>
    <w:rsid w:val="001B4121"/>
    <w:rsid w:val="001C0782"/>
    <w:rsid w:val="001C1848"/>
    <w:rsid w:val="001C4FAB"/>
    <w:rsid w:val="001E1147"/>
    <w:rsid w:val="001E4DC1"/>
    <w:rsid w:val="001F24E7"/>
    <w:rsid w:val="001F69F9"/>
    <w:rsid w:val="001F72E5"/>
    <w:rsid w:val="001F7417"/>
    <w:rsid w:val="0021319F"/>
    <w:rsid w:val="00215AC1"/>
    <w:rsid w:val="00222603"/>
    <w:rsid w:val="00227FF0"/>
    <w:rsid w:val="00232341"/>
    <w:rsid w:val="00244566"/>
    <w:rsid w:val="00246F02"/>
    <w:rsid w:val="00251859"/>
    <w:rsid w:val="00251B71"/>
    <w:rsid w:val="0025383B"/>
    <w:rsid w:val="00260D51"/>
    <w:rsid w:val="00266BD9"/>
    <w:rsid w:val="00266C6C"/>
    <w:rsid w:val="00271684"/>
    <w:rsid w:val="00272A84"/>
    <w:rsid w:val="00274C4C"/>
    <w:rsid w:val="0028160C"/>
    <w:rsid w:val="0028345F"/>
    <w:rsid w:val="00286024"/>
    <w:rsid w:val="00287926"/>
    <w:rsid w:val="00290C85"/>
    <w:rsid w:val="00290F52"/>
    <w:rsid w:val="00292768"/>
    <w:rsid w:val="002971CC"/>
    <w:rsid w:val="002A57EC"/>
    <w:rsid w:val="002A784B"/>
    <w:rsid w:val="002B02D5"/>
    <w:rsid w:val="002C4D84"/>
    <w:rsid w:val="002C50D9"/>
    <w:rsid w:val="002D3493"/>
    <w:rsid w:val="002E12C4"/>
    <w:rsid w:val="002E1A7F"/>
    <w:rsid w:val="002E2CD4"/>
    <w:rsid w:val="002F5A3A"/>
    <w:rsid w:val="002F7B71"/>
    <w:rsid w:val="003064D3"/>
    <w:rsid w:val="00306C06"/>
    <w:rsid w:val="00306FC4"/>
    <w:rsid w:val="0030707B"/>
    <w:rsid w:val="00311D93"/>
    <w:rsid w:val="00312CC8"/>
    <w:rsid w:val="00313C2D"/>
    <w:rsid w:val="003151F9"/>
    <w:rsid w:val="00320AD1"/>
    <w:rsid w:val="003215CA"/>
    <w:rsid w:val="00322CEC"/>
    <w:rsid w:val="0033526E"/>
    <w:rsid w:val="00335B61"/>
    <w:rsid w:val="003422FE"/>
    <w:rsid w:val="00342390"/>
    <w:rsid w:val="00352948"/>
    <w:rsid w:val="00353B33"/>
    <w:rsid w:val="003605E4"/>
    <w:rsid w:val="003625D3"/>
    <w:rsid w:val="00363C15"/>
    <w:rsid w:val="00366E70"/>
    <w:rsid w:val="00370A4A"/>
    <w:rsid w:val="00375978"/>
    <w:rsid w:val="00375B30"/>
    <w:rsid w:val="00385055"/>
    <w:rsid w:val="00387FBB"/>
    <w:rsid w:val="003966CB"/>
    <w:rsid w:val="00396D47"/>
    <w:rsid w:val="00397EA6"/>
    <w:rsid w:val="003A1DB0"/>
    <w:rsid w:val="003A44E9"/>
    <w:rsid w:val="003B07BE"/>
    <w:rsid w:val="003B2EFB"/>
    <w:rsid w:val="003B3654"/>
    <w:rsid w:val="003B5831"/>
    <w:rsid w:val="003E2070"/>
    <w:rsid w:val="003F0B2C"/>
    <w:rsid w:val="003F12D5"/>
    <w:rsid w:val="003F7DC5"/>
    <w:rsid w:val="0040024C"/>
    <w:rsid w:val="0040056D"/>
    <w:rsid w:val="004016F3"/>
    <w:rsid w:val="00416DD5"/>
    <w:rsid w:val="00420DA2"/>
    <w:rsid w:val="00424897"/>
    <w:rsid w:val="004406EF"/>
    <w:rsid w:val="0044071F"/>
    <w:rsid w:val="00444991"/>
    <w:rsid w:val="00445A27"/>
    <w:rsid w:val="0045158F"/>
    <w:rsid w:val="004602D5"/>
    <w:rsid w:val="004703B4"/>
    <w:rsid w:val="00471827"/>
    <w:rsid w:val="00471A45"/>
    <w:rsid w:val="00471E73"/>
    <w:rsid w:val="00472C8B"/>
    <w:rsid w:val="00473E75"/>
    <w:rsid w:val="00481F34"/>
    <w:rsid w:val="00482C67"/>
    <w:rsid w:val="00483A5D"/>
    <w:rsid w:val="0048413C"/>
    <w:rsid w:val="00484F56"/>
    <w:rsid w:val="00487CED"/>
    <w:rsid w:val="00493588"/>
    <w:rsid w:val="00495092"/>
    <w:rsid w:val="0049748B"/>
    <w:rsid w:val="00497B0A"/>
    <w:rsid w:val="004A0175"/>
    <w:rsid w:val="004B30F6"/>
    <w:rsid w:val="004B4029"/>
    <w:rsid w:val="004B6AA1"/>
    <w:rsid w:val="004D1739"/>
    <w:rsid w:val="004D2F3E"/>
    <w:rsid w:val="004D3C9F"/>
    <w:rsid w:val="004D5412"/>
    <w:rsid w:val="004D5662"/>
    <w:rsid w:val="004E41F3"/>
    <w:rsid w:val="004E6F79"/>
    <w:rsid w:val="004E7EDB"/>
    <w:rsid w:val="004F2BFB"/>
    <w:rsid w:val="004F4173"/>
    <w:rsid w:val="004F6E69"/>
    <w:rsid w:val="005017ED"/>
    <w:rsid w:val="0050332C"/>
    <w:rsid w:val="00510CD3"/>
    <w:rsid w:val="00514B51"/>
    <w:rsid w:val="00517A8C"/>
    <w:rsid w:val="00521712"/>
    <w:rsid w:val="00522383"/>
    <w:rsid w:val="005253AD"/>
    <w:rsid w:val="00526366"/>
    <w:rsid w:val="0052666C"/>
    <w:rsid w:val="00533B92"/>
    <w:rsid w:val="005403F6"/>
    <w:rsid w:val="00543F74"/>
    <w:rsid w:val="005452E5"/>
    <w:rsid w:val="0055153F"/>
    <w:rsid w:val="005521B6"/>
    <w:rsid w:val="00555C99"/>
    <w:rsid w:val="00557EEE"/>
    <w:rsid w:val="00570B65"/>
    <w:rsid w:val="005814C4"/>
    <w:rsid w:val="005838FE"/>
    <w:rsid w:val="005845A4"/>
    <w:rsid w:val="00585C1F"/>
    <w:rsid w:val="00585F2C"/>
    <w:rsid w:val="005912DD"/>
    <w:rsid w:val="00591940"/>
    <w:rsid w:val="00591BF0"/>
    <w:rsid w:val="00591D92"/>
    <w:rsid w:val="005B41F8"/>
    <w:rsid w:val="005B7131"/>
    <w:rsid w:val="005C022D"/>
    <w:rsid w:val="005C54CC"/>
    <w:rsid w:val="005C694A"/>
    <w:rsid w:val="005D3805"/>
    <w:rsid w:val="005D3FC9"/>
    <w:rsid w:val="005D5C0A"/>
    <w:rsid w:val="005D6937"/>
    <w:rsid w:val="005E18C3"/>
    <w:rsid w:val="005E19A1"/>
    <w:rsid w:val="005E1EC2"/>
    <w:rsid w:val="005E3B66"/>
    <w:rsid w:val="005E68C7"/>
    <w:rsid w:val="005F1665"/>
    <w:rsid w:val="005F398B"/>
    <w:rsid w:val="005F6100"/>
    <w:rsid w:val="00601084"/>
    <w:rsid w:val="006054AD"/>
    <w:rsid w:val="006076AD"/>
    <w:rsid w:val="00611868"/>
    <w:rsid w:val="00617DBE"/>
    <w:rsid w:val="006203F2"/>
    <w:rsid w:val="006212D4"/>
    <w:rsid w:val="006260F8"/>
    <w:rsid w:val="00630979"/>
    <w:rsid w:val="00630F9F"/>
    <w:rsid w:val="00631605"/>
    <w:rsid w:val="00634CDA"/>
    <w:rsid w:val="00634CFF"/>
    <w:rsid w:val="00635BE5"/>
    <w:rsid w:val="00636089"/>
    <w:rsid w:val="00637B7A"/>
    <w:rsid w:val="00650250"/>
    <w:rsid w:val="00655D3E"/>
    <w:rsid w:val="00657449"/>
    <w:rsid w:val="006608C6"/>
    <w:rsid w:val="00660989"/>
    <w:rsid w:val="00660A88"/>
    <w:rsid w:val="006640D0"/>
    <w:rsid w:val="006662E4"/>
    <w:rsid w:val="006700AE"/>
    <w:rsid w:val="0068177B"/>
    <w:rsid w:val="00687DA5"/>
    <w:rsid w:val="00691F5C"/>
    <w:rsid w:val="006931BB"/>
    <w:rsid w:val="0069468E"/>
    <w:rsid w:val="006B4071"/>
    <w:rsid w:val="006B5FCA"/>
    <w:rsid w:val="006B7966"/>
    <w:rsid w:val="006C6D69"/>
    <w:rsid w:val="006E02D7"/>
    <w:rsid w:val="006E63B8"/>
    <w:rsid w:val="006F3083"/>
    <w:rsid w:val="006F3892"/>
    <w:rsid w:val="006F51D9"/>
    <w:rsid w:val="006F654A"/>
    <w:rsid w:val="007050C4"/>
    <w:rsid w:val="00715B51"/>
    <w:rsid w:val="00720770"/>
    <w:rsid w:val="00723985"/>
    <w:rsid w:val="0073221A"/>
    <w:rsid w:val="007368B8"/>
    <w:rsid w:val="007401C1"/>
    <w:rsid w:val="007406F6"/>
    <w:rsid w:val="007422BF"/>
    <w:rsid w:val="00744B7B"/>
    <w:rsid w:val="00750449"/>
    <w:rsid w:val="007605DE"/>
    <w:rsid w:val="00765470"/>
    <w:rsid w:val="007739D1"/>
    <w:rsid w:val="00773B64"/>
    <w:rsid w:val="007749BA"/>
    <w:rsid w:val="007749E2"/>
    <w:rsid w:val="00782DFA"/>
    <w:rsid w:val="00783FF2"/>
    <w:rsid w:val="00785491"/>
    <w:rsid w:val="00790214"/>
    <w:rsid w:val="00796EB2"/>
    <w:rsid w:val="007A09A9"/>
    <w:rsid w:val="007A295B"/>
    <w:rsid w:val="007A5E89"/>
    <w:rsid w:val="007A64C4"/>
    <w:rsid w:val="007B2182"/>
    <w:rsid w:val="007B3401"/>
    <w:rsid w:val="007B637E"/>
    <w:rsid w:val="007B63EF"/>
    <w:rsid w:val="007B771B"/>
    <w:rsid w:val="007C0BB8"/>
    <w:rsid w:val="007C1B09"/>
    <w:rsid w:val="007C3798"/>
    <w:rsid w:val="007C4260"/>
    <w:rsid w:val="007C648E"/>
    <w:rsid w:val="007C7058"/>
    <w:rsid w:val="007D0130"/>
    <w:rsid w:val="007D4665"/>
    <w:rsid w:val="007F31D7"/>
    <w:rsid w:val="007F49A4"/>
    <w:rsid w:val="00803EFB"/>
    <w:rsid w:val="008147A8"/>
    <w:rsid w:val="00815B61"/>
    <w:rsid w:val="008248CA"/>
    <w:rsid w:val="00825580"/>
    <w:rsid w:val="00846AC2"/>
    <w:rsid w:val="00846F11"/>
    <w:rsid w:val="00853F3C"/>
    <w:rsid w:val="0085538F"/>
    <w:rsid w:val="008570CC"/>
    <w:rsid w:val="00857367"/>
    <w:rsid w:val="008578E0"/>
    <w:rsid w:val="00860EF1"/>
    <w:rsid w:val="00863BC0"/>
    <w:rsid w:val="00872534"/>
    <w:rsid w:val="0089245C"/>
    <w:rsid w:val="008A2321"/>
    <w:rsid w:val="008A2AF3"/>
    <w:rsid w:val="008A2EED"/>
    <w:rsid w:val="008B4A6B"/>
    <w:rsid w:val="008C0013"/>
    <w:rsid w:val="008C102F"/>
    <w:rsid w:val="008C3D8C"/>
    <w:rsid w:val="008D6304"/>
    <w:rsid w:val="008E0629"/>
    <w:rsid w:val="008E158E"/>
    <w:rsid w:val="008E6D2F"/>
    <w:rsid w:val="008E7076"/>
    <w:rsid w:val="008F051F"/>
    <w:rsid w:val="008F35D8"/>
    <w:rsid w:val="00901A36"/>
    <w:rsid w:val="00913D47"/>
    <w:rsid w:val="00914466"/>
    <w:rsid w:val="0092271B"/>
    <w:rsid w:val="0093075D"/>
    <w:rsid w:val="00932E4B"/>
    <w:rsid w:val="00943B18"/>
    <w:rsid w:val="00950008"/>
    <w:rsid w:val="009515D1"/>
    <w:rsid w:val="00953E42"/>
    <w:rsid w:val="00955F77"/>
    <w:rsid w:val="0095741A"/>
    <w:rsid w:val="00957F56"/>
    <w:rsid w:val="00965A55"/>
    <w:rsid w:val="00970719"/>
    <w:rsid w:val="00976CAA"/>
    <w:rsid w:val="00982AF1"/>
    <w:rsid w:val="00984CA7"/>
    <w:rsid w:val="00995BE3"/>
    <w:rsid w:val="009A0AEA"/>
    <w:rsid w:val="009A2032"/>
    <w:rsid w:val="009A2419"/>
    <w:rsid w:val="009A2A4B"/>
    <w:rsid w:val="009B25EC"/>
    <w:rsid w:val="009B79AB"/>
    <w:rsid w:val="009C00E3"/>
    <w:rsid w:val="009F1D0D"/>
    <w:rsid w:val="009F3BA6"/>
    <w:rsid w:val="009F43AB"/>
    <w:rsid w:val="009F7554"/>
    <w:rsid w:val="00A05070"/>
    <w:rsid w:val="00A07466"/>
    <w:rsid w:val="00A123D3"/>
    <w:rsid w:val="00A243D1"/>
    <w:rsid w:val="00A40EAE"/>
    <w:rsid w:val="00A50D71"/>
    <w:rsid w:val="00A55AE2"/>
    <w:rsid w:val="00A613DE"/>
    <w:rsid w:val="00A64779"/>
    <w:rsid w:val="00A66048"/>
    <w:rsid w:val="00A7707D"/>
    <w:rsid w:val="00A80E08"/>
    <w:rsid w:val="00A82233"/>
    <w:rsid w:val="00A82866"/>
    <w:rsid w:val="00A85F09"/>
    <w:rsid w:val="00A90F19"/>
    <w:rsid w:val="00AA2C01"/>
    <w:rsid w:val="00AA7C1B"/>
    <w:rsid w:val="00AA7EDC"/>
    <w:rsid w:val="00AA7FA1"/>
    <w:rsid w:val="00AB1123"/>
    <w:rsid w:val="00AB575B"/>
    <w:rsid w:val="00AC3A14"/>
    <w:rsid w:val="00AC6BFA"/>
    <w:rsid w:val="00AC7B76"/>
    <w:rsid w:val="00AD0729"/>
    <w:rsid w:val="00AD11AE"/>
    <w:rsid w:val="00AD134D"/>
    <w:rsid w:val="00AD3EFB"/>
    <w:rsid w:val="00AD6DBE"/>
    <w:rsid w:val="00AE28C9"/>
    <w:rsid w:val="00AE536B"/>
    <w:rsid w:val="00AF20CF"/>
    <w:rsid w:val="00AF2AFE"/>
    <w:rsid w:val="00AF30F4"/>
    <w:rsid w:val="00B112A0"/>
    <w:rsid w:val="00B215D0"/>
    <w:rsid w:val="00B33E20"/>
    <w:rsid w:val="00B41AF9"/>
    <w:rsid w:val="00B44AAB"/>
    <w:rsid w:val="00B5065B"/>
    <w:rsid w:val="00B55915"/>
    <w:rsid w:val="00B55928"/>
    <w:rsid w:val="00B56BF6"/>
    <w:rsid w:val="00B6736C"/>
    <w:rsid w:val="00B704BC"/>
    <w:rsid w:val="00B74AB2"/>
    <w:rsid w:val="00B75DE6"/>
    <w:rsid w:val="00B75EC4"/>
    <w:rsid w:val="00B803C1"/>
    <w:rsid w:val="00B83880"/>
    <w:rsid w:val="00BA2DB0"/>
    <w:rsid w:val="00BB1709"/>
    <w:rsid w:val="00BB1B66"/>
    <w:rsid w:val="00BB3D60"/>
    <w:rsid w:val="00BC0918"/>
    <w:rsid w:val="00BC10C4"/>
    <w:rsid w:val="00BC1F3C"/>
    <w:rsid w:val="00BD1426"/>
    <w:rsid w:val="00BD4781"/>
    <w:rsid w:val="00BD4D9F"/>
    <w:rsid w:val="00BD7536"/>
    <w:rsid w:val="00BD7C79"/>
    <w:rsid w:val="00BE24F9"/>
    <w:rsid w:val="00BE36C8"/>
    <w:rsid w:val="00BF0C0D"/>
    <w:rsid w:val="00C000F3"/>
    <w:rsid w:val="00C01C48"/>
    <w:rsid w:val="00C02345"/>
    <w:rsid w:val="00C03B4E"/>
    <w:rsid w:val="00C06EB5"/>
    <w:rsid w:val="00C10FEE"/>
    <w:rsid w:val="00C1738C"/>
    <w:rsid w:val="00C21226"/>
    <w:rsid w:val="00C21C38"/>
    <w:rsid w:val="00C25820"/>
    <w:rsid w:val="00C326F1"/>
    <w:rsid w:val="00C334EE"/>
    <w:rsid w:val="00C3760E"/>
    <w:rsid w:val="00C40863"/>
    <w:rsid w:val="00C4318B"/>
    <w:rsid w:val="00C45F07"/>
    <w:rsid w:val="00C474CF"/>
    <w:rsid w:val="00C531E9"/>
    <w:rsid w:val="00C56791"/>
    <w:rsid w:val="00C63E15"/>
    <w:rsid w:val="00C65759"/>
    <w:rsid w:val="00C77A4F"/>
    <w:rsid w:val="00C8257D"/>
    <w:rsid w:val="00C832F7"/>
    <w:rsid w:val="00C8357B"/>
    <w:rsid w:val="00C95F13"/>
    <w:rsid w:val="00C95F63"/>
    <w:rsid w:val="00CA230C"/>
    <w:rsid w:val="00CB3D06"/>
    <w:rsid w:val="00CB6736"/>
    <w:rsid w:val="00CB7FD6"/>
    <w:rsid w:val="00CC12DC"/>
    <w:rsid w:val="00CC4E3B"/>
    <w:rsid w:val="00CD0724"/>
    <w:rsid w:val="00CD500C"/>
    <w:rsid w:val="00CE048E"/>
    <w:rsid w:val="00CF2D0C"/>
    <w:rsid w:val="00CF3CD2"/>
    <w:rsid w:val="00D05FB6"/>
    <w:rsid w:val="00D07B86"/>
    <w:rsid w:val="00D07BA3"/>
    <w:rsid w:val="00D11140"/>
    <w:rsid w:val="00D3076E"/>
    <w:rsid w:val="00D315D1"/>
    <w:rsid w:val="00D35884"/>
    <w:rsid w:val="00D37DCC"/>
    <w:rsid w:val="00D40180"/>
    <w:rsid w:val="00D40905"/>
    <w:rsid w:val="00D42E06"/>
    <w:rsid w:val="00D4325B"/>
    <w:rsid w:val="00D5165F"/>
    <w:rsid w:val="00D576AC"/>
    <w:rsid w:val="00D57E5E"/>
    <w:rsid w:val="00D62E53"/>
    <w:rsid w:val="00D715E5"/>
    <w:rsid w:val="00D72351"/>
    <w:rsid w:val="00D81E50"/>
    <w:rsid w:val="00D85674"/>
    <w:rsid w:val="00D86392"/>
    <w:rsid w:val="00D92045"/>
    <w:rsid w:val="00D93928"/>
    <w:rsid w:val="00DA3249"/>
    <w:rsid w:val="00DB3611"/>
    <w:rsid w:val="00DB379E"/>
    <w:rsid w:val="00DB712F"/>
    <w:rsid w:val="00DC114C"/>
    <w:rsid w:val="00DC4B9D"/>
    <w:rsid w:val="00DC724F"/>
    <w:rsid w:val="00DD1034"/>
    <w:rsid w:val="00DE5392"/>
    <w:rsid w:val="00DF04F1"/>
    <w:rsid w:val="00E005CA"/>
    <w:rsid w:val="00E03747"/>
    <w:rsid w:val="00E04B0F"/>
    <w:rsid w:val="00E05B99"/>
    <w:rsid w:val="00E111A4"/>
    <w:rsid w:val="00E1768B"/>
    <w:rsid w:val="00E20B59"/>
    <w:rsid w:val="00E26014"/>
    <w:rsid w:val="00E3183F"/>
    <w:rsid w:val="00E34D88"/>
    <w:rsid w:val="00E44AF5"/>
    <w:rsid w:val="00E52C64"/>
    <w:rsid w:val="00E54723"/>
    <w:rsid w:val="00E5552D"/>
    <w:rsid w:val="00E557C4"/>
    <w:rsid w:val="00E55C50"/>
    <w:rsid w:val="00E57F8C"/>
    <w:rsid w:val="00E61591"/>
    <w:rsid w:val="00E63C6C"/>
    <w:rsid w:val="00E70842"/>
    <w:rsid w:val="00E7165D"/>
    <w:rsid w:val="00E72A2A"/>
    <w:rsid w:val="00E736BC"/>
    <w:rsid w:val="00E8366A"/>
    <w:rsid w:val="00E85B4A"/>
    <w:rsid w:val="00E948CC"/>
    <w:rsid w:val="00EA05BA"/>
    <w:rsid w:val="00EA2FD5"/>
    <w:rsid w:val="00EA5FBC"/>
    <w:rsid w:val="00EB09A8"/>
    <w:rsid w:val="00EB211A"/>
    <w:rsid w:val="00EC2A89"/>
    <w:rsid w:val="00EC46A4"/>
    <w:rsid w:val="00EC6F23"/>
    <w:rsid w:val="00ED7802"/>
    <w:rsid w:val="00EE17DB"/>
    <w:rsid w:val="00EE34F8"/>
    <w:rsid w:val="00EE669D"/>
    <w:rsid w:val="00EE696E"/>
    <w:rsid w:val="00EE77A2"/>
    <w:rsid w:val="00EF099E"/>
    <w:rsid w:val="00EF0F32"/>
    <w:rsid w:val="00EF53CA"/>
    <w:rsid w:val="00F0036C"/>
    <w:rsid w:val="00F04B2C"/>
    <w:rsid w:val="00F07920"/>
    <w:rsid w:val="00F21A5B"/>
    <w:rsid w:val="00F21CC2"/>
    <w:rsid w:val="00F2613B"/>
    <w:rsid w:val="00F31E32"/>
    <w:rsid w:val="00F339E6"/>
    <w:rsid w:val="00F3504C"/>
    <w:rsid w:val="00F35430"/>
    <w:rsid w:val="00F37E49"/>
    <w:rsid w:val="00F40107"/>
    <w:rsid w:val="00F4185E"/>
    <w:rsid w:val="00F450B9"/>
    <w:rsid w:val="00F4634A"/>
    <w:rsid w:val="00F4766C"/>
    <w:rsid w:val="00F528F2"/>
    <w:rsid w:val="00F61203"/>
    <w:rsid w:val="00F75929"/>
    <w:rsid w:val="00F76373"/>
    <w:rsid w:val="00F774EA"/>
    <w:rsid w:val="00F77627"/>
    <w:rsid w:val="00F81305"/>
    <w:rsid w:val="00F82E9D"/>
    <w:rsid w:val="00F921E1"/>
    <w:rsid w:val="00F9223C"/>
    <w:rsid w:val="00F956D3"/>
    <w:rsid w:val="00F971D7"/>
    <w:rsid w:val="00FA4455"/>
    <w:rsid w:val="00FA5379"/>
    <w:rsid w:val="00FA6CEC"/>
    <w:rsid w:val="00FB02AC"/>
    <w:rsid w:val="00FB48CE"/>
    <w:rsid w:val="00FC4250"/>
    <w:rsid w:val="00FC48FA"/>
    <w:rsid w:val="00FD011B"/>
    <w:rsid w:val="00FD63BB"/>
    <w:rsid w:val="00FE3939"/>
    <w:rsid w:val="00FE4800"/>
    <w:rsid w:val="00FE6EAD"/>
    <w:rsid w:val="00FF1976"/>
    <w:rsid w:val="00FF1DF5"/>
    <w:rsid w:val="00FF211F"/>
    <w:rsid w:val="00FF622D"/>
    <w:rsid w:val="00FF778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8803534-049E-4160-ADDF-6F258C7A4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B170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B170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B170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BB1709"/>
    <w:rPr>
      <w:rFonts w:asciiTheme="majorHAnsi" w:eastAsiaTheme="majorEastAsia" w:hAnsiTheme="majorHAnsi" w:cstheme="majorBidi"/>
      <w:b/>
      <w:bCs/>
      <w:color w:val="4F81BD" w:themeColor="accent1"/>
      <w:sz w:val="26"/>
      <w:szCs w:val="26"/>
    </w:rPr>
  </w:style>
  <w:style w:type="paragraph" w:styleId="Textodeglobo">
    <w:name w:val="Balloon Text"/>
    <w:basedOn w:val="Normal"/>
    <w:link w:val="TextodegloboCar"/>
    <w:uiPriority w:val="99"/>
    <w:semiHidden/>
    <w:unhideWhenUsed/>
    <w:rsid w:val="00320A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0AD1"/>
    <w:rPr>
      <w:rFonts w:ascii="Tahoma" w:hAnsi="Tahoma" w:cs="Tahoma"/>
      <w:sz w:val="16"/>
      <w:szCs w:val="16"/>
    </w:rPr>
  </w:style>
  <w:style w:type="paragraph" w:styleId="Textoindependiente">
    <w:name w:val="Body Text"/>
    <w:basedOn w:val="Normal"/>
    <w:link w:val="TextoindependienteCar"/>
    <w:uiPriority w:val="99"/>
    <w:unhideWhenUsed/>
    <w:rsid w:val="00BB1709"/>
    <w:pPr>
      <w:spacing w:after="120"/>
    </w:pPr>
  </w:style>
  <w:style w:type="character" w:customStyle="1" w:styleId="TextoindependienteCar">
    <w:name w:val="Texto independiente Car"/>
    <w:basedOn w:val="Fuentedeprrafopredeter"/>
    <w:link w:val="Textoindependiente"/>
    <w:uiPriority w:val="99"/>
    <w:rsid w:val="00BB1709"/>
  </w:style>
  <w:style w:type="character" w:customStyle="1" w:styleId="apple-converted-space">
    <w:name w:val="apple-converted-space"/>
    <w:basedOn w:val="Fuentedeprrafopredeter"/>
    <w:rsid w:val="00BB1709"/>
  </w:style>
  <w:style w:type="character" w:styleId="Hipervnculo">
    <w:name w:val="Hyperlink"/>
    <w:basedOn w:val="Fuentedeprrafopredeter"/>
    <w:uiPriority w:val="99"/>
    <w:unhideWhenUsed/>
    <w:rsid w:val="008E0629"/>
    <w:rPr>
      <w:color w:val="0000FF"/>
      <w:u w:val="single"/>
    </w:rPr>
  </w:style>
  <w:style w:type="paragraph" w:styleId="Prrafodelista">
    <w:name w:val="List Paragraph"/>
    <w:basedOn w:val="Normal"/>
    <w:uiPriority w:val="34"/>
    <w:qFormat/>
    <w:rsid w:val="00306FC4"/>
    <w:pPr>
      <w:ind w:left="720"/>
      <w:contextualSpacing/>
    </w:pPr>
  </w:style>
  <w:style w:type="paragraph" w:styleId="NormalWeb">
    <w:name w:val="Normal (Web)"/>
    <w:basedOn w:val="Normal"/>
    <w:uiPriority w:val="99"/>
    <w:unhideWhenUsed/>
    <w:rsid w:val="00B704B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Default">
    <w:name w:val="Default"/>
    <w:rsid w:val="00472C8B"/>
    <w:pPr>
      <w:autoSpaceDE w:val="0"/>
      <w:autoSpaceDN w:val="0"/>
      <w:adjustRightInd w:val="0"/>
      <w:spacing w:after="0" w:line="240" w:lineRule="auto"/>
    </w:pPr>
    <w:rPr>
      <w:rFonts w:ascii="Arial Black" w:hAnsi="Arial Black" w:cs="Arial Black"/>
      <w:color w:val="000000"/>
      <w:sz w:val="24"/>
      <w:szCs w:val="24"/>
      <w:lang w:val="es-ES"/>
    </w:rPr>
  </w:style>
  <w:style w:type="table" w:styleId="Tablaconcuadrcula">
    <w:name w:val="Table Grid"/>
    <w:basedOn w:val="Tablanormal"/>
    <w:uiPriority w:val="59"/>
    <w:rsid w:val="00FD63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Cuadrculamedia3-nfasis4">
    <w:name w:val="Medium Grid 3 Accent 4"/>
    <w:basedOn w:val="Tablanormal"/>
    <w:uiPriority w:val="69"/>
    <w:rsid w:val="001C184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Listaoscura-nfasis4">
    <w:name w:val="Dark List Accent 4"/>
    <w:basedOn w:val="Tablanormal"/>
    <w:uiPriority w:val="70"/>
    <w:rsid w:val="003064D3"/>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2">
    <w:name w:val="Dark List Accent 2"/>
    <w:basedOn w:val="Tablanormal"/>
    <w:uiPriority w:val="70"/>
    <w:rsid w:val="001C0782"/>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1C0782"/>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1">
    <w:name w:val="Dark List Accent 1"/>
    <w:basedOn w:val="Tablanormal"/>
    <w:uiPriority w:val="70"/>
    <w:rsid w:val="006203F2"/>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clara-nfasis6">
    <w:name w:val="Light List Accent 6"/>
    <w:basedOn w:val="Tablanormal"/>
    <w:uiPriority w:val="61"/>
    <w:rsid w:val="00660989"/>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staoscura-nfasis5">
    <w:name w:val="Dark List Accent 5"/>
    <w:basedOn w:val="Tablanormal"/>
    <w:uiPriority w:val="70"/>
    <w:rsid w:val="00660989"/>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1A4CA3"/>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stamedia2-nfasis3">
    <w:name w:val="Medium List 2 Accent 3"/>
    <w:basedOn w:val="Tablanormal"/>
    <w:uiPriority w:val="66"/>
    <w:rsid w:val="006C6D6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744B7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2445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EB09A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D3588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D3588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stamedia21">
    <w:name w:val="Lista media 21"/>
    <w:basedOn w:val="Tablanormal"/>
    <w:uiPriority w:val="66"/>
    <w:rsid w:val="00570B6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claro-nfasis5">
    <w:name w:val="Light Shading Accent 5"/>
    <w:basedOn w:val="Tablanormal"/>
    <w:uiPriority w:val="60"/>
    <w:rsid w:val="00EA05BA"/>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Tablaconcuadrcula1">
    <w:name w:val="Tabla con cuadrícula1"/>
    <w:basedOn w:val="Tablanormal"/>
    <w:next w:val="Tablaconcuadrcula"/>
    <w:uiPriority w:val="59"/>
    <w:rsid w:val="007C1B09"/>
    <w:pPr>
      <w:spacing w:after="0" w:line="240" w:lineRule="auto"/>
    </w:pPr>
    <w:rPr>
      <w:rFonts w:eastAsiaTheme="minorHAns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iedepgina">
    <w:name w:val="footer"/>
    <w:basedOn w:val="Normal"/>
    <w:link w:val="PiedepginaCar"/>
    <w:uiPriority w:val="99"/>
    <w:unhideWhenUsed/>
    <w:rsid w:val="0089245C"/>
    <w:pPr>
      <w:tabs>
        <w:tab w:val="center" w:pos="4419"/>
        <w:tab w:val="right" w:pos="8838"/>
      </w:tabs>
      <w:spacing w:after="0" w:line="240" w:lineRule="auto"/>
    </w:pPr>
    <w:rPr>
      <w:rFonts w:eastAsiaTheme="minorHAnsi"/>
      <w:lang w:eastAsia="en-US"/>
    </w:rPr>
  </w:style>
  <w:style w:type="character" w:customStyle="1" w:styleId="PiedepginaCar">
    <w:name w:val="Pie de página Car"/>
    <w:basedOn w:val="Fuentedeprrafopredeter"/>
    <w:link w:val="Piedepgina"/>
    <w:uiPriority w:val="99"/>
    <w:rsid w:val="0089245C"/>
    <w:rPr>
      <w:rFonts w:eastAsiaTheme="minorHAnsi"/>
      <w:lang w:eastAsia="en-US"/>
    </w:rPr>
  </w:style>
  <w:style w:type="paragraph" w:styleId="Encabezado">
    <w:name w:val="header"/>
    <w:basedOn w:val="Normal"/>
    <w:link w:val="EncabezadoCar"/>
    <w:uiPriority w:val="99"/>
    <w:unhideWhenUsed/>
    <w:rsid w:val="001956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95604"/>
  </w:style>
  <w:style w:type="character" w:styleId="nfasis">
    <w:name w:val="Emphasis"/>
    <w:basedOn w:val="Fuentedeprrafopredeter"/>
    <w:uiPriority w:val="20"/>
    <w:qFormat/>
    <w:rsid w:val="003B583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22187">
      <w:bodyDiv w:val="1"/>
      <w:marLeft w:val="0"/>
      <w:marRight w:val="0"/>
      <w:marTop w:val="0"/>
      <w:marBottom w:val="0"/>
      <w:divBdr>
        <w:top w:val="none" w:sz="0" w:space="0" w:color="auto"/>
        <w:left w:val="none" w:sz="0" w:space="0" w:color="auto"/>
        <w:bottom w:val="none" w:sz="0" w:space="0" w:color="auto"/>
        <w:right w:val="none" w:sz="0" w:space="0" w:color="auto"/>
      </w:divBdr>
    </w:div>
    <w:div w:id="84617556">
      <w:bodyDiv w:val="1"/>
      <w:marLeft w:val="0"/>
      <w:marRight w:val="0"/>
      <w:marTop w:val="0"/>
      <w:marBottom w:val="0"/>
      <w:divBdr>
        <w:top w:val="none" w:sz="0" w:space="0" w:color="auto"/>
        <w:left w:val="none" w:sz="0" w:space="0" w:color="auto"/>
        <w:bottom w:val="none" w:sz="0" w:space="0" w:color="auto"/>
        <w:right w:val="none" w:sz="0" w:space="0" w:color="auto"/>
      </w:divBdr>
    </w:div>
    <w:div w:id="99878593">
      <w:bodyDiv w:val="1"/>
      <w:marLeft w:val="0"/>
      <w:marRight w:val="0"/>
      <w:marTop w:val="0"/>
      <w:marBottom w:val="0"/>
      <w:divBdr>
        <w:top w:val="none" w:sz="0" w:space="0" w:color="auto"/>
        <w:left w:val="none" w:sz="0" w:space="0" w:color="auto"/>
        <w:bottom w:val="none" w:sz="0" w:space="0" w:color="auto"/>
        <w:right w:val="none" w:sz="0" w:space="0" w:color="auto"/>
      </w:divBdr>
    </w:div>
    <w:div w:id="190386816">
      <w:bodyDiv w:val="1"/>
      <w:marLeft w:val="0"/>
      <w:marRight w:val="0"/>
      <w:marTop w:val="0"/>
      <w:marBottom w:val="0"/>
      <w:divBdr>
        <w:top w:val="none" w:sz="0" w:space="0" w:color="auto"/>
        <w:left w:val="none" w:sz="0" w:space="0" w:color="auto"/>
        <w:bottom w:val="none" w:sz="0" w:space="0" w:color="auto"/>
        <w:right w:val="none" w:sz="0" w:space="0" w:color="auto"/>
      </w:divBdr>
    </w:div>
    <w:div w:id="353581139">
      <w:bodyDiv w:val="1"/>
      <w:marLeft w:val="0"/>
      <w:marRight w:val="0"/>
      <w:marTop w:val="0"/>
      <w:marBottom w:val="0"/>
      <w:divBdr>
        <w:top w:val="none" w:sz="0" w:space="0" w:color="auto"/>
        <w:left w:val="none" w:sz="0" w:space="0" w:color="auto"/>
        <w:bottom w:val="none" w:sz="0" w:space="0" w:color="auto"/>
        <w:right w:val="none" w:sz="0" w:space="0" w:color="auto"/>
      </w:divBdr>
    </w:div>
    <w:div w:id="399518005">
      <w:bodyDiv w:val="1"/>
      <w:marLeft w:val="0"/>
      <w:marRight w:val="0"/>
      <w:marTop w:val="0"/>
      <w:marBottom w:val="0"/>
      <w:divBdr>
        <w:top w:val="none" w:sz="0" w:space="0" w:color="auto"/>
        <w:left w:val="none" w:sz="0" w:space="0" w:color="auto"/>
        <w:bottom w:val="none" w:sz="0" w:space="0" w:color="auto"/>
        <w:right w:val="none" w:sz="0" w:space="0" w:color="auto"/>
      </w:divBdr>
    </w:div>
    <w:div w:id="407116515">
      <w:bodyDiv w:val="1"/>
      <w:marLeft w:val="0"/>
      <w:marRight w:val="0"/>
      <w:marTop w:val="0"/>
      <w:marBottom w:val="0"/>
      <w:divBdr>
        <w:top w:val="none" w:sz="0" w:space="0" w:color="auto"/>
        <w:left w:val="none" w:sz="0" w:space="0" w:color="auto"/>
        <w:bottom w:val="none" w:sz="0" w:space="0" w:color="auto"/>
        <w:right w:val="none" w:sz="0" w:space="0" w:color="auto"/>
      </w:divBdr>
    </w:div>
    <w:div w:id="482889894">
      <w:bodyDiv w:val="1"/>
      <w:marLeft w:val="0"/>
      <w:marRight w:val="0"/>
      <w:marTop w:val="0"/>
      <w:marBottom w:val="0"/>
      <w:divBdr>
        <w:top w:val="none" w:sz="0" w:space="0" w:color="auto"/>
        <w:left w:val="none" w:sz="0" w:space="0" w:color="auto"/>
        <w:bottom w:val="none" w:sz="0" w:space="0" w:color="auto"/>
        <w:right w:val="none" w:sz="0" w:space="0" w:color="auto"/>
      </w:divBdr>
      <w:divsChild>
        <w:div w:id="818571225">
          <w:marLeft w:val="0"/>
          <w:marRight w:val="0"/>
          <w:marTop w:val="0"/>
          <w:marBottom w:val="0"/>
          <w:divBdr>
            <w:top w:val="none" w:sz="0" w:space="0" w:color="auto"/>
            <w:left w:val="none" w:sz="0" w:space="0" w:color="auto"/>
            <w:bottom w:val="none" w:sz="0" w:space="0" w:color="auto"/>
            <w:right w:val="none" w:sz="0" w:space="0" w:color="auto"/>
          </w:divBdr>
        </w:div>
      </w:divsChild>
    </w:div>
    <w:div w:id="613562731">
      <w:bodyDiv w:val="1"/>
      <w:marLeft w:val="0"/>
      <w:marRight w:val="0"/>
      <w:marTop w:val="0"/>
      <w:marBottom w:val="0"/>
      <w:divBdr>
        <w:top w:val="none" w:sz="0" w:space="0" w:color="auto"/>
        <w:left w:val="none" w:sz="0" w:space="0" w:color="auto"/>
        <w:bottom w:val="none" w:sz="0" w:space="0" w:color="auto"/>
        <w:right w:val="none" w:sz="0" w:space="0" w:color="auto"/>
      </w:divBdr>
    </w:div>
    <w:div w:id="793131663">
      <w:bodyDiv w:val="1"/>
      <w:marLeft w:val="0"/>
      <w:marRight w:val="0"/>
      <w:marTop w:val="0"/>
      <w:marBottom w:val="0"/>
      <w:divBdr>
        <w:top w:val="none" w:sz="0" w:space="0" w:color="auto"/>
        <w:left w:val="none" w:sz="0" w:space="0" w:color="auto"/>
        <w:bottom w:val="none" w:sz="0" w:space="0" w:color="auto"/>
        <w:right w:val="none" w:sz="0" w:space="0" w:color="auto"/>
      </w:divBdr>
    </w:div>
    <w:div w:id="858935394">
      <w:bodyDiv w:val="1"/>
      <w:marLeft w:val="0"/>
      <w:marRight w:val="0"/>
      <w:marTop w:val="0"/>
      <w:marBottom w:val="0"/>
      <w:divBdr>
        <w:top w:val="none" w:sz="0" w:space="0" w:color="auto"/>
        <w:left w:val="none" w:sz="0" w:space="0" w:color="auto"/>
        <w:bottom w:val="none" w:sz="0" w:space="0" w:color="auto"/>
        <w:right w:val="none" w:sz="0" w:space="0" w:color="auto"/>
      </w:divBdr>
    </w:div>
    <w:div w:id="907494746">
      <w:bodyDiv w:val="1"/>
      <w:marLeft w:val="0"/>
      <w:marRight w:val="0"/>
      <w:marTop w:val="0"/>
      <w:marBottom w:val="0"/>
      <w:divBdr>
        <w:top w:val="none" w:sz="0" w:space="0" w:color="auto"/>
        <w:left w:val="none" w:sz="0" w:space="0" w:color="auto"/>
        <w:bottom w:val="none" w:sz="0" w:space="0" w:color="auto"/>
        <w:right w:val="none" w:sz="0" w:space="0" w:color="auto"/>
      </w:divBdr>
    </w:div>
    <w:div w:id="955872705">
      <w:bodyDiv w:val="1"/>
      <w:marLeft w:val="0"/>
      <w:marRight w:val="0"/>
      <w:marTop w:val="0"/>
      <w:marBottom w:val="0"/>
      <w:divBdr>
        <w:top w:val="none" w:sz="0" w:space="0" w:color="auto"/>
        <w:left w:val="none" w:sz="0" w:space="0" w:color="auto"/>
        <w:bottom w:val="none" w:sz="0" w:space="0" w:color="auto"/>
        <w:right w:val="none" w:sz="0" w:space="0" w:color="auto"/>
      </w:divBdr>
    </w:div>
    <w:div w:id="1018432111">
      <w:bodyDiv w:val="1"/>
      <w:marLeft w:val="0"/>
      <w:marRight w:val="0"/>
      <w:marTop w:val="0"/>
      <w:marBottom w:val="0"/>
      <w:divBdr>
        <w:top w:val="none" w:sz="0" w:space="0" w:color="auto"/>
        <w:left w:val="none" w:sz="0" w:space="0" w:color="auto"/>
        <w:bottom w:val="none" w:sz="0" w:space="0" w:color="auto"/>
        <w:right w:val="none" w:sz="0" w:space="0" w:color="auto"/>
      </w:divBdr>
    </w:div>
    <w:div w:id="1065029667">
      <w:bodyDiv w:val="1"/>
      <w:marLeft w:val="0"/>
      <w:marRight w:val="0"/>
      <w:marTop w:val="0"/>
      <w:marBottom w:val="0"/>
      <w:divBdr>
        <w:top w:val="none" w:sz="0" w:space="0" w:color="auto"/>
        <w:left w:val="none" w:sz="0" w:space="0" w:color="auto"/>
        <w:bottom w:val="none" w:sz="0" w:space="0" w:color="auto"/>
        <w:right w:val="none" w:sz="0" w:space="0" w:color="auto"/>
      </w:divBdr>
      <w:divsChild>
        <w:div w:id="5028659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9572700">
      <w:bodyDiv w:val="1"/>
      <w:marLeft w:val="0"/>
      <w:marRight w:val="0"/>
      <w:marTop w:val="0"/>
      <w:marBottom w:val="0"/>
      <w:divBdr>
        <w:top w:val="none" w:sz="0" w:space="0" w:color="auto"/>
        <w:left w:val="none" w:sz="0" w:space="0" w:color="auto"/>
        <w:bottom w:val="none" w:sz="0" w:space="0" w:color="auto"/>
        <w:right w:val="none" w:sz="0" w:space="0" w:color="auto"/>
      </w:divBdr>
    </w:div>
    <w:div w:id="1488520819">
      <w:bodyDiv w:val="1"/>
      <w:marLeft w:val="0"/>
      <w:marRight w:val="0"/>
      <w:marTop w:val="0"/>
      <w:marBottom w:val="0"/>
      <w:divBdr>
        <w:top w:val="none" w:sz="0" w:space="0" w:color="auto"/>
        <w:left w:val="none" w:sz="0" w:space="0" w:color="auto"/>
        <w:bottom w:val="none" w:sz="0" w:space="0" w:color="auto"/>
        <w:right w:val="none" w:sz="0" w:space="0" w:color="auto"/>
      </w:divBdr>
    </w:div>
    <w:div w:id="1611281428">
      <w:bodyDiv w:val="1"/>
      <w:marLeft w:val="0"/>
      <w:marRight w:val="0"/>
      <w:marTop w:val="0"/>
      <w:marBottom w:val="0"/>
      <w:divBdr>
        <w:top w:val="none" w:sz="0" w:space="0" w:color="auto"/>
        <w:left w:val="none" w:sz="0" w:space="0" w:color="auto"/>
        <w:bottom w:val="none" w:sz="0" w:space="0" w:color="auto"/>
        <w:right w:val="none" w:sz="0" w:space="0" w:color="auto"/>
      </w:divBdr>
    </w:div>
    <w:div w:id="1636133806">
      <w:bodyDiv w:val="1"/>
      <w:marLeft w:val="0"/>
      <w:marRight w:val="0"/>
      <w:marTop w:val="0"/>
      <w:marBottom w:val="0"/>
      <w:divBdr>
        <w:top w:val="none" w:sz="0" w:space="0" w:color="auto"/>
        <w:left w:val="none" w:sz="0" w:space="0" w:color="auto"/>
        <w:bottom w:val="none" w:sz="0" w:space="0" w:color="auto"/>
        <w:right w:val="none" w:sz="0" w:space="0" w:color="auto"/>
      </w:divBdr>
    </w:div>
    <w:div w:id="1691298349">
      <w:bodyDiv w:val="1"/>
      <w:marLeft w:val="0"/>
      <w:marRight w:val="0"/>
      <w:marTop w:val="0"/>
      <w:marBottom w:val="0"/>
      <w:divBdr>
        <w:top w:val="none" w:sz="0" w:space="0" w:color="auto"/>
        <w:left w:val="none" w:sz="0" w:space="0" w:color="auto"/>
        <w:bottom w:val="none" w:sz="0" w:space="0" w:color="auto"/>
        <w:right w:val="none" w:sz="0" w:space="0" w:color="auto"/>
      </w:divBdr>
    </w:div>
    <w:div w:id="1726447316">
      <w:bodyDiv w:val="1"/>
      <w:marLeft w:val="0"/>
      <w:marRight w:val="0"/>
      <w:marTop w:val="0"/>
      <w:marBottom w:val="0"/>
      <w:divBdr>
        <w:top w:val="none" w:sz="0" w:space="0" w:color="auto"/>
        <w:left w:val="none" w:sz="0" w:space="0" w:color="auto"/>
        <w:bottom w:val="none" w:sz="0" w:space="0" w:color="auto"/>
        <w:right w:val="none" w:sz="0" w:space="0" w:color="auto"/>
      </w:divBdr>
    </w:div>
    <w:div w:id="1984962927">
      <w:bodyDiv w:val="1"/>
      <w:marLeft w:val="0"/>
      <w:marRight w:val="0"/>
      <w:marTop w:val="0"/>
      <w:marBottom w:val="0"/>
      <w:divBdr>
        <w:top w:val="none" w:sz="0" w:space="0" w:color="auto"/>
        <w:left w:val="none" w:sz="0" w:space="0" w:color="auto"/>
        <w:bottom w:val="none" w:sz="0" w:space="0" w:color="auto"/>
        <w:right w:val="none" w:sz="0" w:space="0" w:color="auto"/>
      </w:divBdr>
    </w:div>
    <w:div w:id="2000961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ngelesmm_3@hotmail.com" TargetMode="External"/><Relationship Id="rId18" Type="http://schemas.openxmlformats.org/officeDocument/2006/relationships/hyperlink" Target="mailto:angelesmm_3@hotmail.com" TargetMode="External"/><Relationship Id="rId26" Type="http://schemas.openxmlformats.org/officeDocument/2006/relationships/header" Target="header4.xml"/><Relationship Id="rId39" Type="http://schemas.openxmlformats.org/officeDocument/2006/relationships/hyperlink" Target="http://www.medigraphic.com/pdfs/ginobsmex/gom-2011/gom1112b.pdf" TargetMode="External"/><Relationship Id="rId21" Type="http://schemas.openxmlformats.org/officeDocument/2006/relationships/chart" Target="charts/chart3.xml"/><Relationship Id="rId34" Type="http://schemas.openxmlformats.org/officeDocument/2006/relationships/hyperlink" Target="https://www.ucm.es/nutricioncarbajal/" TargetMode="External"/><Relationship Id="rId42" Type="http://schemas.openxmlformats.org/officeDocument/2006/relationships/hyperlink" Target="http://www.salud.gob.mx/unidades/cdi/nom/m014ssa294.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scielo.isciii.es/pdf/nh/v25s3/09_articulo_0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hart" Target="charts/chart6.xml"/><Relationship Id="rId32" Type="http://schemas.openxmlformats.org/officeDocument/2006/relationships/hyperlink" Target="http://www.anmm.org.mx/GMM/2013/n3/GMM_149_2013_3_299-307.pdf" TargetMode="External"/><Relationship Id="rId37" Type="http://schemas.openxmlformats.org/officeDocument/2006/relationships/hyperlink" Target="http://www.patologia.es/volumen36/vol36-num1/pdf%20patologia%2036-1/36-1-02.pdf" TargetMode="External"/><Relationship Id="rId40" Type="http://schemas.openxmlformats.org/officeDocument/2006/relationships/hyperlink" Target="http://www.salud.gob.mx/unidades/conava/varios/MANUAL%20ADOLESCENCIA.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chart" Target="charts/chart5.xml"/><Relationship Id="rId28" Type="http://schemas.openxmlformats.org/officeDocument/2006/relationships/hyperlink" Target="http://femede.es/documentos/Revision_tendenciasII_45_105.pdf" TargetMode="External"/><Relationship Id="rId36" Type="http://schemas.openxmlformats.org/officeDocument/2006/relationships/hyperlink" Target="http://estadistica.inmujeres.gob.mx/formas/tarjetas/its_vih.pdf" TargetMode="External"/><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hyperlink" Target="http://www.medigraphic.com/pdfs/juarez/ju-2007/ju072m.pdf" TargetMode="External"/><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chart" Target="charts/chart4.xml"/><Relationship Id="rId27" Type="http://schemas.openxmlformats.org/officeDocument/2006/relationships/footer" Target="footer5.xml"/><Relationship Id="rId30" Type="http://schemas.openxmlformats.org/officeDocument/2006/relationships/hyperlink" Target="%20http://www.elsevier.es/es-revista-gaceta-mexicana-oncologia-305-articulo-cancer-cervicouterino-importancia-medico-general-13150134f" TargetMode="External"/><Relationship Id="rId35" Type="http://schemas.openxmlformats.org/officeDocument/2006/relationships/hyperlink" Target="http://www.uaslp.mx/Spanish/Academicas/FEn/OFE/MSP/Publicaciones/Documents/Art_Epid_Lesiones_cervix.pdf" TargetMode="External"/><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chart" Target="charts/chart7.xml"/><Relationship Id="rId33" Type="http://schemas.openxmlformats.org/officeDocument/2006/relationships/hyperlink" Target="http://scielo.isciii.es/pdf/sanipe/v13n3/03_original2.pdf" TargetMode="External"/><Relationship Id="rId38" Type="http://schemas.openxmlformats.org/officeDocument/2006/relationships/hyperlink" Target="http://www.sciencedirect.com/science/article/pii/S0304541202708743" TargetMode="External"/><Relationship Id="rId20" Type="http://schemas.openxmlformats.org/officeDocument/2006/relationships/chart" Target="charts/chart2.xml"/><Relationship Id="rId41" Type="http://schemas.openxmlformats.org/officeDocument/2006/relationships/hyperlink" Target="http://www.salud.gob.mx/unidades/cdi/documentos/DOCSAL7518.pdf"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7.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lgn="ctr">
              <a:defRPr sz="600">
                <a:solidFill>
                  <a:srgbClr val="0070C0"/>
                </a:solidFill>
                <a:latin typeface="+mn-lt"/>
                <a:cs typeface="Arial" pitchFamily="34" charset="0"/>
              </a:defRPr>
            </a:pPr>
            <a:r>
              <a:rPr lang="en-US" sz="600">
                <a:solidFill>
                  <a:srgbClr val="0070C0"/>
                </a:solidFill>
                <a:latin typeface="+mn-lt"/>
                <a:cs typeface="Arial" pitchFamily="34" charset="0"/>
              </a:rPr>
              <a:t>POBLACIÓN</a:t>
            </a:r>
            <a:r>
              <a:rPr lang="en-US" sz="600" baseline="0">
                <a:solidFill>
                  <a:srgbClr val="0070C0"/>
                </a:solidFill>
                <a:latin typeface="+mn-lt"/>
                <a:cs typeface="Arial" pitchFamily="34" charset="0"/>
              </a:rPr>
              <a:t> DEL ESTUDIO DISTRIBUIDA POR RANGOS DE EDAD</a:t>
            </a:r>
            <a:endParaRPr lang="en-US" sz="600">
              <a:solidFill>
                <a:srgbClr val="0070C0"/>
              </a:solidFill>
              <a:latin typeface="+mn-lt"/>
              <a:cs typeface="Arial" pitchFamily="34" charset="0"/>
            </a:endParaRPr>
          </a:p>
        </c:rich>
      </c:tx>
      <c:layout>
        <c:manualLayout>
          <c:xMode val="edge"/>
          <c:yMode val="edge"/>
          <c:x val="0.13221500917705353"/>
          <c:y val="5.162005499550016E-2"/>
        </c:manualLayout>
      </c:layout>
      <c:overlay val="0"/>
    </c:title>
    <c:autoTitleDeleted val="0"/>
    <c:plotArea>
      <c:layout/>
      <c:pieChart>
        <c:varyColors val="1"/>
        <c:ser>
          <c:idx val="0"/>
          <c:order val="0"/>
          <c:tx>
            <c:strRef>
              <c:f>Hoja1!$B$1</c:f>
              <c:strCache>
                <c:ptCount val="1"/>
                <c:pt idx="0">
                  <c:v>PACIENTES QUE PARTICIPARON EN LA INVESTIGACION DE ACUERDO AL RANGO DE EDAD</c:v>
                </c:pt>
              </c:strCache>
            </c:strRef>
          </c:tx>
          <c:dLbls>
            <c:spPr>
              <a:noFill/>
              <a:ln>
                <a:noFill/>
              </a:ln>
              <a:effectLst/>
            </c:spPr>
            <c:txPr>
              <a:bodyPr/>
              <a:lstStyle/>
              <a:p>
                <a:pPr>
                  <a:defRPr sz="600">
                    <a:solidFill>
                      <a:schemeClr val="tx1"/>
                    </a:solidFill>
                    <a:latin typeface="+mn-lt"/>
                    <a:cs typeface="Arial" pitchFamily="34" charset="0"/>
                  </a:defRPr>
                </a:pPr>
                <a:endParaRPr lang="es-MX"/>
              </a:p>
            </c:txPr>
            <c:showLegendKey val="0"/>
            <c:showVal val="1"/>
            <c:showCatName val="0"/>
            <c:showSerName val="0"/>
            <c:showPercent val="0"/>
            <c:showBubbleSize val="0"/>
            <c:showLeaderLines val="1"/>
            <c:extLst>
              <c:ext xmlns:c15="http://schemas.microsoft.com/office/drawing/2012/chart" uri="{CE6537A1-D6FC-4f65-9D91-7224C49458BB}"/>
            </c:extLst>
          </c:dLbls>
          <c:cat>
            <c:strRef>
              <c:f>Hoja1!$A$2:$A$5</c:f>
              <c:strCache>
                <c:ptCount val="4"/>
                <c:pt idx="0">
                  <c:v>(20-30 AÑOS) 10,81%</c:v>
                </c:pt>
                <c:pt idx="1">
                  <c:v>(31-40 AÑOS) 37,83%</c:v>
                </c:pt>
                <c:pt idx="2">
                  <c:v>(41-50 AÑOS) 29,72%</c:v>
                </c:pt>
                <c:pt idx="3">
                  <c:v>(51-60 AÑOS) 21,62%</c:v>
                </c:pt>
              </c:strCache>
            </c:strRef>
          </c:cat>
          <c:val>
            <c:numRef>
              <c:f>Hoja1!$B$2:$B$5</c:f>
              <c:numCache>
                <c:formatCode>0.00%</c:formatCode>
                <c:ptCount val="4"/>
                <c:pt idx="0">
                  <c:v>0.10810000000000022</c:v>
                </c:pt>
                <c:pt idx="1">
                  <c:v>0.37830000000000397</c:v>
                </c:pt>
                <c:pt idx="2">
                  <c:v>0.29720000000000002</c:v>
                </c:pt>
                <c:pt idx="3">
                  <c:v>0.21620000000000159</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600">
              <a:solidFill>
                <a:schemeClr val="tx1"/>
              </a:solidFill>
              <a:latin typeface="+mn-lt"/>
              <a:cs typeface="Arial" pitchFamily="34" charset="0"/>
            </a:defRPr>
          </a:pPr>
          <a:endParaRPr lang="es-MX"/>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BAJO PESO</c:v>
                </c:pt>
              </c:strCache>
            </c:strRef>
          </c:tx>
          <c:invertIfNegative val="0"/>
          <c:cat>
            <c:strRef>
              <c:f>Hoja1!$A$2:$A$5</c:f>
              <c:strCache>
                <c:ptCount val="4"/>
                <c:pt idx="0">
                  <c:v>(20-30 AÑOS)</c:v>
                </c:pt>
                <c:pt idx="1">
                  <c:v>(31-40 AÑOS)</c:v>
                </c:pt>
                <c:pt idx="2">
                  <c:v>(41-50 AÑOS)</c:v>
                </c:pt>
                <c:pt idx="3">
                  <c:v>(51-60 AÑOS)</c:v>
                </c:pt>
              </c:strCache>
            </c:strRef>
          </c:cat>
          <c:val>
            <c:numRef>
              <c:f>Hoja1!$B$2:$B$5</c:f>
              <c:numCache>
                <c:formatCode>General</c:formatCode>
                <c:ptCount val="4"/>
              </c:numCache>
            </c:numRef>
          </c:val>
        </c:ser>
        <c:ser>
          <c:idx val="1"/>
          <c:order val="1"/>
          <c:tx>
            <c:strRef>
              <c:f>Hoja1!$C$1</c:f>
              <c:strCache>
                <c:ptCount val="1"/>
                <c:pt idx="0">
                  <c:v>NORMAL</c:v>
                </c:pt>
              </c:strCache>
            </c:strRef>
          </c:tx>
          <c:invertIfNegative val="0"/>
          <c:dLbls>
            <c:dLbl>
              <c:idx val="0"/>
              <c:layout>
                <c:manualLayout>
                  <c:x val="-1.3888888888889067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0918488173459104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3945658782306141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091848817345919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Hoja1!$C$2:$C$5</c:f>
              <c:numCache>
                <c:formatCode>0.00%</c:formatCode>
                <c:ptCount val="4"/>
                <c:pt idx="0">
                  <c:v>5.3999999999999999E-2</c:v>
                </c:pt>
                <c:pt idx="1">
                  <c:v>0.1351</c:v>
                </c:pt>
                <c:pt idx="2">
                  <c:v>5.3999999999999999E-2</c:v>
                </c:pt>
                <c:pt idx="3">
                  <c:v>5.3999999999999999E-2</c:v>
                </c:pt>
              </c:numCache>
            </c:numRef>
          </c:val>
        </c:ser>
        <c:ser>
          <c:idx val="2"/>
          <c:order val="2"/>
          <c:tx>
            <c:strRef>
              <c:f>Hoja1!$D$1</c:f>
              <c:strCache>
                <c:ptCount val="1"/>
                <c:pt idx="0">
                  <c:v>SOBREPESO</c:v>
                </c:pt>
              </c:strCache>
            </c:strRef>
          </c:tx>
          <c:invertIfNegative val="0"/>
          <c:dLbls>
            <c:dLbl>
              <c:idx val="0"/>
              <c:layout>
                <c:manualLayout>
                  <c:x val="4.9611623983391369E-2"/>
                  <c:y val="1.464897255336205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Hoja1!$D$2:$D$5</c:f>
              <c:numCache>
                <c:formatCode>0.00%</c:formatCode>
                <c:ptCount val="4"/>
                <c:pt idx="0">
                  <c:v>5.3999999999999999E-2</c:v>
                </c:pt>
                <c:pt idx="1">
                  <c:v>0.18910000000000021</c:v>
                </c:pt>
                <c:pt idx="2">
                  <c:v>0.16209999999999999</c:v>
                </c:pt>
                <c:pt idx="3">
                  <c:v>8.1000000000000003E-2</c:v>
                </c:pt>
              </c:numCache>
            </c:numRef>
          </c:val>
        </c:ser>
        <c:ser>
          <c:idx val="3"/>
          <c:order val="3"/>
          <c:tx>
            <c:strRef>
              <c:f>Hoja1!$E$1</c:f>
              <c:strCache>
                <c:ptCount val="1"/>
                <c:pt idx="0">
                  <c:v>O. TIPO 1</c:v>
                </c:pt>
              </c:strCache>
            </c:strRef>
          </c:tx>
          <c:invertIfNegative val="0"/>
          <c:dLbls>
            <c:dLbl>
              <c:idx val="1"/>
              <c:layout>
                <c:manualLayout>
                  <c:x val="1.8594211709741428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46994124887951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56327833521864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latin typeface="+mn-lt"/>
                    <a:cs typeface="Arial"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Hoja1!$E$2:$E$5</c:f>
              <c:numCache>
                <c:formatCode>0.00%</c:formatCode>
                <c:ptCount val="4"/>
                <c:pt idx="1">
                  <c:v>5.3999999999999999E-2</c:v>
                </c:pt>
                <c:pt idx="2">
                  <c:v>5.3999999999999999E-2</c:v>
                </c:pt>
                <c:pt idx="3">
                  <c:v>5.3999999999999999E-2</c:v>
                </c:pt>
              </c:numCache>
            </c:numRef>
          </c:val>
        </c:ser>
        <c:ser>
          <c:idx val="4"/>
          <c:order val="4"/>
          <c:tx>
            <c:strRef>
              <c:f>Hoja1!$F$1</c:f>
              <c:strCache>
                <c:ptCount val="1"/>
                <c:pt idx="0">
                  <c:v>O. TIPO 2</c:v>
                </c:pt>
              </c:strCache>
            </c:strRef>
          </c:tx>
          <c:invertIfNegative val="0"/>
          <c:dLbls>
            <c:dLbl>
              <c:idx val="2"/>
              <c:layout>
                <c:manualLayout>
                  <c:x val="1.8594211709741428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Hoja1!$F$2:$F$5</c:f>
              <c:numCache>
                <c:formatCode>General</c:formatCode>
                <c:ptCount val="4"/>
                <c:pt idx="2" formatCode="0.00%">
                  <c:v>2.7000000000000256E-2</c:v>
                </c:pt>
              </c:numCache>
            </c:numRef>
          </c:val>
        </c:ser>
        <c:ser>
          <c:idx val="5"/>
          <c:order val="5"/>
          <c:tx>
            <c:strRef>
              <c:f>Hoja1!$G$1</c:f>
              <c:strCache>
                <c:ptCount val="1"/>
                <c:pt idx="0">
                  <c:v>O. TIPO 3</c:v>
                </c:pt>
              </c:strCache>
            </c:strRef>
          </c:tx>
          <c:invertIfNegative val="0"/>
          <c:dLbls>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Hoja1!$G$2:$G$5</c:f>
              <c:numCache>
                <c:formatCode>General</c:formatCode>
                <c:ptCount val="4"/>
                <c:pt idx="3" formatCode="0.00%">
                  <c:v>2.7000000000000256E-2</c:v>
                </c:pt>
              </c:numCache>
            </c:numRef>
          </c:val>
        </c:ser>
        <c:dLbls>
          <c:showLegendKey val="0"/>
          <c:showVal val="0"/>
          <c:showCatName val="0"/>
          <c:showSerName val="0"/>
          <c:showPercent val="0"/>
          <c:showBubbleSize val="0"/>
        </c:dLbls>
        <c:gapWidth val="150"/>
        <c:axId val="-2035536608"/>
        <c:axId val="-2035535520"/>
      </c:barChart>
      <c:catAx>
        <c:axId val="-2035536608"/>
        <c:scaling>
          <c:orientation val="minMax"/>
        </c:scaling>
        <c:delete val="0"/>
        <c:axPos val="b"/>
        <c:numFmt formatCode="General" sourceLinked="0"/>
        <c:majorTickMark val="out"/>
        <c:minorTickMark val="none"/>
        <c:tickLblPos val="nextTo"/>
        <c:txPr>
          <a:bodyPr/>
          <a:lstStyle/>
          <a:p>
            <a:pPr>
              <a:defRPr sz="600"/>
            </a:pPr>
            <a:endParaRPr lang="es-MX"/>
          </a:p>
        </c:txPr>
        <c:crossAx val="-2035535520"/>
        <c:crosses val="autoZero"/>
        <c:auto val="1"/>
        <c:lblAlgn val="ctr"/>
        <c:lblOffset val="100"/>
        <c:noMultiLvlLbl val="0"/>
      </c:catAx>
      <c:valAx>
        <c:axId val="-2035535520"/>
        <c:scaling>
          <c:orientation val="minMax"/>
        </c:scaling>
        <c:delete val="1"/>
        <c:axPos val="l"/>
        <c:majorGridlines/>
        <c:numFmt formatCode="General" sourceLinked="1"/>
        <c:majorTickMark val="out"/>
        <c:minorTickMark val="none"/>
        <c:tickLblPos val="nextTo"/>
        <c:crossAx val="-2035536608"/>
        <c:crosses val="autoZero"/>
        <c:crossBetween val="between"/>
      </c:valAx>
    </c:plotArea>
    <c:legend>
      <c:legendPos val="r"/>
      <c:overlay val="0"/>
      <c:txPr>
        <a:bodyPr/>
        <a:lstStyle/>
        <a:p>
          <a:pPr>
            <a:defRPr sz="600"/>
          </a:pPr>
          <a:endParaRPr lang="es-MX"/>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RIESGO BAJO</c:v>
                </c:pt>
              </c:strCache>
            </c:strRef>
          </c:tx>
          <c:invertIfNegative val="0"/>
          <c:dLbls>
            <c:dLbl>
              <c:idx val="0"/>
              <c:layout>
                <c:manualLayout>
                  <c:x val="-1.1598097254520335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2784778036162727E-3"/>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59809725452042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Hoja1!$B$2:$B$5</c:f>
              <c:numCache>
                <c:formatCode>0.00%</c:formatCode>
                <c:ptCount val="4"/>
                <c:pt idx="0">
                  <c:v>5.3999999999999999E-2</c:v>
                </c:pt>
                <c:pt idx="1">
                  <c:v>8.1000000000000003E-2</c:v>
                </c:pt>
                <c:pt idx="3">
                  <c:v>8.1000000000000003E-2</c:v>
                </c:pt>
              </c:numCache>
            </c:numRef>
          </c:val>
        </c:ser>
        <c:ser>
          <c:idx val="1"/>
          <c:order val="1"/>
          <c:tx>
            <c:strRef>
              <c:f>Hoja1!$C$1</c:f>
              <c:strCache>
                <c:ptCount val="1"/>
                <c:pt idx="0">
                  <c:v>RIESGO ALTO</c:v>
                </c:pt>
              </c:strCache>
            </c:strRef>
          </c:tx>
          <c:invertIfNegative val="0"/>
          <c:dLbls>
            <c:dLbl>
              <c:idx val="0"/>
              <c:layout>
                <c:manualLayout>
                  <c:x val="1.1598097254520335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Hoja1!$C$2:$C$5</c:f>
              <c:numCache>
                <c:formatCode>0.00%</c:formatCode>
                <c:ptCount val="4"/>
                <c:pt idx="0">
                  <c:v>5.3999999999999999E-2</c:v>
                </c:pt>
                <c:pt idx="1">
                  <c:v>0.29720000000000002</c:v>
                </c:pt>
                <c:pt idx="2">
                  <c:v>0.29720000000000002</c:v>
                </c:pt>
                <c:pt idx="3">
                  <c:v>0.1351</c:v>
                </c:pt>
              </c:numCache>
            </c:numRef>
          </c:val>
        </c:ser>
        <c:dLbls>
          <c:showLegendKey val="0"/>
          <c:showVal val="0"/>
          <c:showCatName val="0"/>
          <c:showSerName val="0"/>
          <c:showPercent val="0"/>
          <c:showBubbleSize val="0"/>
        </c:dLbls>
        <c:gapWidth val="150"/>
        <c:axId val="-1943307600"/>
        <c:axId val="-1943310320"/>
      </c:barChart>
      <c:catAx>
        <c:axId val="-1943307600"/>
        <c:scaling>
          <c:orientation val="minMax"/>
        </c:scaling>
        <c:delete val="0"/>
        <c:axPos val="b"/>
        <c:numFmt formatCode="General" sourceLinked="0"/>
        <c:majorTickMark val="out"/>
        <c:minorTickMark val="none"/>
        <c:tickLblPos val="nextTo"/>
        <c:txPr>
          <a:bodyPr/>
          <a:lstStyle/>
          <a:p>
            <a:pPr>
              <a:defRPr sz="600"/>
            </a:pPr>
            <a:endParaRPr lang="es-MX"/>
          </a:p>
        </c:txPr>
        <c:crossAx val="-1943310320"/>
        <c:crosses val="autoZero"/>
        <c:auto val="1"/>
        <c:lblAlgn val="ctr"/>
        <c:lblOffset val="100"/>
        <c:noMultiLvlLbl val="0"/>
      </c:catAx>
      <c:valAx>
        <c:axId val="-1943310320"/>
        <c:scaling>
          <c:orientation val="minMax"/>
        </c:scaling>
        <c:delete val="1"/>
        <c:axPos val="l"/>
        <c:majorGridlines/>
        <c:numFmt formatCode="0.00%" sourceLinked="1"/>
        <c:majorTickMark val="out"/>
        <c:minorTickMark val="none"/>
        <c:tickLblPos val="nextTo"/>
        <c:crossAx val="-1943307600"/>
        <c:crosses val="autoZero"/>
        <c:crossBetween val="between"/>
      </c:valAx>
    </c:plotArea>
    <c:legend>
      <c:legendPos val="r"/>
      <c:overlay val="0"/>
      <c:txPr>
        <a:bodyPr/>
        <a:lstStyle/>
        <a:p>
          <a:pPr>
            <a:defRPr sz="600"/>
          </a:pPr>
          <a:endParaRPr lang="es-MX"/>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8518518518518583E-2"/>
          <c:y val="4.4057617797775513E-2"/>
          <c:w val="0.65411854768154065"/>
          <c:h val="0.82705005624296968"/>
        </c:manualLayout>
      </c:layout>
      <c:barChart>
        <c:barDir val="col"/>
        <c:grouping val="clustered"/>
        <c:varyColors val="0"/>
        <c:ser>
          <c:idx val="0"/>
          <c:order val="0"/>
          <c:tx>
            <c:strRef>
              <c:f>Hoja1!$B$1</c:f>
              <c:strCache>
                <c:ptCount val="1"/>
                <c:pt idx="0">
                  <c:v>NEGATIVA</c:v>
                </c:pt>
              </c:strCache>
            </c:strRef>
          </c:tx>
          <c:invertIfNegative val="0"/>
          <c:cat>
            <c:strRef>
              <c:f>Hoja1!$A$2:$A$5</c:f>
              <c:strCache>
                <c:ptCount val="4"/>
                <c:pt idx="0">
                  <c:v>(20-30 AÑOS)</c:v>
                </c:pt>
                <c:pt idx="1">
                  <c:v>(31-40 AÑOS)</c:v>
                </c:pt>
                <c:pt idx="2">
                  <c:v>(41-50 AÑOS)</c:v>
                </c:pt>
                <c:pt idx="3">
                  <c:v>(51-60 AÑOS)</c:v>
                </c:pt>
              </c:strCache>
            </c:strRef>
          </c:cat>
          <c:val>
            <c:numRef>
              <c:f>Hoja1!$B$2:$B$5</c:f>
              <c:numCache>
                <c:formatCode>General</c:formatCode>
                <c:ptCount val="4"/>
              </c:numCache>
            </c:numRef>
          </c:val>
        </c:ser>
        <c:ser>
          <c:idx val="1"/>
          <c:order val="1"/>
          <c:tx>
            <c:strRef>
              <c:f>Hoja1!$C$1</c:f>
              <c:strCache>
                <c:ptCount val="1"/>
                <c:pt idx="0">
                  <c:v>ATIPIA ESCAMOSA REACTIVA O INPOSIBLE DE CLASIFICAR</c:v>
                </c:pt>
              </c:strCache>
            </c:strRef>
          </c:tx>
          <c:invertIfNegative val="0"/>
          <c:dLbls>
            <c:dLbl>
              <c:idx val="3"/>
              <c:layout>
                <c:manualLayout>
                  <c:x val="-3.3264485234546337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Hoja1!$C$2:$C$5</c:f>
              <c:numCache>
                <c:formatCode>General</c:formatCode>
                <c:ptCount val="4"/>
                <c:pt idx="3" formatCode="0.00%">
                  <c:v>2.7000000000000062E-2</c:v>
                </c:pt>
              </c:numCache>
            </c:numRef>
          </c:val>
        </c:ser>
        <c:ser>
          <c:idx val="2"/>
          <c:order val="2"/>
          <c:tx>
            <c:strRef>
              <c:f>Hoja1!$D$1</c:f>
              <c:strCache>
                <c:ptCount val="1"/>
                <c:pt idx="0">
                  <c:v>INFECCION POR VPH</c:v>
                </c:pt>
              </c:strCache>
            </c:strRef>
          </c:tx>
          <c:invertIfNegative val="0"/>
          <c:dLbls>
            <c:dLbl>
              <c:idx val="1"/>
              <c:layout>
                <c:manualLayout>
                  <c:x val="-2.0790303271591589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2869333598751054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trendlineType val="linear"/>
            <c:dispRSqr val="0"/>
            <c:dispEq val="0"/>
          </c:trendline>
          <c:cat>
            <c:strRef>
              <c:f>Hoja1!$A$2:$A$5</c:f>
              <c:strCache>
                <c:ptCount val="4"/>
                <c:pt idx="0">
                  <c:v>(20-30 AÑOS)</c:v>
                </c:pt>
                <c:pt idx="1">
                  <c:v>(31-40 AÑOS)</c:v>
                </c:pt>
                <c:pt idx="2">
                  <c:v>(41-50 AÑOS)</c:v>
                </c:pt>
                <c:pt idx="3">
                  <c:v>(51-60 AÑOS)</c:v>
                </c:pt>
              </c:strCache>
            </c:strRef>
          </c:cat>
          <c:val>
            <c:numRef>
              <c:f>Hoja1!$D$2:$D$5</c:f>
              <c:numCache>
                <c:formatCode>0.00%</c:formatCode>
                <c:ptCount val="4"/>
                <c:pt idx="1">
                  <c:v>5.3999999999999999E-2</c:v>
                </c:pt>
                <c:pt idx="3">
                  <c:v>5.3999999999999999E-2</c:v>
                </c:pt>
              </c:numCache>
            </c:numRef>
          </c:val>
        </c:ser>
        <c:ser>
          <c:idx val="3"/>
          <c:order val="3"/>
          <c:tx>
            <c:strRef>
              <c:f>Hoja1!$E$1</c:f>
              <c:strCache>
                <c:ptCount val="1"/>
                <c:pt idx="0">
                  <c:v>NEOPLASIA INTRAEPITELIAL CERVICAL GRADO I (NIC) I</c:v>
                </c:pt>
              </c:strCache>
            </c:strRef>
          </c:tx>
          <c:invertIfNegative val="0"/>
          <c:dLbls>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Hoja1!$E$2:$E$5</c:f>
              <c:numCache>
                <c:formatCode>0.00%</c:formatCode>
                <c:ptCount val="4"/>
                <c:pt idx="0">
                  <c:v>8.1000000000000003E-2</c:v>
                </c:pt>
                <c:pt idx="1">
                  <c:v>0.24300000000000024</c:v>
                </c:pt>
                <c:pt idx="2">
                  <c:v>0.29700000000000032</c:v>
                </c:pt>
                <c:pt idx="3">
                  <c:v>0.13500000000000001</c:v>
                </c:pt>
              </c:numCache>
            </c:numRef>
          </c:val>
        </c:ser>
        <c:ser>
          <c:idx val="4"/>
          <c:order val="4"/>
          <c:tx>
            <c:strRef>
              <c:f>Hoja1!$F$1</c:f>
              <c:strCache>
                <c:ptCount val="1"/>
                <c:pt idx="0">
                  <c:v>NEOPLASIA INTRAEPITELIAL CERVICAL GRADO II (NIC) II</c:v>
                </c:pt>
              </c:strCache>
            </c:strRef>
          </c:tx>
          <c:invertIfNegative val="0"/>
          <c:cat>
            <c:strRef>
              <c:f>Hoja1!$A$2:$A$5</c:f>
              <c:strCache>
                <c:ptCount val="4"/>
                <c:pt idx="0">
                  <c:v>(20-30 AÑOS)</c:v>
                </c:pt>
                <c:pt idx="1">
                  <c:v>(31-40 AÑOS)</c:v>
                </c:pt>
                <c:pt idx="2">
                  <c:v>(41-50 AÑOS)</c:v>
                </c:pt>
                <c:pt idx="3">
                  <c:v>(51-60 AÑOS)</c:v>
                </c:pt>
              </c:strCache>
            </c:strRef>
          </c:cat>
          <c:val>
            <c:numRef>
              <c:f>Hoja1!$F$2:$F$5</c:f>
              <c:numCache>
                <c:formatCode>General</c:formatCode>
                <c:ptCount val="4"/>
              </c:numCache>
            </c:numRef>
          </c:val>
        </c:ser>
        <c:ser>
          <c:idx val="5"/>
          <c:order val="5"/>
          <c:tx>
            <c:strRef>
              <c:f>Hoja1!$G$1</c:f>
              <c:strCache>
                <c:ptCount val="1"/>
                <c:pt idx="0">
                  <c:v>NEOPLASIA INTRAEPITELIAL CERVICAL GRADO III (NIC) III</c:v>
                </c:pt>
              </c:strCache>
            </c:strRef>
          </c:tx>
          <c:invertIfNegative val="0"/>
          <c:dLbls>
            <c:dLbl>
              <c:idx val="1"/>
              <c:layout>
                <c:manualLayout>
                  <c:x val="1.4553212290114113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Hoja1!$G$2:$G$5</c:f>
              <c:numCache>
                <c:formatCode>0.00%</c:formatCode>
                <c:ptCount val="4"/>
                <c:pt idx="1">
                  <c:v>5.3999999999999999E-2</c:v>
                </c:pt>
              </c:numCache>
            </c:numRef>
          </c:val>
        </c:ser>
        <c:ser>
          <c:idx val="6"/>
          <c:order val="6"/>
          <c:tx>
            <c:strRef>
              <c:f>Hoja1!$H$1</c:f>
              <c:strCache>
                <c:ptCount val="1"/>
                <c:pt idx="0">
                  <c:v>CARSINOMA IN SITU</c:v>
                </c:pt>
              </c:strCache>
            </c:strRef>
          </c:tx>
          <c:invertIfNegative val="0"/>
          <c:cat>
            <c:strRef>
              <c:f>Hoja1!$A$2:$A$5</c:f>
              <c:strCache>
                <c:ptCount val="4"/>
                <c:pt idx="0">
                  <c:v>(20-30 AÑOS)</c:v>
                </c:pt>
                <c:pt idx="1">
                  <c:v>(31-40 AÑOS)</c:v>
                </c:pt>
                <c:pt idx="2">
                  <c:v>(41-50 AÑOS)</c:v>
                </c:pt>
                <c:pt idx="3">
                  <c:v>(51-60 AÑOS)</c:v>
                </c:pt>
              </c:strCache>
            </c:strRef>
          </c:cat>
          <c:val>
            <c:numRef>
              <c:f>Hoja1!$H$2:$H$5</c:f>
              <c:numCache>
                <c:formatCode>General</c:formatCode>
                <c:ptCount val="4"/>
              </c:numCache>
            </c:numRef>
          </c:val>
        </c:ser>
        <c:ser>
          <c:idx val="7"/>
          <c:order val="7"/>
          <c:tx>
            <c:strRef>
              <c:f>Hoja1!$I$1</c:f>
              <c:strCache>
                <c:ptCount val="1"/>
                <c:pt idx="0">
                  <c:v>CANCER ESCAMOSO INVASOR DEL CUELLO UTERINO</c:v>
                </c:pt>
              </c:strCache>
            </c:strRef>
          </c:tx>
          <c:invertIfNegative val="0"/>
          <c:cat>
            <c:strRef>
              <c:f>Hoja1!$A$2:$A$5</c:f>
              <c:strCache>
                <c:ptCount val="4"/>
                <c:pt idx="0">
                  <c:v>(20-30 AÑOS)</c:v>
                </c:pt>
                <c:pt idx="1">
                  <c:v>(31-40 AÑOS)</c:v>
                </c:pt>
                <c:pt idx="2">
                  <c:v>(41-50 AÑOS)</c:v>
                </c:pt>
                <c:pt idx="3">
                  <c:v>(51-60 AÑOS)</c:v>
                </c:pt>
              </c:strCache>
            </c:strRef>
          </c:cat>
          <c:val>
            <c:numRef>
              <c:f>Hoja1!$I$2:$I$5</c:f>
              <c:numCache>
                <c:formatCode>General</c:formatCode>
                <c:ptCount val="4"/>
              </c:numCache>
            </c:numRef>
          </c:val>
        </c:ser>
        <c:ser>
          <c:idx val="8"/>
          <c:order val="8"/>
          <c:tx>
            <c:strRef>
              <c:f>Hoja1!$J$1</c:f>
              <c:strCache>
                <c:ptCount val="1"/>
                <c:pt idx="0">
                  <c:v>OTROS</c:v>
                </c:pt>
              </c:strCache>
            </c:strRef>
          </c:tx>
          <c:invertIfNegative val="0"/>
          <c:dLbls>
            <c:dLbl>
              <c:idx val="1"/>
              <c:layout>
                <c:manualLayout>
                  <c:x val="8.3161213086366745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Hoja1!$J$2:$J$5</c:f>
              <c:numCache>
                <c:formatCode>0.00%</c:formatCode>
                <c:ptCount val="4"/>
                <c:pt idx="0">
                  <c:v>2.7000000000000062E-2</c:v>
                </c:pt>
                <c:pt idx="1">
                  <c:v>2.7000000000000062E-2</c:v>
                </c:pt>
              </c:numCache>
            </c:numRef>
          </c:val>
        </c:ser>
        <c:dLbls>
          <c:showLegendKey val="0"/>
          <c:showVal val="0"/>
          <c:showCatName val="0"/>
          <c:showSerName val="0"/>
          <c:showPercent val="0"/>
          <c:showBubbleSize val="0"/>
        </c:dLbls>
        <c:gapWidth val="150"/>
        <c:axId val="-1943308688"/>
        <c:axId val="-1943313584"/>
      </c:barChart>
      <c:catAx>
        <c:axId val="-1943308688"/>
        <c:scaling>
          <c:orientation val="minMax"/>
        </c:scaling>
        <c:delete val="0"/>
        <c:axPos val="b"/>
        <c:numFmt formatCode="General" sourceLinked="0"/>
        <c:majorTickMark val="out"/>
        <c:minorTickMark val="none"/>
        <c:tickLblPos val="nextTo"/>
        <c:txPr>
          <a:bodyPr/>
          <a:lstStyle/>
          <a:p>
            <a:pPr>
              <a:defRPr sz="600"/>
            </a:pPr>
            <a:endParaRPr lang="es-MX"/>
          </a:p>
        </c:txPr>
        <c:crossAx val="-1943313584"/>
        <c:crosses val="autoZero"/>
        <c:auto val="1"/>
        <c:lblAlgn val="ctr"/>
        <c:lblOffset val="100"/>
        <c:noMultiLvlLbl val="0"/>
      </c:catAx>
      <c:valAx>
        <c:axId val="-1943313584"/>
        <c:scaling>
          <c:orientation val="minMax"/>
        </c:scaling>
        <c:delete val="1"/>
        <c:axPos val="l"/>
        <c:majorGridlines/>
        <c:numFmt formatCode="General" sourceLinked="1"/>
        <c:majorTickMark val="out"/>
        <c:minorTickMark val="none"/>
        <c:tickLblPos val="nextTo"/>
        <c:crossAx val="-1943308688"/>
        <c:crosses val="autoZero"/>
        <c:crossBetween val="between"/>
      </c:valAx>
    </c:plotArea>
    <c:legend>
      <c:legendPos val="r"/>
      <c:legendEntry>
        <c:idx val="9"/>
        <c:delete val="1"/>
      </c:legendEntry>
      <c:layout>
        <c:manualLayout>
          <c:xMode val="edge"/>
          <c:yMode val="edge"/>
          <c:x val="0.6725925925926004"/>
          <c:y val="4.7595613048369033E-2"/>
          <c:w val="0.31697944068190881"/>
          <c:h val="0.92017346258820065"/>
        </c:manualLayout>
      </c:layout>
      <c:overlay val="0"/>
      <c:txPr>
        <a:bodyPr/>
        <a:lstStyle/>
        <a:p>
          <a:pPr>
            <a:defRPr sz="600"/>
          </a:pPr>
          <a:endParaRPr lang="es-MX"/>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BAJO PESO</c:v>
                </c:pt>
              </c:strCache>
            </c:strRef>
          </c:tx>
          <c:invertIfNegative val="0"/>
          <c:cat>
            <c:strRef>
              <c:f>Hoja1!$A$2:$A$10</c:f>
              <c:strCache>
                <c:ptCount val="9"/>
                <c:pt idx="0">
                  <c:v>NEGATIVA</c:v>
                </c:pt>
                <c:pt idx="1">
                  <c:v>ATIPIA ESCAMOSA  </c:v>
                </c:pt>
                <c:pt idx="2">
                  <c:v>INFECCION POR VPH</c:v>
                </c:pt>
                <c:pt idx="3">
                  <c:v>(NIC I)</c:v>
                </c:pt>
                <c:pt idx="4">
                  <c:v>(NIC II)</c:v>
                </c:pt>
                <c:pt idx="5">
                  <c:v>(NIC III)</c:v>
                </c:pt>
                <c:pt idx="6">
                  <c:v>CARCINOMA IN SITU</c:v>
                </c:pt>
                <c:pt idx="7">
                  <c:v>CANCER ESCAMOSO INVASOR </c:v>
                </c:pt>
                <c:pt idx="8">
                  <c:v>OTROS</c:v>
                </c:pt>
              </c:strCache>
            </c:strRef>
          </c:cat>
          <c:val>
            <c:numRef>
              <c:f>Hoja1!$B$2:$B$10</c:f>
              <c:numCache>
                <c:formatCode>General</c:formatCode>
                <c:ptCount val="9"/>
                <c:pt idx="8">
                  <c:v>0</c:v>
                </c:pt>
              </c:numCache>
            </c:numRef>
          </c:val>
        </c:ser>
        <c:ser>
          <c:idx val="1"/>
          <c:order val="1"/>
          <c:tx>
            <c:strRef>
              <c:f>Hoja1!$C$1</c:f>
              <c:strCache>
                <c:ptCount val="1"/>
                <c:pt idx="0">
                  <c:v>NORMAL</c:v>
                </c:pt>
              </c:strCache>
            </c:strRef>
          </c:tx>
          <c:invertIfNegative val="0"/>
          <c:dLbls>
            <c:dLbl>
              <c:idx val="3"/>
              <c:layout>
                <c:manualLayout>
                  <c:x val="-3.6239471865407602E-2"/>
                  <c:y val="6.2286613148245178E-2"/>
                </c:manualLayout>
              </c:layout>
              <c:showLegendKey val="0"/>
              <c:showVal val="1"/>
              <c:showCatName val="0"/>
              <c:showSerName val="1"/>
              <c:showPercent val="0"/>
              <c:showBubbleSize val="0"/>
              <c:separator>
</c:separator>
              <c:extLst>
                <c:ext xmlns:c15="http://schemas.microsoft.com/office/drawing/2012/chart" uri="{CE6537A1-D6FC-4f65-9D91-7224C49458BB}"/>
              </c:extLst>
            </c:dLbl>
            <c:spPr>
              <a:noFill/>
              <a:ln>
                <a:noFill/>
              </a:ln>
              <a:effectLst/>
            </c:spPr>
            <c:txPr>
              <a:bodyPr/>
              <a:lstStyle/>
              <a:p>
                <a:pPr>
                  <a:defRPr sz="400"/>
                </a:pPr>
                <a:endParaRPr lang="es-MX"/>
              </a:p>
            </c:txPr>
            <c:showLegendKey val="0"/>
            <c:showVal val="1"/>
            <c:showCatName val="0"/>
            <c:showSerName val="1"/>
            <c:showPercent val="0"/>
            <c:showBubbleSize val="0"/>
            <c:separator>
</c:separator>
            <c:showLeaderLines val="0"/>
            <c:extLst>
              <c:ext xmlns:c15="http://schemas.microsoft.com/office/drawing/2012/chart" uri="{CE6537A1-D6FC-4f65-9D91-7224C49458BB}">
                <c15:showLeaderLines val="1"/>
              </c:ext>
            </c:extLst>
          </c:dLbls>
          <c:cat>
            <c:strRef>
              <c:f>Hoja1!$A$2:$A$10</c:f>
              <c:strCache>
                <c:ptCount val="9"/>
                <c:pt idx="0">
                  <c:v>NEGATIVA</c:v>
                </c:pt>
                <c:pt idx="1">
                  <c:v>ATIPIA ESCAMOSA  </c:v>
                </c:pt>
                <c:pt idx="2">
                  <c:v>INFECCION POR VPH</c:v>
                </c:pt>
                <c:pt idx="3">
                  <c:v>(NIC I)</c:v>
                </c:pt>
                <c:pt idx="4">
                  <c:v>(NIC II)</c:v>
                </c:pt>
                <c:pt idx="5">
                  <c:v>(NIC III)</c:v>
                </c:pt>
                <c:pt idx="6">
                  <c:v>CARCINOMA IN SITU</c:v>
                </c:pt>
                <c:pt idx="7">
                  <c:v>CANCER ESCAMOSO INVASOR </c:v>
                </c:pt>
                <c:pt idx="8">
                  <c:v>OTROS</c:v>
                </c:pt>
              </c:strCache>
            </c:strRef>
          </c:cat>
          <c:val>
            <c:numRef>
              <c:f>Hoja1!$C$2:$C$10</c:f>
              <c:numCache>
                <c:formatCode>General</c:formatCode>
                <c:ptCount val="9"/>
                <c:pt idx="3" formatCode="0.00%">
                  <c:v>0.32400000000000251</c:v>
                </c:pt>
              </c:numCache>
            </c:numRef>
          </c:val>
        </c:ser>
        <c:ser>
          <c:idx val="2"/>
          <c:order val="2"/>
          <c:tx>
            <c:strRef>
              <c:f>Hoja1!$D$1</c:f>
              <c:strCache>
                <c:ptCount val="1"/>
                <c:pt idx="0">
                  <c:v>SOBREPESO</c:v>
                </c:pt>
              </c:strCache>
            </c:strRef>
          </c:tx>
          <c:invertIfNegative val="0"/>
          <c:dLbls>
            <c:dLbl>
              <c:idx val="2"/>
              <c:layout>
                <c:manualLayout>
                  <c:x val="-3.8259717829242292E-2"/>
                  <c:y val="5.2179813814344472E-2"/>
                </c:manualLayout>
              </c:layout>
              <c:showLegendKey val="0"/>
              <c:showVal val="1"/>
              <c:showCatName val="0"/>
              <c:showSerName val="1"/>
              <c:showPercent val="0"/>
              <c:showBubbleSize val="0"/>
              <c:separator>
</c:separator>
              <c:extLst>
                <c:ext xmlns:c15="http://schemas.microsoft.com/office/drawing/2012/chart" uri="{CE6537A1-D6FC-4f65-9D91-7224C49458BB}"/>
              </c:extLst>
            </c:dLbl>
            <c:dLbl>
              <c:idx val="3"/>
              <c:layout>
                <c:manualLayout>
                  <c:x val="4.2288777997292304E-2"/>
                  <c:y val="6.2521359737228915E-2"/>
                </c:manualLayout>
              </c:layout>
              <c:showLegendKey val="0"/>
              <c:showVal val="1"/>
              <c:showCatName val="0"/>
              <c:showSerName val="1"/>
              <c:showPercent val="0"/>
              <c:showBubbleSize val="0"/>
              <c:separator>
</c:separator>
              <c:extLst>
                <c:ext xmlns:c15="http://schemas.microsoft.com/office/drawing/2012/chart" uri="{CE6537A1-D6FC-4f65-9D91-7224C49458BB}"/>
              </c:extLst>
            </c:dLbl>
            <c:dLbl>
              <c:idx val="5"/>
              <c:layout>
                <c:manualLayout>
                  <c:x val="-3.019778690660237E-2"/>
                  <c:y val="6.34619007063389E-3"/>
                </c:manualLayout>
              </c:layout>
              <c:showLegendKey val="0"/>
              <c:showVal val="1"/>
              <c:showCatName val="0"/>
              <c:showSerName val="1"/>
              <c:showPercent val="0"/>
              <c:showBubbleSize val="0"/>
              <c:separator>
</c:separator>
              <c:extLst>
                <c:ext xmlns:c15="http://schemas.microsoft.com/office/drawing/2012/chart" uri="{CE6537A1-D6FC-4f65-9D91-7224C49458BB}"/>
              </c:extLst>
            </c:dLbl>
            <c:dLbl>
              <c:idx val="8"/>
              <c:layout>
                <c:manualLayout>
                  <c:x val="-2.0164353772949058E-3"/>
                  <c:y val="9.8717936427204205E-3"/>
                </c:manualLayout>
              </c:layout>
              <c:showLegendKey val="0"/>
              <c:showVal val="1"/>
              <c:showCatName val="0"/>
              <c:showSerName val="1"/>
              <c:showPercent val="0"/>
              <c:showBubbleSize val="0"/>
              <c:separator>
</c:separator>
              <c:extLst>
                <c:ext xmlns:c15="http://schemas.microsoft.com/office/drawing/2012/chart" uri="{CE6537A1-D6FC-4f65-9D91-7224C49458BB}"/>
              </c:extLst>
            </c:dLbl>
            <c:spPr>
              <a:noFill/>
              <a:ln>
                <a:noFill/>
              </a:ln>
              <a:effectLst/>
            </c:spPr>
            <c:txPr>
              <a:bodyPr/>
              <a:lstStyle/>
              <a:p>
                <a:pPr>
                  <a:defRPr sz="400"/>
                </a:pPr>
                <a:endParaRPr lang="es-MX"/>
              </a:p>
            </c:txPr>
            <c:showLegendKey val="0"/>
            <c:showVal val="1"/>
            <c:showCatName val="0"/>
            <c:showSerName val="1"/>
            <c:showPercent val="0"/>
            <c:showBubbleSize val="0"/>
            <c:separator>
</c:separator>
            <c:showLeaderLines val="0"/>
            <c:extLst>
              <c:ext xmlns:c15="http://schemas.microsoft.com/office/drawing/2012/chart" uri="{CE6537A1-D6FC-4f65-9D91-7224C49458BB}">
                <c15:showLeaderLines val="1"/>
              </c:ext>
            </c:extLst>
          </c:dLbls>
          <c:cat>
            <c:strRef>
              <c:f>Hoja1!$A$2:$A$10</c:f>
              <c:strCache>
                <c:ptCount val="9"/>
                <c:pt idx="0">
                  <c:v>NEGATIVA</c:v>
                </c:pt>
                <c:pt idx="1">
                  <c:v>ATIPIA ESCAMOSA  </c:v>
                </c:pt>
                <c:pt idx="2">
                  <c:v>INFECCION POR VPH</c:v>
                </c:pt>
                <c:pt idx="3">
                  <c:v>(NIC I)</c:v>
                </c:pt>
                <c:pt idx="4">
                  <c:v>(NIC II)</c:v>
                </c:pt>
                <c:pt idx="5">
                  <c:v>(NIC III)</c:v>
                </c:pt>
                <c:pt idx="6">
                  <c:v>CARCINOMA IN SITU</c:v>
                </c:pt>
                <c:pt idx="7">
                  <c:v>CANCER ESCAMOSO INVASOR </c:v>
                </c:pt>
                <c:pt idx="8">
                  <c:v>OTROS</c:v>
                </c:pt>
              </c:strCache>
            </c:strRef>
          </c:cat>
          <c:val>
            <c:numRef>
              <c:f>Hoja1!$D$2:$D$10</c:f>
              <c:numCache>
                <c:formatCode>General</c:formatCode>
                <c:ptCount val="9"/>
                <c:pt idx="2" formatCode="0.00%">
                  <c:v>5.3999999999999999E-2</c:v>
                </c:pt>
                <c:pt idx="3" formatCode="0.00%">
                  <c:v>0.32400000000000251</c:v>
                </c:pt>
                <c:pt idx="5" formatCode="0.00%">
                  <c:v>2.7000000000000222E-2</c:v>
                </c:pt>
                <c:pt idx="8" formatCode="0.00%">
                  <c:v>5.3999999999999999E-2</c:v>
                </c:pt>
              </c:numCache>
            </c:numRef>
          </c:val>
        </c:ser>
        <c:ser>
          <c:idx val="3"/>
          <c:order val="3"/>
          <c:tx>
            <c:strRef>
              <c:f>Hoja1!$E$1</c:f>
              <c:strCache>
                <c:ptCount val="1"/>
                <c:pt idx="0">
                  <c:v>O. TIPO 1</c:v>
                </c:pt>
              </c:strCache>
            </c:strRef>
          </c:tx>
          <c:invertIfNegative val="0"/>
          <c:dLbls>
            <c:dLbl>
              <c:idx val="1"/>
              <c:layout>
                <c:manualLayout>
                  <c:x val="-3.6243282451947606E-2"/>
                  <c:y val="5.5470411695251312E-2"/>
                </c:manualLayout>
              </c:layout>
              <c:showLegendKey val="0"/>
              <c:showVal val="1"/>
              <c:showCatName val="0"/>
              <c:showSerName val="1"/>
              <c:showPercent val="0"/>
              <c:showBubbleSize val="0"/>
              <c:separator>
</c:separator>
              <c:extLst>
                <c:ext xmlns:c15="http://schemas.microsoft.com/office/drawing/2012/chart" uri="{CE6537A1-D6FC-4f65-9D91-7224C49458BB}"/>
              </c:extLst>
            </c:dLbl>
            <c:dLbl>
              <c:idx val="2"/>
              <c:layout>
                <c:manualLayout>
                  <c:x val="3.2214222283897281E-2"/>
                  <c:y val="5.8996015267337804E-2"/>
                </c:manualLayout>
              </c:layout>
              <c:showLegendKey val="0"/>
              <c:showVal val="1"/>
              <c:showCatName val="0"/>
              <c:showSerName val="1"/>
              <c:showPercent val="0"/>
              <c:showBubbleSize val="0"/>
              <c:separator>
</c:separator>
              <c:extLst>
                <c:ext xmlns:c15="http://schemas.microsoft.com/office/drawing/2012/chart" uri="{CE6537A1-D6FC-4f65-9D91-7224C49458BB}"/>
              </c:extLst>
            </c:dLbl>
            <c:dLbl>
              <c:idx val="3"/>
              <c:layout>
                <c:manualLayout>
                  <c:x val="1.8099174642833098E-2"/>
                  <c:y val="6.0326930914772914E-17"/>
                </c:manualLayout>
              </c:layout>
              <c:showLegendKey val="0"/>
              <c:showVal val="1"/>
              <c:showCatName val="0"/>
              <c:showSerName val="1"/>
              <c:showPercent val="0"/>
              <c:showBubbleSize val="0"/>
              <c:separator>
</c:separator>
              <c:extLst>
                <c:ext xmlns:c15="http://schemas.microsoft.com/office/drawing/2012/chart" uri="{CE6537A1-D6FC-4f65-9D91-7224C49458BB}"/>
              </c:extLst>
            </c:dLbl>
            <c:dLbl>
              <c:idx val="5"/>
              <c:layout>
                <c:manualLayout>
                  <c:x val="3.4230657661192182E-2"/>
                  <c:y val="5.2649566094508556E-2"/>
                </c:manualLayout>
              </c:layout>
              <c:showLegendKey val="0"/>
              <c:showVal val="1"/>
              <c:showCatName val="0"/>
              <c:showSerName val="1"/>
              <c:showPercent val="0"/>
              <c:showBubbleSize val="0"/>
              <c:separator>
</c:separator>
              <c:extLst>
                <c:ext xmlns:c15="http://schemas.microsoft.com/office/drawing/2012/chart" uri="{CE6537A1-D6FC-4f65-9D91-7224C49458BB}"/>
              </c:extLst>
            </c:dLbl>
            <c:spPr>
              <a:noFill/>
              <a:ln>
                <a:noFill/>
              </a:ln>
              <a:effectLst/>
            </c:spPr>
            <c:txPr>
              <a:bodyPr/>
              <a:lstStyle/>
              <a:p>
                <a:pPr>
                  <a:defRPr sz="400"/>
                </a:pPr>
                <a:endParaRPr lang="es-MX"/>
              </a:p>
            </c:txPr>
            <c:showLegendKey val="0"/>
            <c:showVal val="1"/>
            <c:showCatName val="0"/>
            <c:showSerName val="1"/>
            <c:showPercent val="0"/>
            <c:showBubbleSize val="0"/>
            <c:separator>
</c:separator>
            <c:showLeaderLines val="0"/>
            <c:extLst>
              <c:ext xmlns:c15="http://schemas.microsoft.com/office/drawing/2012/chart" uri="{CE6537A1-D6FC-4f65-9D91-7224C49458BB}">
                <c15:showLeaderLines val="1"/>
              </c:ext>
            </c:extLst>
          </c:dLbls>
          <c:cat>
            <c:strRef>
              <c:f>Hoja1!$A$2:$A$10</c:f>
              <c:strCache>
                <c:ptCount val="9"/>
                <c:pt idx="0">
                  <c:v>NEGATIVA</c:v>
                </c:pt>
                <c:pt idx="1">
                  <c:v>ATIPIA ESCAMOSA  </c:v>
                </c:pt>
                <c:pt idx="2">
                  <c:v>INFECCION POR VPH</c:v>
                </c:pt>
                <c:pt idx="3">
                  <c:v>(NIC I)</c:v>
                </c:pt>
                <c:pt idx="4">
                  <c:v>(NIC II)</c:v>
                </c:pt>
                <c:pt idx="5">
                  <c:v>(NIC III)</c:v>
                </c:pt>
                <c:pt idx="6">
                  <c:v>CARCINOMA IN SITU</c:v>
                </c:pt>
                <c:pt idx="7">
                  <c:v>CANCER ESCAMOSO INVASOR </c:v>
                </c:pt>
                <c:pt idx="8">
                  <c:v>OTROS</c:v>
                </c:pt>
              </c:strCache>
            </c:strRef>
          </c:cat>
          <c:val>
            <c:numRef>
              <c:f>Hoja1!$E$2:$E$10</c:f>
              <c:numCache>
                <c:formatCode>0.00%</c:formatCode>
                <c:ptCount val="9"/>
                <c:pt idx="1">
                  <c:v>2.7000000000000222E-2</c:v>
                </c:pt>
                <c:pt idx="2">
                  <c:v>5.3999999999999999E-2</c:v>
                </c:pt>
                <c:pt idx="3">
                  <c:v>5.3999999999999999E-2</c:v>
                </c:pt>
                <c:pt idx="5">
                  <c:v>2.7000000000000222E-2</c:v>
                </c:pt>
              </c:numCache>
            </c:numRef>
          </c:val>
        </c:ser>
        <c:ser>
          <c:idx val="4"/>
          <c:order val="4"/>
          <c:tx>
            <c:strRef>
              <c:f>Hoja1!$F$1</c:f>
              <c:strCache>
                <c:ptCount val="1"/>
                <c:pt idx="0">
                  <c:v>O.TIPO 2</c:v>
                </c:pt>
              </c:strCache>
            </c:strRef>
          </c:tx>
          <c:invertIfNegative val="0"/>
          <c:dLbls>
            <c:dLbl>
              <c:idx val="3"/>
              <c:layout>
                <c:manualLayout>
                  <c:x val="3.019778690660237E-2"/>
                  <c:y val="6.1114434816495408E-3"/>
                </c:manualLayout>
              </c:layout>
              <c:showLegendKey val="0"/>
              <c:showVal val="1"/>
              <c:showCatName val="0"/>
              <c:showSerName val="1"/>
              <c:showPercent val="0"/>
              <c:showBubbleSize val="0"/>
              <c:separator>
</c:separator>
              <c:extLst>
                <c:ext xmlns:c15="http://schemas.microsoft.com/office/drawing/2012/chart" uri="{CE6537A1-D6FC-4f65-9D91-7224C49458BB}"/>
              </c:extLst>
            </c:dLbl>
            <c:spPr>
              <a:noFill/>
              <a:ln>
                <a:noFill/>
              </a:ln>
              <a:effectLst/>
            </c:spPr>
            <c:txPr>
              <a:bodyPr/>
              <a:lstStyle/>
              <a:p>
                <a:pPr>
                  <a:defRPr sz="400"/>
                </a:pPr>
                <a:endParaRPr lang="es-MX"/>
              </a:p>
            </c:txPr>
            <c:showLegendKey val="0"/>
            <c:showVal val="1"/>
            <c:showCatName val="0"/>
            <c:showSerName val="1"/>
            <c:showPercent val="0"/>
            <c:showBubbleSize val="0"/>
            <c:separator>
</c:separator>
            <c:showLeaderLines val="0"/>
            <c:extLst>
              <c:ext xmlns:c15="http://schemas.microsoft.com/office/drawing/2012/chart" uri="{CE6537A1-D6FC-4f65-9D91-7224C49458BB}">
                <c15:showLeaderLines val="1"/>
              </c:ext>
            </c:extLst>
          </c:dLbls>
          <c:cat>
            <c:strRef>
              <c:f>Hoja1!$A$2:$A$10</c:f>
              <c:strCache>
                <c:ptCount val="9"/>
                <c:pt idx="0">
                  <c:v>NEGATIVA</c:v>
                </c:pt>
                <c:pt idx="1">
                  <c:v>ATIPIA ESCAMOSA  </c:v>
                </c:pt>
                <c:pt idx="2">
                  <c:v>INFECCION POR VPH</c:v>
                </c:pt>
                <c:pt idx="3">
                  <c:v>(NIC I)</c:v>
                </c:pt>
                <c:pt idx="4">
                  <c:v>(NIC II)</c:v>
                </c:pt>
                <c:pt idx="5">
                  <c:v>(NIC III)</c:v>
                </c:pt>
                <c:pt idx="6">
                  <c:v>CARCINOMA IN SITU</c:v>
                </c:pt>
                <c:pt idx="7">
                  <c:v>CANCER ESCAMOSO INVASOR </c:v>
                </c:pt>
                <c:pt idx="8">
                  <c:v>OTROS</c:v>
                </c:pt>
              </c:strCache>
            </c:strRef>
          </c:cat>
          <c:val>
            <c:numRef>
              <c:f>Hoja1!$F$2:$F$10</c:f>
              <c:numCache>
                <c:formatCode>General</c:formatCode>
                <c:ptCount val="9"/>
                <c:pt idx="3" formatCode="0.00%">
                  <c:v>2.7000000000000222E-2</c:v>
                </c:pt>
              </c:numCache>
            </c:numRef>
          </c:val>
        </c:ser>
        <c:ser>
          <c:idx val="5"/>
          <c:order val="5"/>
          <c:tx>
            <c:strRef>
              <c:f>Hoja1!$G$1</c:f>
              <c:strCache>
                <c:ptCount val="1"/>
                <c:pt idx="0">
                  <c:v>O. TIPO 3</c:v>
                </c:pt>
              </c:strCache>
            </c:strRef>
          </c:tx>
          <c:invertIfNegative val="0"/>
          <c:dLbls>
            <c:dLbl>
              <c:idx val="3"/>
              <c:layout>
                <c:manualLayout>
                  <c:x val="4.6295450969421163E-2"/>
                  <c:y val="5.5708267510579793E-2"/>
                </c:manualLayout>
              </c:layout>
              <c:spPr>
                <a:noFill/>
                <a:ln>
                  <a:noFill/>
                </a:ln>
                <a:effectLst/>
              </c:spPr>
              <c:txPr>
                <a:bodyPr/>
                <a:lstStyle/>
                <a:p>
                  <a:pPr>
                    <a:defRPr sz="400"/>
                  </a:pPr>
                  <a:endParaRPr lang="es-MX"/>
                </a:p>
              </c:txPr>
              <c:showLegendKey val="0"/>
              <c:showVal val="1"/>
              <c:showCatName val="0"/>
              <c:showSerName val="1"/>
              <c:showPercent val="0"/>
              <c:showBubbleSize val="0"/>
              <c:separator>
</c:separator>
              <c:extLst>
                <c:ext xmlns:c15="http://schemas.microsoft.com/office/drawing/2012/chart" uri="{CE6537A1-D6FC-4f65-9D91-7224C49458BB}"/>
              </c:extLst>
            </c:dLbl>
            <c:spPr>
              <a:noFill/>
              <a:ln>
                <a:noFill/>
              </a:ln>
              <a:effectLst/>
            </c:spPr>
            <c:txPr>
              <a:bodyPr wrap="square" lIns="38100" tIns="19050" rIns="38100" bIns="19050" anchor="ctr">
                <a:spAutoFit/>
              </a:bodyPr>
              <a:lstStyle/>
              <a:p>
                <a:pPr>
                  <a:defRPr sz="400"/>
                </a:pPr>
                <a:endParaRPr lang="es-MX"/>
              </a:p>
            </c:txPr>
            <c:showLegendKey val="0"/>
            <c:showVal val="1"/>
            <c:showCatName val="0"/>
            <c:showSerName val="1"/>
            <c:showPercent val="0"/>
            <c:showBubbleSize val="0"/>
            <c:separator>
</c:separator>
            <c:showLeaderLines val="0"/>
            <c:extLst>
              <c:ext xmlns:c15="http://schemas.microsoft.com/office/drawing/2012/chart" uri="{CE6537A1-D6FC-4f65-9D91-7224C49458BB}">
                <c15:showLeaderLines val="1"/>
              </c:ext>
            </c:extLst>
          </c:dLbls>
          <c:cat>
            <c:strRef>
              <c:f>Hoja1!$A$2:$A$10</c:f>
              <c:strCache>
                <c:ptCount val="9"/>
                <c:pt idx="0">
                  <c:v>NEGATIVA</c:v>
                </c:pt>
                <c:pt idx="1">
                  <c:v>ATIPIA ESCAMOSA  </c:v>
                </c:pt>
                <c:pt idx="2">
                  <c:v>INFECCION POR VPH</c:v>
                </c:pt>
                <c:pt idx="3">
                  <c:v>(NIC I)</c:v>
                </c:pt>
                <c:pt idx="4">
                  <c:v>(NIC II)</c:v>
                </c:pt>
                <c:pt idx="5">
                  <c:v>(NIC III)</c:v>
                </c:pt>
                <c:pt idx="6">
                  <c:v>CARCINOMA IN SITU</c:v>
                </c:pt>
                <c:pt idx="7">
                  <c:v>CANCER ESCAMOSO INVASOR </c:v>
                </c:pt>
                <c:pt idx="8">
                  <c:v>OTROS</c:v>
                </c:pt>
              </c:strCache>
            </c:strRef>
          </c:cat>
          <c:val>
            <c:numRef>
              <c:f>Hoja1!$G$2:$G$10</c:f>
              <c:numCache>
                <c:formatCode>General</c:formatCode>
                <c:ptCount val="9"/>
                <c:pt idx="3" formatCode="0.00%">
                  <c:v>2.7000000000000222E-2</c:v>
                </c:pt>
              </c:numCache>
            </c:numRef>
          </c:val>
        </c:ser>
        <c:dLbls>
          <c:showLegendKey val="0"/>
          <c:showVal val="0"/>
          <c:showCatName val="0"/>
          <c:showSerName val="0"/>
          <c:showPercent val="0"/>
          <c:showBubbleSize val="0"/>
        </c:dLbls>
        <c:gapWidth val="150"/>
        <c:axId val="-1943320656"/>
        <c:axId val="-1943313040"/>
      </c:barChart>
      <c:catAx>
        <c:axId val="-1943320656"/>
        <c:scaling>
          <c:orientation val="minMax"/>
        </c:scaling>
        <c:delete val="0"/>
        <c:axPos val="b"/>
        <c:numFmt formatCode="General" sourceLinked="1"/>
        <c:majorTickMark val="out"/>
        <c:minorTickMark val="none"/>
        <c:tickLblPos val="nextTo"/>
        <c:txPr>
          <a:bodyPr/>
          <a:lstStyle/>
          <a:p>
            <a:pPr>
              <a:defRPr sz="600"/>
            </a:pPr>
            <a:endParaRPr lang="es-MX"/>
          </a:p>
        </c:txPr>
        <c:crossAx val="-1943313040"/>
        <c:crosses val="autoZero"/>
        <c:auto val="1"/>
        <c:lblAlgn val="ctr"/>
        <c:lblOffset val="100"/>
        <c:noMultiLvlLbl val="0"/>
      </c:catAx>
      <c:valAx>
        <c:axId val="-1943313040"/>
        <c:scaling>
          <c:orientation val="minMax"/>
        </c:scaling>
        <c:delete val="1"/>
        <c:axPos val="l"/>
        <c:majorGridlines/>
        <c:numFmt formatCode="General" sourceLinked="1"/>
        <c:majorTickMark val="out"/>
        <c:minorTickMark val="none"/>
        <c:tickLblPos val="nextTo"/>
        <c:crossAx val="-1943320656"/>
        <c:crosses val="autoZero"/>
        <c:crossBetween val="between"/>
      </c:valAx>
    </c:plotArea>
    <c:legend>
      <c:legendPos val="r"/>
      <c:overlay val="0"/>
      <c:txPr>
        <a:bodyPr/>
        <a:lstStyle/>
        <a:p>
          <a:pPr>
            <a:defRPr sz="600"/>
          </a:pPr>
          <a:endParaRPr lang="es-MX"/>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MINIMO DE (KG) GRASA</c:v>
                </c:pt>
              </c:strCache>
            </c:strRef>
          </c:tx>
          <c:invertIfNegative val="0"/>
          <c:cat>
            <c:strRef>
              <c:f>Hoja1!$A$2:$A$5</c:f>
              <c:strCache>
                <c:ptCount val="4"/>
                <c:pt idx="0">
                  <c:v>(20-30 AÑOS)</c:v>
                </c:pt>
                <c:pt idx="1">
                  <c:v>(31-40 AÑOS)</c:v>
                </c:pt>
                <c:pt idx="2">
                  <c:v>(41-50 AÑOS)</c:v>
                </c:pt>
                <c:pt idx="3">
                  <c:v>(51-60 AÑOS)</c:v>
                </c:pt>
              </c:strCache>
            </c:strRef>
          </c:cat>
          <c:val>
            <c:numRef>
              <c:f>Hoja1!$B$2:$B$5</c:f>
              <c:numCache>
                <c:formatCode>General</c:formatCode>
                <c:ptCount val="4"/>
              </c:numCache>
            </c:numRef>
          </c:val>
        </c:ser>
        <c:ser>
          <c:idx val="1"/>
          <c:order val="1"/>
          <c:tx>
            <c:strRef>
              <c:f>Hoja1!$C$1</c:f>
              <c:strCache>
                <c:ptCount val="1"/>
                <c:pt idx="0">
                  <c:v>MEDIA DE (KG) GRASA</c:v>
                </c:pt>
              </c:strCache>
            </c:strRef>
          </c:tx>
          <c:invertIfNegative val="0"/>
          <c:dLbls>
            <c:dLbl>
              <c:idx val="0"/>
              <c:layout>
                <c:manualLayout>
                  <c:x val="-1.6203703703703703E-2"/>
                  <c:y val="7.9365079365079413E-3"/>
                </c:manualLayout>
              </c:layout>
              <c:tx>
                <c:rich>
                  <a:bodyPr/>
                  <a:lstStyle/>
                  <a:p>
                    <a:r>
                      <a:rPr lang="en-US" sz="600"/>
                      <a:t>MEDIA DE (KG) </a:t>
                    </a:r>
                  </a:p>
                  <a:p>
                    <a:r>
                      <a:rPr lang="en-US" sz="600"/>
                      <a:t>GRASA; 8,10%</a:t>
                    </a:r>
                  </a:p>
                </c:rich>
              </c:tx>
              <c:showLegendKey val="0"/>
              <c:showVal val="1"/>
              <c:showCatName val="0"/>
              <c:showSerName val="1"/>
              <c:showPercent val="0"/>
              <c:showBubbleSize val="0"/>
              <c:extLst>
                <c:ext xmlns:c15="http://schemas.microsoft.com/office/drawing/2012/chart" uri="{CE6537A1-D6FC-4f65-9D91-7224C49458BB}"/>
              </c:extLst>
            </c:dLbl>
            <c:dLbl>
              <c:idx val="1"/>
              <c:layout>
                <c:manualLayout>
                  <c:x val="-1.8518518518518583E-2"/>
                  <c:y val="1.1904761904761883E-2"/>
                </c:manualLayout>
              </c:layout>
              <c:tx>
                <c:rich>
                  <a:bodyPr/>
                  <a:lstStyle/>
                  <a:p>
                    <a:r>
                      <a:rPr lang="en-US" sz="600"/>
                      <a:t>MEDIA DE (KG) </a:t>
                    </a:r>
                  </a:p>
                  <a:p>
                    <a:r>
                      <a:rPr lang="en-US" sz="600"/>
                      <a:t>GRASA; 16,21%</a:t>
                    </a:r>
                  </a:p>
                </c:rich>
              </c:tx>
              <c:showLegendKey val="0"/>
              <c:showVal val="1"/>
              <c:showCatName val="0"/>
              <c:showSerName val="1"/>
              <c:showPercent val="0"/>
              <c:showBubbleSize val="0"/>
              <c:extLst>
                <c:ext xmlns:c15="http://schemas.microsoft.com/office/drawing/2012/chart" uri="{CE6537A1-D6FC-4f65-9D91-7224C49458BB}"/>
              </c:extLst>
            </c:dLbl>
            <c:dLbl>
              <c:idx val="2"/>
              <c:layout>
                <c:manualLayout>
                  <c:x val="-2.3148148148148147E-2"/>
                  <c:y val="7.9365079365079413E-3"/>
                </c:manualLayout>
              </c:layout>
              <c:tx>
                <c:rich>
                  <a:bodyPr/>
                  <a:lstStyle/>
                  <a:p>
                    <a:r>
                      <a:rPr lang="en-US" sz="600"/>
                      <a:t>MEDIA DE (KG) </a:t>
                    </a:r>
                  </a:p>
                  <a:p>
                    <a:r>
                      <a:rPr lang="en-US" sz="600"/>
                      <a:t>GRASA; 10,81%</a:t>
                    </a:r>
                  </a:p>
                </c:rich>
              </c:tx>
              <c:showLegendKey val="0"/>
              <c:showVal val="1"/>
              <c:showCatName val="0"/>
              <c:showSerName val="1"/>
              <c:showPercent val="0"/>
              <c:showBubbleSize val="0"/>
              <c:extLst>
                <c:ext xmlns:c15="http://schemas.microsoft.com/office/drawing/2012/chart" uri="{CE6537A1-D6FC-4f65-9D91-7224C49458BB}"/>
              </c:extLst>
            </c:dLbl>
            <c:dLbl>
              <c:idx val="3"/>
              <c:layout>
                <c:manualLayout>
                  <c:x val="-2.0969757580975953E-2"/>
                  <c:y val="0.15195788129649085"/>
                </c:manualLayout>
              </c:layout>
              <c:tx>
                <c:rich>
                  <a:bodyPr/>
                  <a:lstStyle/>
                  <a:p>
                    <a:r>
                      <a:rPr lang="en-US" sz="600"/>
                      <a:t>MEDIA DE (KG) </a:t>
                    </a:r>
                  </a:p>
                  <a:p>
                    <a:r>
                      <a:rPr lang="en-US" sz="600"/>
                      <a:t>GRASA; 10,81%</a:t>
                    </a:r>
                  </a:p>
                </c:rich>
              </c:tx>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Hoja1!$C$2:$C$5</c:f>
              <c:numCache>
                <c:formatCode>0.00%</c:formatCode>
                <c:ptCount val="4"/>
                <c:pt idx="0">
                  <c:v>8.1000000000000003E-2</c:v>
                </c:pt>
                <c:pt idx="1">
                  <c:v>0.16209999999999999</c:v>
                </c:pt>
                <c:pt idx="2">
                  <c:v>0.10810000000000022</c:v>
                </c:pt>
                <c:pt idx="3">
                  <c:v>0.10810000000000022</c:v>
                </c:pt>
              </c:numCache>
            </c:numRef>
          </c:val>
        </c:ser>
        <c:ser>
          <c:idx val="2"/>
          <c:order val="2"/>
          <c:tx>
            <c:strRef>
              <c:f>Hoja1!$D$1</c:f>
              <c:strCache>
                <c:ptCount val="1"/>
                <c:pt idx="0">
                  <c:v>MAXIMO DE (KG) GRASA</c:v>
                </c:pt>
              </c:strCache>
            </c:strRef>
          </c:tx>
          <c:invertIfNegative val="0"/>
          <c:cat>
            <c:strRef>
              <c:f>Hoja1!$A$2:$A$5</c:f>
              <c:strCache>
                <c:ptCount val="4"/>
                <c:pt idx="0">
                  <c:v>(20-30 AÑOS)</c:v>
                </c:pt>
                <c:pt idx="1">
                  <c:v>(31-40 AÑOS)</c:v>
                </c:pt>
                <c:pt idx="2">
                  <c:v>(41-50 AÑOS)</c:v>
                </c:pt>
                <c:pt idx="3">
                  <c:v>(51-60 AÑOS)</c:v>
                </c:pt>
              </c:strCache>
            </c:strRef>
          </c:cat>
          <c:val>
            <c:numRef>
              <c:f>Hoja1!$D$2:$D$5</c:f>
              <c:numCache>
                <c:formatCode>General</c:formatCode>
                <c:ptCount val="4"/>
              </c:numCache>
            </c:numRef>
          </c:val>
        </c:ser>
        <c:ser>
          <c:idx val="3"/>
          <c:order val="3"/>
          <c:tx>
            <c:strRef>
              <c:f>Hoja1!$E$1</c:f>
              <c:strCache>
                <c:ptCount val="1"/>
                <c:pt idx="0">
                  <c:v>&gt; MAXIMO DE (KG) GRASA</c:v>
                </c:pt>
              </c:strCache>
            </c:strRef>
          </c:tx>
          <c:invertIfNegative val="0"/>
          <c:dLbls>
            <c:dLbl>
              <c:idx val="0"/>
              <c:layout>
                <c:manualLayout>
                  <c:x val="1.6203703703703703E-2"/>
                  <c:y val="7.9365079365079413E-3"/>
                </c:manualLayout>
              </c:layout>
              <c:tx>
                <c:rich>
                  <a:bodyPr/>
                  <a:lstStyle/>
                  <a:p>
                    <a:r>
                      <a:rPr lang="en-US"/>
                      <a:t>&gt; MAXIMO DE (KG) </a:t>
                    </a:r>
                  </a:p>
                  <a:p>
                    <a:r>
                      <a:rPr lang="en-US"/>
                      <a:t>GRASA; 2,70%</a:t>
                    </a:r>
                  </a:p>
                </c:rich>
              </c:tx>
              <c:showLegendKey val="0"/>
              <c:showVal val="1"/>
              <c:showCatName val="0"/>
              <c:showSerName val="1"/>
              <c:showPercent val="0"/>
              <c:showBubbleSize val="0"/>
              <c:extLst>
                <c:ext xmlns:c15="http://schemas.microsoft.com/office/drawing/2012/chart" uri="{CE6537A1-D6FC-4f65-9D91-7224C49458BB}"/>
              </c:extLst>
            </c:dLbl>
            <c:dLbl>
              <c:idx val="1"/>
              <c:layout>
                <c:manualLayout>
                  <c:x val="3.4722222222222224E-2"/>
                  <c:y val="1.1904761904761921E-2"/>
                </c:manualLayout>
              </c:layout>
              <c:tx>
                <c:rich>
                  <a:bodyPr/>
                  <a:lstStyle/>
                  <a:p>
                    <a:r>
                      <a:rPr lang="en-US"/>
                      <a:t>&gt; MAXIMO DE (KG) </a:t>
                    </a:r>
                  </a:p>
                  <a:p>
                    <a:r>
                      <a:rPr lang="en-US"/>
                      <a:t>GRASA; 18,91%</a:t>
                    </a:r>
                  </a:p>
                </c:rich>
              </c:tx>
              <c:showLegendKey val="0"/>
              <c:showVal val="1"/>
              <c:showCatName val="0"/>
              <c:showSerName val="1"/>
              <c:showPercent val="0"/>
              <c:showBubbleSize val="0"/>
              <c:extLst>
                <c:ext xmlns:c15="http://schemas.microsoft.com/office/drawing/2012/chart" uri="{CE6537A1-D6FC-4f65-9D91-7224C49458BB}"/>
              </c:extLst>
            </c:dLbl>
            <c:dLbl>
              <c:idx val="2"/>
              <c:layout>
                <c:manualLayout>
                  <c:x val="7.2429610566248998E-2"/>
                  <c:y val="1.1904906925311317E-2"/>
                </c:manualLayout>
              </c:layout>
              <c:tx>
                <c:rich>
                  <a:bodyPr/>
                  <a:lstStyle/>
                  <a:p>
                    <a:r>
                      <a:rPr lang="en-US"/>
                      <a:t>&gt; MAXIMO DE (KG) </a:t>
                    </a:r>
                  </a:p>
                  <a:p>
                    <a:r>
                      <a:rPr lang="en-US"/>
                      <a:t>GRASA; 21,62%</a:t>
                    </a:r>
                  </a:p>
                </c:rich>
              </c:tx>
              <c:showLegendKey val="0"/>
              <c:showVal val="1"/>
              <c:showCatName val="0"/>
              <c:showSerName val="1"/>
              <c:showPercent val="0"/>
              <c:showBubbleSize val="0"/>
              <c:extLst>
                <c:ext xmlns:c15="http://schemas.microsoft.com/office/drawing/2012/chart" uri="{CE6537A1-D6FC-4f65-9D91-7224C49458BB}"/>
              </c:extLst>
            </c:dLbl>
            <c:dLbl>
              <c:idx val="3"/>
              <c:layout>
                <c:manualLayout>
                  <c:x val="1.3888888888889018E-2"/>
                  <c:y val="1.1904761904761921E-2"/>
                </c:manualLayout>
              </c:layout>
              <c:tx>
                <c:rich>
                  <a:bodyPr/>
                  <a:lstStyle/>
                  <a:p>
                    <a:r>
                      <a:rPr lang="en-US"/>
                      <a:t>&gt; MAXIMO DE (KG) </a:t>
                    </a:r>
                  </a:p>
                  <a:p>
                    <a:r>
                      <a:rPr lang="en-US"/>
                      <a:t>GRASA; 10,81%</a:t>
                    </a:r>
                  </a:p>
                </c:rich>
              </c:tx>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sz="600"/>
                </a:pPr>
                <a:endParaRPr lang="es-MX"/>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Hoja1!$E$2:$E$5</c:f>
              <c:numCache>
                <c:formatCode>0.00%</c:formatCode>
                <c:ptCount val="4"/>
                <c:pt idx="0">
                  <c:v>2.7000000000000184E-2</c:v>
                </c:pt>
                <c:pt idx="1">
                  <c:v>0.18910000000000021</c:v>
                </c:pt>
                <c:pt idx="2">
                  <c:v>0.21620000000000097</c:v>
                </c:pt>
                <c:pt idx="3">
                  <c:v>0.10810000000000022</c:v>
                </c:pt>
              </c:numCache>
            </c:numRef>
          </c:val>
        </c:ser>
        <c:dLbls>
          <c:showLegendKey val="0"/>
          <c:showVal val="0"/>
          <c:showCatName val="0"/>
          <c:showSerName val="0"/>
          <c:showPercent val="0"/>
          <c:showBubbleSize val="0"/>
        </c:dLbls>
        <c:gapWidth val="150"/>
        <c:axId val="-1943309232"/>
        <c:axId val="-1943311408"/>
      </c:barChart>
      <c:catAx>
        <c:axId val="-1943309232"/>
        <c:scaling>
          <c:orientation val="minMax"/>
        </c:scaling>
        <c:delete val="0"/>
        <c:axPos val="b"/>
        <c:numFmt formatCode="General" sourceLinked="0"/>
        <c:majorTickMark val="out"/>
        <c:minorTickMark val="none"/>
        <c:tickLblPos val="nextTo"/>
        <c:txPr>
          <a:bodyPr/>
          <a:lstStyle/>
          <a:p>
            <a:pPr>
              <a:defRPr sz="600"/>
            </a:pPr>
            <a:endParaRPr lang="es-MX"/>
          </a:p>
        </c:txPr>
        <c:crossAx val="-1943311408"/>
        <c:crosses val="autoZero"/>
        <c:auto val="1"/>
        <c:lblAlgn val="ctr"/>
        <c:lblOffset val="100"/>
        <c:noMultiLvlLbl val="0"/>
      </c:catAx>
      <c:valAx>
        <c:axId val="-1943311408"/>
        <c:scaling>
          <c:orientation val="minMax"/>
        </c:scaling>
        <c:delete val="1"/>
        <c:axPos val="l"/>
        <c:majorGridlines/>
        <c:numFmt formatCode="General" sourceLinked="1"/>
        <c:majorTickMark val="out"/>
        <c:minorTickMark val="none"/>
        <c:tickLblPos val="nextTo"/>
        <c:crossAx val="-1943309232"/>
        <c:crosses val="autoZero"/>
        <c:crossBetween val="between"/>
      </c:valAx>
    </c:plotArea>
    <c:legend>
      <c:legendPos val="r"/>
      <c:overlay val="0"/>
      <c:txPr>
        <a:bodyPr/>
        <a:lstStyle/>
        <a:p>
          <a:pPr>
            <a:defRPr sz="600"/>
          </a:pPr>
          <a:endParaRPr lang="es-MX"/>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9157088122605363E-2"/>
          <c:y val="5.1587301587301577E-2"/>
          <c:w val="0.82340136362265059"/>
          <c:h val="0.82745688038995058"/>
        </c:manualLayout>
      </c:layout>
      <c:barChart>
        <c:barDir val="col"/>
        <c:grouping val="clustered"/>
        <c:varyColors val="0"/>
        <c:ser>
          <c:idx val="0"/>
          <c:order val="0"/>
          <c:tx>
            <c:strRef>
              <c:f>Hoja1!$B$1</c:f>
              <c:strCache>
                <c:ptCount val="1"/>
                <c:pt idx="0">
                  <c:v>H.C. (–55%)</c:v>
                </c:pt>
              </c:strCache>
            </c:strRef>
          </c:tx>
          <c:invertIfNegative val="0"/>
          <c:dLbls>
            <c:dLbl>
              <c:idx val="0"/>
              <c:layout>
                <c:manualLayout>
                  <c:x val="-2.4904214559386982E-2"/>
                  <c:y val="1.1904761904761921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157088122605424E-3"/>
                  <c:y val="1.587301587301587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5325670498084351E-2"/>
                  <c:y val="1.984126984126994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9.5785440613027246E-3"/>
                  <c:y val="1.587301587301587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Hoja1!$B$2:$B$5</c:f>
              <c:numCache>
                <c:formatCode>0.00%</c:formatCode>
                <c:ptCount val="4"/>
                <c:pt idx="0">
                  <c:v>5.3999999999999999E-2</c:v>
                </c:pt>
                <c:pt idx="1">
                  <c:v>5.3999999999999999E-2</c:v>
                </c:pt>
                <c:pt idx="2">
                  <c:v>0.16200000000000001</c:v>
                </c:pt>
                <c:pt idx="3">
                  <c:v>2.7000000000000121E-2</c:v>
                </c:pt>
              </c:numCache>
            </c:numRef>
          </c:val>
        </c:ser>
        <c:ser>
          <c:idx val="1"/>
          <c:order val="1"/>
          <c:tx>
            <c:strRef>
              <c:f>Hoja1!$C$1</c:f>
              <c:strCache>
                <c:ptCount val="1"/>
                <c:pt idx="0">
                  <c:v>H.C. (55%)</c:v>
                </c:pt>
              </c:strCache>
            </c:strRef>
          </c:tx>
          <c:invertIfNegative val="0"/>
          <c:dLbls>
            <c:dLbl>
              <c:idx val="0"/>
              <c:layout>
                <c:manualLayout>
                  <c:x val="-1.3885813001457097E-2"/>
                  <c:y val="4.365088929943547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8314176245210752E-3"/>
                  <c:y val="1.984126984126994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Hoja1!$C$2:$C$5</c:f>
              <c:numCache>
                <c:formatCode>General</c:formatCode>
                <c:ptCount val="4"/>
                <c:pt idx="0" formatCode="0.00%">
                  <c:v>2.7000000000000121E-2</c:v>
                </c:pt>
                <c:pt idx="2" formatCode="0.00%">
                  <c:v>2.7000000000000121E-2</c:v>
                </c:pt>
              </c:numCache>
            </c:numRef>
          </c:val>
        </c:ser>
        <c:ser>
          <c:idx val="2"/>
          <c:order val="2"/>
          <c:tx>
            <c:strRef>
              <c:f>Hoja1!$D$1</c:f>
              <c:strCache>
                <c:ptCount val="1"/>
                <c:pt idx="0">
                  <c:v>H.C. (+55%)</c:v>
                </c:pt>
              </c:strCache>
            </c:strRef>
          </c:tx>
          <c:invertIfNegative val="0"/>
          <c:dLbls>
            <c:dLbl>
              <c:idx val="0"/>
              <c:layout>
                <c:manualLayout>
                  <c:x val="2.1561532015993611E-2"/>
                  <c:y val="6.969349381510034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1.587301587301585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138730822008077E-2"/>
                  <c:y val="5.188623735100193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1.190476190476192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Hoja1!$D$2:$D$5</c:f>
              <c:numCache>
                <c:formatCode>0.00%</c:formatCode>
                <c:ptCount val="4"/>
                <c:pt idx="0">
                  <c:v>2.7000000000000121E-2</c:v>
                </c:pt>
                <c:pt idx="1">
                  <c:v>0.29700000000000032</c:v>
                </c:pt>
                <c:pt idx="2">
                  <c:v>0.13500000000000001</c:v>
                </c:pt>
                <c:pt idx="3">
                  <c:v>0.18900000000000072</c:v>
                </c:pt>
              </c:numCache>
            </c:numRef>
          </c:val>
        </c:ser>
        <c:ser>
          <c:idx val="3"/>
          <c:order val="3"/>
          <c:tx>
            <c:strRef>
              <c:f>Hoja1!$E$1</c:f>
              <c:strCache>
                <c:ptCount val="1"/>
                <c:pt idx="0">
                  <c:v>P. (-15%)</c:v>
                </c:pt>
              </c:strCache>
            </c:strRef>
          </c:tx>
          <c:invertIfNegative val="0"/>
          <c:dLbls>
            <c:dLbl>
              <c:idx val="0"/>
              <c:layout>
                <c:manualLayout>
                  <c:x val="0"/>
                  <c:y val="1.587301587301587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5785440613027246E-3"/>
                  <c:y val="1.190444944381962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1.587301587301587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9157088122605424E-3"/>
                  <c:y val="1.984126984126994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Hoja1!$E$2:$E$5</c:f>
              <c:numCache>
                <c:formatCode>0.00%</c:formatCode>
                <c:ptCount val="4"/>
                <c:pt idx="0" formatCode="0%">
                  <c:v>5.3999999999999999E-2</c:v>
                </c:pt>
                <c:pt idx="1">
                  <c:v>0.13500000000000001</c:v>
                </c:pt>
                <c:pt idx="2">
                  <c:v>0.16200000000000001</c:v>
                </c:pt>
                <c:pt idx="3">
                  <c:v>2.7000000000000121E-2</c:v>
                </c:pt>
              </c:numCache>
            </c:numRef>
          </c:val>
        </c:ser>
        <c:ser>
          <c:idx val="4"/>
          <c:order val="4"/>
          <c:tx>
            <c:strRef>
              <c:f>Hoja1!$F$1</c:f>
              <c:strCache>
                <c:ptCount val="1"/>
                <c:pt idx="0">
                  <c:v>P. (15%)</c:v>
                </c:pt>
              </c:strCache>
            </c:strRef>
          </c:tx>
          <c:invertIfNegative val="0"/>
          <c:dLbls>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Hoja1!$F$2:$F$5</c:f>
              <c:numCache>
                <c:formatCode>0.00%</c:formatCode>
                <c:ptCount val="4"/>
                <c:pt idx="1">
                  <c:v>5.3999999999999999E-2</c:v>
                </c:pt>
                <c:pt idx="2">
                  <c:v>2.7000000000000121E-2</c:v>
                </c:pt>
                <c:pt idx="3">
                  <c:v>5.3999999999999999E-2</c:v>
                </c:pt>
              </c:numCache>
            </c:numRef>
          </c:val>
        </c:ser>
        <c:ser>
          <c:idx val="5"/>
          <c:order val="5"/>
          <c:tx>
            <c:strRef>
              <c:f>Hoja1!$G$1</c:f>
              <c:strCache>
                <c:ptCount val="1"/>
                <c:pt idx="0">
                  <c:v>P. (+15%)</c:v>
                </c:pt>
              </c:strCache>
            </c:strRef>
          </c:tx>
          <c:invertIfNegative val="0"/>
          <c:dLbls>
            <c:dLbl>
              <c:idx val="0"/>
              <c:layout>
                <c:manualLayout>
                  <c:x val="-5.7471264367816317E-3"/>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7471264367816317E-3"/>
                  <c:y val="1.587301587301587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2350158694512412E-17"/>
                  <c:y val="1.200446717416260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7241379310344827E-2"/>
                  <c:y val="3.9682539682540452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Hoja1!$G$2:$G$5</c:f>
              <c:numCache>
                <c:formatCode>0.00%</c:formatCode>
                <c:ptCount val="4"/>
                <c:pt idx="0" formatCode="0%">
                  <c:v>5.3999999999999999E-2</c:v>
                </c:pt>
                <c:pt idx="1">
                  <c:v>0.16200000000000001</c:v>
                </c:pt>
                <c:pt idx="2">
                  <c:v>0.13500000000000001</c:v>
                </c:pt>
                <c:pt idx="3">
                  <c:v>0.13500000000000001</c:v>
                </c:pt>
              </c:numCache>
            </c:numRef>
          </c:val>
        </c:ser>
        <c:ser>
          <c:idx val="6"/>
          <c:order val="6"/>
          <c:tx>
            <c:strRef>
              <c:f>Hoja1!$H$1</c:f>
              <c:strCache>
                <c:ptCount val="1"/>
                <c:pt idx="0">
                  <c:v>L. (-30%)</c:v>
                </c:pt>
              </c:strCache>
            </c:strRef>
          </c:tx>
          <c:invertIfNegative val="0"/>
          <c:dLbls>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Hoja1!$H$2:$H$5</c:f>
              <c:numCache>
                <c:formatCode>0.00%</c:formatCode>
                <c:ptCount val="4"/>
                <c:pt idx="0" formatCode="0%">
                  <c:v>8.1000000000000003E-2</c:v>
                </c:pt>
                <c:pt idx="1">
                  <c:v>0.24300000000000024</c:v>
                </c:pt>
                <c:pt idx="2">
                  <c:v>0.21600000000000041</c:v>
                </c:pt>
                <c:pt idx="3">
                  <c:v>0.21600000000000041</c:v>
                </c:pt>
              </c:numCache>
            </c:numRef>
          </c:val>
        </c:ser>
        <c:ser>
          <c:idx val="7"/>
          <c:order val="7"/>
          <c:tx>
            <c:strRef>
              <c:f>Hoja1!$I$1</c:f>
              <c:strCache>
                <c:ptCount val="1"/>
                <c:pt idx="0">
                  <c:v>L. (30%)</c:v>
                </c:pt>
              </c:strCache>
            </c:strRef>
          </c:tx>
          <c:invertIfNegative val="0"/>
          <c:cat>
            <c:strRef>
              <c:f>Hoja1!$A$2:$A$5</c:f>
              <c:strCache>
                <c:ptCount val="4"/>
                <c:pt idx="0">
                  <c:v>(20-30 AÑOS))</c:v>
                </c:pt>
                <c:pt idx="1">
                  <c:v>(31-40 AÑOS)</c:v>
                </c:pt>
                <c:pt idx="2">
                  <c:v>(41-50 AÑOS)</c:v>
                </c:pt>
                <c:pt idx="3">
                  <c:v>(51-60 AÑOS)</c:v>
                </c:pt>
              </c:strCache>
            </c:strRef>
          </c:cat>
          <c:val>
            <c:numRef>
              <c:f>Hoja1!$I$2:$I$5</c:f>
              <c:numCache>
                <c:formatCode>0%</c:formatCode>
                <c:ptCount val="4"/>
                <c:pt idx="0">
                  <c:v>0</c:v>
                </c:pt>
                <c:pt idx="1">
                  <c:v>0</c:v>
                </c:pt>
                <c:pt idx="2">
                  <c:v>0</c:v>
                </c:pt>
                <c:pt idx="3">
                  <c:v>0</c:v>
                </c:pt>
              </c:numCache>
            </c:numRef>
          </c:val>
        </c:ser>
        <c:ser>
          <c:idx val="8"/>
          <c:order val="8"/>
          <c:tx>
            <c:strRef>
              <c:f>Hoja1!$J$1</c:f>
              <c:strCache>
                <c:ptCount val="1"/>
                <c:pt idx="0">
                  <c:v>L. (+30%)</c:v>
                </c:pt>
              </c:strCache>
            </c:strRef>
          </c:tx>
          <c:invertIfNegative val="0"/>
          <c:dLbls>
            <c:spPr>
              <a:noFill/>
              <a:ln>
                <a:noFill/>
              </a:ln>
              <a:effectLst/>
            </c:spPr>
            <c:txPr>
              <a:bodyPr/>
              <a:lstStyle/>
              <a:p>
                <a:pPr>
                  <a:defRPr sz="600" b="1"/>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Hoja1!$A$2:$A$5</c:f>
              <c:strCache>
                <c:ptCount val="4"/>
                <c:pt idx="0">
                  <c:v>(20-30 AÑOS))</c:v>
                </c:pt>
                <c:pt idx="1">
                  <c:v>(31-40 AÑOS)</c:v>
                </c:pt>
                <c:pt idx="2">
                  <c:v>(41-50 AÑOS)</c:v>
                </c:pt>
                <c:pt idx="3">
                  <c:v>(51-60 AÑOS)</c:v>
                </c:pt>
              </c:strCache>
            </c:strRef>
          </c:cat>
          <c:val>
            <c:numRef>
              <c:f>Hoja1!$J$2:$J$5</c:f>
              <c:numCache>
                <c:formatCode>0.00%</c:formatCode>
                <c:ptCount val="4"/>
                <c:pt idx="0" formatCode="0%">
                  <c:v>2.7000000000000121E-2</c:v>
                </c:pt>
                <c:pt idx="1">
                  <c:v>0.10800000000000012</c:v>
                </c:pt>
                <c:pt idx="2">
                  <c:v>0.10800000000000012</c:v>
                </c:pt>
              </c:numCache>
            </c:numRef>
          </c:val>
        </c:ser>
        <c:dLbls>
          <c:showLegendKey val="0"/>
          <c:showVal val="0"/>
          <c:showCatName val="0"/>
          <c:showSerName val="0"/>
          <c:showPercent val="0"/>
          <c:showBubbleSize val="0"/>
        </c:dLbls>
        <c:gapWidth val="150"/>
        <c:axId val="-1943321744"/>
        <c:axId val="-1943309776"/>
      </c:barChart>
      <c:catAx>
        <c:axId val="-1943321744"/>
        <c:scaling>
          <c:orientation val="minMax"/>
        </c:scaling>
        <c:delete val="0"/>
        <c:axPos val="b"/>
        <c:numFmt formatCode="General" sourceLinked="0"/>
        <c:majorTickMark val="out"/>
        <c:minorTickMark val="none"/>
        <c:tickLblPos val="nextTo"/>
        <c:txPr>
          <a:bodyPr/>
          <a:lstStyle/>
          <a:p>
            <a:pPr>
              <a:defRPr sz="600"/>
            </a:pPr>
            <a:endParaRPr lang="es-MX"/>
          </a:p>
        </c:txPr>
        <c:crossAx val="-1943309776"/>
        <c:crosses val="autoZero"/>
        <c:auto val="1"/>
        <c:lblAlgn val="ctr"/>
        <c:lblOffset val="100"/>
        <c:noMultiLvlLbl val="0"/>
      </c:catAx>
      <c:valAx>
        <c:axId val="-1943309776"/>
        <c:scaling>
          <c:orientation val="minMax"/>
        </c:scaling>
        <c:delete val="1"/>
        <c:axPos val="l"/>
        <c:majorGridlines/>
        <c:numFmt formatCode="0.00%" sourceLinked="1"/>
        <c:majorTickMark val="out"/>
        <c:minorTickMark val="none"/>
        <c:tickLblPos val="nextTo"/>
        <c:crossAx val="-1943321744"/>
        <c:crosses val="autoZero"/>
        <c:crossBetween val="between"/>
      </c:valAx>
    </c:plotArea>
    <c:legend>
      <c:legendPos val="r"/>
      <c:overlay val="0"/>
      <c:txPr>
        <a:bodyPr/>
        <a:lstStyle/>
        <a:p>
          <a:pPr>
            <a:defRPr sz="600"/>
          </a:pPr>
          <a:endParaRPr lang="es-MX"/>
        </a:p>
      </c:txPr>
    </c:legend>
    <c:plotVisOnly val="1"/>
    <c:dispBlanksAs val="gap"/>
    <c:showDLblsOverMax val="0"/>
  </c:chart>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972463051C448F5B2946C249A18DAC7"/>
        <w:category>
          <w:name w:val="General"/>
          <w:gallery w:val="placeholder"/>
        </w:category>
        <w:types>
          <w:type w:val="bbPlcHdr"/>
        </w:types>
        <w:behaviors>
          <w:behavior w:val="content"/>
        </w:behaviors>
        <w:guid w:val="{64C15A90-E517-4791-BB09-7FBDDC9F71DD}"/>
      </w:docPartPr>
      <w:docPartBody>
        <w:p w:rsidR="00912947" w:rsidRDefault="00FC6601" w:rsidP="00FC6601">
          <w:pPr>
            <w:pStyle w:val="3972463051C448F5B2946C249A18DAC7"/>
          </w:pPr>
          <w:r>
            <w:rPr>
              <w:lang w:val="es-ES"/>
            </w:rPr>
            <w:t>[Escriba aquí]</w:t>
          </w:r>
        </w:p>
      </w:docPartBody>
    </w:docPart>
    <w:docPart>
      <w:docPartPr>
        <w:name w:val="9F8F5E07EACC480D83A368F27C0CBDF1"/>
        <w:category>
          <w:name w:val="General"/>
          <w:gallery w:val="placeholder"/>
        </w:category>
        <w:types>
          <w:type w:val="bbPlcHdr"/>
        </w:types>
        <w:behaviors>
          <w:behavior w:val="content"/>
        </w:behaviors>
        <w:guid w:val="{989B429E-736F-457D-9128-4FBF8AD0072F}"/>
      </w:docPartPr>
      <w:docPartBody>
        <w:p w:rsidR="00912947" w:rsidRDefault="00FC6601" w:rsidP="00FC6601">
          <w:pPr>
            <w:pStyle w:val="9F8F5E07EACC480D83A368F27C0CBDF1"/>
          </w:pPr>
          <w:r>
            <w:rPr>
              <w:lang w:val="es-ES"/>
            </w:rPr>
            <w:t>[Escriba aquí]</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HelveticaNeueLT Std">
    <w:panose1 w:val="00000000000000000000"/>
    <w:charset w:val="00"/>
    <w:family w:val="swiss"/>
    <w:notTrueType/>
    <w:pitch w:val="variable"/>
    <w:sig w:usb0="800000AF" w:usb1="40002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601"/>
    <w:rsid w:val="00333B50"/>
    <w:rsid w:val="00654AD9"/>
    <w:rsid w:val="00912947"/>
    <w:rsid w:val="00FC660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3972463051C448F5B2946C249A18DAC7">
    <w:name w:val="3972463051C448F5B2946C249A18DAC7"/>
    <w:rsid w:val="00FC6601"/>
  </w:style>
  <w:style w:type="paragraph" w:customStyle="1" w:styleId="9F8F5E07EACC480D83A368F27C0CBDF1">
    <w:name w:val="9F8F5E07EACC480D83A368F27C0CBDF1"/>
    <w:rsid w:val="00FC66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95ED06-8821-401F-B6BD-AECDB8F56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8198</Words>
  <Characters>45094</Characters>
  <Application>Microsoft Office Word</Application>
  <DocSecurity>0</DocSecurity>
  <Lines>375</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Clinica de Nutrición</dc:creator>
  <cp:lastModifiedBy>USUARIO</cp:lastModifiedBy>
  <cp:revision>2</cp:revision>
  <cp:lastPrinted>2015-02-20T16:40:00Z</cp:lastPrinted>
  <dcterms:created xsi:type="dcterms:W3CDTF">2016-05-02T18:47:00Z</dcterms:created>
  <dcterms:modified xsi:type="dcterms:W3CDTF">2016-05-02T18:47:00Z</dcterms:modified>
</cp:coreProperties>
</file>