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C0D76" w:rsidRPr="00102F97" w:rsidRDefault="00461907" w:rsidP="00447A7A">
      <w:pPr>
        <w:jc w:val="center"/>
        <w:rPr>
          <w:rFonts w:ascii="Times New Roman" w:hAnsi="Times New Roman" w:cs="Times New Roman"/>
          <w:b/>
          <w:sz w:val="24"/>
          <w:szCs w:val="24"/>
        </w:rPr>
      </w:pPr>
      <w:bookmarkStart w:id="0" w:name="_GoBack"/>
      <w:bookmarkEnd w:id="0"/>
      <w:r w:rsidRPr="00102F97">
        <w:rPr>
          <w:rFonts w:ascii="Times New Roman" w:hAnsi="Times New Roman" w:cs="Times New Roman"/>
          <w:b/>
          <w:sz w:val="24"/>
          <w:szCs w:val="24"/>
        </w:rPr>
        <w:t>“</w:t>
      </w:r>
      <w:r w:rsidR="00AC0D76" w:rsidRPr="00102F97">
        <w:rPr>
          <w:rFonts w:ascii="Times New Roman" w:hAnsi="Times New Roman" w:cs="Times New Roman"/>
          <w:b/>
          <w:sz w:val="24"/>
          <w:szCs w:val="24"/>
        </w:rPr>
        <w:t xml:space="preserve">Política monetaria en México con objetivo </w:t>
      </w:r>
      <w:r w:rsidR="00681A59" w:rsidRPr="00102F97">
        <w:rPr>
          <w:rFonts w:ascii="Times New Roman" w:hAnsi="Times New Roman" w:cs="Times New Roman"/>
          <w:b/>
          <w:sz w:val="24"/>
          <w:szCs w:val="24"/>
        </w:rPr>
        <w:t xml:space="preserve">operacional de tasas de interés, un </w:t>
      </w:r>
      <w:r w:rsidR="00AC0D76" w:rsidRPr="00102F97">
        <w:rPr>
          <w:rFonts w:ascii="Times New Roman" w:hAnsi="Times New Roman" w:cs="Times New Roman"/>
          <w:b/>
          <w:sz w:val="24"/>
          <w:szCs w:val="24"/>
        </w:rPr>
        <w:t xml:space="preserve"> </w:t>
      </w:r>
      <w:r w:rsidR="00681A59" w:rsidRPr="00102F97">
        <w:rPr>
          <w:rFonts w:ascii="Times New Roman" w:hAnsi="Times New Roman" w:cs="Times New Roman"/>
          <w:b/>
          <w:sz w:val="24"/>
          <w:szCs w:val="24"/>
        </w:rPr>
        <w:t xml:space="preserve">análisis </w:t>
      </w:r>
      <w:r w:rsidR="00C50FE8" w:rsidRPr="00102F97">
        <w:rPr>
          <w:rFonts w:ascii="Times New Roman" w:hAnsi="Times New Roman" w:cs="Times New Roman"/>
          <w:b/>
          <w:sz w:val="24"/>
          <w:szCs w:val="24"/>
        </w:rPr>
        <w:t xml:space="preserve">cuantitativo </w:t>
      </w:r>
      <w:r w:rsidR="00681A59" w:rsidRPr="00102F97">
        <w:rPr>
          <w:rFonts w:ascii="Times New Roman" w:hAnsi="Times New Roman" w:cs="Times New Roman"/>
          <w:b/>
          <w:sz w:val="24"/>
          <w:szCs w:val="24"/>
        </w:rPr>
        <w:t>de sus efectos en algunas variables de oferta y demanda agregada</w:t>
      </w:r>
      <w:r w:rsidR="00100A40" w:rsidRPr="00102F97">
        <w:rPr>
          <w:rFonts w:ascii="Times New Roman" w:hAnsi="Times New Roman" w:cs="Times New Roman"/>
          <w:b/>
          <w:sz w:val="24"/>
          <w:szCs w:val="24"/>
        </w:rPr>
        <w:t xml:space="preserve"> </w:t>
      </w:r>
      <w:r w:rsidR="00102F97" w:rsidRPr="00102F97">
        <w:rPr>
          <w:rFonts w:ascii="Times New Roman" w:hAnsi="Times New Roman" w:cs="Times New Roman"/>
          <w:b/>
          <w:sz w:val="24"/>
          <w:szCs w:val="24"/>
        </w:rPr>
        <w:t>2008- 2013”</w:t>
      </w:r>
    </w:p>
    <w:p w:rsidR="00447A7A" w:rsidRPr="00447A7A" w:rsidRDefault="00447A7A" w:rsidP="00447A7A">
      <w:pPr>
        <w:jc w:val="right"/>
        <w:rPr>
          <w:rFonts w:ascii="Times New Roman" w:hAnsi="Times New Roman" w:cs="Times New Roman"/>
          <w:b/>
          <w:bCs/>
        </w:rPr>
      </w:pPr>
      <w:r w:rsidRPr="00447A7A">
        <w:rPr>
          <w:rFonts w:ascii="Times New Roman" w:hAnsi="Times New Roman" w:cs="Times New Roman"/>
          <w:b/>
          <w:bCs/>
        </w:rPr>
        <w:t>María Del Carmen Salgado Vega</w:t>
      </w:r>
      <w:r>
        <w:rPr>
          <w:rStyle w:val="Refdenotaalpie"/>
          <w:rFonts w:ascii="Times New Roman" w:hAnsi="Times New Roman" w:cs="Times New Roman"/>
          <w:b/>
          <w:bCs/>
        </w:rPr>
        <w:footnoteReference w:id="1"/>
      </w:r>
    </w:p>
    <w:p w:rsidR="00447A7A" w:rsidRPr="00447A7A" w:rsidRDefault="00447A7A" w:rsidP="00447A7A">
      <w:pPr>
        <w:jc w:val="right"/>
        <w:rPr>
          <w:rFonts w:ascii="Times New Roman" w:hAnsi="Times New Roman" w:cs="Times New Roman"/>
          <w:b/>
          <w:bCs/>
        </w:rPr>
      </w:pPr>
      <w:r w:rsidRPr="00447A7A">
        <w:rPr>
          <w:rFonts w:ascii="Times New Roman" w:hAnsi="Times New Roman" w:cs="Times New Roman"/>
          <w:b/>
          <w:bCs/>
        </w:rPr>
        <w:t>Sergio Miranda González</w:t>
      </w:r>
      <w:r>
        <w:rPr>
          <w:rStyle w:val="Refdenotaalpie"/>
          <w:rFonts w:ascii="Times New Roman" w:hAnsi="Times New Roman" w:cs="Times New Roman"/>
          <w:b/>
          <w:bCs/>
        </w:rPr>
        <w:footnoteReference w:id="2"/>
      </w:r>
    </w:p>
    <w:p w:rsidR="00447A7A" w:rsidRDefault="00447A7A" w:rsidP="00447A7A">
      <w:pPr>
        <w:jc w:val="right"/>
        <w:rPr>
          <w:rFonts w:ascii="Times New Roman" w:hAnsi="Times New Roman" w:cs="Times New Roman"/>
          <w:b/>
          <w:bCs/>
        </w:rPr>
      </w:pPr>
      <w:r>
        <w:rPr>
          <w:rFonts w:ascii="Times New Roman" w:hAnsi="Times New Roman" w:cs="Times New Roman"/>
          <w:b/>
          <w:bCs/>
        </w:rPr>
        <w:t xml:space="preserve"> Ricardo Rodríguez Marcia</w:t>
      </w:r>
      <w:r>
        <w:rPr>
          <w:rStyle w:val="Refdenotaalpie"/>
          <w:rFonts w:ascii="Times New Roman" w:hAnsi="Times New Roman" w:cs="Times New Roman"/>
          <w:b/>
          <w:bCs/>
        </w:rPr>
        <w:footnoteReference w:id="3"/>
      </w:r>
      <w:r>
        <w:rPr>
          <w:rFonts w:ascii="Times New Roman" w:hAnsi="Times New Roman" w:cs="Times New Roman"/>
          <w:b/>
          <w:bCs/>
        </w:rPr>
        <w:t xml:space="preserve"> </w:t>
      </w:r>
    </w:p>
    <w:p w:rsidR="00447A7A" w:rsidRPr="00447A7A" w:rsidRDefault="00447A7A" w:rsidP="00447A7A">
      <w:pPr>
        <w:jc w:val="right"/>
        <w:rPr>
          <w:rFonts w:ascii="Times New Roman" w:hAnsi="Times New Roman" w:cs="Times New Roman"/>
          <w:b/>
          <w:bCs/>
        </w:rPr>
      </w:pPr>
      <w:r w:rsidRPr="00447A7A">
        <w:rPr>
          <w:rFonts w:ascii="Times New Roman" w:hAnsi="Times New Roman" w:cs="Times New Roman"/>
          <w:b/>
          <w:bCs/>
        </w:rPr>
        <w:t>Jesús Salgado Vega</w:t>
      </w:r>
      <w:r>
        <w:rPr>
          <w:rStyle w:val="Refdenotaalpie"/>
          <w:rFonts w:ascii="Times New Roman" w:hAnsi="Times New Roman" w:cs="Times New Roman"/>
          <w:b/>
          <w:bCs/>
        </w:rPr>
        <w:footnoteReference w:id="4"/>
      </w:r>
    </w:p>
    <w:p w:rsidR="00447A7A" w:rsidRDefault="00447A7A" w:rsidP="004E541B">
      <w:pPr>
        <w:spacing w:after="0"/>
        <w:jc w:val="both"/>
        <w:rPr>
          <w:rFonts w:ascii="Times New Roman" w:hAnsi="Times New Roman" w:cs="Times New Roman"/>
          <w:sz w:val="24"/>
          <w:szCs w:val="24"/>
          <w:lang w:val="es-ES"/>
        </w:rPr>
      </w:pPr>
    </w:p>
    <w:p w:rsidR="00447A7A" w:rsidRDefault="00B47EAC" w:rsidP="004E541B">
      <w:pPr>
        <w:spacing w:after="0"/>
        <w:jc w:val="both"/>
        <w:rPr>
          <w:rFonts w:ascii="Times New Roman" w:hAnsi="Times New Roman" w:cs="Times New Roman"/>
          <w:b/>
          <w:sz w:val="24"/>
          <w:szCs w:val="24"/>
          <w:lang w:val="es-ES"/>
        </w:rPr>
      </w:pPr>
      <w:r w:rsidRPr="00447A7A">
        <w:rPr>
          <w:rFonts w:ascii="Times New Roman" w:hAnsi="Times New Roman" w:cs="Times New Roman"/>
          <w:b/>
          <w:sz w:val="24"/>
          <w:szCs w:val="24"/>
          <w:lang w:val="es-ES"/>
        </w:rPr>
        <w:t>Introducción</w:t>
      </w:r>
      <w:r w:rsidR="00447A7A" w:rsidRPr="00447A7A">
        <w:rPr>
          <w:rFonts w:ascii="Times New Roman" w:hAnsi="Times New Roman" w:cs="Times New Roman"/>
          <w:b/>
          <w:sz w:val="24"/>
          <w:szCs w:val="24"/>
          <w:lang w:val="es-ES"/>
        </w:rPr>
        <w:t xml:space="preserve"> </w:t>
      </w:r>
    </w:p>
    <w:p w:rsidR="008A5272" w:rsidRPr="00447A7A" w:rsidRDefault="008A5272" w:rsidP="004E541B">
      <w:pPr>
        <w:spacing w:after="0"/>
        <w:jc w:val="both"/>
        <w:rPr>
          <w:rFonts w:ascii="Times New Roman" w:hAnsi="Times New Roman" w:cs="Times New Roman"/>
          <w:b/>
          <w:sz w:val="24"/>
          <w:szCs w:val="24"/>
          <w:lang w:val="es-ES"/>
        </w:rPr>
      </w:pPr>
    </w:p>
    <w:p w:rsidR="00234C6B" w:rsidRPr="00102F97" w:rsidRDefault="00102F97" w:rsidP="004E541B">
      <w:pPr>
        <w:spacing w:after="0"/>
        <w:jc w:val="both"/>
        <w:rPr>
          <w:rFonts w:ascii="Times New Roman" w:hAnsi="Times New Roman" w:cs="Times New Roman"/>
          <w:sz w:val="24"/>
          <w:szCs w:val="24"/>
          <w:lang w:val="es-ES"/>
        </w:rPr>
      </w:pPr>
      <w:r>
        <w:rPr>
          <w:rFonts w:ascii="Times New Roman" w:hAnsi="Times New Roman" w:cs="Times New Roman"/>
          <w:sz w:val="24"/>
          <w:szCs w:val="24"/>
          <w:lang w:val="es-ES"/>
        </w:rPr>
        <w:t>Esta inves</w:t>
      </w:r>
      <w:r w:rsidR="00447A7A">
        <w:rPr>
          <w:rFonts w:ascii="Times New Roman" w:hAnsi="Times New Roman" w:cs="Times New Roman"/>
          <w:sz w:val="24"/>
          <w:szCs w:val="24"/>
          <w:lang w:val="es-ES"/>
        </w:rPr>
        <w:t xml:space="preserve">tigación tiene como propósito, </w:t>
      </w:r>
      <w:r>
        <w:rPr>
          <w:rFonts w:ascii="Times New Roman" w:hAnsi="Times New Roman" w:cs="Times New Roman"/>
          <w:sz w:val="24"/>
          <w:szCs w:val="24"/>
          <w:lang w:val="es-ES"/>
        </w:rPr>
        <w:t xml:space="preserve">analizar la utilización que </w:t>
      </w:r>
      <w:r w:rsidR="005B234B" w:rsidRPr="00102F97">
        <w:rPr>
          <w:rFonts w:ascii="Times New Roman" w:hAnsi="Times New Roman" w:cs="Times New Roman"/>
          <w:sz w:val="24"/>
          <w:szCs w:val="24"/>
          <w:lang w:val="es-ES"/>
        </w:rPr>
        <w:t>hace</w:t>
      </w:r>
      <w:r w:rsidR="00516558" w:rsidRPr="00102F97">
        <w:rPr>
          <w:rFonts w:ascii="Times New Roman" w:hAnsi="Times New Roman" w:cs="Times New Roman"/>
          <w:sz w:val="24"/>
          <w:szCs w:val="24"/>
          <w:lang w:val="es-ES"/>
        </w:rPr>
        <w:t xml:space="preserve"> Banco de México de la tasa de interés de corto plazo como objetivo operacional </w:t>
      </w:r>
      <w:r w:rsidR="001639BE" w:rsidRPr="00102F97">
        <w:rPr>
          <w:rFonts w:ascii="Times New Roman" w:hAnsi="Times New Roman" w:cs="Times New Roman"/>
          <w:sz w:val="24"/>
          <w:szCs w:val="24"/>
          <w:lang w:val="es-ES"/>
        </w:rPr>
        <w:t>para</w:t>
      </w:r>
      <w:r w:rsidR="00CB0038" w:rsidRPr="00102F97">
        <w:rPr>
          <w:rFonts w:ascii="Times New Roman" w:hAnsi="Times New Roman" w:cs="Times New Roman"/>
          <w:sz w:val="24"/>
          <w:szCs w:val="24"/>
          <w:lang w:val="es-ES"/>
        </w:rPr>
        <w:t xml:space="preserve"> transmitir sus señales</w:t>
      </w:r>
      <w:r w:rsidR="00516558" w:rsidRPr="00102F97">
        <w:rPr>
          <w:rFonts w:ascii="Times New Roman" w:hAnsi="Times New Roman" w:cs="Times New Roman"/>
          <w:sz w:val="24"/>
          <w:szCs w:val="24"/>
          <w:lang w:val="es-ES"/>
        </w:rPr>
        <w:t xml:space="preserve"> de política monetaria</w:t>
      </w:r>
      <w:r w:rsidR="001A5504" w:rsidRPr="00102F97">
        <w:rPr>
          <w:rFonts w:ascii="Times New Roman" w:hAnsi="Times New Roman" w:cs="Times New Roman"/>
          <w:sz w:val="24"/>
          <w:szCs w:val="24"/>
          <w:lang w:val="es-ES"/>
        </w:rPr>
        <w:t xml:space="preserve"> a la economía</w:t>
      </w:r>
      <w:r w:rsidR="00516558" w:rsidRPr="00102F97">
        <w:rPr>
          <w:rFonts w:ascii="Times New Roman" w:hAnsi="Times New Roman" w:cs="Times New Roman"/>
          <w:sz w:val="24"/>
          <w:szCs w:val="24"/>
          <w:lang w:val="es-ES"/>
        </w:rPr>
        <w:t>.</w:t>
      </w:r>
      <w:r w:rsidR="00906CAB" w:rsidRPr="00102F97">
        <w:rPr>
          <w:rFonts w:ascii="Times New Roman" w:hAnsi="Times New Roman" w:cs="Times New Roman"/>
          <w:sz w:val="24"/>
          <w:szCs w:val="24"/>
          <w:lang w:val="es-ES"/>
        </w:rPr>
        <w:t xml:space="preserve"> </w:t>
      </w:r>
      <w:r w:rsidR="00516558" w:rsidRPr="00102F97">
        <w:rPr>
          <w:rFonts w:ascii="Times New Roman" w:hAnsi="Times New Roman" w:cs="Times New Roman"/>
          <w:sz w:val="24"/>
          <w:szCs w:val="24"/>
          <w:lang w:val="es-ES"/>
        </w:rPr>
        <w:t>Dado que</w:t>
      </w:r>
      <w:r w:rsidR="00906CAB" w:rsidRPr="00102F97">
        <w:rPr>
          <w:rFonts w:ascii="Times New Roman" w:hAnsi="Times New Roman" w:cs="Times New Roman"/>
          <w:sz w:val="24"/>
          <w:szCs w:val="24"/>
          <w:lang w:val="es-ES"/>
        </w:rPr>
        <w:t>,</w:t>
      </w:r>
      <w:r w:rsidR="00516558" w:rsidRPr="00102F97">
        <w:rPr>
          <w:rFonts w:ascii="Times New Roman" w:hAnsi="Times New Roman" w:cs="Times New Roman"/>
          <w:sz w:val="24"/>
          <w:szCs w:val="24"/>
          <w:lang w:val="es-ES"/>
        </w:rPr>
        <w:t xml:space="preserve"> a</w:t>
      </w:r>
      <w:r w:rsidR="00906CAB" w:rsidRPr="00102F97">
        <w:rPr>
          <w:rFonts w:ascii="Times New Roman" w:hAnsi="Times New Roman" w:cs="Times New Roman"/>
          <w:sz w:val="24"/>
          <w:szCs w:val="24"/>
          <w:lang w:val="es-ES"/>
        </w:rPr>
        <w:t xml:space="preserve"> </w:t>
      </w:r>
      <w:r w:rsidR="00AF092C" w:rsidRPr="00102F97">
        <w:rPr>
          <w:rFonts w:ascii="Times New Roman" w:hAnsi="Times New Roman" w:cs="Times New Roman"/>
          <w:sz w:val="24"/>
          <w:szCs w:val="24"/>
          <w:lang w:val="es-ES"/>
        </w:rPr>
        <w:t>partir del 21 de enero del 2008 el Ba</w:t>
      </w:r>
      <w:r w:rsidR="00E74CC7" w:rsidRPr="00102F97">
        <w:rPr>
          <w:rFonts w:ascii="Times New Roman" w:hAnsi="Times New Roman" w:cs="Times New Roman"/>
          <w:sz w:val="24"/>
          <w:szCs w:val="24"/>
          <w:lang w:val="es-ES"/>
        </w:rPr>
        <w:t xml:space="preserve">nco de México </w:t>
      </w:r>
      <w:r w:rsidR="00B01906" w:rsidRPr="00102F97">
        <w:rPr>
          <w:rFonts w:ascii="Times New Roman" w:hAnsi="Times New Roman" w:cs="Times New Roman"/>
          <w:sz w:val="24"/>
          <w:szCs w:val="24"/>
          <w:lang w:val="es-ES"/>
        </w:rPr>
        <w:t>decidió establecer</w:t>
      </w:r>
      <w:r>
        <w:rPr>
          <w:rFonts w:ascii="Times New Roman" w:hAnsi="Times New Roman" w:cs="Times New Roman"/>
          <w:sz w:val="24"/>
          <w:szCs w:val="24"/>
          <w:lang w:val="es-ES"/>
        </w:rPr>
        <w:t xml:space="preserve"> oficialmente como </w:t>
      </w:r>
      <w:r w:rsidR="00AF092C" w:rsidRPr="00102F97">
        <w:rPr>
          <w:rFonts w:ascii="Times New Roman" w:hAnsi="Times New Roman" w:cs="Times New Roman"/>
          <w:sz w:val="24"/>
          <w:szCs w:val="24"/>
          <w:lang w:val="es-ES"/>
        </w:rPr>
        <w:t>objetivo operacional</w:t>
      </w:r>
      <w:r w:rsidR="00516558" w:rsidRPr="00102F97">
        <w:rPr>
          <w:rFonts w:ascii="Times New Roman" w:hAnsi="Times New Roman" w:cs="Times New Roman"/>
          <w:sz w:val="24"/>
          <w:szCs w:val="24"/>
          <w:lang w:val="es-ES"/>
        </w:rPr>
        <w:t xml:space="preserve"> la</w:t>
      </w:r>
      <w:r w:rsidR="00AF092C" w:rsidRPr="00102F97">
        <w:rPr>
          <w:rFonts w:ascii="Times New Roman" w:hAnsi="Times New Roman" w:cs="Times New Roman"/>
          <w:sz w:val="24"/>
          <w:szCs w:val="24"/>
          <w:lang w:val="es-ES"/>
        </w:rPr>
        <w:t xml:space="preserve"> tasa de interés interbancaria a un día (también conocida</w:t>
      </w:r>
      <w:r w:rsidR="00CB0038" w:rsidRPr="00102F97">
        <w:rPr>
          <w:rFonts w:ascii="Times New Roman" w:hAnsi="Times New Roman" w:cs="Times New Roman"/>
          <w:sz w:val="24"/>
          <w:szCs w:val="24"/>
          <w:lang w:val="es-ES"/>
        </w:rPr>
        <w:t xml:space="preserve"> como tasa de fondeo bancario) en </w:t>
      </w:r>
      <w:r w:rsidR="001639BE" w:rsidRPr="00102F97">
        <w:rPr>
          <w:rFonts w:ascii="Times New Roman" w:hAnsi="Times New Roman" w:cs="Times New Roman"/>
          <w:sz w:val="24"/>
          <w:szCs w:val="24"/>
          <w:lang w:val="es-ES"/>
        </w:rPr>
        <w:t xml:space="preserve">sustitución </w:t>
      </w:r>
      <w:r w:rsidR="00E74CC7" w:rsidRPr="00102F97">
        <w:rPr>
          <w:rFonts w:ascii="Times New Roman" w:hAnsi="Times New Roman" w:cs="Times New Roman"/>
          <w:sz w:val="24"/>
          <w:szCs w:val="24"/>
          <w:lang w:val="es-ES"/>
        </w:rPr>
        <w:t>al saldo de</w:t>
      </w:r>
      <w:r w:rsidR="00AF092C" w:rsidRPr="00102F97">
        <w:rPr>
          <w:rFonts w:ascii="Times New Roman" w:hAnsi="Times New Roman" w:cs="Times New Roman"/>
          <w:sz w:val="24"/>
          <w:szCs w:val="24"/>
          <w:lang w:val="es-ES"/>
        </w:rPr>
        <w:t xml:space="preserve"> </w:t>
      </w:r>
      <w:r w:rsidR="00906CAB" w:rsidRPr="00102F97">
        <w:rPr>
          <w:rFonts w:ascii="Times New Roman" w:hAnsi="Times New Roman" w:cs="Times New Roman"/>
          <w:sz w:val="24"/>
          <w:szCs w:val="24"/>
          <w:lang w:val="es-ES"/>
        </w:rPr>
        <w:t xml:space="preserve">las </w:t>
      </w:r>
      <w:r w:rsidR="00AF092C" w:rsidRPr="00102F97">
        <w:rPr>
          <w:rFonts w:ascii="Times New Roman" w:hAnsi="Times New Roman" w:cs="Times New Roman"/>
          <w:sz w:val="24"/>
          <w:szCs w:val="24"/>
          <w:lang w:val="es-ES"/>
        </w:rPr>
        <w:t>cuentas corrientes que la banca mantiene en el propio banco</w:t>
      </w:r>
      <w:r w:rsidR="00E74CC7" w:rsidRPr="00102F97">
        <w:rPr>
          <w:rFonts w:ascii="Times New Roman" w:hAnsi="Times New Roman" w:cs="Times New Roman"/>
          <w:sz w:val="24"/>
          <w:szCs w:val="24"/>
          <w:lang w:val="es-ES"/>
        </w:rPr>
        <w:t xml:space="preserve"> central</w:t>
      </w:r>
      <w:r w:rsidR="00AF092C" w:rsidRPr="00102F97">
        <w:rPr>
          <w:rFonts w:ascii="Times New Roman" w:hAnsi="Times New Roman" w:cs="Times New Roman"/>
          <w:sz w:val="24"/>
          <w:szCs w:val="24"/>
          <w:lang w:val="es-ES"/>
        </w:rPr>
        <w:t xml:space="preserve"> (obje</w:t>
      </w:r>
      <w:r w:rsidR="00E74CC7" w:rsidRPr="00102F97">
        <w:rPr>
          <w:rFonts w:ascii="Times New Roman" w:hAnsi="Times New Roman" w:cs="Times New Roman"/>
          <w:sz w:val="24"/>
          <w:szCs w:val="24"/>
          <w:lang w:val="es-ES"/>
        </w:rPr>
        <w:t>tivo conocido como el “corto</w:t>
      </w:r>
      <w:r w:rsidR="00234C6B" w:rsidRPr="00102F97">
        <w:rPr>
          <w:rFonts w:ascii="Times New Roman" w:hAnsi="Times New Roman" w:cs="Times New Roman"/>
          <w:sz w:val="24"/>
          <w:szCs w:val="24"/>
          <w:lang w:val="es-ES"/>
        </w:rPr>
        <w:t>”)</w:t>
      </w:r>
      <w:r w:rsidR="00277D87" w:rsidRPr="00102F97">
        <w:rPr>
          <w:rStyle w:val="Refdenotaalpie"/>
          <w:rFonts w:ascii="Times New Roman" w:hAnsi="Times New Roman" w:cs="Times New Roman"/>
          <w:sz w:val="24"/>
          <w:szCs w:val="24"/>
          <w:lang w:val="es-ES"/>
        </w:rPr>
        <w:t xml:space="preserve"> </w:t>
      </w:r>
      <w:r w:rsidR="00277D87" w:rsidRPr="00102F97">
        <w:rPr>
          <w:rStyle w:val="Refdenotaalpie"/>
          <w:rFonts w:ascii="Times New Roman" w:hAnsi="Times New Roman" w:cs="Times New Roman"/>
          <w:sz w:val="24"/>
          <w:szCs w:val="24"/>
          <w:lang w:val="es-ES"/>
        </w:rPr>
        <w:footnoteReference w:id="5"/>
      </w:r>
      <w:r w:rsidR="00234C6B" w:rsidRPr="00102F97">
        <w:rPr>
          <w:rFonts w:ascii="Times New Roman" w:hAnsi="Times New Roman" w:cs="Times New Roman"/>
          <w:sz w:val="24"/>
          <w:szCs w:val="24"/>
          <w:lang w:val="es-ES"/>
        </w:rPr>
        <w:t xml:space="preserve">. </w:t>
      </w:r>
    </w:p>
    <w:p w:rsidR="004E541B" w:rsidRPr="00102F97" w:rsidRDefault="004E541B" w:rsidP="004E541B">
      <w:pPr>
        <w:spacing w:after="0"/>
        <w:jc w:val="both"/>
        <w:rPr>
          <w:rFonts w:ascii="Times New Roman" w:hAnsi="Times New Roman" w:cs="Times New Roman"/>
          <w:sz w:val="24"/>
          <w:szCs w:val="24"/>
          <w:lang w:val="es-ES"/>
        </w:rPr>
      </w:pPr>
    </w:p>
    <w:p w:rsidR="002C50C4" w:rsidRPr="00102F97" w:rsidRDefault="00AF092C" w:rsidP="00DA651C">
      <w:pPr>
        <w:jc w:val="both"/>
        <w:rPr>
          <w:rFonts w:ascii="Times New Roman" w:hAnsi="Times New Roman" w:cs="Times New Roman"/>
          <w:sz w:val="24"/>
          <w:szCs w:val="24"/>
          <w:lang w:val="es-ES"/>
        </w:rPr>
      </w:pPr>
      <w:r w:rsidRPr="00102F97">
        <w:rPr>
          <w:rFonts w:ascii="Times New Roman" w:hAnsi="Times New Roman" w:cs="Times New Roman"/>
          <w:sz w:val="24"/>
          <w:szCs w:val="24"/>
          <w:lang w:val="es-ES"/>
        </w:rPr>
        <w:t>Dicha sustitución ll</w:t>
      </w:r>
      <w:r w:rsidR="00080E29" w:rsidRPr="00102F97">
        <w:rPr>
          <w:rFonts w:ascii="Times New Roman" w:hAnsi="Times New Roman" w:cs="Times New Roman"/>
          <w:sz w:val="24"/>
          <w:szCs w:val="24"/>
          <w:lang w:val="es-ES"/>
        </w:rPr>
        <w:t>eva a plantear las</w:t>
      </w:r>
      <w:r w:rsidR="002C50C4" w:rsidRPr="00102F97">
        <w:rPr>
          <w:rFonts w:ascii="Times New Roman" w:hAnsi="Times New Roman" w:cs="Times New Roman"/>
          <w:sz w:val="24"/>
          <w:szCs w:val="24"/>
          <w:lang w:val="es-ES"/>
        </w:rPr>
        <w:t xml:space="preserve"> </w:t>
      </w:r>
      <w:r w:rsidR="001639BE" w:rsidRPr="00102F97">
        <w:rPr>
          <w:rFonts w:ascii="Times New Roman" w:hAnsi="Times New Roman" w:cs="Times New Roman"/>
          <w:sz w:val="24"/>
          <w:szCs w:val="24"/>
          <w:lang w:val="es-ES"/>
        </w:rPr>
        <w:t xml:space="preserve">siguientes </w:t>
      </w:r>
      <w:r w:rsidR="002C50C4" w:rsidRPr="00102F97">
        <w:rPr>
          <w:rFonts w:ascii="Times New Roman" w:hAnsi="Times New Roman" w:cs="Times New Roman"/>
          <w:sz w:val="24"/>
          <w:szCs w:val="24"/>
          <w:lang w:val="es-ES"/>
        </w:rPr>
        <w:t>interrogante</w:t>
      </w:r>
      <w:r w:rsidR="006C4741" w:rsidRPr="00102F97">
        <w:rPr>
          <w:rFonts w:ascii="Times New Roman" w:hAnsi="Times New Roman" w:cs="Times New Roman"/>
          <w:sz w:val="24"/>
          <w:szCs w:val="24"/>
          <w:lang w:val="es-ES"/>
        </w:rPr>
        <w:t>s:</w:t>
      </w:r>
      <w:r w:rsidR="00333D8E" w:rsidRPr="00102F97">
        <w:rPr>
          <w:rFonts w:ascii="Times New Roman" w:hAnsi="Times New Roman" w:cs="Times New Roman"/>
          <w:sz w:val="24"/>
          <w:szCs w:val="24"/>
          <w:lang w:val="es-ES"/>
        </w:rPr>
        <w:t xml:space="preserve"> </w:t>
      </w:r>
      <w:r w:rsidR="00080E29" w:rsidRPr="00102F97">
        <w:rPr>
          <w:rFonts w:ascii="Times New Roman" w:hAnsi="Times New Roman" w:cs="Times New Roman"/>
          <w:sz w:val="24"/>
          <w:szCs w:val="24"/>
          <w:lang w:val="es-ES"/>
        </w:rPr>
        <w:t xml:space="preserve">¿Por qué el Banco de México </w:t>
      </w:r>
      <w:r w:rsidR="006C4741" w:rsidRPr="00102F97">
        <w:rPr>
          <w:rFonts w:ascii="Times New Roman" w:hAnsi="Times New Roman" w:cs="Times New Roman"/>
          <w:sz w:val="24"/>
          <w:szCs w:val="24"/>
          <w:lang w:val="es-ES"/>
        </w:rPr>
        <w:t>decidió transitar</w:t>
      </w:r>
      <w:r w:rsidR="00E2507E" w:rsidRPr="00102F97">
        <w:rPr>
          <w:rFonts w:ascii="Times New Roman" w:hAnsi="Times New Roman" w:cs="Times New Roman"/>
          <w:sz w:val="24"/>
          <w:szCs w:val="24"/>
          <w:lang w:val="es-ES"/>
        </w:rPr>
        <w:t xml:space="preserve"> de “cortos” a u</w:t>
      </w:r>
      <w:r w:rsidR="006C4741" w:rsidRPr="00102F97">
        <w:rPr>
          <w:rFonts w:ascii="Times New Roman" w:hAnsi="Times New Roman" w:cs="Times New Roman"/>
          <w:sz w:val="24"/>
          <w:szCs w:val="24"/>
          <w:lang w:val="es-ES"/>
        </w:rPr>
        <w:t>n</w:t>
      </w:r>
      <w:r w:rsidR="004420EA" w:rsidRPr="00102F97">
        <w:rPr>
          <w:rFonts w:ascii="Times New Roman" w:hAnsi="Times New Roman" w:cs="Times New Roman"/>
          <w:sz w:val="24"/>
          <w:szCs w:val="24"/>
          <w:lang w:val="es-ES"/>
        </w:rPr>
        <w:t xml:space="preserve"> objetivo de tasas de interés? y</w:t>
      </w:r>
      <w:r w:rsidR="006C4741" w:rsidRPr="00102F97">
        <w:rPr>
          <w:rFonts w:ascii="Times New Roman" w:hAnsi="Times New Roman" w:cs="Times New Roman"/>
          <w:sz w:val="24"/>
          <w:szCs w:val="24"/>
          <w:lang w:val="es-ES"/>
        </w:rPr>
        <w:t xml:space="preserve"> </w:t>
      </w:r>
      <w:r w:rsidR="00906CAB" w:rsidRPr="00102F97">
        <w:rPr>
          <w:rFonts w:ascii="Times New Roman" w:hAnsi="Times New Roman" w:cs="Times New Roman"/>
          <w:sz w:val="24"/>
          <w:szCs w:val="24"/>
          <w:lang w:val="es-ES"/>
        </w:rPr>
        <w:t>¿Cuáles fueron</w:t>
      </w:r>
      <w:r w:rsidR="002C50C4" w:rsidRPr="00102F97">
        <w:rPr>
          <w:rFonts w:ascii="Times New Roman" w:hAnsi="Times New Roman" w:cs="Times New Roman"/>
          <w:sz w:val="24"/>
          <w:szCs w:val="24"/>
          <w:lang w:val="es-ES"/>
        </w:rPr>
        <w:t xml:space="preserve"> las</w:t>
      </w:r>
      <w:r w:rsidR="001639BE" w:rsidRPr="00102F97">
        <w:rPr>
          <w:rFonts w:ascii="Times New Roman" w:hAnsi="Times New Roman" w:cs="Times New Roman"/>
          <w:sz w:val="24"/>
          <w:szCs w:val="24"/>
          <w:lang w:val="es-ES"/>
        </w:rPr>
        <w:t xml:space="preserve"> </w:t>
      </w:r>
      <w:r w:rsidR="00CF6398" w:rsidRPr="00102F97">
        <w:rPr>
          <w:rFonts w:ascii="Times New Roman" w:hAnsi="Times New Roman" w:cs="Times New Roman"/>
          <w:sz w:val="24"/>
          <w:szCs w:val="24"/>
          <w:lang w:val="es-ES"/>
        </w:rPr>
        <w:t>razones</w:t>
      </w:r>
      <w:r w:rsidRPr="00102F97">
        <w:rPr>
          <w:rFonts w:ascii="Times New Roman" w:hAnsi="Times New Roman" w:cs="Times New Roman"/>
          <w:sz w:val="24"/>
          <w:szCs w:val="24"/>
          <w:lang w:val="es-ES"/>
        </w:rPr>
        <w:t xml:space="preserve"> que llevaron al Banco de México a realizar dicha transición?</w:t>
      </w:r>
      <w:r w:rsidR="007A74E9" w:rsidRPr="00102F97">
        <w:rPr>
          <w:rFonts w:ascii="Times New Roman" w:hAnsi="Times New Roman" w:cs="Times New Roman"/>
          <w:sz w:val="24"/>
          <w:szCs w:val="24"/>
          <w:lang w:val="es-ES"/>
        </w:rPr>
        <w:t>,</w:t>
      </w:r>
      <w:r w:rsidR="00B00FE4">
        <w:rPr>
          <w:rFonts w:ascii="Times New Roman" w:hAnsi="Times New Roman" w:cs="Times New Roman"/>
          <w:sz w:val="24"/>
          <w:szCs w:val="24"/>
          <w:lang w:val="es-ES"/>
        </w:rPr>
        <w:t xml:space="preserve"> y</w:t>
      </w:r>
      <w:r w:rsidRPr="00102F97">
        <w:rPr>
          <w:rFonts w:ascii="Times New Roman" w:hAnsi="Times New Roman" w:cs="Times New Roman"/>
          <w:sz w:val="24"/>
          <w:szCs w:val="24"/>
          <w:lang w:val="es-ES"/>
        </w:rPr>
        <w:t xml:space="preserve"> con ello, conocer por</w:t>
      </w:r>
      <w:r w:rsidR="00DA651C" w:rsidRPr="00102F97">
        <w:rPr>
          <w:rFonts w:ascii="Times New Roman" w:hAnsi="Times New Roman" w:cs="Times New Roman"/>
          <w:sz w:val="24"/>
          <w:szCs w:val="24"/>
          <w:lang w:val="es-ES"/>
        </w:rPr>
        <w:t>que</w:t>
      </w:r>
      <w:r w:rsidRPr="00102F97">
        <w:rPr>
          <w:rFonts w:ascii="Times New Roman" w:hAnsi="Times New Roman" w:cs="Times New Roman"/>
          <w:sz w:val="24"/>
          <w:szCs w:val="24"/>
          <w:lang w:val="es-ES"/>
        </w:rPr>
        <w:t xml:space="preserve"> el Banco de México decido eliminar los “cortos” e implementar las tasas de interés como objetivo operacional</w:t>
      </w:r>
      <w:r w:rsidR="00695902" w:rsidRPr="00102F97">
        <w:rPr>
          <w:rFonts w:ascii="Times New Roman" w:hAnsi="Times New Roman" w:cs="Times New Roman"/>
          <w:sz w:val="24"/>
          <w:szCs w:val="24"/>
          <w:lang w:val="es-ES"/>
        </w:rPr>
        <w:t>.</w:t>
      </w:r>
      <w:r w:rsidR="00C74590" w:rsidRPr="00102F97">
        <w:rPr>
          <w:rFonts w:ascii="Times New Roman" w:hAnsi="Times New Roman" w:cs="Times New Roman"/>
          <w:sz w:val="24"/>
          <w:szCs w:val="24"/>
          <w:lang w:val="es-ES"/>
        </w:rPr>
        <w:t xml:space="preserve"> </w:t>
      </w:r>
      <w:r w:rsidR="0028594F" w:rsidRPr="00102F97">
        <w:rPr>
          <w:rFonts w:ascii="Times New Roman" w:hAnsi="Times New Roman" w:cs="Times New Roman"/>
          <w:sz w:val="24"/>
          <w:szCs w:val="24"/>
          <w:lang w:val="es-ES"/>
        </w:rPr>
        <w:t>T</w:t>
      </w:r>
      <w:r w:rsidR="00C74590" w:rsidRPr="00102F97">
        <w:rPr>
          <w:rFonts w:ascii="Times New Roman" w:hAnsi="Times New Roman" w:cs="Times New Roman"/>
          <w:sz w:val="24"/>
          <w:szCs w:val="24"/>
          <w:lang w:val="es-ES"/>
        </w:rPr>
        <w:t xml:space="preserve">ransición </w:t>
      </w:r>
      <w:r w:rsidR="0028594F" w:rsidRPr="00102F97">
        <w:rPr>
          <w:rFonts w:ascii="Times New Roman" w:hAnsi="Times New Roman" w:cs="Times New Roman"/>
          <w:sz w:val="24"/>
          <w:szCs w:val="24"/>
          <w:lang w:val="es-ES"/>
        </w:rPr>
        <w:t xml:space="preserve">que </w:t>
      </w:r>
      <w:r w:rsidR="00C74590" w:rsidRPr="00102F97">
        <w:rPr>
          <w:rFonts w:ascii="Times New Roman" w:hAnsi="Times New Roman" w:cs="Times New Roman"/>
          <w:sz w:val="24"/>
          <w:szCs w:val="24"/>
          <w:lang w:val="es-ES"/>
        </w:rPr>
        <w:t xml:space="preserve">podría considerarse como resultado de </w:t>
      </w:r>
      <w:r w:rsidR="0028594F" w:rsidRPr="00102F97">
        <w:rPr>
          <w:rFonts w:ascii="Times New Roman" w:hAnsi="Times New Roman" w:cs="Times New Roman"/>
          <w:sz w:val="24"/>
          <w:szCs w:val="24"/>
          <w:lang w:val="es-ES"/>
        </w:rPr>
        <w:t xml:space="preserve">la </w:t>
      </w:r>
      <w:r w:rsidR="00C74590" w:rsidRPr="00102F97">
        <w:rPr>
          <w:rFonts w:ascii="Times New Roman" w:hAnsi="Times New Roman" w:cs="Times New Roman"/>
          <w:sz w:val="24"/>
          <w:szCs w:val="24"/>
          <w:lang w:val="es-ES"/>
        </w:rPr>
        <w:t>adopción del esquema de objetivos de inflación</w:t>
      </w:r>
      <w:r w:rsidR="00083F30" w:rsidRPr="00102F97">
        <w:rPr>
          <w:rStyle w:val="Refdenotaalpie"/>
          <w:rFonts w:ascii="Times New Roman" w:hAnsi="Times New Roman" w:cs="Times New Roman"/>
          <w:sz w:val="24"/>
          <w:szCs w:val="24"/>
          <w:lang w:val="es-ES"/>
        </w:rPr>
        <w:footnoteReference w:id="6"/>
      </w:r>
      <w:r w:rsidR="00C74590" w:rsidRPr="00102F97">
        <w:rPr>
          <w:rFonts w:ascii="Times New Roman" w:hAnsi="Times New Roman" w:cs="Times New Roman"/>
          <w:sz w:val="24"/>
          <w:szCs w:val="24"/>
          <w:lang w:val="es-ES"/>
        </w:rPr>
        <w:t xml:space="preserve"> (implementado en México a partir del 2001). </w:t>
      </w:r>
      <w:r w:rsidR="00695902" w:rsidRPr="00102F97">
        <w:rPr>
          <w:rFonts w:ascii="Times New Roman" w:hAnsi="Times New Roman" w:cs="Times New Roman"/>
          <w:sz w:val="24"/>
          <w:szCs w:val="24"/>
          <w:lang w:val="es-ES"/>
        </w:rPr>
        <w:t xml:space="preserve"> Así</w:t>
      </w:r>
      <w:r w:rsidR="00F15A3F" w:rsidRPr="00102F97">
        <w:rPr>
          <w:rFonts w:ascii="Times New Roman" w:hAnsi="Times New Roman" w:cs="Times New Roman"/>
          <w:sz w:val="24"/>
          <w:szCs w:val="24"/>
          <w:lang w:val="es-ES"/>
        </w:rPr>
        <w:t xml:space="preserve"> como</w:t>
      </w:r>
      <w:r w:rsidR="00DA651C" w:rsidRPr="00102F97">
        <w:rPr>
          <w:rFonts w:ascii="Times New Roman" w:hAnsi="Times New Roman" w:cs="Times New Roman"/>
          <w:sz w:val="24"/>
          <w:szCs w:val="24"/>
          <w:lang w:val="es-ES"/>
        </w:rPr>
        <w:t xml:space="preserve"> </w:t>
      </w:r>
      <w:r w:rsidRPr="00102F97">
        <w:rPr>
          <w:rFonts w:ascii="Times New Roman" w:hAnsi="Times New Roman" w:cs="Times New Roman"/>
          <w:sz w:val="24"/>
          <w:szCs w:val="24"/>
          <w:lang w:val="es-ES"/>
        </w:rPr>
        <w:t>entender mejor el mecanismo de transmisión de la política</w:t>
      </w:r>
      <w:r w:rsidR="00540900" w:rsidRPr="00102F97">
        <w:rPr>
          <w:rFonts w:ascii="Times New Roman" w:hAnsi="Times New Roman" w:cs="Times New Roman"/>
          <w:sz w:val="24"/>
          <w:szCs w:val="24"/>
          <w:lang w:val="es-ES"/>
        </w:rPr>
        <w:t xml:space="preserve"> monetaria</w:t>
      </w:r>
      <w:r w:rsidR="004F62EB" w:rsidRPr="00102F97">
        <w:rPr>
          <w:rFonts w:ascii="Times New Roman" w:hAnsi="Times New Roman" w:cs="Times New Roman"/>
          <w:sz w:val="24"/>
          <w:szCs w:val="24"/>
          <w:lang w:val="es-ES"/>
        </w:rPr>
        <w:t xml:space="preserve"> </w:t>
      </w:r>
      <w:r w:rsidR="00EA1329" w:rsidRPr="00102F97">
        <w:rPr>
          <w:rFonts w:ascii="Times New Roman" w:hAnsi="Times New Roman" w:cs="Times New Roman"/>
          <w:sz w:val="24"/>
          <w:szCs w:val="24"/>
          <w:lang w:val="es-ES"/>
        </w:rPr>
        <w:t>en</w:t>
      </w:r>
      <w:r w:rsidR="004F62EB" w:rsidRPr="00102F97">
        <w:rPr>
          <w:rFonts w:ascii="Times New Roman" w:hAnsi="Times New Roman" w:cs="Times New Roman"/>
          <w:sz w:val="24"/>
          <w:szCs w:val="24"/>
          <w:lang w:val="es-ES"/>
        </w:rPr>
        <w:t xml:space="preserve"> México</w:t>
      </w:r>
      <w:r w:rsidR="00540900" w:rsidRPr="00102F97">
        <w:rPr>
          <w:rFonts w:ascii="Times New Roman" w:hAnsi="Times New Roman" w:cs="Times New Roman"/>
          <w:sz w:val="24"/>
          <w:szCs w:val="24"/>
          <w:lang w:val="es-ES"/>
        </w:rPr>
        <w:t>.</w:t>
      </w:r>
      <w:r w:rsidR="00F22FB3" w:rsidRPr="00102F97">
        <w:rPr>
          <w:rFonts w:ascii="Times New Roman" w:hAnsi="Times New Roman" w:cs="Times New Roman"/>
          <w:sz w:val="24"/>
          <w:szCs w:val="24"/>
          <w:lang w:val="es-ES"/>
        </w:rPr>
        <w:t xml:space="preserve"> </w:t>
      </w:r>
    </w:p>
    <w:p w:rsidR="008A5272" w:rsidRDefault="00DA651C" w:rsidP="00AF092C">
      <w:pPr>
        <w:jc w:val="both"/>
        <w:rPr>
          <w:rFonts w:ascii="Times New Roman" w:hAnsi="Times New Roman" w:cs="Times New Roman"/>
          <w:sz w:val="24"/>
          <w:szCs w:val="24"/>
          <w:lang w:val="es-ES"/>
        </w:rPr>
      </w:pPr>
      <w:r w:rsidRPr="00102F97">
        <w:rPr>
          <w:rFonts w:ascii="Times New Roman" w:hAnsi="Times New Roman" w:cs="Times New Roman"/>
          <w:sz w:val="24"/>
          <w:szCs w:val="24"/>
          <w:lang w:val="es-ES"/>
        </w:rPr>
        <w:t>A razón, de que</w:t>
      </w:r>
      <w:r w:rsidR="00914ED7" w:rsidRPr="00102F97">
        <w:rPr>
          <w:rFonts w:ascii="Times New Roman" w:hAnsi="Times New Roman" w:cs="Times New Roman"/>
          <w:sz w:val="24"/>
          <w:szCs w:val="24"/>
          <w:lang w:val="es-ES"/>
        </w:rPr>
        <w:t xml:space="preserve"> ningún banco central puede influir de manera directa sobre el nivel de precios (inflación</w:t>
      </w:r>
      <w:r w:rsidR="009F0D36" w:rsidRPr="00102F97">
        <w:rPr>
          <w:rStyle w:val="Refdenotaalpie"/>
          <w:rFonts w:ascii="Times New Roman" w:hAnsi="Times New Roman" w:cs="Times New Roman"/>
          <w:sz w:val="24"/>
          <w:szCs w:val="24"/>
          <w:lang w:val="es-ES"/>
        </w:rPr>
        <w:footnoteReference w:id="7"/>
      </w:r>
      <w:r w:rsidR="00914ED7" w:rsidRPr="00102F97">
        <w:rPr>
          <w:rFonts w:ascii="Times New Roman" w:hAnsi="Times New Roman" w:cs="Times New Roman"/>
          <w:sz w:val="24"/>
          <w:szCs w:val="24"/>
          <w:lang w:val="es-ES"/>
        </w:rPr>
        <w:t>)</w:t>
      </w:r>
      <w:r w:rsidR="00CB0038" w:rsidRPr="00102F97">
        <w:rPr>
          <w:rFonts w:ascii="Times New Roman" w:hAnsi="Times New Roman" w:cs="Times New Roman"/>
          <w:sz w:val="24"/>
          <w:szCs w:val="24"/>
          <w:lang w:val="es-ES"/>
        </w:rPr>
        <w:t>. E</w:t>
      </w:r>
      <w:r w:rsidR="00102F97">
        <w:rPr>
          <w:rFonts w:ascii="Times New Roman" w:hAnsi="Times New Roman" w:cs="Times New Roman"/>
          <w:sz w:val="24"/>
          <w:szCs w:val="24"/>
          <w:lang w:val="es-ES"/>
        </w:rPr>
        <w:t xml:space="preserve">l </w:t>
      </w:r>
      <w:r w:rsidR="00914ED7" w:rsidRPr="00102F97">
        <w:rPr>
          <w:rFonts w:ascii="Times New Roman" w:hAnsi="Times New Roman" w:cs="Times New Roman"/>
          <w:sz w:val="24"/>
          <w:szCs w:val="24"/>
          <w:lang w:val="es-ES"/>
        </w:rPr>
        <w:t>Banco de México a fin de alcanzar su objetivo prioritario de “mantener el poder adquisitivo de la moneda nacional”</w:t>
      </w:r>
      <w:r w:rsidR="00CB0038" w:rsidRPr="00102F97">
        <w:rPr>
          <w:rFonts w:ascii="Times New Roman" w:hAnsi="Times New Roman" w:cs="Times New Roman"/>
          <w:sz w:val="24"/>
          <w:szCs w:val="24"/>
          <w:lang w:val="es-ES"/>
        </w:rPr>
        <w:t>,</w:t>
      </w:r>
      <w:r w:rsidRPr="00102F97">
        <w:rPr>
          <w:rFonts w:ascii="Times New Roman" w:hAnsi="Times New Roman" w:cs="Times New Roman"/>
          <w:sz w:val="24"/>
          <w:szCs w:val="24"/>
          <w:lang w:val="es-ES"/>
        </w:rPr>
        <w:t xml:space="preserve"> </w:t>
      </w:r>
      <w:r w:rsidR="00914ED7" w:rsidRPr="00102F97">
        <w:rPr>
          <w:rFonts w:ascii="Times New Roman" w:hAnsi="Times New Roman" w:cs="Times New Roman"/>
          <w:sz w:val="24"/>
          <w:szCs w:val="24"/>
          <w:lang w:val="es-ES"/>
        </w:rPr>
        <w:t>a través del tiempo ha ido evolucionando y transformando su manera de instrumentar y conducir la política monetaria</w:t>
      </w:r>
      <w:r w:rsidR="00CB0038" w:rsidRPr="00102F97">
        <w:rPr>
          <w:rFonts w:ascii="Times New Roman" w:hAnsi="Times New Roman" w:cs="Times New Roman"/>
          <w:sz w:val="24"/>
          <w:szCs w:val="24"/>
          <w:lang w:val="es-ES"/>
        </w:rPr>
        <w:t>. L</w:t>
      </w:r>
      <w:r w:rsidR="00B25FE4" w:rsidRPr="00102F97">
        <w:rPr>
          <w:rFonts w:ascii="Times New Roman" w:hAnsi="Times New Roman" w:cs="Times New Roman"/>
          <w:sz w:val="24"/>
          <w:szCs w:val="24"/>
          <w:lang w:val="es-ES"/>
        </w:rPr>
        <w:t>a cual,</w:t>
      </w:r>
      <w:r w:rsidR="00914ED7" w:rsidRPr="00102F97">
        <w:rPr>
          <w:rFonts w:ascii="Times New Roman" w:hAnsi="Times New Roman" w:cs="Times New Roman"/>
          <w:sz w:val="24"/>
          <w:szCs w:val="24"/>
          <w:lang w:val="es-ES"/>
        </w:rPr>
        <w:t xml:space="preserve"> puede definirse como el </w:t>
      </w:r>
      <w:r w:rsidR="00914ED7" w:rsidRPr="00102F97">
        <w:rPr>
          <w:rFonts w:ascii="Times New Roman" w:hAnsi="Times New Roman" w:cs="Times New Roman"/>
          <w:i/>
          <w:sz w:val="24"/>
          <w:szCs w:val="24"/>
          <w:lang w:val="es-ES"/>
        </w:rPr>
        <w:t xml:space="preserve">“conjunto de acciones que el Banco de México lleva a </w:t>
      </w:r>
      <w:r w:rsidR="00914ED7" w:rsidRPr="00102F97">
        <w:rPr>
          <w:rFonts w:ascii="Times New Roman" w:hAnsi="Times New Roman" w:cs="Times New Roman"/>
          <w:i/>
          <w:sz w:val="24"/>
          <w:szCs w:val="24"/>
          <w:lang w:val="es-ES"/>
        </w:rPr>
        <w:lastRenderedPageBreak/>
        <w:t>cabo para influir</w:t>
      </w:r>
      <w:r w:rsidR="00F15A3F" w:rsidRPr="00102F97">
        <w:rPr>
          <w:rFonts w:ascii="Times New Roman" w:hAnsi="Times New Roman" w:cs="Times New Roman"/>
          <w:i/>
          <w:sz w:val="24"/>
          <w:szCs w:val="24"/>
          <w:lang w:val="es-ES"/>
        </w:rPr>
        <w:t xml:space="preserve"> sobres las tasas de interés y </w:t>
      </w:r>
      <w:r w:rsidR="00914ED7" w:rsidRPr="00102F97">
        <w:rPr>
          <w:rFonts w:ascii="Times New Roman" w:hAnsi="Times New Roman" w:cs="Times New Roman"/>
          <w:i/>
          <w:sz w:val="24"/>
          <w:szCs w:val="24"/>
          <w:lang w:val="es-ES"/>
        </w:rPr>
        <w:t>las expectativas inflacionarias del público</w:t>
      </w:r>
      <w:r w:rsidR="00E52ED4" w:rsidRPr="00102F97">
        <w:rPr>
          <w:rFonts w:ascii="Times New Roman" w:hAnsi="Times New Roman" w:cs="Times New Roman"/>
          <w:i/>
          <w:sz w:val="24"/>
          <w:szCs w:val="24"/>
          <w:lang w:val="es-ES"/>
        </w:rPr>
        <w:t>”</w:t>
      </w:r>
      <w:r w:rsidR="00914ED7" w:rsidRPr="00102F97">
        <w:rPr>
          <w:rStyle w:val="Refdenotaalpie"/>
          <w:rFonts w:ascii="Times New Roman" w:hAnsi="Times New Roman" w:cs="Times New Roman"/>
          <w:i/>
          <w:sz w:val="24"/>
          <w:szCs w:val="24"/>
          <w:lang w:val="es-ES"/>
        </w:rPr>
        <w:footnoteReference w:id="8"/>
      </w:r>
      <w:r w:rsidR="000D5008" w:rsidRPr="00102F97">
        <w:rPr>
          <w:rFonts w:ascii="Times New Roman" w:hAnsi="Times New Roman" w:cs="Times New Roman"/>
          <w:i/>
          <w:sz w:val="24"/>
          <w:szCs w:val="24"/>
          <w:lang w:val="es-ES"/>
        </w:rPr>
        <w:t>,</w:t>
      </w:r>
      <w:r w:rsidR="00914ED7" w:rsidRPr="00102F97">
        <w:rPr>
          <w:rFonts w:ascii="Times New Roman" w:hAnsi="Times New Roman" w:cs="Times New Roman"/>
          <w:sz w:val="24"/>
          <w:szCs w:val="24"/>
          <w:lang w:val="es-ES"/>
        </w:rPr>
        <w:t xml:space="preserve"> y con ello</w:t>
      </w:r>
      <w:r w:rsidR="000D5008" w:rsidRPr="00102F97">
        <w:rPr>
          <w:rFonts w:ascii="Times New Roman" w:hAnsi="Times New Roman" w:cs="Times New Roman"/>
          <w:sz w:val="24"/>
          <w:szCs w:val="24"/>
          <w:lang w:val="es-ES"/>
        </w:rPr>
        <w:t>,</w:t>
      </w:r>
      <w:r w:rsidR="003860BE" w:rsidRPr="00102F97">
        <w:rPr>
          <w:rFonts w:ascii="Times New Roman" w:hAnsi="Times New Roman" w:cs="Times New Roman"/>
          <w:sz w:val="24"/>
          <w:szCs w:val="24"/>
          <w:lang w:val="es-ES"/>
        </w:rPr>
        <w:t xml:space="preserve"> </w:t>
      </w:r>
      <w:r w:rsidR="00914ED7" w:rsidRPr="00102F97">
        <w:rPr>
          <w:rFonts w:ascii="Times New Roman" w:hAnsi="Times New Roman" w:cs="Times New Roman"/>
          <w:sz w:val="24"/>
          <w:szCs w:val="24"/>
          <w:lang w:val="es-ES"/>
        </w:rPr>
        <w:t>contribuir en el crecimiento económico del país y la generación de empleos.</w:t>
      </w:r>
      <w:bookmarkStart w:id="1" w:name="_Toc332047092"/>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La razón por la cual se describirá la instrumentación y conducción de la Política Monetaria en México se debe a que se considera fundamental recopilar, organizar y describir los diferentes acontecimientos que dieron lugar al actual mecanismo de transmisión de Política Monetaria y sus repercusiones en México.</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El año de 1994 es considerado como un “parte aguas” para la Política Monetaria del país, dado que ese año, la conducción de la Política Monetaria y el Banco de México presentaron grandes transformaciones. En primer lugar, se reduce el abordaje de la política cambiaria y se cambia el régimen cambiario de bandas por uno de libre flotación, con ello el tipo de cambio fijo dejó de ser el ancla nominal de los precios. Por otro lado, la Política Monetaria deja de ser exógena o sin credibilidad y se convierte en el ancla nominal de los precios. Además, se liberan las tasas de interés, que estaban determinadas por el Banco Central de manera unilateral o sin tomar en cuenta las condiciones de mercado. Y finalmente se institucionaliza la Autonomía de Banco de México.</w:t>
      </w:r>
    </w:p>
    <w:p w:rsidR="008A5272" w:rsidRPr="008A5272" w:rsidRDefault="008A5272" w:rsidP="008A5272">
      <w:pPr>
        <w:jc w:val="both"/>
        <w:rPr>
          <w:rFonts w:ascii="Times New Roman" w:hAnsi="Times New Roman" w:cs="Times New Roman"/>
          <w:sz w:val="24"/>
          <w:szCs w:val="24"/>
          <w:lang w:val="es-ES"/>
        </w:rPr>
      </w:pPr>
      <w:r w:rsidRPr="008A5272">
        <w:rPr>
          <w:rFonts w:ascii="Times New Roman" w:hAnsi="Times New Roman" w:cs="Times New Roman"/>
          <w:sz w:val="24"/>
          <w:szCs w:val="24"/>
          <w:lang w:val="es-CO"/>
        </w:rPr>
        <w:t>Sin embargo, durante la década de los 80´s el Banco de México dejó de utilizar las reservas obligatorias, instrumento de control monetario mejor conocido como “encaje legal”, para implementar a principios de los 90´s las Operaciones de Mercado Abierto (OMA) que actualmente es el principal instrumento de política monetaria del Banco de México para afectar la liquidez en el mercado de dinero.</w:t>
      </w:r>
      <w:r w:rsidRPr="008A5272">
        <w:rPr>
          <w:rFonts w:ascii="Times New Roman" w:hAnsi="Times New Roman" w:cs="Times New Roman"/>
          <w:sz w:val="24"/>
          <w:szCs w:val="24"/>
          <w:lang w:val="es-ES"/>
        </w:rPr>
        <w:t xml:space="preserve"> </w:t>
      </w:r>
    </w:p>
    <w:p w:rsidR="008A5272" w:rsidRPr="008A5272" w:rsidRDefault="008A5272" w:rsidP="008A5272">
      <w:pPr>
        <w:jc w:val="both"/>
        <w:rPr>
          <w:rFonts w:ascii="Times New Roman" w:hAnsi="Times New Roman" w:cs="Times New Roman"/>
          <w:sz w:val="24"/>
          <w:szCs w:val="24"/>
          <w:lang w:val="es-ES"/>
        </w:rPr>
      </w:pPr>
      <w:r w:rsidRPr="008A5272">
        <w:rPr>
          <w:rFonts w:ascii="Times New Roman" w:hAnsi="Times New Roman" w:cs="Times New Roman"/>
          <w:sz w:val="24"/>
          <w:szCs w:val="24"/>
          <w:lang w:val="es-ES"/>
        </w:rPr>
        <w:t xml:space="preserve">Con un régimen cambiario de libre flotación y la adopción de un esquema de agregados monetarios, en septiembre de 1995 el Banco de México adoptó el Saldo de las Cuentas Corrientes, objetivo operacional de política monetaria conocido como “El Corto”. </w:t>
      </w:r>
    </w:p>
    <w:p w:rsidR="008A5272" w:rsidRPr="008A5272" w:rsidRDefault="008A5272" w:rsidP="008A5272">
      <w:pPr>
        <w:jc w:val="both"/>
        <w:rPr>
          <w:rFonts w:ascii="Times New Roman" w:hAnsi="Times New Roman" w:cs="Times New Roman"/>
          <w:sz w:val="24"/>
          <w:szCs w:val="24"/>
        </w:rPr>
      </w:pPr>
      <w:r w:rsidRPr="008A5272">
        <w:rPr>
          <w:rFonts w:ascii="Times New Roman" w:hAnsi="Times New Roman" w:cs="Times New Roman"/>
          <w:sz w:val="24"/>
          <w:szCs w:val="24"/>
        </w:rPr>
        <w:t xml:space="preserve">Siendo dicha transición la parte medular del trabajo de investigación, se buscará dar respuesta a la pregunta de investigación ¿Por qué un objetivo operacional de tasas de interés interbancaria a un día (tasa de fondeo) es más eficiente para transmitir la postura de política monetaria del Banco de México que un objetivo operacional “Corto”? </w:t>
      </w:r>
    </w:p>
    <w:p w:rsidR="008A5272" w:rsidRPr="008A5272" w:rsidRDefault="008A5272" w:rsidP="008A5272">
      <w:pPr>
        <w:jc w:val="both"/>
        <w:rPr>
          <w:rFonts w:ascii="Times New Roman" w:hAnsi="Times New Roman" w:cs="Times New Roman"/>
          <w:b/>
          <w:sz w:val="24"/>
          <w:szCs w:val="24"/>
        </w:rPr>
      </w:pPr>
      <w:r w:rsidRPr="008A5272">
        <w:rPr>
          <w:rFonts w:ascii="Times New Roman" w:hAnsi="Times New Roman" w:cs="Times New Roman"/>
          <w:sz w:val="24"/>
          <w:szCs w:val="24"/>
        </w:rPr>
        <w:t xml:space="preserve">El objetivo general de ésta investigación es analizar la efectividad de la tasa de interés de corto plazo como objetivo operacional del Banco de México para transmitir su postura de Política Monetaria, en sustitución de los saldos de cuenta corriente. </w:t>
      </w:r>
    </w:p>
    <w:p w:rsidR="008A5272" w:rsidRPr="008A5272" w:rsidRDefault="008A5272" w:rsidP="008A5272">
      <w:pPr>
        <w:jc w:val="both"/>
        <w:rPr>
          <w:rFonts w:ascii="Times New Roman" w:hAnsi="Times New Roman" w:cs="Times New Roman"/>
          <w:b/>
          <w:sz w:val="24"/>
          <w:szCs w:val="24"/>
        </w:rPr>
      </w:pPr>
      <w:r w:rsidRPr="008A5272">
        <w:rPr>
          <w:rFonts w:ascii="Times New Roman" w:hAnsi="Times New Roman" w:cs="Times New Roman"/>
          <w:sz w:val="24"/>
          <w:szCs w:val="24"/>
        </w:rPr>
        <w:t xml:space="preserve">La hipótesis de la investigación es que a través del objetivo operacional de tasas de interés de corto plazo (interbancaria) el Banco de México transmite eficientemente su postura de Política Monetaria contribuyendo a la estabilidad de precios. </w:t>
      </w:r>
    </w:p>
    <w:p w:rsidR="008A5272" w:rsidRDefault="008A5272" w:rsidP="008A5272">
      <w:pPr>
        <w:jc w:val="both"/>
        <w:rPr>
          <w:rFonts w:ascii="Times New Roman" w:hAnsi="Times New Roman" w:cs="Times New Roman"/>
          <w:sz w:val="24"/>
          <w:szCs w:val="24"/>
        </w:rPr>
      </w:pPr>
    </w:p>
    <w:p w:rsidR="008A5272" w:rsidRPr="008A5272" w:rsidRDefault="00B47EAC" w:rsidP="008A5272">
      <w:pPr>
        <w:jc w:val="both"/>
        <w:rPr>
          <w:rFonts w:ascii="Times New Roman" w:hAnsi="Times New Roman" w:cs="Times New Roman"/>
          <w:b/>
          <w:sz w:val="24"/>
          <w:szCs w:val="24"/>
        </w:rPr>
      </w:pPr>
      <w:r w:rsidRPr="008A5272">
        <w:rPr>
          <w:rFonts w:ascii="Times New Roman" w:hAnsi="Times New Roman" w:cs="Times New Roman"/>
          <w:b/>
          <w:sz w:val="24"/>
          <w:szCs w:val="24"/>
        </w:rPr>
        <w:t>Marco teórico</w:t>
      </w:r>
    </w:p>
    <w:p w:rsidR="008A5272" w:rsidRDefault="008A5272" w:rsidP="008A5272">
      <w:pPr>
        <w:jc w:val="both"/>
        <w:rPr>
          <w:rFonts w:ascii="Times New Roman" w:hAnsi="Times New Roman" w:cs="Times New Roman"/>
          <w:sz w:val="24"/>
          <w:szCs w:val="24"/>
        </w:rPr>
      </w:pPr>
      <w:r>
        <w:rPr>
          <w:rFonts w:ascii="Times New Roman" w:hAnsi="Times New Roman" w:cs="Times New Roman"/>
          <w:sz w:val="24"/>
          <w:szCs w:val="24"/>
        </w:rPr>
        <w:t xml:space="preserve">En este  apartado se presenta el sustento teórico de la investigación </w:t>
      </w:r>
    </w:p>
    <w:p w:rsidR="008A5272" w:rsidRPr="00B47EAC" w:rsidRDefault="008A5272" w:rsidP="00B47EAC">
      <w:pPr>
        <w:pStyle w:val="Prrafodelista"/>
        <w:numPr>
          <w:ilvl w:val="0"/>
          <w:numId w:val="28"/>
        </w:numPr>
        <w:jc w:val="both"/>
        <w:rPr>
          <w:rFonts w:ascii="Times New Roman" w:hAnsi="Times New Roman" w:cs="Times New Roman"/>
          <w:b/>
          <w:sz w:val="24"/>
          <w:szCs w:val="24"/>
        </w:rPr>
      </w:pPr>
      <w:r w:rsidRPr="00B47EAC">
        <w:rPr>
          <w:rFonts w:ascii="Times New Roman" w:hAnsi="Times New Roman" w:cs="Times New Roman"/>
          <w:b/>
          <w:sz w:val="24"/>
          <w:szCs w:val="24"/>
        </w:rPr>
        <w:t xml:space="preserve">Política Monetaria </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Al hablar de Política Monetaria es preciso mencionar que ésta forma parte de la Política Económica. La cual, entre otras cosas, se encarga de mantener el crecimiento de la economía de un país, así como de favorecer el empleo y el bienestar de la sociedad. </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De acuerdo al Banco de México, la Política Monetaria se define como: </w:t>
      </w:r>
    </w:p>
    <w:p w:rsidR="008A5272" w:rsidRPr="008A5272" w:rsidRDefault="008A5272" w:rsidP="008A5272">
      <w:pPr>
        <w:jc w:val="both"/>
        <w:rPr>
          <w:rFonts w:ascii="Times New Roman" w:hAnsi="Times New Roman" w:cs="Times New Roman"/>
          <w:i/>
          <w:sz w:val="24"/>
          <w:szCs w:val="24"/>
          <w:lang w:val="es-CO"/>
        </w:rPr>
      </w:pPr>
      <w:r w:rsidRPr="008A5272">
        <w:rPr>
          <w:rFonts w:ascii="Times New Roman" w:hAnsi="Times New Roman" w:cs="Times New Roman"/>
          <w:i/>
          <w:sz w:val="24"/>
          <w:szCs w:val="24"/>
          <w:lang w:val="es-CO"/>
        </w:rPr>
        <w:t>“</w:t>
      </w:r>
      <w:r w:rsidRPr="008A5272">
        <w:rPr>
          <w:rFonts w:ascii="Times New Roman" w:hAnsi="Times New Roman" w:cs="Times New Roman"/>
          <w:i/>
          <w:sz w:val="24"/>
          <w:szCs w:val="24"/>
        </w:rPr>
        <w:t>El conjunto de acciones que el Banco de México lleva a cabo para influir sobre las tasas de interés y las expectativas inflacionarias del público, a fin de que la evolución de los precios sea congruente con el objetivo de mantener un entorno de inflación baja y estable” (Banxico, 2013f).</w:t>
      </w:r>
      <w:r w:rsidRPr="008A5272">
        <w:rPr>
          <w:rFonts w:ascii="Times New Roman" w:hAnsi="Times New Roman" w:cs="Times New Roman"/>
          <w:i/>
          <w:sz w:val="24"/>
          <w:szCs w:val="24"/>
          <w:lang w:val="es-CO"/>
        </w:rPr>
        <w:t xml:space="preserve"> </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La política Monetaria determina las condiciones bajo las cuales se proporciona el dinero a la economía. Sin embargo, definir los objetivos que ésta debe perseguir, no resulta una tarea fácil. Ya que desde que el Banco Central se consolidó como la única Institución responsable de proveer moneda nacional al país, ha sido tema de discusión entre las autoridades encargadas de llevar a cabo la Política Monetaria.</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No obstante, esta divergencia de opiniones, conduce a una misma conclusión. “</w:t>
      </w:r>
      <w:r w:rsidRPr="008A5272">
        <w:rPr>
          <w:rFonts w:ascii="Times New Roman" w:hAnsi="Times New Roman" w:cs="Times New Roman"/>
          <w:i/>
          <w:sz w:val="24"/>
          <w:szCs w:val="24"/>
          <w:lang w:val="es-CO"/>
        </w:rPr>
        <w:t>La mejor contribución que la Política Monetaria puede hacer para fomentar el crecimiento económico sostenido es procurar la estabilidad de precios”</w:t>
      </w:r>
      <w:r w:rsidRPr="008A5272">
        <w:rPr>
          <w:rFonts w:ascii="Times New Roman" w:hAnsi="Times New Roman" w:cs="Times New Roman"/>
          <w:sz w:val="24"/>
          <w:szCs w:val="24"/>
          <w:lang w:val="es-CO"/>
        </w:rPr>
        <w:t xml:space="preserve"> (Banxico, 2008).</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La institución encargada de llevar a cabo la conducción de la Política Monetaria debe tener muy claras las metas y objetivos que debe seguir para lograr el objetivo final, que es el control de la Inflación. </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El control de la inflación es solo un componente, muy importante pero no el único, de lograr un crecimiento económico sostenido. </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“En el caso de México, y sobre todo a partir de 1995, el Banco de México ha podido abatir la inflación, el tipo de cambio se estabilizó y los bancos han contado con gran liquidez y solvencia” (Vera, 2012). </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Vera (2012) menciona cuatro principales beneficios que se presentan ante una buena política monetaria y son los siguientes: </w:t>
      </w:r>
    </w:p>
    <w:p w:rsidR="008A5272" w:rsidRPr="008A5272" w:rsidRDefault="008A5272" w:rsidP="008A5272">
      <w:pPr>
        <w:numPr>
          <w:ilvl w:val="0"/>
          <w:numId w:val="18"/>
        </w:num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Permite la planeación a largo plazo para los empresarios.</w:t>
      </w:r>
    </w:p>
    <w:p w:rsidR="008A5272" w:rsidRPr="008A5272" w:rsidRDefault="008A5272" w:rsidP="008A5272">
      <w:pPr>
        <w:numPr>
          <w:ilvl w:val="0"/>
          <w:numId w:val="18"/>
        </w:num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El mercado interno se fortalece.</w:t>
      </w:r>
    </w:p>
    <w:p w:rsidR="008A5272" w:rsidRPr="008A5272" w:rsidRDefault="008A5272" w:rsidP="008A5272">
      <w:pPr>
        <w:numPr>
          <w:ilvl w:val="0"/>
          <w:numId w:val="18"/>
        </w:num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lastRenderedPageBreak/>
        <w:t xml:space="preserve">La producción nacional de mercancías será mucho más barata y con ello se puede tener una importante ventaja en las exportaciones. </w:t>
      </w:r>
    </w:p>
    <w:p w:rsidR="008A5272" w:rsidRPr="008A5272" w:rsidRDefault="008A5272" w:rsidP="008A5272">
      <w:pPr>
        <w:numPr>
          <w:ilvl w:val="0"/>
          <w:numId w:val="18"/>
        </w:num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La moneda nacional adquiere firmeza y se fortalece. </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Lo anterior, a su vez, se traduce en beneficios para la población como la mayor oportunidad de crédito a los hogares para el consumo y la vivienda, mayor financiamiento para la inversión, un mayor crecimiento de la actividad económica, del empleo y de los ingresos, así como una mejor asignación de los recursos (Banxico, 2008b).</w:t>
      </w:r>
    </w:p>
    <w:p w:rsidR="008A5272" w:rsidRPr="008A5272" w:rsidRDefault="008A5272" w:rsidP="008A5272">
      <w:pPr>
        <w:jc w:val="both"/>
        <w:rPr>
          <w:rFonts w:ascii="Times New Roman" w:hAnsi="Times New Roman" w:cs="Times New Roman"/>
          <w:sz w:val="24"/>
          <w:szCs w:val="24"/>
        </w:rPr>
      </w:pPr>
      <w:r w:rsidRPr="008A5272">
        <w:rPr>
          <w:rFonts w:ascii="Times New Roman" w:hAnsi="Times New Roman" w:cs="Times New Roman"/>
          <w:sz w:val="24"/>
          <w:szCs w:val="24"/>
          <w:lang w:val="es-CO"/>
        </w:rPr>
        <w:t xml:space="preserve">De acuerdo al Banco Central, la Política Monetaria es definida </w:t>
      </w:r>
      <w:r w:rsidRPr="008A5272">
        <w:rPr>
          <w:rFonts w:ascii="Times New Roman" w:hAnsi="Times New Roman" w:cs="Times New Roman"/>
          <w:sz w:val="24"/>
          <w:szCs w:val="24"/>
        </w:rPr>
        <w:t>como el conjunto de acciones que el Banco de México lleva a cabo para influir sobre las tasas de interés y las expectativas inflacionarias del público, a fin de que la evolución de los precios sea congruente con el objetivo de mantener un entorno de inflación baja y estable (Banxico, 2013f).</w:t>
      </w:r>
    </w:p>
    <w:p w:rsidR="008A5272" w:rsidRPr="008A5272" w:rsidRDefault="008A5272" w:rsidP="008A5272">
      <w:pPr>
        <w:jc w:val="both"/>
        <w:rPr>
          <w:rFonts w:ascii="Times New Roman" w:hAnsi="Times New Roman" w:cs="Times New Roman"/>
          <w:sz w:val="24"/>
          <w:szCs w:val="24"/>
        </w:rPr>
      </w:pPr>
      <w:r w:rsidRPr="008A5272">
        <w:rPr>
          <w:rFonts w:ascii="Times New Roman" w:hAnsi="Times New Roman" w:cs="Times New Roman"/>
          <w:sz w:val="24"/>
          <w:szCs w:val="24"/>
        </w:rPr>
        <w:t>Surge como consecuencia de la limitante a la que está sujeto cualquier Banco Central, ya que es imposible que éste pueda controlar directamente los precios de todos los bienes y servicios de la economía. Así que hace uso de este conjunto de metas, acciones e instrumentos que le permite procurar el objetivo de mantener un entorno de inflación baja y estable. De esta manera, el Banco de México contribuye a establecer condiciones propicias para el crecimiento económico sostenido.</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En México, la Institución encargada de llevar a cabo la Política Monetaria, es el Banco de México. Por lo que es pertinente presentar los antecedentes de dicha institución.</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Hasta principios del siglo XX, en México no se contaba con un control en la fabricación y emisión de la moneda nacional. Anteriormente, las personas podían imprimir billetes en cualquier banco, lo que generaba confusión y desconfianza entre la sociedad. Debido a ésta situación, en la Constitución de 1917 quedó establecido que la emisión de billetes y monedas solo estaría a cargo del Gobierno Federal a través del Banco de México. El cual fue inaugurado el 1 de septiembre de 1925 por el entonces presidente de la República, Plutarco Elías Calles. </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Sin embargo, en los años posteriores, el gobierno federal utilizó al Banco de México como la Institución que debía pagar sus deudas, lo que generó un excedente de dinero en circulación. Esto a su vez, tuvo impacto en los altos índices de inflación</w:t>
      </w:r>
      <w:r w:rsidRPr="008A5272">
        <w:rPr>
          <w:rFonts w:ascii="Times New Roman" w:hAnsi="Times New Roman" w:cs="Times New Roman"/>
          <w:sz w:val="24"/>
          <w:szCs w:val="24"/>
          <w:vertAlign w:val="superscript"/>
          <w:lang w:val="es-CO"/>
        </w:rPr>
        <w:footnoteReference w:id="9"/>
      </w:r>
      <w:r w:rsidRPr="008A5272">
        <w:rPr>
          <w:rFonts w:ascii="Times New Roman" w:hAnsi="Times New Roman" w:cs="Times New Roman"/>
          <w:sz w:val="24"/>
          <w:szCs w:val="24"/>
          <w:lang w:val="es-CO"/>
        </w:rPr>
        <w:t xml:space="preserve">.  </w:t>
      </w:r>
    </w:p>
    <w:p w:rsidR="008A5272" w:rsidRPr="008A5272" w:rsidRDefault="008A5272" w:rsidP="008A5272">
      <w:pPr>
        <w:jc w:val="both"/>
        <w:rPr>
          <w:rFonts w:ascii="Times New Roman" w:hAnsi="Times New Roman" w:cs="Times New Roman"/>
          <w:sz w:val="24"/>
          <w:szCs w:val="24"/>
        </w:rPr>
      </w:pPr>
      <w:r w:rsidRPr="008A5272">
        <w:rPr>
          <w:rFonts w:ascii="Times New Roman" w:hAnsi="Times New Roman" w:cs="Times New Roman"/>
          <w:sz w:val="24"/>
          <w:szCs w:val="24"/>
          <w:lang w:val="es-CO"/>
        </w:rPr>
        <w:t xml:space="preserve">Es por esta razón, que se tomó la decisión de otorgarle autonomía al Banco de México. Dicho carácter autónomo fue plasmado en el decreto del mes de Noviembre de 1993, en el </w:t>
      </w:r>
      <w:r w:rsidRPr="008A5272">
        <w:rPr>
          <w:rFonts w:ascii="Times New Roman" w:hAnsi="Times New Roman" w:cs="Times New Roman"/>
          <w:sz w:val="24"/>
          <w:szCs w:val="24"/>
          <w:lang w:val="es-CO"/>
        </w:rPr>
        <w:lastRenderedPageBreak/>
        <w:t xml:space="preserve">artículo 28 Constitucional. Y no fue hasta abril de 1994, cuando el Banco Central ejerce su plena autonomía en sus funciones y administración. </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Desde ese día ninguna autoridad, incluso el propio gobierno, puede ordenar al Banco de México fabricar dinero, ni prestarlo. Por este motivo, entre otros, el banco central ha logrado, con el tiempo, controlar el grave peligro de la inflación en nuestro país. Este control es una condición necesaria para que México tenga un crecimiento en la economía (Banxico, 2008b).</w:t>
      </w:r>
    </w:p>
    <w:p w:rsidR="008A5272" w:rsidRPr="008A5272" w:rsidRDefault="008A5272" w:rsidP="008A5272">
      <w:pPr>
        <w:jc w:val="both"/>
        <w:rPr>
          <w:rFonts w:ascii="Times New Roman" w:hAnsi="Times New Roman" w:cs="Times New Roman"/>
          <w:i/>
          <w:sz w:val="24"/>
          <w:szCs w:val="24"/>
          <w:lang w:val="es-CO"/>
        </w:rPr>
      </w:pPr>
      <w:r w:rsidRPr="008A5272">
        <w:rPr>
          <w:rFonts w:ascii="Times New Roman" w:hAnsi="Times New Roman" w:cs="Times New Roman"/>
          <w:sz w:val="24"/>
          <w:szCs w:val="24"/>
          <w:lang w:val="es-CO"/>
        </w:rPr>
        <w:t>De acuerdo al Artículo 2 de la Ley del Banco del México: “</w:t>
      </w:r>
      <w:r w:rsidRPr="008A5272">
        <w:rPr>
          <w:rFonts w:ascii="Times New Roman" w:hAnsi="Times New Roman" w:cs="Times New Roman"/>
          <w:i/>
          <w:sz w:val="24"/>
          <w:szCs w:val="24"/>
          <w:lang w:val="es-CO"/>
        </w:rPr>
        <w:t>El Banco de México tendrá por finalidad proveer a la economía del país de moneda nacional. En la consecución de esta finalidad tendrá como objetivo prioritario procurar la estabilidad del poder adquisitivo de dicha moneda. Serán también finalidades del Banco promover el sano desarrollo del sistema financiero y propiciar el buen funcionamiento de los sistemas de pagos” (Cámara de Diputados, 2014)</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Las funciones que debe cumplir el Banco Central, quedan establecidas en el Artículo 3 de la Ley del Banco de México decretada por el Congreso de los Estados Unidos Mexicanos.</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El Banco desempeñará las funciones siguientes: </w:t>
      </w:r>
    </w:p>
    <w:p w:rsidR="008A5272" w:rsidRPr="008A5272" w:rsidRDefault="008A5272" w:rsidP="008A5272">
      <w:pPr>
        <w:numPr>
          <w:ilvl w:val="0"/>
          <w:numId w:val="14"/>
        </w:num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Regular la emisión y circulación de la moneda, los cambios, la intermediación y los servicios financieros, así como los sistemas de pagos. </w:t>
      </w:r>
    </w:p>
    <w:p w:rsidR="008A5272" w:rsidRPr="008A5272" w:rsidRDefault="008A5272" w:rsidP="008A5272">
      <w:pPr>
        <w:numPr>
          <w:ilvl w:val="0"/>
          <w:numId w:val="14"/>
        </w:num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Operar con las instituciones de crédito como banco de reserva y acreditante de última instancia.</w:t>
      </w:r>
    </w:p>
    <w:p w:rsidR="008A5272" w:rsidRPr="008A5272" w:rsidRDefault="008A5272" w:rsidP="008A5272">
      <w:pPr>
        <w:numPr>
          <w:ilvl w:val="0"/>
          <w:numId w:val="14"/>
        </w:num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Prestar servicios de tesorería al Gobierno Federal y actuar como agente financiero del mismo.</w:t>
      </w:r>
    </w:p>
    <w:p w:rsidR="008A5272" w:rsidRPr="008A5272" w:rsidRDefault="008A5272" w:rsidP="008A5272">
      <w:pPr>
        <w:numPr>
          <w:ilvl w:val="0"/>
          <w:numId w:val="14"/>
        </w:num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Fungir como asesor del Gobierno Federal en materia económica y, particularmente, financiera. </w:t>
      </w:r>
    </w:p>
    <w:p w:rsidR="008A5272" w:rsidRPr="008A5272" w:rsidRDefault="008A5272" w:rsidP="008A5272">
      <w:pPr>
        <w:numPr>
          <w:ilvl w:val="0"/>
          <w:numId w:val="14"/>
        </w:num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Participar en el Fondo Monetario Internacional y en otros organismos de cooperación financiera internacional o que agrupen a bancos centrales.</w:t>
      </w:r>
    </w:p>
    <w:p w:rsidR="008A5272" w:rsidRPr="008A5272" w:rsidRDefault="008A5272" w:rsidP="008A5272">
      <w:pPr>
        <w:numPr>
          <w:ilvl w:val="0"/>
          <w:numId w:val="14"/>
        </w:num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Operar con los organismos a que se refiere la fracción V anterior, con bancos centrales y con otras personas morales extranjeras que ejerzan funciones de autoridad en materia financiera</w:t>
      </w:r>
      <w:r w:rsidRPr="008A5272">
        <w:rPr>
          <w:rFonts w:ascii="Times New Roman" w:hAnsi="Times New Roman" w:cs="Times New Roman"/>
          <w:i/>
          <w:sz w:val="24"/>
          <w:szCs w:val="24"/>
          <w:lang w:val="es-CO"/>
        </w:rPr>
        <w:t xml:space="preserve"> (Cámara de Diputados, 2014).</w:t>
      </w:r>
    </w:p>
    <w:p w:rsidR="008A5272" w:rsidRPr="008A5272" w:rsidRDefault="008A5272" w:rsidP="008A5272">
      <w:pPr>
        <w:ind w:left="720"/>
        <w:jc w:val="both"/>
        <w:rPr>
          <w:rFonts w:ascii="Times New Roman" w:hAnsi="Times New Roman" w:cs="Times New Roman"/>
          <w:sz w:val="24"/>
          <w:szCs w:val="24"/>
        </w:rPr>
      </w:pPr>
    </w:p>
    <w:p w:rsidR="008A5272" w:rsidRPr="00B47EAC" w:rsidRDefault="00B47EAC" w:rsidP="00B47EAC">
      <w:pPr>
        <w:pStyle w:val="Prrafodelista"/>
        <w:jc w:val="both"/>
        <w:rPr>
          <w:rFonts w:ascii="Times New Roman" w:hAnsi="Times New Roman" w:cs="Times New Roman"/>
          <w:b/>
          <w:sz w:val="24"/>
          <w:szCs w:val="24"/>
          <w:lang w:val="es-CO"/>
        </w:rPr>
      </w:pPr>
      <w:r>
        <w:rPr>
          <w:rFonts w:ascii="Times New Roman" w:hAnsi="Times New Roman" w:cs="Times New Roman"/>
          <w:b/>
          <w:sz w:val="24"/>
          <w:szCs w:val="24"/>
          <w:lang w:val="es-CO"/>
        </w:rPr>
        <w:t>1.1</w:t>
      </w:r>
      <w:r w:rsidR="008A5272" w:rsidRPr="00B47EAC">
        <w:rPr>
          <w:rFonts w:ascii="Times New Roman" w:hAnsi="Times New Roman" w:cs="Times New Roman"/>
          <w:b/>
          <w:sz w:val="24"/>
          <w:szCs w:val="24"/>
          <w:lang w:val="es-CO"/>
        </w:rPr>
        <w:t xml:space="preserve"> Evolución de  la Política Monetaria</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lastRenderedPageBreak/>
        <w:t>El Artículo 51 de la Ley del Banco de México establece que cada año en el mes de enero el Banco Central deberá enviar al Ejecutivo Federal y al H. Congreso de la Unión una exposición de los lineamientos a seguir en cuanto a la conducción de la Política Monetaria para el año correspondiente (Cámara de Diputados, 2014).</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Con lo anterior, queda claro que el Banco Central debe emplear medidas, a través de variables mediante las que sí pueda influir directamente, que funcionen como una señal que transmitan de inmediato la postura que éste adoptará. Con el fin de que los agentes económicos anticipen sus movimientos en el sistema. De acuerdo a las medidas empleadas por el Banco Central, se establece si se fijará una postura de Política Monetaria restrictiva o expansiva, según sea el caso. Si fuera el caso, y el Banco Central decide que no haya un cambio en la tasa de interés, éste estará adoptando una postura de Política Monetaria Neutral. </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b/>
          <w:sz w:val="24"/>
          <w:szCs w:val="24"/>
          <w:lang w:val="es-CO"/>
        </w:rPr>
        <w:t>Cuadro 1: Posturas de Política Monetaria</w:t>
      </w:r>
    </w:p>
    <w:tbl>
      <w:tblPr>
        <w:tblStyle w:val="Tablaelegante"/>
        <w:tblW w:w="10031" w:type="dxa"/>
        <w:tblLook w:val="04A0" w:firstRow="1" w:lastRow="0" w:firstColumn="1" w:lastColumn="0" w:noHBand="0" w:noVBand="1"/>
      </w:tblPr>
      <w:tblGrid>
        <w:gridCol w:w="4388"/>
        <w:gridCol w:w="5643"/>
      </w:tblGrid>
      <w:tr w:rsidR="008A5272" w:rsidRPr="008A5272" w:rsidTr="008A5272">
        <w:trPr>
          <w:cnfStyle w:val="100000000000" w:firstRow="1" w:lastRow="0" w:firstColumn="0" w:lastColumn="0" w:oddVBand="0" w:evenVBand="0" w:oddHBand="0" w:evenHBand="0" w:firstRowFirstColumn="0" w:firstRowLastColumn="0" w:lastRowFirstColumn="0" w:lastRowLastColumn="0"/>
          <w:cantSplit/>
        </w:trPr>
        <w:tc>
          <w:tcPr>
            <w:tcW w:w="4388" w:type="dxa"/>
          </w:tcPr>
          <w:p w:rsidR="008A5272" w:rsidRPr="00B00FE4" w:rsidRDefault="008A5272" w:rsidP="008A5272">
            <w:pPr>
              <w:jc w:val="both"/>
              <w:rPr>
                <w:rFonts w:ascii="Times New Roman" w:hAnsi="Times New Roman" w:cs="Times New Roman"/>
                <w:b/>
                <w:i/>
                <w:sz w:val="20"/>
                <w:szCs w:val="20"/>
                <w:lang w:val="es-CO"/>
              </w:rPr>
            </w:pPr>
            <w:r w:rsidRPr="00B00FE4">
              <w:rPr>
                <w:rFonts w:ascii="Times New Roman" w:hAnsi="Times New Roman" w:cs="Times New Roman"/>
                <w:b/>
                <w:i/>
                <w:sz w:val="20"/>
                <w:szCs w:val="20"/>
                <w:lang w:val="es-CO"/>
              </w:rPr>
              <w:t>POLÍTICA MONETARIA RESTRICTIVA</w:t>
            </w:r>
          </w:p>
        </w:tc>
        <w:tc>
          <w:tcPr>
            <w:tcW w:w="5643" w:type="dxa"/>
          </w:tcPr>
          <w:p w:rsidR="008A5272" w:rsidRPr="00B00FE4" w:rsidRDefault="008A5272" w:rsidP="008A5272">
            <w:pPr>
              <w:jc w:val="both"/>
              <w:rPr>
                <w:rFonts w:ascii="Times New Roman" w:hAnsi="Times New Roman" w:cs="Times New Roman"/>
                <w:b/>
                <w:i/>
                <w:sz w:val="20"/>
                <w:szCs w:val="20"/>
                <w:lang w:val="es-CO"/>
              </w:rPr>
            </w:pPr>
            <w:r w:rsidRPr="00B00FE4">
              <w:rPr>
                <w:rFonts w:ascii="Times New Roman" w:hAnsi="Times New Roman" w:cs="Times New Roman"/>
                <w:b/>
                <w:i/>
                <w:sz w:val="20"/>
                <w:szCs w:val="20"/>
                <w:lang w:val="es-CO"/>
              </w:rPr>
              <w:t>POLÍTICA MONETARIA EXPANSIVA</w:t>
            </w:r>
          </w:p>
        </w:tc>
      </w:tr>
      <w:tr w:rsidR="008A5272" w:rsidRPr="008A5272" w:rsidTr="008A5272">
        <w:trPr>
          <w:cantSplit/>
        </w:trPr>
        <w:tc>
          <w:tcPr>
            <w:tcW w:w="4388" w:type="dxa"/>
          </w:tcPr>
          <w:p w:rsidR="008A5272" w:rsidRPr="00B00FE4" w:rsidRDefault="008A5272" w:rsidP="008A5272">
            <w:pPr>
              <w:jc w:val="both"/>
              <w:rPr>
                <w:rFonts w:ascii="Times New Roman" w:hAnsi="Times New Roman" w:cs="Times New Roman"/>
                <w:sz w:val="20"/>
                <w:szCs w:val="20"/>
                <w:lang w:val="es-CO"/>
              </w:rPr>
            </w:pPr>
            <w:r w:rsidRPr="00B00FE4">
              <w:rPr>
                <w:rFonts w:ascii="Times New Roman" w:hAnsi="Times New Roman" w:cs="Times New Roman"/>
                <w:sz w:val="20"/>
                <w:szCs w:val="20"/>
                <w:lang w:val="es-CO"/>
              </w:rPr>
              <w:t xml:space="preserve">Se adopta una postura restrictiva cuando se cuenta con un excedente de liquidez, que invariablemente repercute sobre la inflación. </w:t>
            </w:r>
          </w:p>
          <w:p w:rsidR="008A5272" w:rsidRPr="00B00FE4" w:rsidRDefault="008A5272" w:rsidP="008A5272">
            <w:pPr>
              <w:jc w:val="both"/>
              <w:rPr>
                <w:rFonts w:ascii="Times New Roman" w:hAnsi="Times New Roman" w:cs="Times New Roman"/>
                <w:sz w:val="20"/>
                <w:szCs w:val="20"/>
                <w:lang w:val="es-CO"/>
              </w:rPr>
            </w:pPr>
            <w:r w:rsidRPr="00B00FE4">
              <w:rPr>
                <w:rFonts w:ascii="Times New Roman" w:hAnsi="Times New Roman" w:cs="Times New Roman"/>
                <w:sz w:val="20"/>
                <w:szCs w:val="20"/>
                <w:lang w:val="es-CO"/>
              </w:rPr>
              <w:t xml:space="preserve">En esta postura se presentan las siguientes medidas: </w:t>
            </w:r>
          </w:p>
          <w:p w:rsidR="008A5272" w:rsidRPr="00B00FE4" w:rsidRDefault="008A5272" w:rsidP="008A5272">
            <w:pPr>
              <w:numPr>
                <w:ilvl w:val="0"/>
                <w:numId w:val="20"/>
              </w:numPr>
              <w:jc w:val="both"/>
              <w:rPr>
                <w:rFonts w:ascii="Times New Roman" w:hAnsi="Times New Roman" w:cs="Times New Roman"/>
                <w:sz w:val="20"/>
                <w:szCs w:val="20"/>
                <w:lang w:val="es-CO"/>
              </w:rPr>
            </w:pPr>
            <w:r w:rsidRPr="00B00FE4">
              <w:rPr>
                <w:rFonts w:ascii="Times New Roman" w:hAnsi="Times New Roman" w:cs="Times New Roman"/>
                <w:b/>
                <w:sz w:val="20"/>
                <w:szCs w:val="20"/>
                <w:lang w:val="es-CO"/>
              </w:rPr>
              <w:t>La tasa de interés aumenta</w:t>
            </w:r>
            <w:r w:rsidRPr="00B00FE4">
              <w:rPr>
                <w:rFonts w:ascii="Times New Roman" w:hAnsi="Times New Roman" w:cs="Times New Roman"/>
                <w:sz w:val="20"/>
                <w:szCs w:val="20"/>
                <w:lang w:val="es-CO"/>
              </w:rPr>
              <w:t xml:space="preserve">. Esto genera que los agentes económicos prefieran ahorra que consumir; al mismo tiempo que solicitar un préstamos resulta más caro. Con ello se retira liquidez del sistema </w:t>
            </w:r>
          </w:p>
          <w:p w:rsidR="008A5272" w:rsidRPr="00B00FE4" w:rsidRDefault="008A5272" w:rsidP="008A5272">
            <w:pPr>
              <w:numPr>
                <w:ilvl w:val="0"/>
                <w:numId w:val="20"/>
              </w:numPr>
              <w:jc w:val="both"/>
              <w:rPr>
                <w:rFonts w:ascii="Times New Roman" w:hAnsi="Times New Roman" w:cs="Times New Roman"/>
                <w:sz w:val="20"/>
                <w:szCs w:val="20"/>
                <w:lang w:val="es-CO"/>
              </w:rPr>
            </w:pPr>
            <w:r w:rsidRPr="00B00FE4">
              <w:rPr>
                <w:rFonts w:ascii="Times New Roman" w:hAnsi="Times New Roman" w:cs="Times New Roman"/>
                <w:sz w:val="20"/>
                <w:szCs w:val="20"/>
                <w:lang w:val="es-CO"/>
              </w:rPr>
              <w:t>L</w:t>
            </w:r>
            <w:r w:rsidRPr="00B00FE4">
              <w:rPr>
                <w:rFonts w:ascii="Times New Roman" w:hAnsi="Times New Roman" w:cs="Times New Roman"/>
                <w:sz w:val="20"/>
                <w:szCs w:val="20"/>
              </w:rPr>
              <w:t xml:space="preserve">as operaciones de mercado abierto para retirar liquidez se realizan mediante subastas de depósitos o </w:t>
            </w:r>
            <w:r w:rsidRPr="00B00FE4">
              <w:rPr>
                <w:rFonts w:ascii="Times New Roman" w:hAnsi="Times New Roman" w:cs="Times New Roman"/>
                <w:b/>
                <w:sz w:val="20"/>
                <w:szCs w:val="20"/>
              </w:rPr>
              <w:t>venta de valores</w:t>
            </w:r>
            <w:r w:rsidRPr="00B00FE4">
              <w:rPr>
                <w:rFonts w:ascii="Times New Roman" w:hAnsi="Times New Roman" w:cs="Times New Roman"/>
                <w:sz w:val="20"/>
                <w:szCs w:val="20"/>
              </w:rPr>
              <w:t xml:space="preserve">. Esto con la intención de que el banco central reciba dinero por la venta de esos valores y así retirar liquidez. </w:t>
            </w:r>
          </w:p>
        </w:tc>
        <w:tc>
          <w:tcPr>
            <w:tcW w:w="5643" w:type="dxa"/>
          </w:tcPr>
          <w:p w:rsidR="008A5272" w:rsidRPr="00B00FE4" w:rsidRDefault="008A5272" w:rsidP="008A5272">
            <w:pPr>
              <w:jc w:val="both"/>
              <w:rPr>
                <w:rFonts w:ascii="Times New Roman" w:hAnsi="Times New Roman" w:cs="Times New Roman"/>
                <w:sz w:val="20"/>
                <w:szCs w:val="20"/>
                <w:lang w:val="es-CO"/>
              </w:rPr>
            </w:pPr>
            <w:r w:rsidRPr="00B00FE4">
              <w:rPr>
                <w:rFonts w:ascii="Times New Roman" w:hAnsi="Times New Roman" w:cs="Times New Roman"/>
                <w:sz w:val="20"/>
                <w:szCs w:val="20"/>
                <w:lang w:val="es-CO"/>
              </w:rPr>
              <w:t xml:space="preserve">Al adoptar una postura de Política Monetaria expansiva queda claro que la intención del Banco Central es inyectar liquidez al sistema. </w:t>
            </w:r>
            <w:r w:rsidRPr="00B00FE4">
              <w:rPr>
                <w:rFonts w:ascii="Times New Roman" w:hAnsi="Times New Roman" w:cs="Times New Roman"/>
                <w:sz w:val="20"/>
                <w:szCs w:val="20"/>
                <w:lang w:val="es-CO"/>
              </w:rPr>
              <w:br/>
              <w:t xml:space="preserve">Esto lo logra a través de las siguientes medidas: </w:t>
            </w:r>
          </w:p>
          <w:p w:rsidR="008A5272" w:rsidRPr="00B00FE4" w:rsidRDefault="008A5272" w:rsidP="008A5272">
            <w:pPr>
              <w:numPr>
                <w:ilvl w:val="0"/>
                <w:numId w:val="21"/>
              </w:numPr>
              <w:jc w:val="both"/>
              <w:rPr>
                <w:rFonts w:ascii="Times New Roman" w:hAnsi="Times New Roman" w:cs="Times New Roman"/>
                <w:sz w:val="20"/>
                <w:szCs w:val="20"/>
                <w:lang w:val="es-CO"/>
              </w:rPr>
            </w:pPr>
            <w:r w:rsidRPr="00B00FE4">
              <w:rPr>
                <w:rFonts w:ascii="Times New Roman" w:hAnsi="Times New Roman" w:cs="Times New Roman"/>
                <w:b/>
                <w:sz w:val="20"/>
                <w:szCs w:val="20"/>
                <w:lang w:val="es-CO"/>
              </w:rPr>
              <w:t xml:space="preserve">La tasa de interés disminuye. </w:t>
            </w:r>
            <w:r w:rsidRPr="00B00FE4">
              <w:rPr>
                <w:rFonts w:ascii="Times New Roman" w:hAnsi="Times New Roman" w:cs="Times New Roman"/>
                <w:sz w:val="20"/>
                <w:szCs w:val="20"/>
                <w:lang w:val="es-CO"/>
              </w:rPr>
              <w:t xml:space="preserve">Dicha medida se presenta con la intención de que los agentes económicos prefieran consumir en vez de ahorrar. Así como la solicitud de préstamos se vuelve más accesible. </w:t>
            </w:r>
          </w:p>
          <w:p w:rsidR="008A5272" w:rsidRPr="00B00FE4" w:rsidRDefault="008A5272" w:rsidP="008A5272">
            <w:pPr>
              <w:numPr>
                <w:ilvl w:val="0"/>
                <w:numId w:val="21"/>
              </w:numPr>
              <w:jc w:val="both"/>
              <w:rPr>
                <w:rFonts w:ascii="Times New Roman" w:hAnsi="Times New Roman" w:cs="Times New Roman"/>
                <w:sz w:val="20"/>
                <w:szCs w:val="20"/>
                <w:lang w:val="es-CO"/>
              </w:rPr>
            </w:pPr>
            <w:r w:rsidRPr="00B00FE4">
              <w:rPr>
                <w:rFonts w:ascii="Times New Roman" w:hAnsi="Times New Roman" w:cs="Times New Roman"/>
                <w:sz w:val="20"/>
                <w:szCs w:val="20"/>
                <w:lang w:val="es-CO"/>
              </w:rPr>
              <w:t xml:space="preserve">Para inyectar liquidez al sistema, las operaciones de mercado abierto se realizan a través de </w:t>
            </w:r>
            <w:r w:rsidRPr="00B00FE4">
              <w:rPr>
                <w:rFonts w:ascii="Times New Roman" w:hAnsi="Times New Roman" w:cs="Times New Roman"/>
                <w:sz w:val="20"/>
                <w:szCs w:val="20"/>
              </w:rPr>
              <w:t xml:space="preserve">subastas de créditos o </w:t>
            </w:r>
            <w:r w:rsidRPr="00B00FE4">
              <w:rPr>
                <w:rFonts w:ascii="Times New Roman" w:hAnsi="Times New Roman" w:cs="Times New Roman"/>
                <w:b/>
                <w:sz w:val="20"/>
                <w:szCs w:val="20"/>
              </w:rPr>
              <w:t>compra de valores</w:t>
            </w:r>
            <w:r w:rsidRPr="00B00FE4">
              <w:rPr>
                <w:rFonts w:ascii="Times New Roman" w:hAnsi="Times New Roman" w:cs="Times New Roman"/>
                <w:sz w:val="20"/>
                <w:szCs w:val="20"/>
              </w:rPr>
              <w:t xml:space="preserve">. Generando con ello, que el Banco Central al comprar valores, deba pagar por ellos, y con eso, el sistema tendrá mayor liquidez. </w:t>
            </w:r>
          </w:p>
        </w:tc>
      </w:tr>
    </w:tbl>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Fuente: Elaboración propia. </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En el cuadro anterior se explican las posturas que puede adoptar el Banco Central dependiendo de la situación del mercado de dinero. En relación a esto, Díaz de León y Greenham (2000), sostienen que los cambios de postura de Política Monetaria están en función de dos efectos. El primero de ellos es el </w:t>
      </w:r>
      <w:r w:rsidRPr="008A5272">
        <w:rPr>
          <w:rFonts w:ascii="Times New Roman" w:hAnsi="Times New Roman" w:cs="Times New Roman"/>
          <w:i/>
          <w:sz w:val="24"/>
          <w:szCs w:val="24"/>
          <w:lang w:val="es-CO"/>
        </w:rPr>
        <w:t>“Efecto Reacción</w:t>
      </w:r>
      <w:r w:rsidRPr="008A5272">
        <w:rPr>
          <w:rFonts w:ascii="Times New Roman" w:hAnsi="Times New Roman" w:cs="Times New Roman"/>
          <w:sz w:val="24"/>
          <w:szCs w:val="24"/>
          <w:lang w:val="es-CO"/>
        </w:rPr>
        <w:t xml:space="preserve">”, el cual se presenta cuando el Banco Central reacciona ante acontecimientos que se han generado por sí mismos y que tienden a incrementar las tasas de interés; mientras que el segundo,  es el </w:t>
      </w:r>
      <w:r w:rsidRPr="008A5272">
        <w:rPr>
          <w:rFonts w:ascii="Times New Roman" w:hAnsi="Times New Roman" w:cs="Times New Roman"/>
          <w:i/>
          <w:sz w:val="24"/>
          <w:szCs w:val="24"/>
          <w:lang w:val="es-CO"/>
        </w:rPr>
        <w:lastRenderedPageBreak/>
        <w:t>“Efecto preventivo o activo</w:t>
      </w:r>
      <w:r w:rsidRPr="008A5272">
        <w:rPr>
          <w:rFonts w:ascii="Times New Roman" w:hAnsi="Times New Roman" w:cs="Times New Roman"/>
          <w:sz w:val="24"/>
          <w:szCs w:val="24"/>
          <w:lang w:val="es-CO"/>
        </w:rPr>
        <w:t xml:space="preserve">”, el cual reacciona ante eventos o circunstancias que no han sido propiciados a satisfacción del Banco Central. </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A pesar de la gran responsabilidad que tiene el Banco de México de llevar a cabo la Política Monetaria, es de suma importancia hacer notar que éste no tiene el control directo sobre los precios de los bienes y servicios de la economía. Éstos se determinan mediante las fuerzas del mercado (Oferta y Demanda). </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Sin embargo, y para poder lograr su objetivo de inflación, el Banco Central tiene la capacidad de actuar en otras variables económicas sobre las cuales puede influir directamente (Objetivo operacional). Éstas a su vez, están relacionadas con otras variables que guardan una relación directa con el objetivo final, también conocidas como objetivos intermedios o canales de trasmisión de la Política Monetaria. </w:t>
      </w:r>
    </w:p>
    <w:p w:rsidR="00010D87" w:rsidRDefault="008A5272" w:rsidP="00010D87">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Para la economía mexicana Schwartz y Torres (2000) sugieren la existencia de cuatro canales de transmisión de la Política Monetaria: canal de tasas de interés, canal de crédito, canal de tipo de cambio y canal del precio de otros activos. Sus resultados también sugieren que el canal de tasas de interés es el más significativo. </w:t>
      </w:r>
    </w:p>
    <w:p w:rsidR="008A5272" w:rsidRPr="00B47EAC" w:rsidRDefault="008A5272" w:rsidP="00B47EAC">
      <w:pPr>
        <w:pStyle w:val="Prrafodelista"/>
        <w:numPr>
          <w:ilvl w:val="1"/>
          <w:numId w:val="28"/>
        </w:numPr>
        <w:jc w:val="both"/>
        <w:rPr>
          <w:rFonts w:ascii="Times New Roman" w:hAnsi="Times New Roman" w:cs="Times New Roman"/>
          <w:b/>
          <w:sz w:val="24"/>
          <w:szCs w:val="24"/>
          <w:lang w:val="es-CO"/>
        </w:rPr>
      </w:pPr>
      <w:r w:rsidRPr="00B47EAC">
        <w:rPr>
          <w:rFonts w:ascii="Times New Roman" w:hAnsi="Times New Roman" w:cs="Times New Roman"/>
          <w:b/>
          <w:sz w:val="24"/>
          <w:szCs w:val="24"/>
          <w:lang w:val="es-CO"/>
        </w:rPr>
        <w:t>Instrumentos de Política Monetaria</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De acuerdo al Banco de México, </w:t>
      </w:r>
      <w:r w:rsidRPr="008A5272">
        <w:rPr>
          <w:rFonts w:ascii="Times New Roman" w:hAnsi="Times New Roman" w:cs="Times New Roman"/>
          <w:i/>
          <w:sz w:val="24"/>
          <w:szCs w:val="24"/>
          <w:lang w:val="es-CO"/>
        </w:rPr>
        <w:t>“La instrumentación de la Política Monetaria se refiere a todas las acciones que lleva a cabo el Banco Central en los mercados financieros para lograr la estabilidad de precios”</w:t>
      </w:r>
      <w:r w:rsidRPr="008A5272">
        <w:rPr>
          <w:rFonts w:ascii="Times New Roman" w:hAnsi="Times New Roman" w:cs="Times New Roman"/>
          <w:sz w:val="24"/>
          <w:szCs w:val="24"/>
          <w:lang w:val="es-CO"/>
        </w:rPr>
        <w:t xml:space="preserve"> (Banxico, 2013f).</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Sin embargo, para entender cómo funcionan estos instrumentos o como son utilizados dentro de la política Monetaria es necesario precisar cómo se distribuye la liquidez</w:t>
      </w:r>
      <w:r w:rsidRPr="008A5272">
        <w:rPr>
          <w:rFonts w:ascii="Times New Roman" w:hAnsi="Times New Roman" w:cs="Times New Roman"/>
          <w:sz w:val="24"/>
          <w:szCs w:val="24"/>
          <w:vertAlign w:val="superscript"/>
          <w:lang w:val="es-CO"/>
        </w:rPr>
        <w:footnoteReference w:id="10"/>
      </w:r>
      <w:r w:rsidRPr="008A5272">
        <w:rPr>
          <w:rFonts w:ascii="Times New Roman" w:hAnsi="Times New Roman" w:cs="Times New Roman"/>
          <w:sz w:val="24"/>
          <w:szCs w:val="24"/>
          <w:lang w:val="es-CO"/>
        </w:rPr>
        <w:t xml:space="preserve"> en el sistema financiero y de donde se originan los excedentes o faltantes. </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Cuando un banco comercial le solicita un préstamo al Banco Central, éste le cobrara de su cuenta corriente</w:t>
      </w:r>
      <w:r w:rsidRPr="008A5272">
        <w:rPr>
          <w:rFonts w:ascii="Times New Roman" w:hAnsi="Times New Roman" w:cs="Times New Roman"/>
          <w:sz w:val="24"/>
          <w:szCs w:val="24"/>
          <w:vertAlign w:val="superscript"/>
          <w:lang w:val="es-CO"/>
        </w:rPr>
        <w:footnoteReference w:id="11"/>
      </w:r>
      <w:r w:rsidRPr="008A5272">
        <w:rPr>
          <w:rFonts w:ascii="Times New Roman" w:hAnsi="Times New Roman" w:cs="Times New Roman"/>
          <w:sz w:val="24"/>
          <w:szCs w:val="24"/>
          <w:lang w:val="es-CO"/>
        </w:rPr>
        <w:t xml:space="preserve"> el monto por el préstamo solicitado. Dicha operación implica un adeudo del banco comercial con el Banco Central. Si los demás bancos no presentaran movimientos en sus cuentas corrientes, la solicitud del préstamo implicaría un faltante de liquidez. </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Por el contrario, si el banco comercial acude a otro banco comercial a solicitar dicho préstamo, invariablemente el otro banco tendría que acudir al Banco Central, con ello se llega a la conclusión de que no importa a quien se acuda para solicitar un préstamo, si a un </w:t>
      </w:r>
      <w:r w:rsidRPr="008A5272">
        <w:rPr>
          <w:rFonts w:ascii="Times New Roman" w:hAnsi="Times New Roman" w:cs="Times New Roman"/>
          <w:sz w:val="24"/>
          <w:szCs w:val="24"/>
          <w:lang w:val="es-CO"/>
        </w:rPr>
        <w:lastRenderedPageBreak/>
        <w:t xml:space="preserve">banco comercial o al Banco Central, siempre que se requiera dinero en efectivo, se generará un faltante de liquidez. </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Díaz de León y Greenham (2000) mencionan que los instrumentos de los que dispone un banco central para transmitir su Política Monetaria son muy diversos, y van desde controles directos al crédito y las tasas de interés, hasta mecanismos indirectos como son los encajes legales y las operaciones del Banco Central en el mercado de dinero. </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Basados en el estudio de Díaz de León y Greenham (2000), se ha observado que en años recientes, la mayoría de los bancos centrales ha optado por instrumentos indirectos de Política Monetaria, ya que estos permiten a la autoridad monetaria actuar con mayor eficacia y flexibilidad. </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Cuadrado, et al., (2010) señala una característica importante que tiene el uso de instrumentos de Política Monetaria, y esto es que su aplicación es predecible y regular; esto significa que ante periodos de inestabilidad, los agentes económicos podrán anticipar la actuación por parte del Banco Central, y con ello prever los movimientos o cambios en la ejecución de Política Monetaria. </w:t>
      </w:r>
    </w:p>
    <w:p w:rsidR="008A5272" w:rsidRPr="008A5272" w:rsidRDefault="00B47EAC" w:rsidP="008A5272">
      <w:pPr>
        <w:jc w:val="both"/>
        <w:rPr>
          <w:rFonts w:ascii="Times New Roman" w:hAnsi="Times New Roman" w:cs="Times New Roman"/>
          <w:b/>
          <w:sz w:val="24"/>
          <w:szCs w:val="24"/>
        </w:rPr>
      </w:pPr>
      <w:r>
        <w:rPr>
          <w:rFonts w:ascii="Times New Roman" w:hAnsi="Times New Roman" w:cs="Times New Roman"/>
          <w:b/>
          <w:sz w:val="24"/>
          <w:szCs w:val="24"/>
        </w:rPr>
        <w:t xml:space="preserve">  </w:t>
      </w:r>
      <w:r w:rsidR="008A5272" w:rsidRPr="008A5272">
        <w:rPr>
          <w:rFonts w:ascii="Times New Roman" w:hAnsi="Times New Roman" w:cs="Times New Roman"/>
          <w:b/>
          <w:sz w:val="24"/>
          <w:szCs w:val="24"/>
        </w:rPr>
        <w:t xml:space="preserve">Operaciones de Mercado Abierto </w:t>
      </w:r>
    </w:p>
    <w:p w:rsidR="008A5272" w:rsidRPr="008A5272" w:rsidRDefault="008A5272" w:rsidP="008A5272">
      <w:pPr>
        <w:jc w:val="both"/>
        <w:rPr>
          <w:rFonts w:ascii="Times New Roman" w:hAnsi="Times New Roman" w:cs="Times New Roman"/>
          <w:sz w:val="24"/>
          <w:szCs w:val="24"/>
        </w:rPr>
      </w:pPr>
      <w:r w:rsidRPr="008A5272">
        <w:rPr>
          <w:rFonts w:ascii="Times New Roman" w:hAnsi="Times New Roman" w:cs="Times New Roman"/>
          <w:sz w:val="24"/>
          <w:szCs w:val="24"/>
        </w:rPr>
        <w:t xml:space="preserve"> Las Operaciones de Mercado Abierto también conocidas como OMA son el principal instrumento que el Banco de México utiliza para administrar la liquidez de corto plazo ya sea proveyendo fondos o retirando recursos. Las operaciones para inyectar recursos se hacen a través de subastas de crédito o compra de valores en directo o en reporto, y las operaciones para retirar liquidez mediante subastas de depósitos o venta de valores en directo o en reporto (Banxico, 2009).</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En términos generales, el Banco Central está encargado de llevar a cabo la Política Monetaria, esto lo cumple afectando las condiciones bajo las cuales va a satisfacer las necesidades de liquidez del sistema. Dichas condiciones están sustentadas en 2 acciones: por un lado, la manera en que el banco central realiza sus operaciones de mercado abierto, y por otro lado, el comportamiento que mantengan las cuentas de la banca con el Banco Central (Díaz de León y Greenham 2000).</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El Banco Central debe hacer un análisis de la situación de la liquidez en el sistema, es decir, tiene que determinar si existe un faltante o un excedente de liquidez, antes de decidir qué tipo de operación de mercado abierto debe utilizar. En el siguiente cuadro se muestran las operaciones que deben utilizarse si se requiere una inyección o retiro de liquidez. </w:t>
      </w:r>
    </w:p>
    <w:p w:rsidR="00B00FE4" w:rsidRDefault="00B00FE4" w:rsidP="008A5272">
      <w:pPr>
        <w:jc w:val="both"/>
        <w:rPr>
          <w:rFonts w:ascii="Times New Roman" w:hAnsi="Times New Roman" w:cs="Times New Roman"/>
          <w:b/>
          <w:sz w:val="24"/>
          <w:szCs w:val="24"/>
          <w:lang w:val="es-CO"/>
        </w:rPr>
      </w:pPr>
    </w:p>
    <w:p w:rsidR="00B00FE4" w:rsidRDefault="00B00FE4" w:rsidP="008A5272">
      <w:pPr>
        <w:jc w:val="both"/>
        <w:rPr>
          <w:rFonts w:ascii="Times New Roman" w:hAnsi="Times New Roman" w:cs="Times New Roman"/>
          <w:b/>
          <w:sz w:val="24"/>
          <w:szCs w:val="24"/>
          <w:lang w:val="es-CO"/>
        </w:rPr>
      </w:pPr>
    </w:p>
    <w:p w:rsidR="008A5272" w:rsidRPr="00B00FE4" w:rsidRDefault="00010D87" w:rsidP="008A5272">
      <w:pPr>
        <w:jc w:val="both"/>
        <w:rPr>
          <w:rFonts w:ascii="Times New Roman" w:hAnsi="Times New Roman" w:cs="Times New Roman"/>
          <w:sz w:val="24"/>
          <w:szCs w:val="24"/>
          <w:lang w:val="es-CO"/>
        </w:rPr>
      </w:pPr>
      <w:r w:rsidRPr="00B00FE4">
        <w:rPr>
          <w:rFonts w:ascii="Times New Roman" w:hAnsi="Times New Roman" w:cs="Times New Roman"/>
          <w:sz w:val="24"/>
          <w:szCs w:val="24"/>
          <w:lang w:val="es-CO"/>
        </w:rPr>
        <w:lastRenderedPageBreak/>
        <w:t>Cuadro 2</w:t>
      </w:r>
      <w:r w:rsidR="008A5272" w:rsidRPr="00B00FE4">
        <w:rPr>
          <w:rFonts w:ascii="Times New Roman" w:hAnsi="Times New Roman" w:cs="Times New Roman"/>
          <w:sz w:val="24"/>
          <w:szCs w:val="24"/>
          <w:lang w:val="es-CO"/>
        </w:rPr>
        <w:t xml:space="preserve">. Tipo de OMA </w:t>
      </w:r>
    </w:p>
    <w:tbl>
      <w:tblPr>
        <w:tblStyle w:val="Cuadrculaclara-nfasis5"/>
        <w:tblW w:w="0" w:type="auto"/>
        <w:tblLook w:val="04A0" w:firstRow="1" w:lastRow="0" w:firstColumn="1" w:lastColumn="0" w:noHBand="0" w:noVBand="1"/>
      </w:tblPr>
      <w:tblGrid>
        <w:gridCol w:w="4489"/>
        <w:gridCol w:w="4489"/>
      </w:tblGrid>
      <w:tr w:rsidR="008A5272" w:rsidRPr="008A5272" w:rsidTr="008A52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89" w:type="dxa"/>
          </w:tcPr>
          <w:p w:rsidR="008A5272" w:rsidRPr="008A5272" w:rsidRDefault="008A5272" w:rsidP="008A5272">
            <w:pPr>
              <w:spacing w:after="200" w:line="276" w:lineRule="auto"/>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Inyección de Liquidez</w:t>
            </w:r>
          </w:p>
        </w:tc>
        <w:tc>
          <w:tcPr>
            <w:tcW w:w="4489" w:type="dxa"/>
          </w:tcPr>
          <w:p w:rsidR="008A5272" w:rsidRPr="008A5272" w:rsidRDefault="008A5272" w:rsidP="008A5272">
            <w:pPr>
              <w:spacing w:after="200"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CO"/>
              </w:rPr>
            </w:pPr>
            <w:r w:rsidRPr="008A5272">
              <w:rPr>
                <w:rFonts w:ascii="Times New Roman" w:hAnsi="Times New Roman" w:cs="Times New Roman"/>
                <w:sz w:val="24"/>
                <w:szCs w:val="24"/>
                <w:lang w:val="es-CO"/>
              </w:rPr>
              <w:t>Retiro de Liquidez</w:t>
            </w:r>
          </w:p>
        </w:tc>
      </w:tr>
      <w:tr w:rsidR="008A5272" w:rsidRPr="008A5272" w:rsidTr="008A52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89" w:type="dxa"/>
          </w:tcPr>
          <w:p w:rsidR="008A5272" w:rsidRPr="008A5272" w:rsidRDefault="008A5272" w:rsidP="008A5272">
            <w:pPr>
              <w:numPr>
                <w:ilvl w:val="0"/>
                <w:numId w:val="15"/>
              </w:numPr>
              <w:spacing w:after="200" w:line="276" w:lineRule="auto"/>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Subasta de crédito</w:t>
            </w:r>
          </w:p>
          <w:p w:rsidR="008A5272" w:rsidRPr="008A5272" w:rsidRDefault="008A5272" w:rsidP="008A5272">
            <w:pPr>
              <w:numPr>
                <w:ilvl w:val="0"/>
                <w:numId w:val="15"/>
              </w:numPr>
              <w:spacing w:after="200" w:line="276" w:lineRule="auto"/>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Compras en directo</w:t>
            </w:r>
          </w:p>
          <w:p w:rsidR="008A5272" w:rsidRPr="008A5272" w:rsidRDefault="008A5272" w:rsidP="008A5272">
            <w:pPr>
              <w:numPr>
                <w:ilvl w:val="0"/>
                <w:numId w:val="15"/>
              </w:numPr>
              <w:spacing w:after="200" w:line="276" w:lineRule="auto"/>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Compras en reporto </w:t>
            </w:r>
          </w:p>
        </w:tc>
        <w:tc>
          <w:tcPr>
            <w:tcW w:w="4489" w:type="dxa"/>
          </w:tcPr>
          <w:p w:rsidR="008A5272" w:rsidRPr="008A5272" w:rsidRDefault="008A5272" w:rsidP="008A5272">
            <w:pPr>
              <w:numPr>
                <w:ilvl w:val="0"/>
                <w:numId w:val="15"/>
              </w:num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CO"/>
              </w:rPr>
            </w:pPr>
            <w:r w:rsidRPr="008A5272">
              <w:rPr>
                <w:rFonts w:ascii="Times New Roman" w:hAnsi="Times New Roman" w:cs="Times New Roman"/>
                <w:sz w:val="24"/>
                <w:szCs w:val="24"/>
                <w:lang w:val="es-CO"/>
              </w:rPr>
              <w:t>Subasta de deposito</w:t>
            </w:r>
          </w:p>
          <w:p w:rsidR="008A5272" w:rsidRPr="008A5272" w:rsidRDefault="008A5272" w:rsidP="008A5272">
            <w:pPr>
              <w:numPr>
                <w:ilvl w:val="0"/>
                <w:numId w:val="15"/>
              </w:num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CO"/>
              </w:rPr>
            </w:pPr>
            <w:r w:rsidRPr="008A5272">
              <w:rPr>
                <w:rFonts w:ascii="Times New Roman" w:hAnsi="Times New Roman" w:cs="Times New Roman"/>
                <w:sz w:val="24"/>
                <w:szCs w:val="24"/>
                <w:lang w:val="es-CO"/>
              </w:rPr>
              <w:t>Ventas en directo</w:t>
            </w:r>
          </w:p>
          <w:p w:rsidR="008A5272" w:rsidRPr="008A5272" w:rsidRDefault="008A5272" w:rsidP="008A5272">
            <w:pPr>
              <w:numPr>
                <w:ilvl w:val="0"/>
                <w:numId w:val="15"/>
              </w:num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Ventas en reporto </w:t>
            </w:r>
          </w:p>
        </w:tc>
      </w:tr>
    </w:tbl>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Fuente: Instrumentación de la Política Monetaria en el Banco de México. (Banxico, 2010b)</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En el cuadro anterior se puede observar que si el Banco Central requiere inyectar liquidez al sistema, debe recurrir a las subastas de crédito. Cuando se da éste caso, los bancos ponen la mayor tasa que están dispuestos a pagar por un monto determinado. Otra opción es la compra de valores, lo cual representa un mayor flujo de liquidez. </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Por el contrario, si la opción deseada por el Banco Central es el retiro de liquidez del sistema, ahora se recurre a una subasta de depósito, en donde los bancos establecen la mínima tasa que están dispuestos a recibir por los fondos que serán llevados al Banco Central. Asimismo, se puede realizar la venta de valores, con ello el Banco Central recibe dinero  y así retira la liquidez necesaria. </w:t>
      </w:r>
    </w:p>
    <w:p w:rsidR="008A5272" w:rsidRPr="008A5272" w:rsidRDefault="008A5272" w:rsidP="008A5272">
      <w:pPr>
        <w:jc w:val="both"/>
        <w:rPr>
          <w:rFonts w:ascii="Times New Roman" w:hAnsi="Times New Roman" w:cs="Times New Roman"/>
          <w:sz w:val="24"/>
          <w:szCs w:val="24"/>
        </w:rPr>
      </w:pPr>
      <w:r w:rsidRPr="008A5272">
        <w:rPr>
          <w:rFonts w:ascii="Times New Roman" w:hAnsi="Times New Roman" w:cs="Times New Roman"/>
          <w:sz w:val="24"/>
          <w:szCs w:val="24"/>
        </w:rPr>
        <w:t>El hecho de que las operaciones de mercado abierto sean consideradas como el mejor instrumento con que cuenta el Banco Central para llevar a cabo su postura de Política Mo</w:t>
      </w:r>
      <w:r w:rsidR="00010D87">
        <w:rPr>
          <w:rFonts w:ascii="Times New Roman" w:hAnsi="Times New Roman" w:cs="Times New Roman"/>
          <w:sz w:val="24"/>
          <w:szCs w:val="24"/>
        </w:rPr>
        <w:t xml:space="preserve">netaria, tiene varias razones: </w:t>
      </w:r>
    </w:p>
    <w:p w:rsidR="008A5272" w:rsidRPr="008A5272" w:rsidRDefault="006829AF" w:rsidP="008A5272">
      <w:pPr>
        <w:jc w:val="both"/>
        <w:rPr>
          <w:rFonts w:ascii="Times New Roman" w:hAnsi="Times New Roman" w:cs="Times New Roman"/>
          <w:b/>
          <w:sz w:val="24"/>
          <w:szCs w:val="24"/>
        </w:rPr>
      </w:pPr>
      <w:r>
        <w:rPr>
          <w:rFonts w:ascii="Times New Roman" w:hAnsi="Times New Roman" w:cs="Times New Roman"/>
          <w:noProof/>
          <w:sz w:val="24"/>
          <w:szCs w:val="24"/>
        </w:rPr>
        <mc:AlternateContent>
          <mc:Choice Requires="wpg">
            <w:drawing>
              <wp:anchor distT="0" distB="0" distL="114300" distR="114300" simplePos="0" relativeHeight="251686912" behindDoc="0" locked="0" layoutInCell="1" allowOverlap="1" wp14:anchorId="10324486" wp14:editId="737B7E8D">
                <wp:simplePos x="0" y="0"/>
                <wp:positionH relativeFrom="column">
                  <wp:posOffset>-9525</wp:posOffset>
                </wp:positionH>
                <wp:positionV relativeFrom="paragraph">
                  <wp:posOffset>215900</wp:posOffset>
                </wp:positionV>
                <wp:extent cx="4461510" cy="2324100"/>
                <wp:effectExtent l="0" t="0" r="15240" b="19050"/>
                <wp:wrapNone/>
                <wp:docPr id="44" name="Group 1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61510" cy="2324100"/>
                          <a:chOff x="2175" y="10153"/>
                          <a:chExt cx="7170" cy="3660"/>
                        </a:xfrm>
                      </wpg:grpSpPr>
                      <wps:wsp>
                        <wps:cNvPr id="45" name="AutoShape 33"/>
                        <wps:cNvSpPr>
                          <a:spLocks noChangeArrowheads="1"/>
                        </wps:cNvSpPr>
                        <wps:spPr bwMode="auto">
                          <a:xfrm>
                            <a:off x="2175" y="11698"/>
                            <a:ext cx="3585" cy="2115"/>
                          </a:xfrm>
                          <a:prstGeom prst="roundRect">
                            <a:avLst>
                              <a:gd name="adj" fmla="val 16667"/>
                            </a:avLst>
                          </a:prstGeom>
                          <a:solidFill>
                            <a:srgbClr val="FFFFFF"/>
                          </a:solidFill>
                          <a:ln w="9525">
                            <a:solidFill>
                              <a:srgbClr val="000000"/>
                            </a:solidFill>
                            <a:round/>
                            <a:headEnd/>
                            <a:tailEnd/>
                          </a:ln>
                        </wps:spPr>
                        <wps:txbx>
                          <w:txbxContent>
                            <w:p w:rsidR="008A5272" w:rsidRDefault="008A5272" w:rsidP="008A5272">
                              <w:r>
                                <w:t xml:space="preserve">El Banco Central puede comprar o vender un volumen suficiente de títulos de deuda pública para hacer que las reservas bancarias básicas alcancen el nivel deseado. </w:t>
                              </w:r>
                            </w:p>
                          </w:txbxContent>
                        </wps:txbx>
                        <wps:bodyPr rot="0" vert="horz" wrap="square" lIns="91440" tIns="45720" rIns="91440" bIns="45720" anchor="t" anchorCtr="0" upright="1">
                          <a:noAutofit/>
                        </wps:bodyPr>
                      </wps:wsp>
                      <wps:wsp>
                        <wps:cNvPr id="46" name="AutoShape 34"/>
                        <wps:cNvSpPr>
                          <a:spLocks noChangeArrowheads="1"/>
                        </wps:cNvSpPr>
                        <wps:spPr bwMode="auto">
                          <a:xfrm>
                            <a:off x="5760" y="11698"/>
                            <a:ext cx="3585" cy="2115"/>
                          </a:xfrm>
                          <a:prstGeom prst="roundRect">
                            <a:avLst>
                              <a:gd name="adj" fmla="val 16667"/>
                            </a:avLst>
                          </a:prstGeom>
                          <a:solidFill>
                            <a:srgbClr val="FFFFFF"/>
                          </a:solidFill>
                          <a:ln w="9525">
                            <a:solidFill>
                              <a:srgbClr val="000000"/>
                            </a:solidFill>
                            <a:round/>
                            <a:headEnd/>
                            <a:tailEnd/>
                          </a:ln>
                        </wps:spPr>
                        <wps:txbx>
                          <w:txbxContent>
                            <w:p w:rsidR="008A5272" w:rsidRDefault="008A5272" w:rsidP="008A5272">
                              <w:r>
                                <w:t xml:space="preserve">Las operaciones de mercado abierto pueden cambiar fácilmente su dirección, lo que no sucede con ninguno de los demás instrumentos de Política Monetaria. </w:t>
                              </w:r>
                            </w:p>
                          </w:txbxContent>
                        </wps:txbx>
                        <wps:bodyPr rot="0" vert="horz" wrap="square" lIns="91440" tIns="45720" rIns="91440" bIns="45720" anchor="t" anchorCtr="0" upright="1">
                          <a:noAutofit/>
                        </wps:bodyPr>
                      </wps:wsp>
                      <wps:wsp>
                        <wps:cNvPr id="47" name="AutoShape 35"/>
                        <wps:cNvSpPr>
                          <a:spLocks noChangeArrowheads="1"/>
                        </wps:cNvSpPr>
                        <wps:spPr bwMode="auto">
                          <a:xfrm>
                            <a:off x="2175" y="10153"/>
                            <a:ext cx="3585" cy="1545"/>
                          </a:xfrm>
                          <a:prstGeom prst="roundRect">
                            <a:avLst>
                              <a:gd name="adj" fmla="val 16667"/>
                            </a:avLst>
                          </a:prstGeom>
                          <a:solidFill>
                            <a:srgbClr val="FFFFFF"/>
                          </a:solidFill>
                          <a:ln w="9525">
                            <a:solidFill>
                              <a:srgbClr val="000000"/>
                            </a:solidFill>
                            <a:round/>
                            <a:headEnd/>
                            <a:tailEnd/>
                          </a:ln>
                        </wps:spPr>
                        <wps:txbx>
                          <w:txbxContent>
                            <w:p w:rsidR="008A5272" w:rsidRDefault="008A5272" w:rsidP="008A5272">
                              <w:r>
                                <w:t>Las Operaciones de Mercado Abierto pueden llevarse a cabo en pequeñas dosis.</w:t>
                              </w:r>
                            </w:p>
                            <w:p w:rsidR="008A5272" w:rsidRDefault="008A5272" w:rsidP="008A5272"/>
                          </w:txbxContent>
                        </wps:txbx>
                        <wps:bodyPr rot="0" vert="horz" wrap="square" lIns="91440" tIns="45720" rIns="91440" bIns="45720" anchor="t" anchorCtr="0" upright="1">
                          <a:noAutofit/>
                        </wps:bodyPr>
                      </wps:wsp>
                      <wps:wsp>
                        <wps:cNvPr id="48" name="AutoShape 36"/>
                        <wps:cNvSpPr>
                          <a:spLocks noChangeArrowheads="1"/>
                        </wps:cNvSpPr>
                        <wps:spPr bwMode="auto">
                          <a:xfrm>
                            <a:off x="5760" y="10153"/>
                            <a:ext cx="3585" cy="1545"/>
                          </a:xfrm>
                          <a:prstGeom prst="roundRect">
                            <a:avLst>
                              <a:gd name="adj" fmla="val 16667"/>
                            </a:avLst>
                          </a:prstGeom>
                          <a:solidFill>
                            <a:srgbClr val="FFFFFF"/>
                          </a:solidFill>
                          <a:ln w="9525">
                            <a:solidFill>
                              <a:srgbClr val="000000"/>
                            </a:solidFill>
                            <a:round/>
                            <a:headEnd/>
                            <a:tailEnd/>
                          </a:ln>
                        </wps:spPr>
                        <wps:txbx>
                          <w:txbxContent>
                            <w:p w:rsidR="008A5272" w:rsidRDefault="008A5272" w:rsidP="008A5272">
                              <w:r>
                                <w:t>Las Operaciones de Mercado Abierto dependen de la iniciativa del Banco Central a diferencia de los demás instrumentos.</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0324486" id="Group 147" o:spid="_x0000_s1026" style="position:absolute;left:0;text-align:left;margin-left:-.75pt;margin-top:17pt;width:351.3pt;height:183pt;z-index:251686912" coordorigin="2175,10153" coordsize="7170,3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">
                <v:roundrect id="AutoShape 33" o:spid="_x0000_s1027" style="position:absolute;left:2175;top:11698;width:3585;height:211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5T678MA&#10;AADbAAAADwAAAGRycy9kb3ducmV2LnhtbESPQWsCMRSE74X+h/AEbzWxaKmrUUpB6a249uDxuXnu&#10;Lm5e1iS7bvvrTaHQ4zAz3zCrzWAb0ZMPtWMN04kCQVw4U3Op4euwfXoFESKywcYxafimAJv148MK&#10;M+NuvKc+j6VIEA4ZaqhibDMpQ1GRxTBxLXHyzs5bjEn6UhqPtwS3jXxW6kVarDktVNjSe0XFJe+s&#10;hsKoTvlj/7k4zWP+03dXlrur1uPR8LYEEWmI/+G/9ofRMJvD75f0A+T6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5T678MAAADbAAAADwAAAAAAAAAAAAAAAACYAgAAZHJzL2Rv&#10;d25yZXYueG1sUEsFBgAAAAAEAAQA9QAAAIgDAAAAAA==&#10;">
                  <v:textbox>
                    <w:txbxContent>
                      <w:p w:rsidR="008A5272" w:rsidRDefault="008A5272" w:rsidP="008A5272">
                        <w:r>
                          <w:t xml:space="preserve">El Banco Central puede comprar o vender un volumen suficiente de títulos de deuda pública para hacer que las reservas bancarias básicas alcancen el nivel deseado. </w:t>
                        </w:r>
                      </w:p>
                    </w:txbxContent>
                  </v:textbox>
                </v:roundrect>
                <v:roundrect id="AutoShape 34" o:spid="_x0000_s1028" style="position:absolute;left:5760;top:11698;width:3585;height:211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ZkmMMA&#10;AADbAAAADwAAAGRycy9kb3ducmV2LnhtbESPQWsCMRSE7wX/Q3hCb5pYqrSrUaTQ0pu49tDjc/O6&#10;u3TzsibZdeuvN4LQ4zAz3zCrzWAb0ZMPtWMNs6kCQVw4U3Op4evwPnkBESKywcYxafijAJv16GGF&#10;mXFn3lOfx1IkCIcMNVQxtpmUoajIYpi6ljh5P85bjEn6UhqP5wS3jXxSaiEt1pwWKmzpraLiN++s&#10;hsKoTvnvfvd6nMf80ncnlh8nrR/Hw3YJItIQ/8P39qfR8LyA25f0A+T6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0ZkmMMAAADbAAAADwAAAAAAAAAAAAAAAACYAgAAZHJzL2Rv&#10;d25yZXYueG1sUEsFBgAAAAAEAAQA9QAAAIgDAAAAAA==&#10;">
                  <v:textbox>
                    <w:txbxContent>
                      <w:p w:rsidR="008A5272" w:rsidRDefault="008A5272" w:rsidP="008A5272">
                        <w:r>
                          <w:t xml:space="preserve">Las operaciones de mercado abierto pueden cambiar fácilmente su dirección, lo que no sucede con ninguno de los demás instrumentos de Política Monetaria. </w:t>
                        </w:r>
                      </w:p>
                    </w:txbxContent>
                  </v:textbox>
                </v:roundrect>
                <v:roundrect id="AutoShape 35" o:spid="_x0000_s1029" style="position:absolute;left:2175;top:10153;width:3585;height:154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rBA8QA&#10;AADbAAAADwAAAGRycy9kb3ducmV2LnhtbESPzWrDMBCE74W8g9hCb43U0ubHjRJCoaW3UCeHHDfW&#10;xja1Vo4kO26fPioEchxm5htmsRpsI3ryoXas4WmsQBAXztRcathtPx5nIEJENtg4Jg2/FGC1HN0t&#10;MDPuzN/U57EUCcIhQw1VjG0mZSgqshjGriVO3tF5izFJX0rj8ZzgtpHPSk2kxZrTQoUtvVdU/OSd&#10;1VAY1Sm/7zfzw2vM//ruxPLzpPXD/bB+AxFpiLfwtf1lNLxM4f9L+gFye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KwQPEAAAA2wAAAA8AAAAAAAAAAAAAAAAAmAIAAGRycy9k&#10;b3ducmV2LnhtbFBLBQYAAAAABAAEAPUAAACJAwAAAAA=&#10;">
                  <v:textbox>
                    <w:txbxContent>
                      <w:p w:rsidR="008A5272" w:rsidRDefault="008A5272" w:rsidP="008A5272">
                        <w:r>
                          <w:t>Las Operaciones de Mercado Abierto pueden llevarse a cabo en pequeñas dosis.</w:t>
                        </w:r>
                      </w:p>
                      <w:p w:rsidR="008A5272" w:rsidRDefault="008A5272" w:rsidP="008A5272"/>
                    </w:txbxContent>
                  </v:textbox>
                </v:roundrect>
                <v:roundrect id="AutoShape 36" o:spid="_x0000_s1030" style="position:absolute;left:5760;top:10153;width:3585;height:154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VVccAA&#10;AADbAAAADwAAAGRycy9kb3ducmV2LnhtbERPz2vCMBS+D/Y/hDfwNpMNHVs1yhgo3sS6w47P5tkW&#10;m5eapLX615uDsOPH93u+HGwjevKhdqzhbaxAEBfO1Fxq+N2vXj9BhIhssHFMGq4UYLl4fppjZtyF&#10;d9TnsRQphEOGGqoY20zKUFRkMYxdS5y4o/MWY4K+lMbjJYXbRr4r9SEt1pwaKmzpp6LilHdWQ2FU&#10;p/xfv/06TGN+67szy/VZ69HL8D0DEWmI/+KHe2M0TNLY9CX9ALm4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ZVVccAAAADbAAAADwAAAAAAAAAAAAAAAACYAgAAZHJzL2Rvd25y&#10;ZXYueG1sUEsFBgAAAAAEAAQA9QAAAIUDAAAAAA==&#10;">
                  <v:textbox>
                    <w:txbxContent>
                      <w:p w:rsidR="008A5272" w:rsidRDefault="008A5272" w:rsidP="008A5272">
                        <w:r>
                          <w:t>Las Operaciones de Mercado Abierto dependen de la iniciativa del Banco Central a diferencia de los demás instrumentos.</w:t>
                        </w:r>
                      </w:p>
                    </w:txbxContent>
                  </v:textbox>
                </v:roundrect>
              </v:group>
            </w:pict>
          </mc:Fallback>
        </mc:AlternateContent>
      </w:r>
      <w:r w:rsidR="00B47EAC">
        <w:rPr>
          <w:rFonts w:ascii="Times New Roman" w:hAnsi="Times New Roman" w:cs="Times New Roman"/>
          <w:b/>
          <w:sz w:val="24"/>
          <w:szCs w:val="24"/>
        </w:rPr>
        <w:t>Diagrama 1</w:t>
      </w:r>
      <w:r w:rsidR="008A5272" w:rsidRPr="008A5272">
        <w:rPr>
          <w:rFonts w:ascii="Times New Roman" w:hAnsi="Times New Roman" w:cs="Times New Roman"/>
          <w:b/>
          <w:sz w:val="24"/>
          <w:szCs w:val="24"/>
        </w:rPr>
        <w:t>: Importancia de las Operaciones de Mercado Abierto</w:t>
      </w:r>
    </w:p>
    <w:p w:rsidR="008A5272" w:rsidRPr="008A5272" w:rsidRDefault="008A5272" w:rsidP="008A5272">
      <w:pPr>
        <w:jc w:val="both"/>
        <w:rPr>
          <w:rFonts w:ascii="Times New Roman" w:hAnsi="Times New Roman" w:cs="Times New Roman"/>
          <w:sz w:val="24"/>
          <w:szCs w:val="24"/>
        </w:rPr>
      </w:pPr>
    </w:p>
    <w:p w:rsidR="008A5272" w:rsidRPr="008A5272" w:rsidRDefault="008A5272" w:rsidP="008A5272">
      <w:pPr>
        <w:jc w:val="both"/>
        <w:rPr>
          <w:rFonts w:ascii="Times New Roman" w:hAnsi="Times New Roman" w:cs="Times New Roman"/>
          <w:sz w:val="24"/>
          <w:szCs w:val="24"/>
        </w:rPr>
      </w:pPr>
    </w:p>
    <w:p w:rsidR="008A5272" w:rsidRPr="008A5272" w:rsidRDefault="008A5272" w:rsidP="008A5272">
      <w:pPr>
        <w:jc w:val="both"/>
        <w:rPr>
          <w:rFonts w:ascii="Times New Roman" w:hAnsi="Times New Roman" w:cs="Times New Roman"/>
          <w:sz w:val="24"/>
          <w:szCs w:val="24"/>
        </w:rPr>
      </w:pPr>
    </w:p>
    <w:p w:rsidR="008A5272" w:rsidRPr="008A5272" w:rsidRDefault="008A5272" w:rsidP="008A5272">
      <w:pPr>
        <w:jc w:val="both"/>
        <w:rPr>
          <w:rFonts w:ascii="Times New Roman" w:hAnsi="Times New Roman" w:cs="Times New Roman"/>
          <w:sz w:val="24"/>
          <w:szCs w:val="24"/>
        </w:rPr>
      </w:pPr>
    </w:p>
    <w:p w:rsidR="008A5272" w:rsidRPr="008A5272" w:rsidRDefault="008A5272" w:rsidP="008A5272">
      <w:pPr>
        <w:jc w:val="both"/>
        <w:rPr>
          <w:rFonts w:ascii="Times New Roman" w:hAnsi="Times New Roman" w:cs="Times New Roman"/>
          <w:sz w:val="24"/>
          <w:szCs w:val="24"/>
        </w:rPr>
      </w:pPr>
    </w:p>
    <w:p w:rsidR="008A5272" w:rsidRPr="008A5272" w:rsidRDefault="008A5272" w:rsidP="008A5272">
      <w:pPr>
        <w:jc w:val="both"/>
        <w:rPr>
          <w:rFonts w:ascii="Times New Roman" w:hAnsi="Times New Roman" w:cs="Times New Roman"/>
          <w:sz w:val="24"/>
          <w:szCs w:val="24"/>
        </w:rPr>
      </w:pPr>
    </w:p>
    <w:p w:rsidR="008A5272" w:rsidRPr="008A5272" w:rsidRDefault="008A5272" w:rsidP="008A5272">
      <w:pPr>
        <w:jc w:val="both"/>
        <w:rPr>
          <w:rFonts w:ascii="Times New Roman" w:hAnsi="Times New Roman" w:cs="Times New Roman"/>
          <w:sz w:val="24"/>
          <w:szCs w:val="24"/>
        </w:rPr>
      </w:pPr>
    </w:p>
    <w:p w:rsidR="008A5272" w:rsidRPr="008A5272" w:rsidRDefault="008A5272" w:rsidP="008A5272">
      <w:pPr>
        <w:jc w:val="both"/>
        <w:rPr>
          <w:rFonts w:ascii="Times New Roman" w:hAnsi="Times New Roman" w:cs="Times New Roman"/>
          <w:sz w:val="24"/>
          <w:szCs w:val="24"/>
        </w:rPr>
      </w:pPr>
      <w:r w:rsidRPr="008A5272">
        <w:rPr>
          <w:rFonts w:ascii="Times New Roman" w:hAnsi="Times New Roman" w:cs="Times New Roman"/>
          <w:sz w:val="24"/>
          <w:szCs w:val="24"/>
        </w:rPr>
        <w:t xml:space="preserve">Fuente: Elaboración propia basado en Fernández, et al., 1991. Teoría y Política Monetaria. </w:t>
      </w:r>
    </w:p>
    <w:p w:rsidR="008A5272" w:rsidRPr="008A5272" w:rsidRDefault="008A5272" w:rsidP="008A5272">
      <w:pPr>
        <w:jc w:val="both"/>
        <w:rPr>
          <w:rFonts w:ascii="Times New Roman" w:hAnsi="Times New Roman" w:cs="Times New Roman"/>
          <w:sz w:val="24"/>
          <w:szCs w:val="24"/>
        </w:rPr>
      </w:pPr>
      <w:r w:rsidRPr="008A5272">
        <w:rPr>
          <w:rFonts w:ascii="Times New Roman" w:hAnsi="Times New Roman" w:cs="Times New Roman"/>
          <w:sz w:val="24"/>
          <w:szCs w:val="24"/>
        </w:rPr>
        <w:lastRenderedPageBreak/>
        <w:t>En resumen, y a pesar de algunas limitaciones</w:t>
      </w:r>
      <w:r w:rsidRPr="008A5272">
        <w:rPr>
          <w:rFonts w:ascii="Times New Roman" w:hAnsi="Times New Roman" w:cs="Times New Roman"/>
          <w:sz w:val="24"/>
          <w:szCs w:val="24"/>
          <w:vertAlign w:val="superscript"/>
        </w:rPr>
        <w:footnoteReference w:id="12"/>
      </w:r>
      <w:r w:rsidRPr="008A5272">
        <w:rPr>
          <w:rFonts w:ascii="Times New Roman" w:hAnsi="Times New Roman" w:cs="Times New Roman"/>
          <w:sz w:val="24"/>
          <w:szCs w:val="24"/>
        </w:rPr>
        <w:t xml:space="preserve"> el uso de las operaciones de mercado abierto como principal instrumento de política monetaria posee un alto grado de importancia, ya que el uso de éstas es decisivo para una actuación flexible, rápida, eficaz y a corto plazo por parte del Banco Central. </w:t>
      </w:r>
    </w:p>
    <w:p w:rsidR="008A5272" w:rsidRPr="008A5272" w:rsidRDefault="008A5272" w:rsidP="00010D87">
      <w:pPr>
        <w:jc w:val="both"/>
        <w:rPr>
          <w:rFonts w:ascii="Times New Roman" w:hAnsi="Times New Roman" w:cs="Times New Roman"/>
          <w:b/>
          <w:sz w:val="24"/>
          <w:szCs w:val="24"/>
          <w:lang w:val="es-CO"/>
        </w:rPr>
      </w:pPr>
      <w:r w:rsidRPr="008A5272">
        <w:rPr>
          <w:rFonts w:ascii="Times New Roman" w:hAnsi="Times New Roman" w:cs="Times New Roman"/>
          <w:b/>
          <w:sz w:val="24"/>
          <w:szCs w:val="24"/>
          <w:lang w:val="es-CO"/>
        </w:rPr>
        <w:t>Reservas Obligatorias</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Este instrumento del Banco de Central consiste en la proporción del volumen de depósitos y todas las posibles formas de captar fondos por parte de los intermediarios financieros (Cuadrado, et al., 2010).</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Dicho instrumento se aplica de acuerdo a la legislación de muchos países que exigen a los bancos comerciales mantener unas reservas frente a sus depósitos. Estas reservas se mantienen en el Banco Central para cumplir con varios fines: el de solvencia económica, liquidez, control monetario e incluso el financiamiento del déficit público. </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El funcionamiento de las reservas obligatorias como instrumento de Política Monetaria es el siguiente: Si el Banco Central disminuye ese porcentaje de reserva, los bancos comerciales tendrán menos dinero que depositar y  así podrán conceder más créditos, esto a su vez se ve traducido en un aumento de la cantidad de dinero en circulación. Por el contrario, si el Banco Central decide aumentar dicho porcentaje, y los bancos comerciales al realizar un depósito mayor, reducirían el volumen de créditos y esto impactaría en una reducción de la cantidad de dinero en circulación. </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De acuerdo con Fernández, et al., (1991), la política de reservas obligatorias como instrumento utilizado por parte del banco central es un medio muy poderoso para regular el volumen de los créditos de los bancos comerciales.</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Sin embargo no son viables variaciones frecuentes en las reservas en periodos cortos, por lo que su importancia recae en periodos de largo plazo. Es por ello que se considera como un instrumento de acción discontinua</w:t>
      </w:r>
      <w:r w:rsidRPr="008A5272">
        <w:rPr>
          <w:rFonts w:ascii="Times New Roman" w:hAnsi="Times New Roman" w:cs="Times New Roman"/>
          <w:sz w:val="24"/>
          <w:szCs w:val="24"/>
          <w:vertAlign w:val="superscript"/>
          <w:lang w:val="es-CO"/>
        </w:rPr>
        <w:footnoteReference w:id="13"/>
      </w:r>
      <w:r w:rsidRPr="008A5272">
        <w:rPr>
          <w:rFonts w:ascii="Times New Roman" w:hAnsi="Times New Roman" w:cs="Times New Roman"/>
          <w:sz w:val="24"/>
          <w:szCs w:val="24"/>
          <w:lang w:val="es-CO"/>
        </w:rPr>
        <w:t>.</w:t>
      </w:r>
    </w:p>
    <w:p w:rsidR="008A5272" w:rsidRPr="008A5272" w:rsidRDefault="008A5272" w:rsidP="00010D87">
      <w:pPr>
        <w:jc w:val="both"/>
        <w:rPr>
          <w:rFonts w:ascii="Times New Roman" w:hAnsi="Times New Roman" w:cs="Times New Roman"/>
          <w:b/>
          <w:sz w:val="24"/>
          <w:szCs w:val="24"/>
          <w:lang w:val="es-CO"/>
        </w:rPr>
      </w:pPr>
      <w:r w:rsidRPr="008A5272">
        <w:rPr>
          <w:rFonts w:ascii="Times New Roman" w:hAnsi="Times New Roman" w:cs="Times New Roman"/>
          <w:b/>
          <w:sz w:val="24"/>
          <w:szCs w:val="24"/>
          <w:lang w:val="es-CO"/>
        </w:rPr>
        <w:t xml:space="preserve">Tasa de redescuento </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lastRenderedPageBreak/>
        <w:t>En términos generales, el redescuento es un instrumento a través del cual el Banco Central concede crédito a las entidades bancarias. Consiste en la determinación del tipo de redescuento</w:t>
      </w:r>
      <w:r w:rsidRPr="008A5272">
        <w:rPr>
          <w:rFonts w:ascii="Times New Roman" w:hAnsi="Times New Roman" w:cs="Times New Roman"/>
          <w:sz w:val="24"/>
          <w:szCs w:val="24"/>
          <w:vertAlign w:val="superscript"/>
          <w:lang w:val="es-CO"/>
        </w:rPr>
        <w:footnoteReference w:id="14"/>
      </w:r>
      <w:r w:rsidRPr="008A5272">
        <w:rPr>
          <w:rFonts w:ascii="Times New Roman" w:hAnsi="Times New Roman" w:cs="Times New Roman"/>
          <w:sz w:val="24"/>
          <w:szCs w:val="24"/>
          <w:lang w:val="es-CO"/>
        </w:rPr>
        <w:t xml:space="preserve"> y del volumen de títulos que serán susceptibles de redescontar (Fernández, et al., 2006).</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De acuerdo a Cuadrado, et al (2010), el volumen del redescuento tiene implicaciones en tres variables: </w:t>
      </w:r>
    </w:p>
    <w:p w:rsidR="008A5272" w:rsidRPr="008A5272" w:rsidRDefault="008A5272" w:rsidP="008A5272">
      <w:pPr>
        <w:numPr>
          <w:ilvl w:val="0"/>
          <w:numId w:val="19"/>
        </w:num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Las líneas de redescuento: </w:t>
      </w:r>
    </w:p>
    <w:p w:rsidR="008A5272" w:rsidRPr="008A5272" w:rsidRDefault="008A5272" w:rsidP="008A5272">
      <w:pPr>
        <w:numPr>
          <w:ilvl w:val="0"/>
          <w:numId w:val="19"/>
        </w:num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Los sectores económicos</w:t>
      </w:r>
    </w:p>
    <w:p w:rsidR="008A5272" w:rsidRPr="008A5272" w:rsidRDefault="008A5272" w:rsidP="008A5272">
      <w:pPr>
        <w:numPr>
          <w:ilvl w:val="0"/>
          <w:numId w:val="19"/>
        </w:num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La tasa de redescuento </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En este instrumento el Banco Central interviene estableciendo las condiciones a través de las cuales concederá crédito a corto plazo a las entidades bancarias; estos créditos son concedidos a los precios que éstas están dispuestas a pagar. Es importante mencionar que en este contexto la fijación de los tipos de interés se establece en un mercado donde el Banco Central actúa como oferente y las entidades bancarias como demandantes en el sistema bancario. </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La concesión de dichos créditos se puede realizar de distintas maneras, mediante diversas garantías, a diferentes plazos y con la periodicidad que el Banco Central desee, permitiendo así una regulación más precisa de la liquidez. </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Fernández, et al., (1991) afirma que la actuación del Banco Central, tiene un alto grado de importancia; ya que si éste considera que se presentan muchos títulos para su redescuento, puede disminuir el volumen máximo de títulos a redescontar y/o aumentar el tipo de redescuento. Esta acción implicaría una reducción de la concesión de créditos.</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Sin embargo, es preciso señalar que no se puede influir directamente sobre el volumen de créditos concedidos a través de la variación del tipo de redescuento. Esto, más bien, dependerá de la cantidad de deuda que los empresarios deseen adquirir a corto plazo</w:t>
      </w:r>
      <w:r w:rsidRPr="008A5272">
        <w:rPr>
          <w:rFonts w:ascii="Times New Roman" w:hAnsi="Times New Roman" w:cs="Times New Roman"/>
          <w:sz w:val="24"/>
          <w:szCs w:val="24"/>
          <w:vertAlign w:val="superscript"/>
          <w:lang w:val="es-CO"/>
        </w:rPr>
        <w:footnoteReference w:id="15"/>
      </w:r>
      <w:r w:rsidRPr="008A5272">
        <w:rPr>
          <w:rFonts w:ascii="Times New Roman" w:hAnsi="Times New Roman" w:cs="Times New Roman"/>
          <w:sz w:val="24"/>
          <w:szCs w:val="24"/>
          <w:lang w:val="es-CO"/>
        </w:rPr>
        <w:t>.</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Es por ello, que en la actualidad, el redescuento tiene un mejor funcionamiento a través del tipo de interés que de la modificación del tipo de redescuento; esto se explica porque el tipo de interés se ha generalizado como variable operativa. Así que el tipo de redescuento suele funcionar como señal de alarma. Esto significa que desempeña la función de indicador a los agentes económicos. </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lastRenderedPageBreak/>
        <w:t xml:space="preserve">Fernández et al.,  (2006) afirma que el tipo de redescuento constituye un medio incompleto para controlar el volumen de créditos, con lo que se puede concluir que la política de redescuento es un instrumento menos utilizado que el de reservas obligatorias y las operaciones de mercado abierto por parte del Banco Central. </w:t>
      </w:r>
    </w:p>
    <w:p w:rsidR="008A5272" w:rsidRPr="008A5272" w:rsidRDefault="008A5272" w:rsidP="00010D87">
      <w:pPr>
        <w:jc w:val="both"/>
        <w:rPr>
          <w:rFonts w:ascii="Times New Roman" w:hAnsi="Times New Roman" w:cs="Times New Roman"/>
          <w:b/>
          <w:sz w:val="24"/>
          <w:szCs w:val="24"/>
          <w:lang w:val="es-CO"/>
        </w:rPr>
      </w:pPr>
      <w:r w:rsidRPr="008A5272">
        <w:rPr>
          <w:rFonts w:ascii="Times New Roman" w:hAnsi="Times New Roman" w:cs="Times New Roman"/>
          <w:b/>
          <w:sz w:val="24"/>
          <w:szCs w:val="24"/>
          <w:lang w:val="es-CO"/>
        </w:rPr>
        <w:t>Estrategia de Control Monetario</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Una estrategia se define como el  conjunto de reglas que aseguran una decisión óptima en cada momento. Dicho en otras palabras, una estrategia se refiere a la habilidad o al conjunto de acciones que se implementan para lograr un objetivo. </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En Política Monetaria, esas acciones están encaminadas a lograr el objetivo final de ésta. También conocidas como Políticas de Regulación Monetaria; las cuales se definen como “</w:t>
      </w:r>
      <w:r w:rsidRPr="008A5272">
        <w:rPr>
          <w:rFonts w:ascii="Times New Roman" w:hAnsi="Times New Roman" w:cs="Times New Roman"/>
          <w:i/>
          <w:sz w:val="24"/>
          <w:szCs w:val="24"/>
          <w:lang w:val="es-CO"/>
        </w:rPr>
        <w:t xml:space="preserve">aquellas políticas que tratan de alcanzar sus objetivos últimos a través de unas variables monetarias intermedias cuyo comportamiento pretenden regular los bancos centrales de manera indirecta, mediante el control de otras variables sometidas a su influencia cercana o directa” </w:t>
      </w:r>
      <w:r w:rsidRPr="008A5272">
        <w:rPr>
          <w:rFonts w:ascii="Times New Roman" w:hAnsi="Times New Roman" w:cs="Times New Roman"/>
          <w:sz w:val="24"/>
          <w:szCs w:val="24"/>
          <w:lang w:val="es-CO"/>
        </w:rPr>
        <w:t>(Cuadrado, et al, 2010:292).</w:t>
      </w:r>
    </w:p>
    <w:p w:rsidR="008A5272" w:rsidRPr="008A5272" w:rsidRDefault="008A5272" w:rsidP="008A5272">
      <w:pPr>
        <w:jc w:val="both"/>
        <w:rPr>
          <w:rFonts w:ascii="Times New Roman" w:hAnsi="Times New Roman" w:cs="Times New Roman"/>
          <w:sz w:val="24"/>
          <w:szCs w:val="24"/>
        </w:rPr>
      </w:pPr>
      <w:r w:rsidRPr="008A5272">
        <w:rPr>
          <w:rFonts w:ascii="Times New Roman" w:hAnsi="Times New Roman" w:cs="Times New Roman"/>
          <w:sz w:val="24"/>
          <w:szCs w:val="24"/>
          <w:lang w:val="es-CO"/>
        </w:rPr>
        <w:t xml:space="preserve">Esto significa que el Banco Central debe establecer su estrategia, con el fin de lograr el objetivo último, que es la estabilidad de precios. Como se ha mencionado anteriormente, el Banco Central no puede influir directamente sobre ésta variable; así que su política de control monetario debe estar enfocada en variables intermedias mediante las que sí puede influir. </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 xml:space="preserve">La implementación de dicha estrategia depende del nivel de organización y de la estructura económica de cada país para lograr sus objetivos finales. </w:t>
      </w:r>
    </w:p>
    <w:p w:rsidR="008A5272" w:rsidRPr="008A5272" w:rsidRDefault="008A5272" w:rsidP="00010D87">
      <w:pPr>
        <w:jc w:val="both"/>
        <w:rPr>
          <w:rFonts w:ascii="Times New Roman" w:hAnsi="Times New Roman" w:cs="Times New Roman"/>
          <w:b/>
          <w:sz w:val="24"/>
          <w:szCs w:val="24"/>
        </w:rPr>
      </w:pPr>
      <w:r w:rsidRPr="008A5272">
        <w:rPr>
          <w:rFonts w:ascii="Times New Roman" w:hAnsi="Times New Roman" w:cs="Times New Roman"/>
          <w:b/>
          <w:sz w:val="24"/>
          <w:szCs w:val="24"/>
        </w:rPr>
        <w:t xml:space="preserve">Estrategia a dos niveles </w:t>
      </w:r>
    </w:p>
    <w:p w:rsidR="008A5272" w:rsidRPr="008A5272" w:rsidRDefault="008A5272" w:rsidP="008A5272">
      <w:pPr>
        <w:jc w:val="both"/>
        <w:rPr>
          <w:rFonts w:ascii="Times New Roman" w:hAnsi="Times New Roman" w:cs="Times New Roman"/>
          <w:sz w:val="24"/>
          <w:szCs w:val="24"/>
        </w:rPr>
      </w:pPr>
      <w:r w:rsidRPr="008A5272">
        <w:rPr>
          <w:rFonts w:ascii="Times New Roman" w:hAnsi="Times New Roman" w:cs="Times New Roman"/>
          <w:sz w:val="24"/>
          <w:szCs w:val="24"/>
        </w:rPr>
        <w:t xml:space="preserve">Cuadrado, et al., (2010) explica que la forma de aplicar este tipo de control monetario se basa en la aceptación de que existe una estrecha relación entre los objetivos intermedios y los objetivos últimos que se desean lograr. De manera tal que exista la certeza de que al lograrse los objetivos intermedios también se lograrán los finales. </w:t>
      </w:r>
    </w:p>
    <w:p w:rsidR="008A5272" w:rsidRPr="008A5272" w:rsidRDefault="00010D87" w:rsidP="008A5272">
      <w:pPr>
        <w:jc w:val="both"/>
        <w:rPr>
          <w:rFonts w:ascii="Times New Roman" w:hAnsi="Times New Roman" w:cs="Times New Roman"/>
          <w:b/>
          <w:sz w:val="24"/>
          <w:szCs w:val="24"/>
        </w:rPr>
      </w:pPr>
      <w:r>
        <w:rPr>
          <w:rFonts w:ascii="Times New Roman" w:hAnsi="Times New Roman" w:cs="Times New Roman"/>
          <w:b/>
          <w:sz w:val="24"/>
          <w:szCs w:val="24"/>
        </w:rPr>
        <w:t xml:space="preserve">Diagrama </w:t>
      </w:r>
      <w:r w:rsidR="005F0A1B">
        <w:rPr>
          <w:rFonts w:ascii="Times New Roman" w:hAnsi="Times New Roman" w:cs="Times New Roman"/>
          <w:b/>
          <w:sz w:val="24"/>
          <w:szCs w:val="24"/>
        </w:rPr>
        <w:t>2</w:t>
      </w:r>
      <w:r w:rsidR="008A5272" w:rsidRPr="008A5272">
        <w:rPr>
          <w:rFonts w:ascii="Times New Roman" w:hAnsi="Times New Roman" w:cs="Times New Roman"/>
          <w:b/>
          <w:sz w:val="24"/>
          <w:szCs w:val="24"/>
        </w:rPr>
        <w:t xml:space="preserve">: Estrategia de control monetario a dos niveles </w:t>
      </w:r>
    </w:p>
    <w:p w:rsidR="008A5272" w:rsidRPr="008A5272" w:rsidRDefault="006829AF" w:rsidP="008A5272">
      <w:pPr>
        <w:jc w:val="both"/>
        <w:rPr>
          <w:rFonts w:ascii="Times New Roman" w:hAnsi="Times New Roman" w:cs="Times New Roman"/>
          <w:sz w:val="24"/>
          <w:szCs w:val="24"/>
        </w:rPr>
      </w:pPr>
      <w:r>
        <w:rPr>
          <w:rFonts w:ascii="Times New Roman" w:hAnsi="Times New Roman" w:cs="Times New Roman"/>
          <w:noProof/>
          <w:sz w:val="24"/>
          <w:szCs w:val="24"/>
        </w:rPr>
        <mc:AlternateContent>
          <mc:Choice Requires="wpg">
            <w:drawing>
              <wp:anchor distT="0" distB="0" distL="114300" distR="114300" simplePos="0" relativeHeight="251687936" behindDoc="0" locked="0" layoutInCell="1" allowOverlap="1" wp14:anchorId="63B2D810" wp14:editId="5F17CCEE">
                <wp:simplePos x="0" y="0"/>
                <wp:positionH relativeFrom="column">
                  <wp:posOffset>1270</wp:posOffset>
                </wp:positionH>
                <wp:positionV relativeFrom="paragraph">
                  <wp:posOffset>46355</wp:posOffset>
                </wp:positionV>
                <wp:extent cx="4597400" cy="937260"/>
                <wp:effectExtent l="0" t="0" r="31750" b="0"/>
                <wp:wrapNone/>
                <wp:docPr id="31" name="Group 1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97400" cy="937260"/>
                          <a:chOff x="1665" y="4336"/>
                          <a:chExt cx="8910" cy="1476"/>
                        </a:xfrm>
                      </wpg:grpSpPr>
                      <wps:wsp>
                        <wps:cNvPr id="32" name="AutoShape 37"/>
                        <wps:cNvSpPr>
                          <a:spLocks noChangeArrowheads="1"/>
                        </wps:cNvSpPr>
                        <wps:spPr bwMode="auto">
                          <a:xfrm>
                            <a:off x="1665" y="4336"/>
                            <a:ext cx="1650" cy="633"/>
                          </a:xfrm>
                          <a:prstGeom prst="roundRect">
                            <a:avLst>
                              <a:gd name="adj" fmla="val 16667"/>
                            </a:avLst>
                          </a:prstGeom>
                          <a:gradFill rotWithShape="0">
                            <a:gsLst>
                              <a:gs pos="0">
                                <a:schemeClr val="lt1">
                                  <a:lumMod val="100000"/>
                                  <a:lumOff val="0"/>
                                </a:schemeClr>
                              </a:gs>
                              <a:gs pos="100000">
                                <a:schemeClr val="accent2">
                                  <a:lumMod val="40000"/>
                                  <a:lumOff val="60000"/>
                                </a:schemeClr>
                              </a:gs>
                            </a:gsLst>
                            <a:lin ang="5400000" scaled="1"/>
                          </a:gradFill>
                          <a:ln w="12700">
                            <a:solidFill>
                              <a:schemeClr val="accent2">
                                <a:lumMod val="60000"/>
                                <a:lumOff val="40000"/>
                              </a:schemeClr>
                            </a:solidFill>
                            <a:round/>
                            <a:headEnd/>
                            <a:tailEnd/>
                          </a:ln>
                          <a:effectLst>
                            <a:outerShdw dist="28398" dir="3806097" algn="ctr" rotWithShape="0">
                              <a:schemeClr val="accent2">
                                <a:lumMod val="50000"/>
                                <a:lumOff val="0"/>
                                <a:alpha val="50000"/>
                              </a:schemeClr>
                            </a:outerShdw>
                          </a:effectLst>
                        </wps:spPr>
                        <wps:txbx>
                          <w:txbxContent>
                            <w:p w:rsidR="008A5272" w:rsidRPr="00587CF1" w:rsidRDefault="008A5272" w:rsidP="008A5272">
                              <w:pPr>
                                <w:rPr>
                                  <w:b/>
                                  <w:sz w:val="18"/>
                                </w:rPr>
                              </w:pPr>
                              <w:r w:rsidRPr="006340BF">
                                <w:rPr>
                                  <w:b/>
                                  <w:sz w:val="16"/>
                                </w:rPr>
                                <w:t xml:space="preserve">Instrumentos </w:t>
                              </w:r>
                            </w:p>
                          </w:txbxContent>
                        </wps:txbx>
                        <wps:bodyPr rot="0" vert="horz" wrap="square" lIns="91440" tIns="45720" rIns="91440" bIns="45720" anchor="t" anchorCtr="0" upright="1">
                          <a:noAutofit/>
                        </wps:bodyPr>
                      </wps:wsp>
                      <wps:wsp>
                        <wps:cNvPr id="33" name="AutoShape 38"/>
                        <wps:cNvSpPr>
                          <a:spLocks noChangeArrowheads="1"/>
                        </wps:cNvSpPr>
                        <wps:spPr bwMode="auto">
                          <a:xfrm>
                            <a:off x="3645" y="4336"/>
                            <a:ext cx="2175" cy="633"/>
                          </a:xfrm>
                          <a:prstGeom prst="roundRect">
                            <a:avLst>
                              <a:gd name="adj" fmla="val 16667"/>
                            </a:avLst>
                          </a:prstGeom>
                          <a:gradFill rotWithShape="0">
                            <a:gsLst>
                              <a:gs pos="0">
                                <a:schemeClr val="lt1">
                                  <a:lumMod val="100000"/>
                                  <a:lumOff val="0"/>
                                </a:schemeClr>
                              </a:gs>
                              <a:gs pos="100000">
                                <a:schemeClr val="accent2">
                                  <a:lumMod val="40000"/>
                                  <a:lumOff val="60000"/>
                                </a:schemeClr>
                              </a:gs>
                            </a:gsLst>
                            <a:lin ang="5400000" scaled="1"/>
                          </a:gradFill>
                          <a:ln w="12700">
                            <a:solidFill>
                              <a:schemeClr val="accent2">
                                <a:lumMod val="60000"/>
                                <a:lumOff val="40000"/>
                              </a:schemeClr>
                            </a:solidFill>
                            <a:round/>
                            <a:headEnd/>
                            <a:tailEnd/>
                          </a:ln>
                          <a:effectLst>
                            <a:outerShdw dist="28398" dir="3806097" algn="ctr" rotWithShape="0">
                              <a:schemeClr val="accent2">
                                <a:lumMod val="50000"/>
                                <a:lumOff val="0"/>
                                <a:alpha val="50000"/>
                              </a:schemeClr>
                            </a:outerShdw>
                          </a:effectLst>
                        </wps:spPr>
                        <wps:txbx>
                          <w:txbxContent>
                            <w:p w:rsidR="008A5272" w:rsidRPr="00587CF1" w:rsidRDefault="008A5272" w:rsidP="008A5272">
                              <w:pPr>
                                <w:rPr>
                                  <w:b/>
                                  <w:sz w:val="18"/>
                                  <w:szCs w:val="18"/>
                                </w:rPr>
                              </w:pPr>
                              <w:r w:rsidRPr="00587CF1">
                                <w:rPr>
                                  <w:b/>
                                  <w:sz w:val="18"/>
                                  <w:szCs w:val="18"/>
                                </w:rPr>
                                <w:t xml:space="preserve">Variable operativa </w:t>
                              </w:r>
                            </w:p>
                          </w:txbxContent>
                        </wps:txbx>
                        <wps:bodyPr rot="0" vert="horz" wrap="square" lIns="91440" tIns="45720" rIns="91440" bIns="45720" anchor="t" anchorCtr="0" upright="1">
                          <a:noAutofit/>
                        </wps:bodyPr>
                      </wps:wsp>
                      <wps:wsp>
                        <wps:cNvPr id="34" name="AutoShape 39"/>
                        <wps:cNvSpPr>
                          <a:spLocks noChangeArrowheads="1"/>
                        </wps:cNvSpPr>
                        <wps:spPr bwMode="auto">
                          <a:xfrm>
                            <a:off x="6270" y="4336"/>
                            <a:ext cx="2220" cy="633"/>
                          </a:xfrm>
                          <a:prstGeom prst="roundRect">
                            <a:avLst>
                              <a:gd name="adj" fmla="val 16667"/>
                            </a:avLst>
                          </a:prstGeom>
                          <a:gradFill rotWithShape="0">
                            <a:gsLst>
                              <a:gs pos="0">
                                <a:schemeClr val="lt1">
                                  <a:lumMod val="100000"/>
                                  <a:lumOff val="0"/>
                                </a:schemeClr>
                              </a:gs>
                              <a:gs pos="100000">
                                <a:schemeClr val="accent2">
                                  <a:lumMod val="40000"/>
                                  <a:lumOff val="60000"/>
                                </a:schemeClr>
                              </a:gs>
                            </a:gsLst>
                            <a:lin ang="5400000" scaled="1"/>
                          </a:gradFill>
                          <a:ln w="12700">
                            <a:solidFill>
                              <a:schemeClr val="accent2">
                                <a:lumMod val="60000"/>
                                <a:lumOff val="40000"/>
                              </a:schemeClr>
                            </a:solidFill>
                            <a:round/>
                            <a:headEnd/>
                            <a:tailEnd/>
                          </a:ln>
                          <a:effectLst>
                            <a:outerShdw dist="28398" dir="3806097" algn="ctr" rotWithShape="0">
                              <a:schemeClr val="accent2">
                                <a:lumMod val="50000"/>
                                <a:lumOff val="0"/>
                                <a:alpha val="50000"/>
                              </a:schemeClr>
                            </a:outerShdw>
                          </a:effectLst>
                        </wps:spPr>
                        <wps:txbx>
                          <w:txbxContent>
                            <w:p w:rsidR="008A5272" w:rsidRPr="00587CF1" w:rsidRDefault="008A5272" w:rsidP="008A5272">
                              <w:pPr>
                                <w:rPr>
                                  <w:b/>
                                  <w:sz w:val="18"/>
                                </w:rPr>
                              </w:pPr>
                              <w:r w:rsidRPr="006340BF">
                                <w:rPr>
                                  <w:b/>
                                  <w:sz w:val="16"/>
                                  <w:szCs w:val="18"/>
                                </w:rPr>
                                <w:t>Objetivo interm</w:t>
                              </w:r>
                              <w:r w:rsidRPr="006340BF">
                                <w:rPr>
                                  <w:b/>
                                  <w:sz w:val="16"/>
                                </w:rPr>
                                <w:t>edio</w:t>
                              </w:r>
                              <w:r w:rsidRPr="00587CF1">
                                <w:rPr>
                                  <w:b/>
                                  <w:sz w:val="18"/>
                                </w:rPr>
                                <w:t xml:space="preserve"> </w:t>
                              </w:r>
                            </w:p>
                          </w:txbxContent>
                        </wps:txbx>
                        <wps:bodyPr rot="0" vert="horz" wrap="square" lIns="91440" tIns="45720" rIns="91440" bIns="45720" anchor="t" anchorCtr="0" upright="1">
                          <a:noAutofit/>
                        </wps:bodyPr>
                      </wps:wsp>
                      <wps:wsp>
                        <wps:cNvPr id="35" name="AutoShape 40"/>
                        <wps:cNvSpPr>
                          <a:spLocks noChangeArrowheads="1"/>
                        </wps:cNvSpPr>
                        <wps:spPr bwMode="auto">
                          <a:xfrm>
                            <a:off x="8925" y="4336"/>
                            <a:ext cx="1650" cy="633"/>
                          </a:xfrm>
                          <a:prstGeom prst="roundRect">
                            <a:avLst>
                              <a:gd name="adj" fmla="val 16667"/>
                            </a:avLst>
                          </a:prstGeom>
                          <a:gradFill rotWithShape="0">
                            <a:gsLst>
                              <a:gs pos="0">
                                <a:schemeClr val="lt1">
                                  <a:lumMod val="100000"/>
                                  <a:lumOff val="0"/>
                                </a:schemeClr>
                              </a:gs>
                              <a:gs pos="100000">
                                <a:schemeClr val="accent2">
                                  <a:lumMod val="40000"/>
                                  <a:lumOff val="60000"/>
                                </a:schemeClr>
                              </a:gs>
                            </a:gsLst>
                            <a:lin ang="5400000" scaled="1"/>
                          </a:gradFill>
                          <a:ln w="12700">
                            <a:solidFill>
                              <a:schemeClr val="accent2">
                                <a:lumMod val="60000"/>
                                <a:lumOff val="40000"/>
                              </a:schemeClr>
                            </a:solidFill>
                            <a:round/>
                            <a:headEnd/>
                            <a:tailEnd/>
                          </a:ln>
                          <a:effectLst>
                            <a:outerShdw dist="28398" dir="3806097" algn="ctr" rotWithShape="0">
                              <a:schemeClr val="accent2">
                                <a:lumMod val="50000"/>
                                <a:lumOff val="0"/>
                                <a:alpha val="50000"/>
                              </a:schemeClr>
                            </a:outerShdw>
                          </a:effectLst>
                        </wps:spPr>
                        <wps:txbx>
                          <w:txbxContent>
                            <w:p w:rsidR="008A5272" w:rsidRPr="006340BF" w:rsidRDefault="008A5272" w:rsidP="008A5272">
                              <w:pPr>
                                <w:rPr>
                                  <w:b/>
                                  <w:sz w:val="16"/>
                                </w:rPr>
                              </w:pPr>
                              <w:r w:rsidRPr="006340BF">
                                <w:rPr>
                                  <w:b/>
                                  <w:sz w:val="16"/>
                                </w:rPr>
                                <w:t>Objetivo Final</w:t>
                              </w:r>
                            </w:p>
                          </w:txbxContent>
                        </wps:txbx>
                        <wps:bodyPr rot="0" vert="horz" wrap="square" lIns="91440" tIns="45720" rIns="91440" bIns="45720" anchor="t" anchorCtr="0" upright="1">
                          <a:noAutofit/>
                        </wps:bodyPr>
                      </wps:wsp>
                      <wps:wsp>
                        <wps:cNvPr id="36" name="AutoShape 41"/>
                        <wps:cNvCnPr>
                          <a:cxnSpLocks noChangeShapeType="1"/>
                        </wps:cNvCnPr>
                        <wps:spPr bwMode="auto">
                          <a:xfrm>
                            <a:off x="3345" y="4624"/>
                            <a:ext cx="285" cy="0"/>
                          </a:xfrm>
                          <a:prstGeom prst="straightConnector1">
                            <a:avLst/>
                          </a:prstGeom>
                          <a:noFill/>
                          <a:ln w="28575">
                            <a:solidFill>
                              <a:schemeClr val="accent2">
                                <a:lumMod val="5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37" name="AutoShape 42"/>
                        <wps:cNvCnPr>
                          <a:cxnSpLocks noChangeShapeType="1"/>
                        </wps:cNvCnPr>
                        <wps:spPr bwMode="auto">
                          <a:xfrm>
                            <a:off x="8520" y="4639"/>
                            <a:ext cx="405" cy="1"/>
                          </a:xfrm>
                          <a:prstGeom prst="straightConnector1">
                            <a:avLst/>
                          </a:prstGeom>
                          <a:noFill/>
                          <a:ln w="28575">
                            <a:solidFill>
                              <a:schemeClr val="accent2">
                                <a:lumMod val="5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38" name="AutoShape 43"/>
                        <wps:cNvCnPr>
                          <a:cxnSpLocks noChangeShapeType="1"/>
                        </wps:cNvCnPr>
                        <wps:spPr bwMode="auto">
                          <a:xfrm>
                            <a:off x="5805" y="4654"/>
                            <a:ext cx="450" cy="0"/>
                          </a:xfrm>
                          <a:prstGeom prst="straightConnector1">
                            <a:avLst/>
                          </a:prstGeom>
                          <a:noFill/>
                          <a:ln w="28575">
                            <a:solidFill>
                              <a:schemeClr val="accent2">
                                <a:lumMod val="5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0" name="AutoShape 44"/>
                        <wps:cNvSpPr>
                          <a:spLocks/>
                        </wps:cNvSpPr>
                        <wps:spPr bwMode="auto">
                          <a:xfrm rot="5400000">
                            <a:off x="8453" y="3881"/>
                            <a:ext cx="240" cy="2535"/>
                          </a:xfrm>
                          <a:prstGeom prst="rightBracket">
                            <a:avLst>
                              <a:gd name="adj" fmla="val 212277"/>
                            </a:avLst>
                          </a:prstGeom>
                          <a:noFill/>
                          <a:ln w="19050" cap="rnd">
                            <a:solidFill>
                              <a:schemeClr val="accent2">
                                <a:lumMod val="75000"/>
                                <a:lumOff val="0"/>
                              </a:schemeClr>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 name="AutoShape 45"/>
                        <wps:cNvSpPr>
                          <a:spLocks/>
                        </wps:cNvSpPr>
                        <wps:spPr bwMode="auto">
                          <a:xfrm rot="5400000">
                            <a:off x="3608" y="3881"/>
                            <a:ext cx="240" cy="2535"/>
                          </a:xfrm>
                          <a:prstGeom prst="rightBracket">
                            <a:avLst>
                              <a:gd name="adj" fmla="val 212277"/>
                            </a:avLst>
                          </a:prstGeom>
                          <a:noFill/>
                          <a:ln w="19050" cap="rnd">
                            <a:solidFill>
                              <a:schemeClr val="accent2">
                                <a:lumMod val="75000"/>
                                <a:lumOff val="0"/>
                              </a:schemeClr>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 name="AutoShape 46"/>
                        <wps:cNvSpPr>
                          <a:spLocks noChangeArrowheads="1"/>
                        </wps:cNvSpPr>
                        <wps:spPr bwMode="auto">
                          <a:xfrm>
                            <a:off x="3180" y="5347"/>
                            <a:ext cx="1335" cy="465"/>
                          </a:xfrm>
                          <a:prstGeom prst="roundRect">
                            <a:avLst>
                              <a:gd name="adj" fmla="val 16667"/>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8A5272" w:rsidRPr="005F6F8F" w:rsidRDefault="008A5272" w:rsidP="008A5272">
                              <w:r w:rsidRPr="0022598B">
                                <w:rPr>
                                  <w:b/>
                                </w:rPr>
                                <w:t>1er Nivel</w:t>
                              </w:r>
                            </w:p>
                          </w:txbxContent>
                        </wps:txbx>
                        <wps:bodyPr rot="0" vert="horz" wrap="square" lIns="91440" tIns="45720" rIns="91440" bIns="45720" anchor="t" anchorCtr="0" upright="1">
                          <a:noAutofit/>
                        </wps:bodyPr>
                      </wps:wsp>
                      <wps:wsp>
                        <wps:cNvPr id="43" name="AutoShape 47"/>
                        <wps:cNvSpPr>
                          <a:spLocks noChangeArrowheads="1"/>
                        </wps:cNvSpPr>
                        <wps:spPr bwMode="auto">
                          <a:xfrm>
                            <a:off x="8145" y="5347"/>
                            <a:ext cx="1335" cy="465"/>
                          </a:xfrm>
                          <a:prstGeom prst="roundRect">
                            <a:avLst>
                              <a:gd name="adj" fmla="val 16667"/>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8A5272" w:rsidRPr="005F6F8F" w:rsidRDefault="008A5272" w:rsidP="008A5272">
                              <w:r>
                                <w:rPr>
                                  <w:b/>
                                </w:rPr>
                                <w:t xml:space="preserve">2º </w:t>
                              </w:r>
                              <w:r w:rsidRPr="0022598B">
                                <w:rPr>
                                  <w:b/>
                                </w:rPr>
                                <w:t>Nivel</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3B2D810" id="Group 148" o:spid="_x0000_s1031" style="position:absolute;left:0;text-align:left;margin-left:.1pt;margin-top:3.65pt;width:362pt;height:73.8pt;z-index:251687936" coordorigin="1665,4336" coordsize="8910,14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">
                <v:roundrect id="AutoShape 37" o:spid="_x0000_s1032" style="position:absolute;left:1665;top:4336;width:1650;height:63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NoJcQA&#10;AADbAAAADwAAAGRycy9kb3ducmV2LnhtbESPUWvCMBSF3wf7D+EOfJupjk3tjCIZQpHtYeoPuCZ3&#10;bbG5KU203b83wmCPh3POdzjL9eAacaUu1J4VTMYZCGLjbc2lguNh+zwHESKyxcYzKfilAOvV48MS&#10;c+t7/qbrPpYiQTjkqKCKsc2lDKYih2HsW+Lk/fjOYUyyK6XtsE9w18hplr1JhzWnhQpb0hWZ8/7i&#10;FBRG76zX5vNjUfRam1l8Pe2+lBo9DZt3EJGG+B/+axdWwcsU7l/SD5Cr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UjaCXEAAAA2wAAAA8AAAAAAAAAAAAAAAAAmAIAAGRycy9k&#10;b3ducmV2LnhtbFBLBQYAAAAABAAEAPUAAACJAwAAAAA=&#10;" fillcolor="white [3201]" strokecolor="#d99594 [1941]" strokeweight="1pt">
                  <v:fill color2="#e5b8b7 [1301]" focus="100%" type="gradient"/>
                  <v:shadow on="t" color="#622423 [1605]" opacity=".5" offset="1pt"/>
                  <v:textbox>
                    <w:txbxContent>
                      <w:p w:rsidR="008A5272" w:rsidRPr="00587CF1" w:rsidRDefault="008A5272" w:rsidP="008A5272">
                        <w:pPr>
                          <w:rPr>
                            <w:b/>
                            <w:sz w:val="18"/>
                          </w:rPr>
                        </w:pPr>
                        <w:r w:rsidRPr="006340BF">
                          <w:rPr>
                            <w:b/>
                            <w:sz w:val="16"/>
                          </w:rPr>
                          <w:t xml:space="preserve">Instrumentos </w:t>
                        </w:r>
                      </w:p>
                    </w:txbxContent>
                  </v:textbox>
                </v:roundrect>
                <v:roundrect id="AutoShape 38" o:spid="_x0000_s1033" style="position:absolute;left:3645;top:4336;width:2175;height:63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NvsQA&#10;AADbAAAADwAAAGRycy9kb3ducmV2LnhtbESPUWvCMBSF3wf7D+EO9jZTlU3tjCKRQZHtYeoPuCZ3&#10;bbG5KU203b83wmCPh3POdzjL9eAacaUu1J4VjEcZCGLjbc2lguPh42UOIkRki41nUvBLAdarx4cl&#10;5tb3/E3XfSxFgnDIUUEVY5tLGUxFDsPIt8TJ+/Gdw5hkV0rbYZ/grpGTLHuTDmtOCxW2pCsy5/3F&#10;KSiM3lmvzed2UfRam1l8Pe2+lHp+GjbvICIN8T/81y6sgukU7l/SD5Cr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pvzb7EAAAA2wAAAA8AAAAAAAAAAAAAAAAAmAIAAGRycy9k&#10;b3ducmV2LnhtbFBLBQYAAAAABAAEAPUAAACJAwAAAAA=&#10;" fillcolor="white [3201]" strokecolor="#d99594 [1941]" strokeweight="1pt">
                  <v:fill color2="#e5b8b7 [1301]" focus="100%" type="gradient"/>
                  <v:shadow on="t" color="#622423 [1605]" opacity=".5" offset="1pt"/>
                  <v:textbox>
                    <w:txbxContent>
                      <w:p w:rsidR="008A5272" w:rsidRPr="00587CF1" w:rsidRDefault="008A5272" w:rsidP="008A5272">
                        <w:pPr>
                          <w:rPr>
                            <w:b/>
                            <w:sz w:val="18"/>
                            <w:szCs w:val="18"/>
                          </w:rPr>
                        </w:pPr>
                        <w:r w:rsidRPr="00587CF1">
                          <w:rPr>
                            <w:b/>
                            <w:sz w:val="18"/>
                            <w:szCs w:val="18"/>
                          </w:rPr>
                          <w:t xml:space="preserve">Variable operativa </w:t>
                        </w:r>
                      </w:p>
                    </w:txbxContent>
                  </v:textbox>
                </v:roundrect>
                <v:roundrect id="AutoShape 39" o:spid="_x0000_s1034" style="position:absolute;left:6270;top:4336;width:2220;height:63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ZVysQA&#10;AADbAAAADwAAAGRycy9kb3ducmV2LnhtbESPzWrDMBCE74W8g9hAb43ctPmpGyUElYIJ7SE/D7CV&#10;traptTKWGjtvHwUKPQ4z8w2z2gyuEWfqQu1ZweMkA0FsvK25VHA6vj8sQYSIbLHxTAouFGCzHt2t&#10;MLe+5z2dD7EUCcIhRwVVjG0uZTAVOQwT3xIn79t3DmOSXSlth32Cu0ZOs2wuHdacFipsSVdkfg6/&#10;TkFh9M56bT7eXopea7OIs6/dp1L342H7CiLSEP/Df+3CKnh6htuX9APk+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WGVcrEAAAA2wAAAA8AAAAAAAAAAAAAAAAAmAIAAGRycy9k&#10;b3ducmV2LnhtbFBLBQYAAAAABAAEAPUAAACJAwAAAAA=&#10;" fillcolor="white [3201]" strokecolor="#d99594 [1941]" strokeweight="1pt">
                  <v:fill color2="#e5b8b7 [1301]" focus="100%" type="gradient"/>
                  <v:shadow on="t" color="#622423 [1605]" opacity=".5" offset="1pt"/>
                  <v:textbox>
                    <w:txbxContent>
                      <w:p w:rsidR="008A5272" w:rsidRPr="00587CF1" w:rsidRDefault="008A5272" w:rsidP="008A5272">
                        <w:pPr>
                          <w:rPr>
                            <w:b/>
                            <w:sz w:val="18"/>
                          </w:rPr>
                        </w:pPr>
                        <w:r w:rsidRPr="006340BF">
                          <w:rPr>
                            <w:b/>
                            <w:sz w:val="16"/>
                            <w:szCs w:val="18"/>
                          </w:rPr>
                          <w:t>Objetivo interm</w:t>
                        </w:r>
                        <w:r w:rsidRPr="006340BF">
                          <w:rPr>
                            <w:b/>
                            <w:sz w:val="16"/>
                          </w:rPr>
                          <w:t>edio</w:t>
                        </w:r>
                        <w:r w:rsidRPr="00587CF1">
                          <w:rPr>
                            <w:b/>
                            <w:sz w:val="18"/>
                          </w:rPr>
                          <w:t xml:space="preserve"> </w:t>
                        </w:r>
                      </w:p>
                    </w:txbxContent>
                  </v:textbox>
                </v:roundrect>
                <v:roundrect id="AutoShape 40" o:spid="_x0000_s1035" style="position:absolute;left:8925;top:4336;width:1650;height:63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rwUcQA&#10;AADbAAAADwAAAGRycy9kb3ducmV2LnhtbESPzWrDMBCE74W+g9hCb4mclPy5UUJQKZjQHPLzABtp&#10;a5tYK2Opsfv2VaHQ4zAz3zDr7eAacacu1J4VTMYZCGLjbc2lgsv5fbQEESKyxcYzKfimANvN48Ma&#10;c+t7PtL9FEuRIBxyVFDF2OZSBlORwzD2LXHyPn3nMCbZldJ22Ce4a+Q0y+bSYc1pocKWdEXmdvpy&#10;Cgqj99Zr8/G2KnqtzSLOrvuDUs9Pw+4VRKQh/of/2oVV8DKD3y/pB8j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rK8FHEAAAA2wAAAA8AAAAAAAAAAAAAAAAAmAIAAGRycy9k&#10;b3ducmV2LnhtbFBLBQYAAAAABAAEAPUAAACJAwAAAAA=&#10;" fillcolor="white [3201]" strokecolor="#d99594 [1941]" strokeweight="1pt">
                  <v:fill color2="#e5b8b7 [1301]" focus="100%" type="gradient"/>
                  <v:shadow on="t" color="#622423 [1605]" opacity=".5" offset="1pt"/>
                  <v:textbox>
                    <w:txbxContent>
                      <w:p w:rsidR="008A5272" w:rsidRPr="006340BF" w:rsidRDefault="008A5272" w:rsidP="008A5272">
                        <w:pPr>
                          <w:rPr>
                            <w:b/>
                            <w:sz w:val="16"/>
                          </w:rPr>
                        </w:pPr>
                        <w:r w:rsidRPr="006340BF">
                          <w:rPr>
                            <w:b/>
                            <w:sz w:val="16"/>
                          </w:rPr>
                          <w:t>Objetivo Final</w:t>
                        </w:r>
                      </w:p>
                    </w:txbxContent>
                  </v:textbox>
                </v:roundrect>
                <v:shapetype id="_x0000_t32" coordsize="21600,21600" o:spt="32" o:oned="t" path="m,l21600,21600e" filled="f">
                  <v:path arrowok="t" fillok="f" o:connecttype="none"/>
                  <o:lock v:ext="edit" shapetype="t"/>
                </v:shapetype>
                <v:shape id="AutoShape 41" o:spid="_x0000_s1036" type="#_x0000_t32" style="position:absolute;left:3345;top:4624;width:28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Jb8QAAADbAAAADwAAAGRycy9kb3ducmV2LnhtbESP3WrCQBSE7wu+w3IE7+pGLSrRVaJQ&#10;WnpRf+IDHLLHJJg9u2S3Sfr23UKhl8PMfMNs94NpREetry0rmE0TEMSF1TWXCm756/MahA/IGhvL&#10;pOCbPOx3o6ctptr2fKHuGkoRIexTVFCF4FIpfVGRQT+1jjh6d9saDFG2pdQt9hFuGjlPkqU0WHNc&#10;qNDRsaLicf0yCj6bVfJ2yDuXvZQfdDzl57nrM6Um4yHbgAg0hP/wX/tdK1gs4fdL/AFy9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74UlvxAAAANsAAAAPAAAAAAAAAAAA&#10;AAAAAKECAABkcnMvZG93bnJldi54bWxQSwUGAAAAAAQABAD5AAAAkgMAAAAA&#10;" strokecolor="#622423 [1605]" strokeweight="2.25pt">
                  <v:stroke endarrow="block"/>
                </v:shape>
                <v:shape id="AutoShape 42" o:spid="_x0000_s1037" type="#_x0000_t32" style="position:absolute;left:8520;top:4639;width:405;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K3s9MQAAADbAAAADwAAAGRycy9kb3ducmV2LnhtbESP3WrCQBSE7wu+w3IE7+pGW6pEV4lC&#10;sfSi/sQHOGSPSTB7dsmuSfr23UKhl8PMfMOst4NpREetry0rmE0TEMSF1TWXCq75+/MShA/IGhvL&#10;pOCbPGw3o6c1ptr2fKbuEkoRIexTVFCF4FIpfVGRQT+1jjh6N9saDFG2pdQt9hFuGjlPkjdpsOa4&#10;UKGjfUXF/fIwCr6aRXLY5Z3LXstP2h/z09z1mVKT8ZCtQAQawn/4r/2hFbws4PdL/AFy8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rez0xAAAANsAAAAPAAAAAAAAAAAA&#10;AAAAAKECAABkcnMvZG93bnJldi54bWxQSwUGAAAAAAQABAD5AAAAkgMAAAAA&#10;" strokecolor="#622423 [1605]" strokeweight="2.25pt">
                  <v:stroke endarrow="block"/>
                </v:shape>
                <v:shape id="AutoShape 43" o:spid="_x0000_s1038" type="#_x0000_t32" style="position:absolute;left:5805;top:4654;width:45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TJ4hsEAAADbAAAADwAAAGRycy9kb3ducmV2LnhtbERP3WrCMBS+F/YO4Qx2p+k62aQaSycM&#10;xYs5rQ9waM7asuYkNFlb395cDHb58f1v8sl0YqDet5YVPC8SEMSV1S3XCq7lx3wFwgdkjZ1lUnAj&#10;D/n2YbbBTNuRzzRcQi1iCPsMFTQhuExKXzVk0C+sI47ct+0Nhgj7WuoexxhuOpkmyas02HJsaNDR&#10;rqHq5/JrFHx2b8n+vRxcsayPtDuVX6kbC6WeHqdiDSLQFP7Ff+6DVvASx8Yv8QfI7R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lMniGwQAAANsAAAAPAAAAAAAAAAAAAAAA&#10;AKECAABkcnMvZG93bnJldi54bWxQSwUGAAAAAAQABAD5AAAAjwMAAAAA&#10;" strokecolor="#622423 [1605]" strokeweight="2.25pt">
                  <v:stroke endarrow="block"/>
                </v:shape>
                <v:shapetype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AutoShape 44" o:spid="_x0000_s1039" type="#_x0000_t86" style="position:absolute;left:8453;top:3881;width:240;height:253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NaMEA&#10;AADbAAAADwAAAGRycy9kb3ducmV2LnhtbERPz2vCMBS+C/sfwht4s+lEdHRGGYOhHjxYy2C3R/PW&#10;djYvJYm2+tebg+Dx4/u9XA+mFRdyvrGs4C1JQRCXVjdcKSiO35N3ED4ga2wtk4IreVivXkZLzLTt&#10;+UCXPFQihrDPUEEdQpdJ6cuaDPrEdsSR+7POYIjQVVI77GO4aeU0TefSYMOxocaOvmoqT/nZKOh3&#10;i/zUtT8F4WYqf/f2H2d8U2r8Onx+gAg0hKf44d5qBbO4Pn6JP0Cu7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mSzWjBAAAA2wAAAA8AAAAAAAAAAAAAAAAAmAIAAGRycy9kb3du&#10;cmV2LnhtbFBLBQYAAAAABAAEAPUAAACGAwAAAAA=&#10;" adj="4341" strokecolor="#943634 [2405]" strokeweight="1.5pt">
                  <v:stroke dashstyle="1 1" endcap="round"/>
                </v:shape>
                <v:shape id="AutoShape 45" o:spid="_x0000_s1040" type="#_x0000_t86" style="position:absolute;left:3608;top:3881;width:240;height:253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5o88QA&#10;AADbAAAADwAAAGRycy9kb3ducmV2LnhtbESPQWvCQBSE74X+h+UJvTWbiLSSZhUpiO2hh8Yg9PbI&#10;PpOY7NuQ3Zror+8KQo/DzHzDZOvJdOJMg2ssK0iiGARxaXXDlYJiv31egnAeWWNnmRRcyMF69fiQ&#10;YartyN90zn0lAoRdigpq7/tUSlfWZNBFticO3tEOBn2QQyX1gGOAm07O4/hFGmw4LNTY03tNZZv/&#10;GgXj52ve9t2hINzN5c+XPeGCr0o9zabNGwhPk/8P39sfWsEigduX8APk6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beaPPEAAAA2wAAAA8AAAAAAAAAAAAAAAAAmAIAAGRycy9k&#10;b3ducmV2LnhtbFBLBQYAAAAABAAEAPUAAACJAwAAAAA=&#10;" adj="4341" strokecolor="#943634 [2405]" strokeweight="1.5pt">
                  <v:stroke dashstyle="1 1" endcap="round"/>
                </v:shape>
                <v:roundrect id="AutoShape 46" o:spid="_x0000_s1041" style="position:absolute;left:3180;top:5347;width:1335;height:46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Qq6cIA&#10;AADbAAAADwAAAGRycy9kb3ducmV2LnhtbESPQWvCQBSE7wX/w/IK3uqmWoqNriIFwZsk1fsz+5oE&#10;s2/D7jbZ/Hu3UOhxmJlvmO0+mk4M5HxrWcHrIgNBXFndcq3g8nV8WYPwAVljZ5kUTORhv5s9bTHX&#10;duSChjLUIkHY56igCaHPpfRVQwb9wvbEyfu2zmBI0tVSOxwT3HRymWXv0mDLaaHBnj4bqu7lj1Fw&#10;tcP4EVf2NJXn21S4VSyqW1Rq/hwPGxCBYvgP/7VPWsHbEn6/pB8gd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NCrpwgAAANsAAAAPAAAAAAAAAAAAAAAAAJgCAABkcnMvZG93&#10;bnJldi54bWxQSwUGAAAAAAQABAD1AAAAhwMAAAAA&#10;" stroked="f">
                  <v:textbox>
                    <w:txbxContent>
                      <w:p w:rsidR="008A5272" w:rsidRPr="005F6F8F" w:rsidRDefault="008A5272" w:rsidP="008A5272">
                        <w:r w:rsidRPr="0022598B">
                          <w:rPr>
                            <w:b/>
                          </w:rPr>
                          <w:t>1er Nivel</w:t>
                        </w:r>
                      </w:p>
                    </w:txbxContent>
                  </v:textbox>
                </v:roundrect>
                <v:roundrect id="AutoShape 47" o:spid="_x0000_s1042" style="position:absolute;left:8145;top:5347;width:1335;height:46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iPcsIA&#10;AADbAAAADwAAAGRycy9kb3ducmV2LnhtbESPwWrDMBBE74X+g9hCbo2cuJTWjRJKIZBbsNveN9bW&#10;NrFWRlJs+e+jQiDHYWbeMJtdNL0YyfnOsoLVMgNBXFvdcaPg53v//AbCB2SNvWVSMJOH3fbxYYOF&#10;thOXNFahEQnCvkAFbQhDIaWvWzLol3YgTt6fdQZDkq6R2uGU4KaX6yx7lQY7TgstDvTVUn2uLkbB&#10;rx2n95jbw1wdT3Pp8ljWp6jU4il+foAIFMM9fGsftIKXHP6/pB8gt1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eI9ywgAAANsAAAAPAAAAAAAAAAAAAAAAAJgCAABkcnMvZG93&#10;bnJldi54bWxQSwUGAAAAAAQABAD1AAAAhwMAAAAA&#10;" stroked="f">
                  <v:textbox>
                    <w:txbxContent>
                      <w:p w:rsidR="008A5272" w:rsidRPr="005F6F8F" w:rsidRDefault="008A5272" w:rsidP="008A5272">
                        <w:r>
                          <w:rPr>
                            <w:b/>
                          </w:rPr>
                          <w:t xml:space="preserve">2º </w:t>
                        </w:r>
                        <w:r w:rsidRPr="0022598B">
                          <w:rPr>
                            <w:b/>
                          </w:rPr>
                          <w:t>Nivel</w:t>
                        </w:r>
                      </w:p>
                    </w:txbxContent>
                  </v:textbox>
                </v:roundrect>
              </v:group>
            </w:pict>
          </mc:Fallback>
        </mc:AlternateContent>
      </w:r>
    </w:p>
    <w:p w:rsidR="008A5272" w:rsidRPr="008A5272" w:rsidRDefault="008A5272" w:rsidP="008A5272">
      <w:pPr>
        <w:jc w:val="both"/>
        <w:rPr>
          <w:rFonts w:ascii="Times New Roman" w:hAnsi="Times New Roman" w:cs="Times New Roman"/>
          <w:sz w:val="24"/>
          <w:szCs w:val="24"/>
        </w:rPr>
      </w:pPr>
    </w:p>
    <w:p w:rsidR="008A5272" w:rsidRPr="008A5272" w:rsidRDefault="008A5272" w:rsidP="008A5272">
      <w:pPr>
        <w:jc w:val="both"/>
        <w:rPr>
          <w:rFonts w:ascii="Times New Roman" w:hAnsi="Times New Roman" w:cs="Times New Roman"/>
          <w:sz w:val="24"/>
          <w:szCs w:val="24"/>
        </w:rPr>
      </w:pPr>
    </w:p>
    <w:p w:rsidR="008A5272" w:rsidRPr="008A5272" w:rsidRDefault="008A5272" w:rsidP="008A5272">
      <w:pPr>
        <w:jc w:val="both"/>
        <w:rPr>
          <w:rFonts w:ascii="Times New Roman" w:hAnsi="Times New Roman" w:cs="Times New Roman"/>
          <w:sz w:val="24"/>
          <w:szCs w:val="24"/>
        </w:rPr>
      </w:pPr>
    </w:p>
    <w:p w:rsidR="008A5272" w:rsidRPr="008A5272" w:rsidRDefault="008A5272" w:rsidP="008A5272">
      <w:pPr>
        <w:jc w:val="both"/>
        <w:rPr>
          <w:rFonts w:ascii="Times New Roman" w:hAnsi="Times New Roman" w:cs="Times New Roman"/>
          <w:sz w:val="24"/>
          <w:szCs w:val="24"/>
        </w:rPr>
      </w:pPr>
      <w:r w:rsidRPr="008A5272">
        <w:rPr>
          <w:rFonts w:ascii="Times New Roman" w:hAnsi="Times New Roman" w:cs="Times New Roman"/>
          <w:sz w:val="24"/>
          <w:szCs w:val="24"/>
        </w:rPr>
        <w:t>Fuente: Política Monetaria a dos niveles. (Cuadrado, et al., 2010)</w:t>
      </w:r>
    </w:p>
    <w:p w:rsidR="008A5272" w:rsidRPr="008A5272" w:rsidRDefault="008A5272" w:rsidP="008A5272">
      <w:pPr>
        <w:jc w:val="both"/>
        <w:rPr>
          <w:rFonts w:ascii="Times New Roman" w:hAnsi="Times New Roman" w:cs="Times New Roman"/>
          <w:sz w:val="24"/>
          <w:szCs w:val="24"/>
        </w:rPr>
      </w:pPr>
      <w:r w:rsidRPr="008A5272">
        <w:rPr>
          <w:rFonts w:ascii="Times New Roman" w:hAnsi="Times New Roman" w:cs="Times New Roman"/>
          <w:b/>
          <w:sz w:val="24"/>
          <w:szCs w:val="24"/>
        </w:rPr>
        <w:lastRenderedPageBreak/>
        <w:t>1er Nivel</w:t>
      </w:r>
      <w:r w:rsidRPr="008A5272">
        <w:rPr>
          <w:rFonts w:ascii="Times New Roman" w:hAnsi="Times New Roman" w:cs="Times New Roman"/>
          <w:sz w:val="24"/>
          <w:szCs w:val="24"/>
        </w:rPr>
        <w:t xml:space="preserve">: Las autoridades tratan de alcanzar determinados objetivos finales referentes al nivel de empleo, producción, balanza de pagos, etc.; a través de la regulación de alguna variable monetaria que actúa como objetivo intermedio de la Política Monetaria. Esta variable puede ser la cantidad de dinero o los tipos de interés a largo plazo, etcétera. </w:t>
      </w:r>
    </w:p>
    <w:p w:rsidR="008A5272" w:rsidRPr="008A5272" w:rsidRDefault="008A5272" w:rsidP="008A5272">
      <w:pPr>
        <w:jc w:val="both"/>
        <w:rPr>
          <w:rFonts w:ascii="Times New Roman" w:hAnsi="Times New Roman" w:cs="Times New Roman"/>
          <w:sz w:val="24"/>
          <w:szCs w:val="24"/>
        </w:rPr>
      </w:pPr>
      <w:r w:rsidRPr="008A5272">
        <w:rPr>
          <w:rFonts w:ascii="Times New Roman" w:hAnsi="Times New Roman" w:cs="Times New Roman"/>
          <w:b/>
          <w:sz w:val="24"/>
          <w:szCs w:val="24"/>
        </w:rPr>
        <w:t>2º Nivel</w:t>
      </w:r>
      <w:r w:rsidRPr="008A5272">
        <w:rPr>
          <w:rFonts w:ascii="Times New Roman" w:hAnsi="Times New Roman" w:cs="Times New Roman"/>
          <w:sz w:val="24"/>
          <w:szCs w:val="24"/>
        </w:rPr>
        <w:t>: Las autoridades tratan de regular la variable elegida como objetivo intermedio a través del control de una variable operativa. Esta puede ser la base monetaria, la liquidez bancaria, los tipos de interés del mercado monetario, etc. El control de la variable operativa se realiza por medio de varios instrumentos de Política Monetaria, tales como el coeficiente de caja, el redescuento, operaciones de mercado abierto, etcétera 8(Fernández, et al., 1991).</w:t>
      </w:r>
    </w:p>
    <w:p w:rsidR="008A5272" w:rsidRPr="008A5272" w:rsidRDefault="008A5272" w:rsidP="008A5272">
      <w:pPr>
        <w:jc w:val="both"/>
        <w:rPr>
          <w:rFonts w:ascii="Times New Roman" w:hAnsi="Times New Roman" w:cs="Times New Roman"/>
          <w:bCs/>
          <w:iCs/>
          <w:sz w:val="24"/>
          <w:szCs w:val="24"/>
        </w:rPr>
      </w:pPr>
      <w:r w:rsidRPr="008A5272">
        <w:rPr>
          <w:rFonts w:ascii="Times New Roman" w:hAnsi="Times New Roman" w:cs="Times New Roman"/>
          <w:bCs/>
          <w:iCs/>
          <w:sz w:val="24"/>
          <w:szCs w:val="24"/>
        </w:rPr>
        <w:t xml:space="preserve">Un aspecto importante de ésta forma de aplicar la Política Monetaria es que ésta pasa a ser previsible, es decir, que los agentes económicos pueden anticipar cuál va a ser el comportamiento de los movimientos que se van a producir sobre las variables económicas relevantes, y de ésta forma actúen en consecuencia, impactando directamente sobre la inflación. </w:t>
      </w:r>
    </w:p>
    <w:p w:rsidR="008A5272" w:rsidRPr="00B47EAC" w:rsidRDefault="008A5272" w:rsidP="00B47EAC">
      <w:pPr>
        <w:pStyle w:val="Prrafodelista"/>
        <w:numPr>
          <w:ilvl w:val="1"/>
          <w:numId w:val="28"/>
        </w:numPr>
        <w:jc w:val="both"/>
        <w:rPr>
          <w:rFonts w:ascii="Times New Roman" w:hAnsi="Times New Roman" w:cs="Times New Roman"/>
          <w:sz w:val="24"/>
          <w:szCs w:val="24"/>
          <w:lang w:val="es-CO"/>
        </w:rPr>
      </w:pPr>
      <w:r w:rsidRPr="00B47EAC">
        <w:rPr>
          <w:rFonts w:ascii="Times New Roman" w:hAnsi="Times New Roman" w:cs="Times New Roman"/>
          <w:b/>
          <w:bCs/>
          <w:iCs/>
          <w:sz w:val="24"/>
          <w:szCs w:val="24"/>
        </w:rPr>
        <w:t>Esquema de Objetivos de Inflación</w:t>
      </w:r>
    </w:p>
    <w:p w:rsidR="008A5272" w:rsidRPr="008A5272" w:rsidRDefault="008A5272" w:rsidP="008A5272">
      <w:pPr>
        <w:jc w:val="both"/>
        <w:rPr>
          <w:rFonts w:ascii="Times New Roman" w:hAnsi="Times New Roman" w:cs="Times New Roman"/>
          <w:bCs/>
          <w:iCs/>
          <w:sz w:val="24"/>
          <w:szCs w:val="24"/>
        </w:rPr>
      </w:pPr>
      <w:r w:rsidRPr="008A5272">
        <w:rPr>
          <w:rFonts w:ascii="Times New Roman" w:hAnsi="Times New Roman" w:cs="Times New Roman"/>
          <w:bCs/>
          <w:iCs/>
          <w:sz w:val="24"/>
          <w:szCs w:val="24"/>
        </w:rPr>
        <w:t xml:space="preserve">Después de la crisis de 1994-1995, en México se decidió adoptar el régimen de libre flotación cambiaria, esto significó que el tipo de cambio dejó de funcionar como instrumento de política que coordinaba las expectativas de inflación. Debido a estas circunstancias, la Política Monetaria se convirtió en el ancla nominal de la economía. </w:t>
      </w:r>
    </w:p>
    <w:p w:rsidR="008A5272" w:rsidRPr="008A5272" w:rsidRDefault="008A5272" w:rsidP="008A5272">
      <w:pPr>
        <w:jc w:val="both"/>
        <w:rPr>
          <w:rFonts w:ascii="Times New Roman" w:hAnsi="Times New Roman" w:cs="Times New Roman"/>
          <w:bCs/>
          <w:iCs/>
          <w:sz w:val="24"/>
          <w:szCs w:val="24"/>
        </w:rPr>
      </w:pPr>
      <w:r w:rsidRPr="008A5272">
        <w:rPr>
          <w:rFonts w:ascii="Times New Roman" w:hAnsi="Times New Roman" w:cs="Times New Roman"/>
          <w:bCs/>
          <w:iCs/>
          <w:sz w:val="24"/>
          <w:szCs w:val="24"/>
        </w:rPr>
        <w:t xml:space="preserve">El esquema de objetivos de inflación fue utilizado por primera vez en Nueva Zelanda en 1990, y a partir de entonces varios países, entre desarrollados y emergentes, lo han adoptado como esquema de Política Monetaria. </w:t>
      </w:r>
    </w:p>
    <w:p w:rsidR="008A5272" w:rsidRPr="008A5272" w:rsidRDefault="008A5272" w:rsidP="008A5272">
      <w:pPr>
        <w:jc w:val="both"/>
        <w:rPr>
          <w:rFonts w:ascii="Times New Roman" w:hAnsi="Times New Roman" w:cs="Times New Roman"/>
          <w:bCs/>
          <w:iCs/>
          <w:sz w:val="24"/>
          <w:szCs w:val="24"/>
        </w:rPr>
      </w:pPr>
      <w:r w:rsidRPr="008A5272">
        <w:rPr>
          <w:rFonts w:ascii="Times New Roman" w:hAnsi="Times New Roman" w:cs="Times New Roman"/>
          <w:bCs/>
          <w:iCs/>
          <w:sz w:val="24"/>
          <w:szCs w:val="24"/>
        </w:rPr>
        <w:t>En el caso de México, el Banco Central ha establecido un esquema de objetivos de inflación como parte del esfuerzo por lograr la estabilidad del poder adquisitivo de la moneda. En este esquema tienen un papel fundamental el anuncio de metas explícitas de inflación de mediano y largo plazos. En la medida en que las perspectivas inflacionarias no se adecuen a las metas establecidas, el Banco de México modificará su Política Monetaria para inducir un cambio de dirección del proceso inflacionario.</w:t>
      </w:r>
    </w:p>
    <w:p w:rsidR="008A5272" w:rsidRPr="00010D87" w:rsidRDefault="00010D87" w:rsidP="00010D87">
      <w:pPr>
        <w:jc w:val="both"/>
        <w:rPr>
          <w:rFonts w:ascii="Times New Roman" w:hAnsi="Times New Roman" w:cs="Times New Roman"/>
          <w:sz w:val="24"/>
          <w:szCs w:val="24"/>
        </w:rPr>
      </w:pPr>
      <w:r>
        <w:rPr>
          <w:rFonts w:ascii="Times New Roman" w:hAnsi="Times New Roman" w:cs="Times New Roman"/>
          <w:sz w:val="24"/>
          <w:szCs w:val="24"/>
        </w:rPr>
        <w:t xml:space="preserve"> </w:t>
      </w:r>
      <w:r w:rsidR="008A5272" w:rsidRPr="008A5272">
        <w:rPr>
          <w:rFonts w:ascii="Times New Roman" w:hAnsi="Times New Roman" w:cs="Times New Roman"/>
          <w:b/>
          <w:sz w:val="24"/>
          <w:szCs w:val="24"/>
          <w:lang w:val="es-CO"/>
        </w:rPr>
        <w:t>Objetivo Operacional</w:t>
      </w:r>
    </w:p>
    <w:p w:rsidR="008A5272" w:rsidRPr="008A5272" w:rsidRDefault="008A5272" w:rsidP="008A5272">
      <w:pPr>
        <w:jc w:val="both"/>
        <w:rPr>
          <w:rFonts w:ascii="Times New Roman" w:hAnsi="Times New Roman" w:cs="Times New Roman"/>
          <w:sz w:val="24"/>
          <w:szCs w:val="24"/>
          <w:lang w:val="es-CO"/>
        </w:rPr>
      </w:pPr>
      <w:r w:rsidRPr="008A5272">
        <w:rPr>
          <w:rFonts w:ascii="Times New Roman" w:hAnsi="Times New Roman" w:cs="Times New Roman"/>
          <w:sz w:val="24"/>
          <w:szCs w:val="24"/>
          <w:lang w:val="es-CO"/>
        </w:rPr>
        <w:t>De acuerdo al Banco de México, un objetivo operacional se define como “U</w:t>
      </w:r>
      <w:r w:rsidRPr="008A5272">
        <w:rPr>
          <w:rFonts w:ascii="Times New Roman" w:hAnsi="Times New Roman" w:cs="Times New Roman"/>
          <w:i/>
          <w:sz w:val="24"/>
          <w:szCs w:val="24"/>
          <w:lang w:val="es-CO"/>
        </w:rPr>
        <w:t>n objetivo sobre el cual el Banco Central tenga la capacidad de influir directamente</w:t>
      </w:r>
      <w:r w:rsidRPr="008A5272">
        <w:rPr>
          <w:rFonts w:ascii="Times New Roman" w:hAnsi="Times New Roman" w:cs="Times New Roman"/>
          <w:sz w:val="24"/>
          <w:szCs w:val="24"/>
          <w:lang w:val="es-CO"/>
        </w:rPr>
        <w:t>” (Banxico, 2010b:29).</w:t>
      </w:r>
    </w:p>
    <w:p w:rsidR="008A5272" w:rsidRPr="008A5272" w:rsidRDefault="008A5272" w:rsidP="008A5272">
      <w:pPr>
        <w:jc w:val="both"/>
        <w:rPr>
          <w:rFonts w:ascii="Times New Roman" w:hAnsi="Times New Roman" w:cs="Times New Roman"/>
          <w:bCs/>
          <w:iCs/>
          <w:sz w:val="24"/>
          <w:szCs w:val="24"/>
        </w:rPr>
      </w:pPr>
      <w:r w:rsidRPr="008A5272">
        <w:rPr>
          <w:rFonts w:ascii="Times New Roman" w:hAnsi="Times New Roman" w:cs="Times New Roman"/>
          <w:bCs/>
          <w:iCs/>
          <w:sz w:val="24"/>
          <w:szCs w:val="24"/>
        </w:rPr>
        <w:t xml:space="preserve">Las características que debe tener un objetivo operacional, es que debe ser un objetivo sobre el cual el Banco Central tenga la capacidad de influir directamente y que éste debe </w:t>
      </w:r>
      <w:r w:rsidRPr="008A5272">
        <w:rPr>
          <w:rFonts w:ascii="Times New Roman" w:hAnsi="Times New Roman" w:cs="Times New Roman"/>
          <w:bCs/>
          <w:iCs/>
          <w:sz w:val="24"/>
          <w:szCs w:val="24"/>
        </w:rPr>
        <w:lastRenderedPageBreak/>
        <w:t xml:space="preserve">guardar una relación directa con los objetivos intermedios y finales. Estas variables son: el saldo de las cuentas corrientes y la tasa de Interés. </w:t>
      </w:r>
    </w:p>
    <w:p w:rsidR="008A5272" w:rsidRPr="008A5272" w:rsidRDefault="008A5272" w:rsidP="008A5272">
      <w:pPr>
        <w:jc w:val="both"/>
        <w:rPr>
          <w:rFonts w:ascii="Cambria Math" w:hAnsi="Cambria Math" w:cs="Times New Roman"/>
          <w:sz w:val="24"/>
          <w:szCs w:val="24"/>
          <w:oMath/>
        </w:rPr>
      </w:pPr>
      <w:r w:rsidRPr="008A5272">
        <w:rPr>
          <w:rFonts w:ascii="Times New Roman" w:hAnsi="Times New Roman" w:cs="Times New Roman"/>
          <w:bCs/>
          <w:iCs/>
          <w:sz w:val="24"/>
          <w:szCs w:val="24"/>
        </w:rPr>
        <w:t>Durante la crisis que se presentó a finales de 1994 y durante 1995, se tuvo que adoptar un régimen de libre flotación cambiaria</w:t>
      </w:r>
      <w:r w:rsidRPr="008A5272">
        <w:rPr>
          <w:rFonts w:ascii="Times New Roman" w:hAnsi="Times New Roman" w:cs="Times New Roman"/>
          <w:bCs/>
          <w:iCs/>
          <w:sz w:val="24"/>
          <w:szCs w:val="24"/>
          <w:vertAlign w:val="superscript"/>
        </w:rPr>
        <w:footnoteReference w:id="16"/>
      </w:r>
      <w:r w:rsidRPr="008A5272">
        <w:rPr>
          <w:rFonts w:ascii="Times New Roman" w:hAnsi="Times New Roman" w:cs="Times New Roman"/>
          <w:bCs/>
          <w:iCs/>
          <w:sz w:val="24"/>
          <w:szCs w:val="24"/>
        </w:rPr>
        <w:t xml:space="preserve">. Esto trajo como consecuencia que se abandonara el tipo de cambio como ancla nominal de la economía. La razón de ello, obedece a que tras la devaluación del peso y del repunte de la inflación en México, la actuación y credibilidad del Banco Central se vio seriamente afectada. </w:t>
      </w:r>
    </w:p>
    <w:p w:rsidR="008A5272" w:rsidRPr="008A5272" w:rsidRDefault="008A5272" w:rsidP="008A5272">
      <w:pPr>
        <w:jc w:val="both"/>
        <w:rPr>
          <w:rFonts w:ascii="Times New Roman" w:hAnsi="Times New Roman" w:cs="Times New Roman"/>
          <w:bCs/>
          <w:iCs/>
          <w:sz w:val="24"/>
          <w:szCs w:val="24"/>
        </w:rPr>
      </w:pPr>
      <w:r w:rsidRPr="008A5272">
        <w:rPr>
          <w:rFonts w:ascii="Times New Roman" w:hAnsi="Times New Roman" w:cs="Times New Roman"/>
          <w:bCs/>
          <w:iCs/>
          <w:sz w:val="24"/>
          <w:szCs w:val="24"/>
        </w:rPr>
        <w:t>Debido a la falta de transparencia, se originó una crisis de credibilidad, razón por la cual el Banco Central decidió establecer un objetivo monetario muy visible. Y consideró que establecer la tasa de interés como objetivo operacional, para ese momento de crisis, no sería conveniente. Por ello y con el fin de aplicar un esquema operativo bajo el cual tanto el tipo de cambio como las tasas de interés fueran determinados libremente, el Banco de México estableció la utilización del objetivo de saldos acumulados como instrumento de política monetaria (Martínez, et al., 2001).</w:t>
      </w:r>
    </w:p>
    <w:p w:rsidR="008A5272" w:rsidRPr="008A5272" w:rsidRDefault="008A5272" w:rsidP="008A5272">
      <w:pPr>
        <w:jc w:val="both"/>
        <w:rPr>
          <w:rFonts w:ascii="Times New Roman" w:hAnsi="Times New Roman" w:cs="Times New Roman"/>
          <w:bCs/>
          <w:iCs/>
          <w:sz w:val="24"/>
          <w:szCs w:val="24"/>
        </w:rPr>
      </w:pPr>
      <w:r w:rsidRPr="008A5272">
        <w:rPr>
          <w:rFonts w:ascii="Times New Roman" w:hAnsi="Times New Roman" w:cs="Times New Roman"/>
          <w:bCs/>
          <w:iCs/>
          <w:sz w:val="24"/>
          <w:szCs w:val="24"/>
        </w:rPr>
        <w:t xml:space="preserve">A través del anuncio del objetivo operacional sobre los saldos de las cuentas corrientes, el Banco Central envía señales a los mercados financieros, pero sin intervenir en la fijación de la tasa de interés o del tipo de cambio. </w:t>
      </w:r>
    </w:p>
    <w:p w:rsidR="008A5272" w:rsidRPr="008A5272" w:rsidRDefault="008A5272" w:rsidP="008A5272">
      <w:pPr>
        <w:jc w:val="both"/>
        <w:rPr>
          <w:rFonts w:ascii="Times New Roman" w:hAnsi="Times New Roman" w:cs="Times New Roman"/>
          <w:bCs/>
          <w:iCs/>
          <w:sz w:val="24"/>
          <w:szCs w:val="24"/>
        </w:rPr>
      </w:pPr>
      <w:r w:rsidRPr="008A5272">
        <w:rPr>
          <w:rFonts w:ascii="Times New Roman" w:hAnsi="Times New Roman" w:cs="Times New Roman"/>
          <w:bCs/>
          <w:iCs/>
          <w:sz w:val="24"/>
          <w:szCs w:val="24"/>
        </w:rPr>
        <w:t>Bajo este esquema, el Banco de México interviene todos los días en el mercado de dinero mediante subastas, ofreciendo créditos, depósitos, o a través de la compraventa de valores gubernamentales. De éste modo, el Banco Central establece el monto que va a subastar, de manera que la suma de los saldos acumulados de las cuentas corrientes de toda la banca (saldo acumulado de saldos diarios totales) inicie la siguiente jornada en una cantidad determinada de antemano (Martínez, et al, 2001).</w:t>
      </w:r>
    </w:p>
    <w:p w:rsidR="008A5272" w:rsidRPr="008A5272" w:rsidRDefault="008A5272" w:rsidP="008A5272">
      <w:pPr>
        <w:jc w:val="both"/>
        <w:rPr>
          <w:rFonts w:ascii="Times New Roman" w:hAnsi="Times New Roman" w:cs="Times New Roman"/>
          <w:sz w:val="24"/>
          <w:szCs w:val="24"/>
        </w:rPr>
      </w:pPr>
      <w:r w:rsidRPr="008A5272">
        <w:rPr>
          <w:rFonts w:ascii="Times New Roman" w:hAnsi="Times New Roman" w:cs="Times New Roman"/>
          <w:sz w:val="24"/>
          <w:szCs w:val="24"/>
        </w:rPr>
        <w:t xml:space="preserve">Después de haber utilizado el objetivo operacional basado en los saldos de las cuentas corrientes, el Banco de México tuvo que realizar algunas modificaciones a la conducción de su Política Monetaria; esto como resultado del desarrollo del mercado y la consolidación de niveles bajos de inflación. Es por ello que el Banco Central consideró que era necesario ser </w:t>
      </w:r>
      <w:r w:rsidR="00010D87" w:rsidRPr="008A5272">
        <w:rPr>
          <w:rFonts w:ascii="Times New Roman" w:hAnsi="Times New Roman" w:cs="Times New Roman"/>
          <w:sz w:val="24"/>
          <w:szCs w:val="24"/>
        </w:rPr>
        <w:t>más</w:t>
      </w:r>
      <w:r w:rsidRPr="008A5272">
        <w:rPr>
          <w:rFonts w:ascii="Times New Roman" w:hAnsi="Times New Roman" w:cs="Times New Roman"/>
          <w:sz w:val="24"/>
          <w:szCs w:val="24"/>
        </w:rPr>
        <w:t xml:space="preserve"> </w:t>
      </w:r>
      <w:r w:rsidR="00010D87" w:rsidRPr="008A5272">
        <w:rPr>
          <w:rFonts w:ascii="Times New Roman" w:hAnsi="Times New Roman" w:cs="Times New Roman"/>
          <w:sz w:val="24"/>
          <w:szCs w:val="24"/>
        </w:rPr>
        <w:t>específico</w:t>
      </w:r>
      <w:r w:rsidRPr="008A5272">
        <w:rPr>
          <w:rFonts w:ascii="Times New Roman" w:hAnsi="Times New Roman" w:cs="Times New Roman"/>
          <w:sz w:val="24"/>
          <w:szCs w:val="24"/>
        </w:rPr>
        <w:t xml:space="preserve"> sobre el nivel deseado de la tasa de interés y llevó a cabo una serie de medidas encaminadas a adoptar un objetivo operacional de tasa de interés. (Banxico, 2007b).</w:t>
      </w:r>
    </w:p>
    <w:p w:rsidR="008A5272" w:rsidRPr="008A5272" w:rsidRDefault="008A5272" w:rsidP="008A5272">
      <w:pPr>
        <w:jc w:val="both"/>
        <w:rPr>
          <w:rFonts w:ascii="Times New Roman" w:hAnsi="Times New Roman" w:cs="Times New Roman"/>
          <w:sz w:val="24"/>
          <w:szCs w:val="24"/>
        </w:rPr>
      </w:pPr>
      <w:r w:rsidRPr="008A5272">
        <w:rPr>
          <w:rFonts w:ascii="Times New Roman" w:hAnsi="Times New Roman" w:cs="Times New Roman"/>
          <w:sz w:val="24"/>
          <w:szCs w:val="24"/>
        </w:rPr>
        <w:t xml:space="preserve">Es por ello que  Martínez, et al., (2001) afirma que la instrumentación de la Política Monetaria en base a un objetivo para la tasa de interés de corto plazo constituye una señal más directa para transmitir las acciones del Banco Central. Una vez alcanzada la consolidación de la estabilidad macroeconómica y el mayor desarrollo de los mercados </w:t>
      </w:r>
      <w:r w:rsidRPr="008A5272">
        <w:rPr>
          <w:rFonts w:ascii="Times New Roman" w:hAnsi="Times New Roman" w:cs="Times New Roman"/>
          <w:sz w:val="24"/>
          <w:szCs w:val="24"/>
        </w:rPr>
        <w:lastRenderedPageBreak/>
        <w:t>financieros, establecer un objetivo operacional sobre las tasas de interés es un paso natural</w:t>
      </w:r>
      <w:r w:rsidRPr="008A5272">
        <w:rPr>
          <w:rFonts w:ascii="Times New Roman" w:hAnsi="Times New Roman" w:cs="Times New Roman"/>
          <w:sz w:val="24"/>
          <w:szCs w:val="24"/>
          <w:vertAlign w:val="superscript"/>
        </w:rPr>
        <w:footnoteReference w:id="17"/>
      </w:r>
      <w:r w:rsidRPr="008A5272">
        <w:rPr>
          <w:rFonts w:ascii="Times New Roman" w:hAnsi="Times New Roman" w:cs="Times New Roman"/>
          <w:sz w:val="24"/>
          <w:szCs w:val="24"/>
        </w:rPr>
        <w:t xml:space="preserve">. </w:t>
      </w:r>
    </w:p>
    <w:p w:rsidR="008A5272" w:rsidRPr="008A5272" w:rsidRDefault="008A5272" w:rsidP="008A5272">
      <w:pPr>
        <w:jc w:val="both"/>
        <w:rPr>
          <w:rFonts w:ascii="Times New Roman" w:hAnsi="Times New Roman" w:cs="Times New Roman"/>
          <w:sz w:val="24"/>
          <w:szCs w:val="24"/>
        </w:rPr>
      </w:pPr>
      <w:r w:rsidRPr="008A5272">
        <w:rPr>
          <w:rFonts w:ascii="Times New Roman" w:hAnsi="Times New Roman" w:cs="Times New Roman"/>
          <w:sz w:val="24"/>
          <w:szCs w:val="24"/>
        </w:rPr>
        <w:t xml:space="preserve">Cabe resaltar que para el Banco Central, el uso de la tasa de interés representa una herramienta muy útil para controlar la inflación. Esto se debe a que si el Instituto Central decide aumentar la tasa de interés, estimula el ahorro; ya que las personas verán más atractivo ahorrar y dejar de consumir; con ello disminuye el consumo y la inversión. Dichas disminuciones tienen un impacto sobre la demanda agregada y posteriormente sobre los precios. Lo contrario sucedería si el Banco Central decide disminuir la tasa de interés. </w:t>
      </w:r>
    </w:p>
    <w:p w:rsidR="008A5272" w:rsidRPr="00B00FE4" w:rsidRDefault="008A5272" w:rsidP="00AF092C">
      <w:pPr>
        <w:jc w:val="both"/>
        <w:rPr>
          <w:rFonts w:ascii="Times New Roman" w:hAnsi="Times New Roman" w:cs="Times New Roman"/>
          <w:sz w:val="24"/>
          <w:szCs w:val="24"/>
        </w:rPr>
      </w:pPr>
      <w:r w:rsidRPr="008A5272">
        <w:rPr>
          <w:rFonts w:ascii="Times New Roman" w:hAnsi="Times New Roman" w:cs="Times New Roman"/>
          <w:sz w:val="24"/>
          <w:szCs w:val="24"/>
        </w:rPr>
        <w:t xml:space="preserve">A lo largo de éste capítulo se abordaron los conceptos básicos y la definición de la Política Monetaria en México. Se analizaron los principales instrumentos y mecanismos de transmisión con que cuenta dicha política para el logro de la estabilidad de precios, el cual es el objetivo prioritario del Banco Central. </w:t>
      </w:r>
    </w:p>
    <w:bookmarkEnd w:id="1"/>
    <w:p w:rsidR="00AF092C" w:rsidRPr="00102F97" w:rsidRDefault="005F0A1B" w:rsidP="005F0A1B">
      <w:pPr>
        <w:pStyle w:val="Ttulo2"/>
        <w:numPr>
          <w:ilvl w:val="0"/>
          <w:numId w:val="28"/>
        </w:numPr>
        <w:shd w:val="clear" w:color="auto" w:fill="FFFFFF" w:themeFill="background1"/>
        <w:rPr>
          <w:rFonts w:ascii="Times New Roman" w:hAnsi="Times New Roman" w:cs="Times New Roman"/>
          <w:color w:val="000000" w:themeColor="text1"/>
          <w:sz w:val="24"/>
          <w:szCs w:val="24"/>
        </w:rPr>
      </w:pPr>
      <w:r w:rsidRPr="00102F97">
        <w:rPr>
          <w:rFonts w:ascii="Times New Roman" w:hAnsi="Times New Roman" w:cs="Times New Roman"/>
          <w:color w:val="000000" w:themeColor="text1"/>
          <w:sz w:val="24"/>
          <w:szCs w:val="24"/>
        </w:rPr>
        <w:t>Metodología</w:t>
      </w:r>
    </w:p>
    <w:p w:rsidR="001D703B" w:rsidRPr="00102F97" w:rsidRDefault="001D703B" w:rsidP="001D703B">
      <w:pPr>
        <w:spacing w:after="0"/>
        <w:jc w:val="both"/>
        <w:rPr>
          <w:rFonts w:ascii="Times New Roman" w:hAnsi="Times New Roman" w:cs="Times New Roman"/>
          <w:sz w:val="24"/>
          <w:szCs w:val="24"/>
          <w:lang w:val="es-CO"/>
        </w:rPr>
      </w:pPr>
      <w:bookmarkStart w:id="2" w:name="_Toc332047100"/>
    </w:p>
    <w:p w:rsidR="00B85966" w:rsidRPr="00102F97" w:rsidRDefault="00820781" w:rsidP="00B85966">
      <w:pPr>
        <w:spacing w:after="0"/>
        <w:jc w:val="both"/>
        <w:rPr>
          <w:rFonts w:ascii="Times New Roman" w:hAnsi="Times New Roman" w:cs="Times New Roman"/>
          <w:sz w:val="24"/>
          <w:szCs w:val="24"/>
          <w:lang w:val="es-CO"/>
        </w:rPr>
      </w:pPr>
      <w:r w:rsidRPr="00102F97">
        <w:rPr>
          <w:rFonts w:ascii="Times New Roman" w:hAnsi="Times New Roman" w:cs="Times New Roman"/>
          <w:sz w:val="24"/>
          <w:szCs w:val="24"/>
          <w:lang w:val="es-CO"/>
        </w:rPr>
        <w:t xml:space="preserve">Esta investigación </w:t>
      </w:r>
      <w:r w:rsidR="000D7AA4" w:rsidRPr="00102F97">
        <w:rPr>
          <w:rFonts w:ascii="Times New Roman" w:hAnsi="Times New Roman" w:cs="Times New Roman"/>
          <w:sz w:val="24"/>
          <w:szCs w:val="24"/>
          <w:lang w:val="es-CO"/>
        </w:rPr>
        <w:t xml:space="preserve">analiza </w:t>
      </w:r>
      <w:r w:rsidR="00EE050C" w:rsidRPr="00102F97">
        <w:rPr>
          <w:rFonts w:ascii="Times New Roman" w:hAnsi="Times New Roman" w:cs="Times New Roman"/>
          <w:sz w:val="24"/>
          <w:szCs w:val="24"/>
          <w:lang w:val="es-CO"/>
        </w:rPr>
        <w:t xml:space="preserve">la efectividad de la tasa de interés </w:t>
      </w:r>
      <w:r w:rsidR="00D66F45" w:rsidRPr="00102F97">
        <w:rPr>
          <w:rFonts w:ascii="Times New Roman" w:hAnsi="Times New Roman" w:cs="Times New Roman"/>
          <w:sz w:val="24"/>
          <w:szCs w:val="24"/>
          <w:lang w:val="es-CO"/>
        </w:rPr>
        <w:t xml:space="preserve">de corto plazo </w:t>
      </w:r>
      <w:r w:rsidR="00EE050C" w:rsidRPr="00102F97">
        <w:rPr>
          <w:rFonts w:ascii="Times New Roman" w:hAnsi="Times New Roman" w:cs="Times New Roman"/>
          <w:sz w:val="24"/>
          <w:szCs w:val="24"/>
          <w:lang w:val="es-CO"/>
        </w:rPr>
        <w:t xml:space="preserve">como objetivo operacional de política monetaria en sustitución al “corto”, </w:t>
      </w:r>
      <w:r w:rsidR="00837DC9" w:rsidRPr="00102F97">
        <w:rPr>
          <w:rFonts w:ascii="Times New Roman" w:hAnsi="Times New Roman" w:cs="Times New Roman"/>
          <w:sz w:val="24"/>
          <w:szCs w:val="24"/>
          <w:lang w:val="es-CO"/>
        </w:rPr>
        <w:t>s</w:t>
      </w:r>
      <w:r w:rsidR="00B423F1" w:rsidRPr="00102F97">
        <w:rPr>
          <w:rFonts w:ascii="Times New Roman" w:hAnsi="Times New Roman" w:cs="Times New Roman"/>
          <w:sz w:val="24"/>
          <w:szCs w:val="24"/>
          <w:lang w:val="es-CO"/>
        </w:rPr>
        <w:t>e</w:t>
      </w:r>
      <w:r w:rsidR="00010D87">
        <w:rPr>
          <w:rFonts w:ascii="Times New Roman" w:hAnsi="Times New Roman" w:cs="Times New Roman"/>
          <w:sz w:val="24"/>
          <w:szCs w:val="24"/>
          <w:lang w:val="es-CO"/>
        </w:rPr>
        <w:t xml:space="preserve"> realizar</w:t>
      </w:r>
      <w:r w:rsidR="001D703B" w:rsidRPr="00102F97">
        <w:rPr>
          <w:rFonts w:ascii="Times New Roman" w:hAnsi="Times New Roman" w:cs="Times New Roman"/>
          <w:sz w:val="24"/>
          <w:szCs w:val="24"/>
          <w:lang w:val="es-CO"/>
        </w:rPr>
        <w:t xml:space="preserve"> una investigación de tipo cuali</w:t>
      </w:r>
      <w:r w:rsidR="001727EA" w:rsidRPr="00102F97">
        <w:rPr>
          <w:rFonts w:ascii="Times New Roman" w:hAnsi="Times New Roman" w:cs="Times New Roman"/>
          <w:sz w:val="24"/>
          <w:szCs w:val="24"/>
          <w:lang w:val="es-CO"/>
        </w:rPr>
        <w:t>ta</w:t>
      </w:r>
      <w:r w:rsidR="001D703B" w:rsidRPr="00102F97">
        <w:rPr>
          <w:rFonts w:ascii="Times New Roman" w:hAnsi="Times New Roman" w:cs="Times New Roman"/>
          <w:sz w:val="24"/>
          <w:szCs w:val="24"/>
          <w:lang w:val="es-CO"/>
        </w:rPr>
        <w:t>ti</w:t>
      </w:r>
      <w:r w:rsidR="001727EA" w:rsidRPr="00102F97">
        <w:rPr>
          <w:rFonts w:ascii="Times New Roman" w:hAnsi="Times New Roman" w:cs="Times New Roman"/>
          <w:sz w:val="24"/>
          <w:szCs w:val="24"/>
          <w:lang w:val="es-CO"/>
        </w:rPr>
        <w:t>va y cuantit</w:t>
      </w:r>
      <w:r w:rsidR="00010D87">
        <w:rPr>
          <w:rFonts w:ascii="Times New Roman" w:hAnsi="Times New Roman" w:cs="Times New Roman"/>
          <w:sz w:val="24"/>
          <w:szCs w:val="24"/>
          <w:lang w:val="es-CO"/>
        </w:rPr>
        <w:t>ativa; ¿Por qué se dice que es</w:t>
      </w:r>
      <w:r w:rsidR="001727EA" w:rsidRPr="00102F97">
        <w:rPr>
          <w:rFonts w:ascii="Times New Roman" w:hAnsi="Times New Roman" w:cs="Times New Roman"/>
          <w:sz w:val="24"/>
          <w:szCs w:val="24"/>
          <w:lang w:val="es-CO"/>
        </w:rPr>
        <w:t xml:space="preserve"> de tipo</w:t>
      </w:r>
      <w:r w:rsidR="00010D87">
        <w:rPr>
          <w:rFonts w:ascii="Times New Roman" w:hAnsi="Times New Roman" w:cs="Times New Roman"/>
          <w:sz w:val="24"/>
          <w:szCs w:val="24"/>
          <w:lang w:val="es-CO"/>
        </w:rPr>
        <w:t xml:space="preserve"> cualitativa? Porque se revisaron</w:t>
      </w:r>
      <w:r w:rsidR="00B2714F" w:rsidRPr="00102F97">
        <w:rPr>
          <w:rFonts w:ascii="Times New Roman" w:hAnsi="Times New Roman" w:cs="Times New Roman"/>
          <w:sz w:val="24"/>
          <w:szCs w:val="24"/>
          <w:lang w:val="es-CO"/>
        </w:rPr>
        <w:t xml:space="preserve"> las aportaciones teóricas</w:t>
      </w:r>
      <w:r w:rsidR="00EE050C" w:rsidRPr="00102F97">
        <w:rPr>
          <w:rFonts w:ascii="Times New Roman" w:hAnsi="Times New Roman" w:cs="Times New Roman"/>
          <w:sz w:val="24"/>
          <w:szCs w:val="24"/>
          <w:lang w:val="es-CO"/>
        </w:rPr>
        <w:t xml:space="preserve"> sobre la conducción</w:t>
      </w:r>
      <w:r w:rsidR="00B2714F" w:rsidRPr="00102F97">
        <w:rPr>
          <w:rFonts w:ascii="Times New Roman" w:hAnsi="Times New Roman" w:cs="Times New Roman"/>
          <w:sz w:val="24"/>
          <w:szCs w:val="24"/>
          <w:lang w:val="es-CO"/>
        </w:rPr>
        <w:t xml:space="preserve"> de </w:t>
      </w:r>
      <w:r w:rsidR="00EE050C" w:rsidRPr="00102F97">
        <w:rPr>
          <w:rFonts w:ascii="Times New Roman" w:hAnsi="Times New Roman" w:cs="Times New Roman"/>
          <w:sz w:val="24"/>
          <w:szCs w:val="24"/>
          <w:lang w:val="es-CO"/>
        </w:rPr>
        <w:t>la</w:t>
      </w:r>
      <w:r w:rsidR="00D542B8" w:rsidRPr="00102F97">
        <w:rPr>
          <w:rFonts w:ascii="Times New Roman" w:hAnsi="Times New Roman" w:cs="Times New Roman"/>
          <w:sz w:val="24"/>
          <w:szCs w:val="24"/>
          <w:lang w:val="es-CO"/>
        </w:rPr>
        <w:t xml:space="preserve"> </w:t>
      </w:r>
      <w:r w:rsidR="00EE050C" w:rsidRPr="00102F97">
        <w:rPr>
          <w:rFonts w:ascii="Times New Roman" w:hAnsi="Times New Roman" w:cs="Times New Roman"/>
          <w:sz w:val="24"/>
          <w:szCs w:val="24"/>
          <w:lang w:val="es-CO"/>
        </w:rPr>
        <w:t xml:space="preserve">política monetaria </w:t>
      </w:r>
      <w:r w:rsidR="009A2E68" w:rsidRPr="00102F97">
        <w:rPr>
          <w:rFonts w:ascii="Times New Roman" w:hAnsi="Times New Roman" w:cs="Times New Roman"/>
          <w:sz w:val="24"/>
          <w:szCs w:val="24"/>
          <w:lang w:val="es-CO"/>
        </w:rPr>
        <w:t>por parte del</w:t>
      </w:r>
      <w:r w:rsidR="005077EC" w:rsidRPr="00102F97">
        <w:rPr>
          <w:rFonts w:ascii="Times New Roman" w:hAnsi="Times New Roman" w:cs="Times New Roman"/>
          <w:sz w:val="24"/>
          <w:szCs w:val="24"/>
          <w:lang w:val="es-CO"/>
        </w:rPr>
        <w:t xml:space="preserve"> banc</w:t>
      </w:r>
      <w:r w:rsidR="00315787" w:rsidRPr="00102F97">
        <w:rPr>
          <w:rFonts w:ascii="Times New Roman" w:hAnsi="Times New Roman" w:cs="Times New Roman"/>
          <w:sz w:val="24"/>
          <w:szCs w:val="24"/>
          <w:lang w:val="es-CO"/>
        </w:rPr>
        <w:t xml:space="preserve">o central </w:t>
      </w:r>
      <w:r w:rsidR="00C83F3C" w:rsidRPr="00102F97">
        <w:rPr>
          <w:rFonts w:ascii="Times New Roman" w:hAnsi="Times New Roman" w:cs="Times New Roman"/>
          <w:sz w:val="24"/>
          <w:szCs w:val="24"/>
          <w:lang w:val="es-CO"/>
        </w:rPr>
        <w:t>realizadas por:</w:t>
      </w:r>
      <w:sdt>
        <w:sdtPr>
          <w:rPr>
            <w:rFonts w:ascii="Times New Roman" w:hAnsi="Times New Roman" w:cs="Times New Roman"/>
            <w:sz w:val="24"/>
            <w:szCs w:val="24"/>
            <w:lang w:val="es-CO"/>
          </w:rPr>
          <w:id w:val="6257289"/>
          <w:citation/>
        </w:sdtPr>
        <w:sdtEndPr/>
        <w:sdtContent>
          <w:r w:rsidR="00CF182F" w:rsidRPr="00102F97">
            <w:rPr>
              <w:rFonts w:ascii="Times New Roman" w:hAnsi="Times New Roman" w:cs="Times New Roman"/>
              <w:sz w:val="24"/>
              <w:szCs w:val="24"/>
              <w:lang w:val="es-CO"/>
            </w:rPr>
            <w:fldChar w:fldCharType="begin"/>
          </w:r>
          <w:r w:rsidR="008E5495" w:rsidRPr="00102F97">
            <w:rPr>
              <w:rFonts w:ascii="Times New Roman" w:hAnsi="Times New Roman" w:cs="Times New Roman"/>
              <w:sz w:val="24"/>
              <w:szCs w:val="24"/>
              <w:lang w:val="es-ES"/>
            </w:rPr>
            <w:instrText xml:space="preserve"> CITATION Asp93 \l 3082 </w:instrText>
          </w:r>
          <w:r w:rsidR="00CF182F" w:rsidRPr="00102F97">
            <w:rPr>
              <w:rFonts w:ascii="Times New Roman" w:hAnsi="Times New Roman" w:cs="Times New Roman"/>
              <w:sz w:val="24"/>
              <w:szCs w:val="24"/>
              <w:lang w:val="es-CO"/>
            </w:rPr>
            <w:fldChar w:fldCharType="separate"/>
          </w:r>
          <w:r w:rsidR="00902E84">
            <w:rPr>
              <w:rFonts w:ascii="Times New Roman" w:hAnsi="Times New Roman" w:cs="Times New Roman"/>
              <w:noProof/>
              <w:sz w:val="24"/>
              <w:szCs w:val="24"/>
              <w:lang w:val="es-ES"/>
            </w:rPr>
            <w:t xml:space="preserve"> </w:t>
          </w:r>
          <w:r w:rsidR="00902E84" w:rsidRPr="00902E84">
            <w:rPr>
              <w:rFonts w:ascii="Times New Roman" w:hAnsi="Times New Roman" w:cs="Times New Roman"/>
              <w:noProof/>
              <w:sz w:val="24"/>
              <w:szCs w:val="24"/>
              <w:lang w:val="es-ES"/>
            </w:rPr>
            <w:t>(Aspe Armella, 1993)</w:t>
          </w:r>
          <w:r w:rsidR="00CF182F" w:rsidRPr="00102F97">
            <w:rPr>
              <w:rFonts w:ascii="Times New Roman" w:hAnsi="Times New Roman" w:cs="Times New Roman"/>
              <w:sz w:val="24"/>
              <w:szCs w:val="24"/>
              <w:lang w:val="es-CO"/>
            </w:rPr>
            <w:fldChar w:fldCharType="end"/>
          </w:r>
        </w:sdtContent>
      </w:sdt>
      <w:r w:rsidR="008E5495" w:rsidRPr="00102F97">
        <w:rPr>
          <w:rFonts w:ascii="Times New Roman" w:hAnsi="Times New Roman" w:cs="Times New Roman"/>
          <w:sz w:val="24"/>
          <w:szCs w:val="24"/>
          <w:lang w:val="es-CO"/>
        </w:rPr>
        <w:t xml:space="preserve">, </w:t>
      </w:r>
      <w:sdt>
        <w:sdtPr>
          <w:rPr>
            <w:rFonts w:ascii="Times New Roman" w:hAnsi="Times New Roman" w:cs="Times New Roman"/>
            <w:sz w:val="24"/>
            <w:szCs w:val="24"/>
            <w:lang w:val="es-CO"/>
          </w:rPr>
          <w:id w:val="6257287"/>
          <w:citation/>
        </w:sdtPr>
        <w:sdtEndPr/>
        <w:sdtContent>
          <w:r w:rsidR="00CF182F" w:rsidRPr="00102F97">
            <w:rPr>
              <w:rFonts w:ascii="Times New Roman" w:hAnsi="Times New Roman" w:cs="Times New Roman"/>
              <w:sz w:val="24"/>
              <w:szCs w:val="24"/>
              <w:lang w:val="es-CO"/>
            </w:rPr>
            <w:fldChar w:fldCharType="begin"/>
          </w:r>
          <w:r w:rsidR="008E5495" w:rsidRPr="00102F97">
            <w:rPr>
              <w:rFonts w:ascii="Times New Roman" w:hAnsi="Times New Roman" w:cs="Times New Roman"/>
              <w:sz w:val="24"/>
              <w:szCs w:val="24"/>
              <w:lang w:val="es-ES"/>
            </w:rPr>
            <w:instrText xml:space="preserve"> CITATION Sch981 \l 3082 </w:instrText>
          </w:r>
          <w:r w:rsidR="00CF182F" w:rsidRPr="00102F97">
            <w:rPr>
              <w:rFonts w:ascii="Times New Roman" w:hAnsi="Times New Roman" w:cs="Times New Roman"/>
              <w:sz w:val="24"/>
              <w:szCs w:val="24"/>
              <w:lang w:val="es-CO"/>
            </w:rPr>
            <w:fldChar w:fldCharType="separate"/>
          </w:r>
          <w:r w:rsidR="00902E84" w:rsidRPr="00902E84">
            <w:rPr>
              <w:rFonts w:ascii="Times New Roman" w:hAnsi="Times New Roman" w:cs="Times New Roman"/>
              <w:noProof/>
              <w:sz w:val="24"/>
              <w:szCs w:val="24"/>
              <w:lang w:val="es-ES"/>
            </w:rPr>
            <w:t>(Schwartz Rosenthal, 1998)</w:t>
          </w:r>
          <w:r w:rsidR="00CF182F" w:rsidRPr="00102F97">
            <w:rPr>
              <w:rFonts w:ascii="Times New Roman" w:hAnsi="Times New Roman" w:cs="Times New Roman"/>
              <w:sz w:val="24"/>
              <w:szCs w:val="24"/>
              <w:lang w:val="es-CO"/>
            </w:rPr>
            <w:fldChar w:fldCharType="end"/>
          </w:r>
        </w:sdtContent>
      </w:sdt>
      <w:r w:rsidR="008E5495" w:rsidRPr="00102F97">
        <w:rPr>
          <w:rFonts w:ascii="Times New Roman" w:hAnsi="Times New Roman" w:cs="Times New Roman"/>
          <w:sz w:val="24"/>
          <w:szCs w:val="24"/>
          <w:lang w:val="es-CO"/>
        </w:rPr>
        <w:t xml:space="preserve">, </w:t>
      </w:r>
      <w:sdt>
        <w:sdtPr>
          <w:rPr>
            <w:rFonts w:ascii="Times New Roman" w:hAnsi="Times New Roman" w:cs="Times New Roman"/>
            <w:sz w:val="24"/>
            <w:szCs w:val="24"/>
            <w:lang w:val="es-CO"/>
          </w:rPr>
          <w:id w:val="6257288"/>
          <w:citation/>
        </w:sdtPr>
        <w:sdtEndPr/>
        <w:sdtContent>
          <w:r w:rsidR="00CF182F" w:rsidRPr="00102F97">
            <w:rPr>
              <w:rFonts w:ascii="Times New Roman" w:hAnsi="Times New Roman" w:cs="Times New Roman"/>
              <w:sz w:val="24"/>
              <w:szCs w:val="24"/>
              <w:lang w:val="es-CO"/>
            </w:rPr>
            <w:fldChar w:fldCharType="begin"/>
          </w:r>
          <w:r w:rsidR="005004FA" w:rsidRPr="00102F97">
            <w:rPr>
              <w:rFonts w:ascii="Times New Roman" w:hAnsi="Times New Roman" w:cs="Times New Roman"/>
              <w:sz w:val="24"/>
              <w:szCs w:val="24"/>
              <w:lang w:val="es-ES"/>
            </w:rPr>
            <w:instrText xml:space="preserve"> CITATION Ver983 \l 3082  </w:instrText>
          </w:r>
          <w:r w:rsidR="00CF182F" w:rsidRPr="00102F97">
            <w:rPr>
              <w:rFonts w:ascii="Times New Roman" w:hAnsi="Times New Roman" w:cs="Times New Roman"/>
              <w:sz w:val="24"/>
              <w:szCs w:val="24"/>
              <w:lang w:val="es-CO"/>
            </w:rPr>
            <w:fldChar w:fldCharType="separate"/>
          </w:r>
          <w:r w:rsidR="00902E84" w:rsidRPr="00902E84">
            <w:rPr>
              <w:rFonts w:ascii="Times New Roman" w:hAnsi="Times New Roman" w:cs="Times New Roman"/>
              <w:noProof/>
              <w:sz w:val="24"/>
              <w:szCs w:val="24"/>
              <w:lang w:val="es-ES"/>
            </w:rPr>
            <w:t>(Vergara, 1998)</w:t>
          </w:r>
          <w:r w:rsidR="00CF182F" w:rsidRPr="00102F97">
            <w:rPr>
              <w:rFonts w:ascii="Times New Roman" w:hAnsi="Times New Roman" w:cs="Times New Roman"/>
              <w:sz w:val="24"/>
              <w:szCs w:val="24"/>
              <w:lang w:val="es-CO"/>
            </w:rPr>
            <w:fldChar w:fldCharType="end"/>
          </w:r>
        </w:sdtContent>
      </w:sdt>
      <w:r w:rsidR="008E5495" w:rsidRPr="00102F97">
        <w:rPr>
          <w:rFonts w:ascii="Times New Roman" w:hAnsi="Times New Roman" w:cs="Times New Roman"/>
          <w:sz w:val="24"/>
          <w:szCs w:val="24"/>
          <w:lang w:val="es-CO"/>
        </w:rPr>
        <w:t xml:space="preserve">, </w:t>
      </w:r>
      <w:sdt>
        <w:sdtPr>
          <w:rPr>
            <w:rFonts w:ascii="Times New Roman" w:hAnsi="Times New Roman" w:cs="Times New Roman"/>
            <w:sz w:val="24"/>
            <w:szCs w:val="24"/>
            <w:lang w:val="es-CO"/>
          </w:rPr>
          <w:id w:val="6257290"/>
          <w:citation/>
        </w:sdtPr>
        <w:sdtEndPr/>
        <w:sdtContent>
          <w:r w:rsidR="00CF182F" w:rsidRPr="00102F97">
            <w:rPr>
              <w:rFonts w:ascii="Times New Roman" w:hAnsi="Times New Roman" w:cs="Times New Roman"/>
              <w:sz w:val="24"/>
              <w:szCs w:val="24"/>
              <w:lang w:val="es-CO"/>
            </w:rPr>
            <w:fldChar w:fldCharType="begin"/>
          </w:r>
          <w:r w:rsidR="008E5495" w:rsidRPr="00102F97">
            <w:rPr>
              <w:rFonts w:ascii="Times New Roman" w:hAnsi="Times New Roman" w:cs="Times New Roman"/>
              <w:sz w:val="24"/>
              <w:szCs w:val="24"/>
              <w:lang w:val="es-ES"/>
            </w:rPr>
            <w:instrText xml:space="preserve"> CITATION Gre97 \l 3082 </w:instrText>
          </w:r>
          <w:r w:rsidR="00CF182F" w:rsidRPr="00102F97">
            <w:rPr>
              <w:rFonts w:ascii="Times New Roman" w:hAnsi="Times New Roman" w:cs="Times New Roman"/>
              <w:sz w:val="24"/>
              <w:szCs w:val="24"/>
              <w:lang w:val="es-CO"/>
            </w:rPr>
            <w:fldChar w:fldCharType="separate"/>
          </w:r>
          <w:r w:rsidR="00902E84" w:rsidRPr="00902E84">
            <w:rPr>
              <w:rFonts w:ascii="Times New Roman" w:hAnsi="Times New Roman" w:cs="Times New Roman"/>
              <w:noProof/>
              <w:sz w:val="24"/>
              <w:szCs w:val="24"/>
              <w:lang w:val="es-ES"/>
            </w:rPr>
            <w:t>(Greenham Llorente, 1997)</w:t>
          </w:r>
          <w:r w:rsidR="00CF182F" w:rsidRPr="00102F97">
            <w:rPr>
              <w:rFonts w:ascii="Times New Roman" w:hAnsi="Times New Roman" w:cs="Times New Roman"/>
              <w:sz w:val="24"/>
              <w:szCs w:val="24"/>
              <w:lang w:val="es-CO"/>
            </w:rPr>
            <w:fldChar w:fldCharType="end"/>
          </w:r>
        </w:sdtContent>
      </w:sdt>
      <w:r w:rsidR="008E5495" w:rsidRPr="00102F97">
        <w:rPr>
          <w:rFonts w:ascii="Times New Roman" w:hAnsi="Times New Roman" w:cs="Times New Roman"/>
          <w:sz w:val="24"/>
          <w:szCs w:val="24"/>
          <w:lang w:val="es-CO"/>
        </w:rPr>
        <w:t xml:space="preserve">, </w:t>
      </w:r>
      <w:sdt>
        <w:sdtPr>
          <w:rPr>
            <w:rFonts w:ascii="Times New Roman" w:hAnsi="Times New Roman" w:cs="Times New Roman"/>
            <w:sz w:val="24"/>
            <w:szCs w:val="24"/>
            <w:lang w:val="es-CO"/>
          </w:rPr>
          <w:id w:val="6257293"/>
          <w:citation/>
        </w:sdtPr>
        <w:sdtEndPr/>
        <w:sdtContent>
          <w:r w:rsidR="00CF182F" w:rsidRPr="00102F97">
            <w:rPr>
              <w:rFonts w:ascii="Times New Roman" w:hAnsi="Times New Roman" w:cs="Times New Roman"/>
              <w:sz w:val="24"/>
              <w:szCs w:val="24"/>
              <w:lang w:val="es-CO"/>
            </w:rPr>
            <w:fldChar w:fldCharType="begin"/>
          </w:r>
          <w:r w:rsidR="008E5495" w:rsidRPr="00102F97">
            <w:rPr>
              <w:rFonts w:ascii="Times New Roman" w:hAnsi="Times New Roman" w:cs="Times New Roman"/>
              <w:sz w:val="24"/>
              <w:szCs w:val="24"/>
              <w:lang w:val="es-ES"/>
            </w:rPr>
            <w:instrText xml:space="preserve"> CITATION Abe04 \l 3082 </w:instrText>
          </w:r>
          <w:r w:rsidR="00CF182F" w:rsidRPr="00102F97">
            <w:rPr>
              <w:rFonts w:ascii="Times New Roman" w:hAnsi="Times New Roman" w:cs="Times New Roman"/>
              <w:sz w:val="24"/>
              <w:szCs w:val="24"/>
              <w:lang w:val="es-CO"/>
            </w:rPr>
            <w:fldChar w:fldCharType="separate"/>
          </w:r>
          <w:r w:rsidR="00902E84" w:rsidRPr="00902E84">
            <w:rPr>
              <w:rFonts w:ascii="Times New Roman" w:hAnsi="Times New Roman" w:cs="Times New Roman"/>
              <w:noProof/>
              <w:sz w:val="24"/>
              <w:szCs w:val="24"/>
              <w:lang w:val="es-ES"/>
            </w:rPr>
            <w:t>(Abel &amp; Bernanke, 2004)</w:t>
          </w:r>
          <w:r w:rsidR="00CF182F" w:rsidRPr="00102F97">
            <w:rPr>
              <w:rFonts w:ascii="Times New Roman" w:hAnsi="Times New Roman" w:cs="Times New Roman"/>
              <w:sz w:val="24"/>
              <w:szCs w:val="24"/>
              <w:lang w:val="es-CO"/>
            </w:rPr>
            <w:fldChar w:fldCharType="end"/>
          </w:r>
        </w:sdtContent>
      </w:sdt>
      <w:r w:rsidR="008E5495" w:rsidRPr="00102F97">
        <w:rPr>
          <w:rFonts w:ascii="Times New Roman" w:hAnsi="Times New Roman" w:cs="Times New Roman"/>
          <w:sz w:val="24"/>
          <w:szCs w:val="24"/>
          <w:lang w:val="es-CO"/>
        </w:rPr>
        <w:t xml:space="preserve">, </w:t>
      </w:r>
      <w:sdt>
        <w:sdtPr>
          <w:rPr>
            <w:rFonts w:ascii="Times New Roman" w:hAnsi="Times New Roman" w:cs="Times New Roman"/>
            <w:sz w:val="24"/>
            <w:szCs w:val="24"/>
            <w:lang w:val="es-CO"/>
          </w:rPr>
          <w:id w:val="6257292"/>
          <w:citation/>
        </w:sdtPr>
        <w:sdtEndPr/>
        <w:sdtContent>
          <w:r w:rsidR="00CF182F" w:rsidRPr="00102F97">
            <w:rPr>
              <w:rFonts w:ascii="Times New Roman" w:hAnsi="Times New Roman" w:cs="Times New Roman"/>
              <w:sz w:val="24"/>
              <w:szCs w:val="24"/>
              <w:lang w:val="es-CO"/>
            </w:rPr>
            <w:fldChar w:fldCharType="begin"/>
          </w:r>
          <w:r w:rsidR="008E5495" w:rsidRPr="00102F97">
            <w:rPr>
              <w:rFonts w:ascii="Times New Roman" w:hAnsi="Times New Roman" w:cs="Times New Roman"/>
              <w:sz w:val="24"/>
              <w:szCs w:val="24"/>
              <w:lang w:val="es-ES"/>
            </w:rPr>
            <w:instrText xml:space="preserve"> CITATION Cua \l 3082 </w:instrText>
          </w:r>
          <w:r w:rsidR="00CF182F" w:rsidRPr="00102F97">
            <w:rPr>
              <w:rFonts w:ascii="Times New Roman" w:hAnsi="Times New Roman" w:cs="Times New Roman"/>
              <w:sz w:val="24"/>
              <w:szCs w:val="24"/>
              <w:lang w:val="es-CO"/>
            </w:rPr>
            <w:fldChar w:fldCharType="separate"/>
          </w:r>
          <w:r w:rsidR="00902E84" w:rsidRPr="00902E84">
            <w:rPr>
              <w:rFonts w:ascii="Times New Roman" w:hAnsi="Times New Roman" w:cs="Times New Roman"/>
              <w:noProof/>
              <w:sz w:val="24"/>
              <w:szCs w:val="24"/>
              <w:lang w:val="es-ES"/>
            </w:rPr>
            <w:t>(Cuadrado, et al., 2006)</w:t>
          </w:r>
          <w:r w:rsidR="00CF182F" w:rsidRPr="00102F97">
            <w:rPr>
              <w:rFonts w:ascii="Times New Roman" w:hAnsi="Times New Roman" w:cs="Times New Roman"/>
              <w:sz w:val="24"/>
              <w:szCs w:val="24"/>
              <w:lang w:val="es-CO"/>
            </w:rPr>
            <w:fldChar w:fldCharType="end"/>
          </w:r>
        </w:sdtContent>
      </w:sdt>
      <w:r w:rsidR="008E5495" w:rsidRPr="00102F97">
        <w:rPr>
          <w:rFonts w:ascii="Times New Roman" w:hAnsi="Times New Roman" w:cs="Times New Roman"/>
          <w:sz w:val="24"/>
          <w:szCs w:val="24"/>
          <w:lang w:val="es-CO"/>
        </w:rPr>
        <w:t xml:space="preserve">, </w:t>
      </w:r>
      <w:sdt>
        <w:sdtPr>
          <w:rPr>
            <w:rFonts w:ascii="Times New Roman" w:hAnsi="Times New Roman" w:cs="Times New Roman"/>
            <w:sz w:val="24"/>
            <w:szCs w:val="24"/>
            <w:lang w:val="es-CO"/>
          </w:rPr>
          <w:id w:val="6257295"/>
          <w:citation/>
        </w:sdtPr>
        <w:sdtEndPr/>
        <w:sdtContent>
          <w:r w:rsidR="00CF182F" w:rsidRPr="00102F97">
            <w:rPr>
              <w:rFonts w:ascii="Times New Roman" w:hAnsi="Times New Roman" w:cs="Times New Roman"/>
              <w:sz w:val="24"/>
              <w:szCs w:val="24"/>
              <w:lang w:val="es-CO"/>
            </w:rPr>
            <w:fldChar w:fldCharType="begin"/>
          </w:r>
          <w:r w:rsidR="008E5495" w:rsidRPr="00102F97">
            <w:rPr>
              <w:rFonts w:ascii="Times New Roman" w:hAnsi="Times New Roman" w:cs="Times New Roman"/>
              <w:sz w:val="24"/>
              <w:szCs w:val="24"/>
              <w:lang w:val="es-ES"/>
            </w:rPr>
            <w:instrText xml:space="preserve"> CITATION Bla06 \l 3082 </w:instrText>
          </w:r>
          <w:r w:rsidR="00CF182F" w:rsidRPr="00102F97">
            <w:rPr>
              <w:rFonts w:ascii="Times New Roman" w:hAnsi="Times New Roman" w:cs="Times New Roman"/>
              <w:sz w:val="24"/>
              <w:szCs w:val="24"/>
              <w:lang w:val="es-CO"/>
            </w:rPr>
            <w:fldChar w:fldCharType="separate"/>
          </w:r>
          <w:r w:rsidR="00902E84" w:rsidRPr="00902E84">
            <w:rPr>
              <w:rFonts w:ascii="Times New Roman" w:hAnsi="Times New Roman" w:cs="Times New Roman"/>
              <w:noProof/>
              <w:sz w:val="24"/>
              <w:szCs w:val="24"/>
              <w:lang w:val="es-ES"/>
            </w:rPr>
            <w:t>(Blanchard, 2006)</w:t>
          </w:r>
          <w:r w:rsidR="00CF182F" w:rsidRPr="00102F97">
            <w:rPr>
              <w:rFonts w:ascii="Times New Roman" w:hAnsi="Times New Roman" w:cs="Times New Roman"/>
              <w:sz w:val="24"/>
              <w:szCs w:val="24"/>
              <w:lang w:val="es-CO"/>
            </w:rPr>
            <w:fldChar w:fldCharType="end"/>
          </w:r>
        </w:sdtContent>
      </w:sdt>
      <w:r w:rsidR="004C10D0" w:rsidRPr="00102F97">
        <w:rPr>
          <w:rFonts w:ascii="Times New Roman" w:hAnsi="Times New Roman" w:cs="Times New Roman"/>
          <w:sz w:val="24"/>
          <w:szCs w:val="24"/>
          <w:lang w:val="es-CO"/>
        </w:rPr>
        <w:t xml:space="preserve">, </w:t>
      </w:r>
      <w:sdt>
        <w:sdtPr>
          <w:rPr>
            <w:rFonts w:ascii="Times New Roman" w:hAnsi="Times New Roman" w:cs="Times New Roman"/>
            <w:sz w:val="24"/>
            <w:szCs w:val="24"/>
            <w:lang w:val="es-CO"/>
          </w:rPr>
          <w:id w:val="6257291"/>
          <w:citation/>
        </w:sdtPr>
        <w:sdtEndPr/>
        <w:sdtContent>
          <w:r w:rsidR="00CF182F" w:rsidRPr="00102F97">
            <w:rPr>
              <w:rFonts w:ascii="Times New Roman" w:hAnsi="Times New Roman" w:cs="Times New Roman"/>
              <w:sz w:val="24"/>
              <w:szCs w:val="24"/>
              <w:lang w:val="es-CO"/>
            </w:rPr>
            <w:fldChar w:fldCharType="begin"/>
          </w:r>
          <w:r w:rsidR="008E5495" w:rsidRPr="00102F97">
            <w:rPr>
              <w:rFonts w:ascii="Times New Roman" w:hAnsi="Times New Roman" w:cs="Times New Roman"/>
              <w:sz w:val="24"/>
              <w:szCs w:val="24"/>
              <w:lang w:val="es-ES"/>
            </w:rPr>
            <w:instrText xml:space="preserve"> CITATION Kru07 \l 3082 </w:instrText>
          </w:r>
          <w:r w:rsidR="00CF182F" w:rsidRPr="00102F97">
            <w:rPr>
              <w:rFonts w:ascii="Times New Roman" w:hAnsi="Times New Roman" w:cs="Times New Roman"/>
              <w:sz w:val="24"/>
              <w:szCs w:val="24"/>
              <w:lang w:val="es-CO"/>
            </w:rPr>
            <w:fldChar w:fldCharType="separate"/>
          </w:r>
          <w:r w:rsidR="00902E84" w:rsidRPr="00902E84">
            <w:rPr>
              <w:rFonts w:ascii="Times New Roman" w:hAnsi="Times New Roman" w:cs="Times New Roman"/>
              <w:noProof/>
              <w:sz w:val="24"/>
              <w:szCs w:val="24"/>
              <w:lang w:val="es-ES"/>
            </w:rPr>
            <w:t>(Krugman &amp; Obstfeld, 2007)</w:t>
          </w:r>
          <w:r w:rsidR="00CF182F" w:rsidRPr="00102F97">
            <w:rPr>
              <w:rFonts w:ascii="Times New Roman" w:hAnsi="Times New Roman" w:cs="Times New Roman"/>
              <w:sz w:val="24"/>
              <w:szCs w:val="24"/>
              <w:lang w:val="es-CO"/>
            </w:rPr>
            <w:fldChar w:fldCharType="end"/>
          </w:r>
        </w:sdtContent>
      </w:sdt>
      <w:r w:rsidR="008E5495" w:rsidRPr="00102F97">
        <w:rPr>
          <w:rFonts w:ascii="Times New Roman" w:hAnsi="Times New Roman" w:cs="Times New Roman"/>
          <w:sz w:val="24"/>
          <w:szCs w:val="24"/>
          <w:lang w:val="es-CO"/>
        </w:rPr>
        <w:t>,</w:t>
      </w:r>
      <w:r w:rsidR="004C10D0" w:rsidRPr="00102F97">
        <w:rPr>
          <w:rFonts w:ascii="Times New Roman" w:hAnsi="Times New Roman" w:cs="Times New Roman"/>
          <w:sz w:val="24"/>
          <w:szCs w:val="24"/>
          <w:lang w:val="es-CO"/>
        </w:rPr>
        <w:t xml:space="preserve"> entre otros.</w:t>
      </w:r>
      <w:r w:rsidR="001727EA" w:rsidRPr="00102F97">
        <w:rPr>
          <w:rFonts w:ascii="Times New Roman" w:hAnsi="Times New Roman" w:cs="Times New Roman"/>
          <w:sz w:val="24"/>
          <w:szCs w:val="24"/>
          <w:lang w:val="es-CO"/>
        </w:rPr>
        <w:t xml:space="preserve"> </w:t>
      </w:r>
    </w:p>
    <w:p w:rsidR="00B85966" w:rsidRPr="00102F97" w:rsidRDefault="00B85966" w:rsidP="00B85966">
      <w:pPr>
        <w:spacing w:after="0"/>
        <w:jc w:val="both"/>
        <w:rPr>
          <w:rFonts w:ascii="Times New Roman" w:hAnsi="Times New Roman" w:cs="Times New Roman"/>
          <w:sz w:val="24"/>
          <w:szCs w:val="24"/>
          <w:lang w:val="es-CO"/>
        </w:rPr>
      </w:pPr>
    </w:p>
    <w:p w:rsidR="00FA1ADC" w:rsidRPr="00102F97" w:rsidRDefault="00B82CA1" w:rsidP="00B85966">
      <w:pPr>
        <w:spacing w:after="0"/>
        <w:jc w:val="both"/>
        <w:rPr>
          <w:rFonts w:ascii="Times New Roman" w:hAnsi="Times New Roman" w:cs="Times New Roman"/>
          <w:sz w:val="24"/>
          <w:szCs w:val="24"/>
          <w:lang w:val="es-CO"/>
        </w:rPr>
      </w:pPr>
      <w:r>
        <w:rPr>
          <w:rFonts w:ascii="Times New Roman" w:hAnsi="Times New Roman" w:cs="Times New Roman"/>
          <w:sz w:val="24"/>
          <w:szCs w:val="24"/>
          <w:lang w:val="es-CO"/>
        </w:rPr>
        <w:t>También, se recabó</w:t>
      </w:r>
      <w:r w:rsidR="00B85966" w:rsidRPr="00102F97">
        <w:rPr>
          <w:rFonts w:ascii="Times New Roman" w:hAnsi="Times New Roman" w:cs="Times New Roman"/>
          <w:sz w:val="24"/>
          <w:szCs w:val="24"/>
          <w:lang w:val="es-CO"/>
        </w:rPr>
        <w:t xml:space="preserve"> información de los</w:t>
      </w:r>
      <w:r w:rsidR="00D542B8" w:rsidRPr="00102F97">
        <w:rPr>
          <w:rFonts w:ascii="Times New Roman" w:hAnsi="Times New Roman" w:cs="Times New Roman"/>
          <w:sz w:val="24"/>
          <w:szCs w:val="24"/>
          <w:lang w:val="es-CO"/>
        </w:rPr>
        <w:t xml:space="preserve"> informes anuales, artículos, </w:t>
      </w:r>
      <w:r w:rsidR="005B0AE5" w:rsidRPr="00102F97">
        <w:rPr>
          <w:rFonts w:ascii="Times New Roman" w:hAnsi="Times New Roman" w:cs="Times New Roman"/>
          <w:sz w:val="24"/>
          <w:szCs w:val="24"/>
          <w:lang w:val="es-CO"/>
        </w:rPr>
        <w:t xml:space="preserve">publicaciones, </w:t>
      </w:r>
      <w:r w:rsidR="002D7364" w:rsidRPr="00102F97">
        <w:rPr>
          <w:rFonts w:ascii="Times New Roman" w:hAnsi="Times New Roman" w:cs="Times New Roman"/>
          <w:sz w:val="24"/>
          <w:szCs w:val="24"/>
          <w:lang w:val="es-CO"/>
        </w:rPr>
        <w:t>comunic</w:t>
      </w:r>
      <w:r w:rsidR="00837DC9" w:rsidRPr="00102F97">
        <w:rPr>
          <w:rFonts w:ascii="Times New Roman" w:hAnsi="Times New Roman" w:cs="Times New Roman"/>
          <w:sz w:val="24"/>
          <w:szCs w:val="24"/>
          <w:lang w:val="es-CO"/>
        </w:rPr>
        <w:t>ados de pre</w:t>
      </w:r>
      <w:r>
        <w:rPr>
          <w:rFonts w:ascii="Times New Roman" w:hAnsi="Times New Roman" w:cs="Times New Roman"/>
          <w:sz w:val="24"/>
          <w:szCs w:val="24"/>
          <w:lang w:val="es-CO"/>
        </w:rPr>
        <w:t>n</w:t>
      </w:r>
      <w:r w:rsidR="00837DC9" w:rsidRPr="00102F97">
        <w:rPr>
          <w:rFonts w:ascii="Times New Roman" w:hAnsi="Times New Roman" w:cs="Times New Roman"/>
          <w:sz w:val="24"/>
          <w:szCs w:val="24"/>
          <w:lang w:val="es-CO"/>
        </w:rPr>
        <w:t>sa, investigaciones y documentos</w:t>
      </w:r>
      <w:r w:rsidR="002D7364" w:rsidRPr="00102F97">
        <w:rPr>
          <w:rFonts w:ascii="Times New Roman" w:hAnsi="Times New Roman" w:cs="Times New Roman"/>
          <w:sz w:val="24"/>
          <w:szCs w:val="24"/>
          <w:lang w:val="es-CO"/>
        </w:rPr>
        <w:t xml:space="preserve"> oficial</w:t>
      </w:r>
      <w:r w:rsidR="00837DC9" w:rsidRPr="00102F97">
        <w:rPr>
          <w:rFonts w:ascii="Times New Roman" w:hAnsi="Times New Roman" w:cs="Times New Roman"/>
          <w:sz w:val="24"/>
          <w:szCs w:val="24"/>
          <w:lang w:val="es-CO"/>
        </w:rPr>
        <w:t>es</w:t>
      </w:r>
      <w:r w:rsidR="002D7364" w:rsidRPr="00102F97">
        <w:rPr>
          <w:rFonts w:ascii="Times New Roman" w:hAnsi="Times New Roman" w:cs="Times New Roman"/>
          <w:sz w:val="24"/>
          <w:szCs w:val="24"/>
          <w:lang w:val="es-CO"/>
        </w:rPr>
        <w:t xml:space="preserve"> del Banco de México para docu</w:t>
      </w:r>
      <w:r w:rsidR="001251C8" w:rsidRPr="00102F97">
        <w:rPr>
          <w:rFonts w:ascii="Times New Roman" w:hAnsi="Times New Roman" w:cs="Times New Roman"/>
          <w:sz w:val="24"/>
          <w:szCs w:val="24"/>
          <w:lang w:val="es-CO"/>
        </w:rPr>
        <w:t>mentar acerca de la</w:t>
      </w:r>
      <w:r w:rsidR="00C83F3C" w:rsidRPr="00102F97">
        <w:rPr>
          <w:rFonts w:ascii="Times New Roman" w:hAnsi="Times New Roman" w:cs="Times New Roman"/>
          <w:sz w:val="24"/>
          <w:szCs w:val="24"/>
          <w:lang w:val="es-CO"/>
        </w:rPr>
        <w:t xml:space="preserve"> evolución de la instrumentación y conducción de política mone</w:t>
      </w:r>
      <w:r w:rsidR="00A02EB7" w:rsidRPr="00102F97">
        <w:rPr>
          <w:rFonts w:ascii="Times New Roman" w:hAnsi="Times New Roman" w:cs="Times New Roman"/>
          <w:sz w:val="24"/>
          <w:szCs w:val="24"/>
          <w:lang w:val="es-CO"/>
        </w:rPr>
        <w:t xml:space="preserve">taria en México </w:t>
      </w:r>
      <w:r w:rsidR="00E87467" w:rsidRPr="00102F97">
        <w:rPr>
          <w:rFonts w:ascii="Times New Roman" w:hAnsi="Times New Roman" w:cs="Times New Roman"/>
          <w:sz w:val="24"/>
          <w:szCs w:val="24"/>
          <w:lang w:val="es-CO"/>
        </w:rPr>
        <w:t>de l</w:t>
      </w:r>
      <w:r w:rsidR="00C83F3C" w:rsidRPr="00102F97">
        <w:rPr>
          <w:rFonts w:ascii="Times New Roman" w:hAnsi="Times New Roman" w:cs="Times New Roman"/>
          <w:sz w:val="24"/>
          <w:szCs w:val="24"/>
          <w:lang w:val="es-CO"/>
        </w:rPr>
        <w:t>os ú</w:t>
      </w:r>
      <w:r w:rsidR="00241284" w:rsidRPr="00102F97">
        <w:rPr>
          <w:rFonts w:ascii="Times New Roman" w:hAnsi="Times New Roman" w:cs="Times New Roman"/>
          <w:sz w:val="24"/>
          <w:szCs w:val="24"/>
          <w:lang w:val="es-CO"/>
        </w:rPr>
        <w:t>ltimos treinta años (1982-2012)</w:t>
      </w:r>
      <w:r>
        <w:rPr>
          <w:rFonts w:ascii="Times New Roman" w:hAnsi="Times New Roman" w:cs="Times New Roman"/>
          <w:sz w:val="24"/>
          <w:szCs w:val="24"/>
          <w:lang w:val="es-CO"/>
        </w:rPr>
        <w:t xml:space="preserve">. </w:t>
      </w:r>
      <w:r w:rsidR="00AD695E" w:rsidRPr="00102F97">
        <w:rPr>
          <w:rFonts w:ascii="Times New Roman" w:hAnsi="Times New Roman" w:cs="Times New Roman"/>
          <w:sz w:val="24"/>
          <w:szCs w:val="24"/>
          <w:lang w:val="es-CO"/>
        </w:rPr>
        <w:t xml:space="preserve">Entre algunas de las </w:t>
      </w:r>
      <w:r w:rsidR="005A7BE3" w:rsidRPr="00102F97">
        <w:rPr>
          <w:rFonts w:ascii="Times New Roman" w:hAnsi="Times New Roman" w:cs="Times New Roman"/>
          <w:sz w:val="24"/>
          <w:szCs w:val="24"/>
          <w:lang w:val="es-CO"/>
        </w:rPr>
        <w:t>aportaciones teóricas e investigaciones</w:t>
      </w:r>
      <w:r>
        <w:rPr>
          <w:rFonts w:ascii="Times New Roman" w:hAnsi="Times New Roman" w:cs="Times New Roman"/>
          <w:sz w:val="24"/>
          <w:szCs w:val="24"/>
          <w:lang w:val="es-CO"/>
        </w:rPr>
        <w:t xml:space="preserve"> económicas que se revisaron</w:t>
      </w:r>
      <w:r w:rsidR="00B85966" w:rsidRPr="00102F97">
        <w:rPr>
          <w:rFonts w:ascii="Times New Roman" w:hAnsi="Times New Roman" w:cs="Times New Roman"/>
          <w:sz w:val="24"/>
          <w:szCs w:val="24"/>
          <w:lang w:val="es-CO"/>
        </w:rPr>
        <w:t xml:space="preserve"> se encuentran las de</w:t>
      </w:r>
      <w:r w:rsidR="005A7BE3" w:rsidRPr="00102F97">
        <w:rPr>
          <w:rFonts w:ascii="Times New Roman" w:hAnsi="Times New Roman" w:cs="Times New Roman"/>
          <w:sz w:val="24"/>
          <w:szCs w:val="24"/>
          <w:lang w:val="es-CO"/>
        </w:rPr>
        <w:t xml:space="preserve">: </w:t>
      </w:r>
      <w:sdt>
        <w:sdtPr>
          <w:rPr>
            <w:rFonts w:ascii="Times New Roman" w:hAnsi="Times New Roman" w:cs="Times New Roman"/>
            <w:sz w:val="24"/>
            <w:szCs w:val="24"/>
            <w:lang w:val="es-CO"/>
          </w:rPr>
          <w:id w:val="199460"/>
          <w:citation/>
        </w:sdtPr>
        <w:sdtEndPr/>
        <w:sdtContent>
          <w:r w:rsidR="00CF182F" w:rsidRPr="00102F97">
            <w:rPr>
              <w:rFonts w:ascii="Times New Roman" w:hAnsi="Times New Roman" w:cs="Times New Roman"/>
              <w:sz w:val="24"/>
              <w:szCs w:val="24"/>
              <w:lang w:val="es-CO"/>
            </w:rPr>
            <w:fldChar w:fldCharType="begin"/>
          </w:r>
          <w:r w:rsidR="005A7BE3" w:rsidRPr="00102F97">
            <w:rPr>
              <w:rFonts w:ascii="Times New Roman" w:hAnsi="Times New Roman" w:cs="Times New Roman"/>
              <w:sz w:val="24"/>
              <w:szCs w:val="24"/>
              <w:lang w:val="es-ES"/>
            </w:rPr>
            <w:instrText xml:space="preserve"> CITATION Gar10 \l 3082 </w:instrText>
          </w:r>
          <w:r w:rsidR="00CF182F" w:rsidRPr="00102F97">
            <w:rPr>
              <w:rFonts w:ascii="Times New Roman" w:hAnsi="Times New Roman" w:cs="Times New Roman"/>
              <w:sz w:val="24"/>
              <w:szCs w:val="24"/>
              <w:lang w:val="es-CO"/>
            </w:rPr>
            <w:fldChar w:fldCharType="separate"/>
          </w:r>
          <w:r w:rsidR="00902E84" w:rsidRPr="00902E84">
            <w:rPr>
              <w:rFonts w:ascii="Times New Roman" w:hAnsi="Times New Roman" w:cs="Times New Roman"/>
              <w:noProof/>
              <w:sz w:val="24"/>
              <w:szCs w:val="24"/>
              <w:lang w:val="es-ES"/>
            </w:rPr>
            <w:t>(Garriga, 2010)</w:t>
          </w:r>
          <w:r w:rsidR="00CF182F" w:rsidRPr="00102F97">
            <w:rPr>
              <w:rFonts w:ascii="Times New Roman" w:hAnsi="Times New Roman" w:cs="Times New Roman"/>
              <w:sz w:val="24"/>
              <w:szCs w:val="24"/>
              <w:lang w:val="es-CO"/>
            </w:rPr>
            <w:fldChar w:fldCharType="end"/>
          </w:r>
        </w:sdtContent>
      </w:sdt>
      <w:sdt>
        <w:sdtPr>
          <w:rPr>
            <w:rFonts w:ascii="Times New Roman" w:hAnsi="Times New Roman" w:cs="Times New Roman"/>
            <w:sz w:val="24"/>
            <w:szCs w:val="24"/>
            <w:lang w:val="es-CO"/>
          </w:rPr>
          <w:id w:val="199461"/>
          <w:citation/>
        </w:sdtPr>
        <w:sdtEndPr/>
        <w:sdtContent>
          <w:r w:rsidR="00CF182F" w:rsidRPr="00102F97">
            <w:rPr>
              <w:rFonts w:ascii="Times New Roman" w:hAnsi="Times New Roman" w:cs="Times New Roman"/>
              <w:sz w:val="24"/>
              <w:szCs w:val="24"/>
              <w:lang w:val="es-CO"/>
            </w:rPr>
            <w:fldChar w:fldCharType="begin"/>
          </w:r>
          <w:r w:rsidR="005A7BE3" w:rsidRPr="00102F97">
            <w:rPr>
              <w:rFonts w:ascii="Times New Roman" w:hAnsi="Times New Roman" w:cs="Times New Roman"/>
              <w:sz w:val="24"/>
              <w:szCs w:val="24"/>
              <w:lang w:val="es-ES"/>
            </w:rPr>
            <w:instrText xml:space="preserve"> CITATION Jea09 \l 3082 </w:instrText>
          </w:r>
          <w:r w:rsidR="00CF182F" w:rsidRPr="00102F97">
            <w:rPr>
              <w:rFonts w:ascii="Times New Roman" w:hAnsi="Times New Roman" w:cs="Times New Roman"/>
              <w:sz w:val="24"/>
              <w:szCs w:val="24"/>
              <w:lang w:val="es-CO"/>
            </w:rPr>
            <w:fldChar w:fldCharType="separate"/>
          </w:r>
          <w:r w:rsidR="00902E84">
            <w:rPr>
              <w:rFonts w:ascii="Times New Roman" w:hAnsi="Times New Roman" w:cs="Times New Roman"/>
              <w:noProof/>
              <w:sz w:val="24"/>
              <w:szCs w:val="24"/>
              <w:lang w:val="es-ES"/>
            </w:rPr>
            <w:t xml:space="preserve"> </w:t>
          </w:r>
          <w:r w:rsidR="00902E84" w:rsidRPr="00902E84">
            <w:rPr>
              <w:rFonts w:ascii="Times New Roman" w:hAnsi="Times New Roman" w:cs="Times New Roman"/>
              <w:noProof/>
              <w:sz w:val="24"/>
              <w:szCs w:val="24"/>
              <w:lang w:val="es-ES"/>
            </w:rPr>
            <w:t>(Jeanneau &amp; Tovar, 2009)</w:t>
          </w:r>
          <w:r w:rsidR="00CF182F" w:rsidRPr="00102F97">
            <w:rPr>
              <w:rFonts w:ascii="Times New Roman" w:hAnsi="Times New Roman" w:cs="Times New Roman"/>
              <w:sz w:val="24"/>
              <w:szCs w:val="24"/>
              <w:lang w:val="es-CO"/>
            </w:rPr>
            <w:fldChar w:fldCharType="end"/>
          </w:r>
        </w:sdtContent>
      </w:sdt>
      <w:sdt>
        <w:sdtPr>
          <w:rPr>
            <w:rFonts w:ascii="Times New Roman" w:hAnsi="Times New Roman" w:cs="Times New Roman"/>
            <w:sz w:val="24"/>
            <w:szCs w:val="24"/>
            <w:lang w:val="es-CO"/>
          </w:rPr>
          <w:id w:val="199462"/>
          <w:citation/>
        </w:sdtPr>
        <w:sdtEndPr/>
        <w:sdtContent>
          <w:r w:rsidR="00CF182F" w:rsidRPr="00102F97">
            <w:rPr>
              <w:rFonts w:ascii="Times New Roman" w:hAnsi="Times New Roman" w:cs="Times New Roman"/>
              <w:sz w:val="24"/>
              <w:szCs w:val="24"/>
              <w:lang w:val="es-CO"/>
            </w:rPr>
            <w:fldChar w:fldCharType="begin"/>
          </w:r>
          <w:r w:rsidR="005A7BE3" w:rsidRPr="00102F97">
            <w:rPr>
              <w:rFonts w:ascii="Times New Roman" w:hAnsi="Times New Roman" w:cs="Times New Roman"/>
              <w:sz w:val="24"/>
              <w:szCs w:val="24"/>
              <w:lang w:val="es-ES"/>
            </w:rPr>
            <w:instrText xml:space="preserve"> CITATION MarcadorDePosición3 \l 3082 </w:instrText>
          </w:r>
          <w:r w:rsidR="00CF182F" w:rsidRPr="00102F97">
            <w:rPr>
              <w:rFonts w:ascii="Times New Roman" w:hAnsi="Times New Roman" w:cs="Times New Roman"/>
              <w:sz w:val="24"/>
              <w:szCs w:val="24"/>
              <w:lang w:val="es-CO"/>
            </w:rPr>
            <w:fldChar w:fldCharType="separate"/>
          </w:r>
          <w:r w:rsidR="00902E84">
            <w:rPr>
              <w:rFonts w:ascii="Times New Roman" w:hAnsi="Times New Roman" w:cs="Times New Roman"/>
              <w:noProof/>
              <w:sz w:val="24"/>
              <w:szCs w:val="24"/>
              <w:lang w:val="es-ES"/>
            </w:rPr>
            <w:t xml:space="preserve"> </w:t>
          </w:r>
          <w:r w:rsidR="00902E84" w:rsidRPr="00902E84">
            <w:rPr>
              <w:rFonts w:ascii="Times New Roman" w:hAnsi="Times New Roman" w:cs="Times New Roman"/>
              <w:noProof/>
              <w:sz w:val="24"/>
              <w:szCs w:val="24"/>
              <w:lang w:val="es-ES"/>
            </w:rPr>
            <w:t>(Benavides &amp; Capistrán, 2009-2010)</w:t>
          </w:r>
          <w:r w:rsidR="00CF182F" w:rsidRPr="00102F97">
            <w:rPr>
              <w:rFonts w:ascii="Times New Roman" w:hAnsi="Times New Roman" w:cs="Times New Roman"/>
              <w:sz w:val="24"/>
              <w:szCs w:val="24"/>
              <w:lang w:val="es-CO"/>
            </w:rPr>
            <w:fldChar w:fldCharType="end"/>
          </w:r>
        </w:sdtContent>
      </w:sdt>
      <w:sdt>
        <w:sdtPr>
          <w:rPr>
            <w:rFonts w:ascii="Times New Roman" w:hAnsi="Times New Roman" w:cs="Times New Roman"/>
            <w:sz w:val="24"/>
            <w:szCs w:val="24"/>
            <w:lang w:val="es-CO"/>
          </w:rPr>
          <w:id w:val="199463"/>
          <w:citation/>
        </w:sdtPr>
        <w:sdtEndPr/>
        <w:sdtContent>
          <w:r w:rsidR="00CF182F" w:rsidRPr="00102F97">
            <w:rPr>
              <w:rFonts w:ascii="Times New Roman" w:hAnsi="Times New Roman" w:cs="Times New Roman"/>
              <w:sz w:val="24"/>
              <w:szCs w:val="24"/>
              <w:lang w:val="es-CO"/>
            </w:rPr>
            <w:fldChar w:fldCharType="begin"/>
          </w:r>
          <w:r w:rsidR="005A7BE3" w:rsidRPr="00102F97">
            <w:rPr>
              <w:rFonts w:ascii="Times New Roman" w:hAnsi="Times New Roman" w:cs="Times New Roman"/>
              <w:sz w:val="24"/>
              <w:szCs w:val="24"/>
              <w:lang w:val="es-ES"/>
            </w:rPr>
            <w:instrText xml:space="preserve"> CITATION Let09 \l 3082 </w:instrText>
          </w:r>
          <w:r w:rsidR="00CF182F" w:rsidRPr="00102F97">
            <w:rPr>
              <w:rFonts w:ascii="Times New Roman" w:hAnsi="Times New Roman" w:cs="Times New Roman"/>
              <w:sz w:val="24"/>
              <w:szCs w:val="24"/>
              <w:lang w:val="es-CO"/>
            </w:rPr>
            <w:fldChar w:fldCharType="separate"/>
          </w:r>
          <w:r w:rsidR="00902E84">
            <w:rPr>
              <w:rFonts w:ascii="Times New Roman" w:hAnsi="Times New Roman" w:cs="Times New Roman"/>
              <w:noProof/>
              <w:sz w:val="24"/>
              <w:szCs w:val="24"/>
              <w:lang w:val="es-ES"/>
            </w:rPr>
            <w:t xml:space="preserve"> </w:t>
          </w:r>
          <w:r w:rsidR="00902E84" w:rsidRPr="00902E84">
            <w:rPr>
              <w:rFonts w:ascii="Times New Roman" w:hAnsi="Times New Roman" w:cs="Times New Roman"/>
              <w:noProof/>
              <w:sz w:val="24"/>
              <w:szCs w:val="24"/>
              <w:lang w:val="es-ES"/>
            </w:rPr>
            <w:t>(Hernández, 2009)</w:t>
          </w:r>
          <w:r w:rsidR="00CF182F" w:rsidRPr="00102F97">
            <w:rPr>
              <w:rFonts w:ascii="Times New Roman" w:hAnsi="Times New Roman" w:cs="Times New Roman"/>
              <w:sz w:val="24"/>
              <w:szCs w:val="24"/>
              <w:lang w:val="es-CO"/>
            </w:rPr>
            <w:fldChar w:fldCharType="end"/>
          </w:r>
        </w:sdtContent>
      </w:sdt>
      <w:r w:rsidR="00B85966" w:rsidRPr="00102F97">
        <w:rPr>
          <w:rFonts w:ascii="Times New Roman" w:hAnsi="Times New Roman" w:cs="Times New Roman"/>
          <w:sz w:val="24"/>
          <w:szCs w:val="24"/>
          <w:lang w:val="es-CO"/>
        </w:rPr>
        <w:t xml:space="preserve"> etc.</w:t>
      </w:r>
    </w:p>
    <w:p w:rsidR="00B85966" w:rsidRPr="00102F97" w:rsidRDefault="00B85966" w:rsidP="00B85966">
      <w:pPr>
        <w:spacing w:after="0"/>
        <w:jc w:val="both"/>
        <w:rPr>
          <w:rFonts w:ascii="Times New Roman" w:hAnsi="Times New Roman" w:cs="Times New Roman"/>
          <w:sz w:val="24"/>
          <w:szCs w:val="24"/>
          <w:lang w:val="es-CO"/>
        </w:rPr>
      </w:pPr>
    </w:p>
    <w:p w:rsidR="00B85966" w:rsidRPr="00102F97" w:rsidRDefault="00B82CA1" w:rsidP="00B904B7">
      <w:pPr>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¿Por qué se dice que fue </w:t>
      </w:r>
      <w:r w:rsidR="00F3388F" w:rsidRPr="00102F97">
        <w:rPr>
          <w:rFonts w:ascii="Times New Roman" w:hAnsi="Times New Roman" w:cs="Times New Roman"/>
          <w:sz w:val="24"/>
          <w:szCs w:val="24"/>
          <w:lang w:val="es-CO"/>
        </w:rPr>
        <w:t>cuantitativa? Porque a</w:t>
      </w:r>
      <w:r w:rsidR="000D7AA4" w:rsidRPr="00102F97">
        <w:rPr>
          <w:rFonts w:ascii="Times New Roman" w:hAnsi="Times New Roman" w:cs="Times New Roman"/>
          <w:sz w:val="24"/>
          <w:szCs w:val="24"/>
          <w:lang w:val="es-CO"/>
        </w:rPr>
        <w:t>fín de comprobar la efectividad de la tasas de interés como objetivo operacional del Banco de México para transmitir su postura de política monetaria</w:t>
      </w:r>
      <w:r w:rsidR="00B85966" w:rsidRPr="00102F97">
        <w:rPr>
          <w:rFonts w:ascii="Times New Roman" w:hAnsi="Times New Roman" w:cs="Times New Roman"/>
          <w:sz w:val="24"/>
          <w:szCs w:val="24"/>
          <w:lang w:val="es-CO"/>
        </w:rPr>
        <w:t>,</w:t>
      </w:r>
      <w:r w:rsidR="00C43515" w:rsidRPr="00102F97">
        <w:rPr>
          <w:rFonts w:ascii="Times New Roman" w:hAnsi="Times New Roman" w:cs="Times New Roman"/>
          <w:sz w:val="24"/>
          <w:szCs w:val="24"/>
          <w:lang w:val="es-CO"/>
        </w:rPr>
        <w:t xml:space="preserve"> se</w:t>
      </w:r>
      <w:r w:rsidR="00B85966" w:rsidRPr="00102F97">
        <w:rPr>
          <w:rFonts w:ascii="Times New Roman" w:hAnsi="Times New Roman" w:cs="Times New Roman"/>
          <w:sz w:val="24"/>
          <w:szCs w:val="24"/>
          <w:lang w:val="es-CO"/>
        </w:rPr>
        <w:t xml:space="preserve"> </w:t>
      </w:r>
      <w:r>
        <w:rPr>
          <w:rFonts w:ascii="Times New Roman" w:hAnsi="Times New Roman" w:cs="Times New Roman"/>
          <w:sz w:val="24"/>
          <w:szCs w:val="24"/>
          <w:lang w:val="es-CO"/>
        </w:rPr>
        <w:t>retomó</w:t>
      </w:r>
      <w:r w:rsidR="00EE0B79" w:rsidRPr="00102F97">
        <w:rPr>
          <w:rFonts w:ascii="Times New Roman" w:hAnsi="Times New Roman" w:cs="Times New Roman"/>
          <w:sz w:val="24"/>
          <w:szCs w:val="24"/>
          <w:lang w:val="es-CO"/>
        </w:rPr>
        <w:t xml:space="preserve"> la metodología </w:t>
      </w:r>
      <w:r w:rsidR="00C43515" w:rsidRPr="00102F97">
        <w:rPr>
          <w:rFonts w:ascii="Times New Roman" w:hAnsi="Times New Roman" w:cs="Times New Roman"/>
          <w:sz w:val="24"/>
          <w:szCs w:val="24"/>
          <w:lang w:val="es-CO"/>
        </w:rPr>
        <w:t xml:space="preserve">econométrica </w:t>
      </w:r>
      <w:r w:rsidR="0004258C" w:rsidRPr="00102F97">
        <w:rPr>
          <w:rFonts w:ascii="Times New Roman" w:hAnsi="Times New Roman" w:cs="Times New Roman"/>
          <w:sz w:val="24"/>
          <w:szCs w:val="24"/>
          <w:lang w:val="es-CO"/>
        </w:rPr>
        <w:t xml:space="preserve">utilizada en </w:t>
      </w:r>
      <w:r w:rsidR="00EE0B79" w:rsidRPr="00102F97">
        <w:rPr>
          <w:rFonts w:ascii="Times New Roman" w:hAnsi="Times New Roman" w:cs="Times New Roman"/>
          <w:sz w:val="24"/>
          <w:szCs w:val="24"/>
          <w:lang w:val="es-CO"/>
        </w:rPr>
        <w:t>el</w:t>
      </w:r>
      <w:r w:rsidR="00A02EB7" w:rsidRPr="00102F97">
        <w:rPr>
          <w:rFonts w:ascii="Times New Roman" w:hAnsi="Times New Roman" w:cs="Times New Roman"/>
          <w:sz w:val="24"/>
          <w:szCs w:val="24"/>
          <w:lang w:val="es-CO"/>
        </w:rPr>
        <w:t xml:space="preserve"> documento de investigación de </w:t>
      </w:r>
      <w:sdt>
        <w:sdtPr>
          <w:rPr>
            <w:rFonts w:ascii="Times New Roman" w:hAnsi="Times New Roman" w:cs="Times New Roman"/>
            <w:sz w:val="24"/>
            <w:szCs w:val="24"/>
            <w:lang w:val="es-CO"/>
          </w:rPr>
          <w:id w:val="678711"/>
          <w:citation/>
        </w:sdtPr>
        <w:sdtEndPr/>
        <w:sdtContent>
          <w:r w:rsidR="00CF182F" w:rsidRPr="00102F97">
            <w:rPr>
              <w:rFonts w:ascii="Times New Roman" w:hAnsi="Times New Roman" w:cs="Times New Roman"/>
              <w:sz w:val="24"/>
              <w:szCs w:val="24"/>
              <w:lang w:val="es-CO"/>
            </w:rPr>
            <w:fldChar w:fldCharType="begin"/>
          </w:r>
          <w:r w:rsidR="00DB791E" w:rsidRPr="00102F97">
            <w:rPr>
              <w:rFonts w:ascii="Times New Roman" w:hAnsi="Times New Roman" w:cs="Times New Roman"/>
              <w:sz w:val="24"/>
              <w:szCs w:val="24"/>
              <w:lang w:val="es-ES"/>
            </w:rPr>
            <w:instrText xml:space="preserve"> CITATION MarcadorDePosición1 \l 3082  </w:instrText>
          </w:r>
          <w:r w:rsidR="00CF182F" w:rsidRPr="00102F97">
            <w:rPr>
              <w:rFonts w:ascii="Times New Roman" w:hAnsi="Times New Roman" w:cs="Times New Roman"/>
              <w:sz w:val="24"/>
              <w:szCs w:val="24"/>
              <w:lang w:val="es-CO"/>
            </w:rPr>
            <w:fldChar w:fldCharType="separate"/>
          </w:r>
          <w:r w:rsidR="00902E84" w:rsidRPr="00902E84">
            <w:rPr>
              <w:rFonts w:ascii="Times New Roman" w:hAnsi="Times New Roman" w:cs="Times New Roman"/>
              <w:noProof/>
              <w:sz w:val="24"/>
              <w:szCs w:val="24"/>
              <w:lang w:val="es-ES"/>
            </w:rPr>
            <w:t>(Benavides &amp; Capistrán, 2010)</w:t>
          </w:r>
          <w:r w:rsidR="00CF182F" w:rsidRPr="00102F97">
            <w:rPr>
              <w:rFonts w:ascii="Times New Roman" w:hAnsi="Times New Roman" w:cs="Times New Roman"/>
              <w:sz w:val="24"/>
              <w:szCs w:val="24"/>
              <w:lang w:val="es-CO"/>
            </w:rPr>
            <w:fldChar w:fldCharType="end"/>
          </w:r>
        </w:sdtContent>
      </w:sdt>
      <w:r w:rsidR="005144CB" w:rsidRPr="00102F97">
        <w:rPr>
          <w:rFonts w:ascii="Times New Roman" w:hAnsi="Times New Roman" w:cs="Times New Roman"/>
          <w:sz w:val="24"/>
          <w:szCs w:val="24"/>
          <w:lang w:val="es-CO"/>
        </w:rPr>
        <w:t xml:space="preserve"> </w:t>
      </w:r>
      <w:r w:rsidR="0004258C" w:rsidRPr="00102F97">
        <w:rPr>
          <w:rFonts w:ascii="Times New Roman" w:hAnsi="Times New Roman" w:cs="Times New Roman"/>
          <w:sz w:val="24"/>
          <w:szCs w:val="24"/>
          <w:lang w:val="es-CO"/>
        </w:rPr>
        <w:t>para estimar</w:t>
      </w:r>
      <w:r w:rsidR="000D7AA4" w:rsidRPr="00102F97">
        <w:rPr>
          <w:rFonts w:ascii="Times New Roman" w:hAnsi="Times New Roman" w:cs="Times New Roman"/>
          <w:sz w:val="24"/>
          <w:szCs w:val="24"/>
          <w:lang w:val="es-CO"/>
        </w:rPr>
        <w:t xml:space="preserve"> </w:t>
      </w:r>
      <w:r w:rsidR="0004258C" w:rsidRPr="00102F97">
        <w:rPr>
          <w:rFonts w:ascii="Times New Roman" w:hAnsi="Times New Roman" w:cs="Times New Roman"/>
          <w:sz w:val="24"/>
          <w:szCs w:val="24"/>
          <w:lang w:val="es-CO"/>
        </w:rPr>
        <w:t xml:space="preserve">la volatilidad de </w:t>
      </w:r>
      <w:r w:rsidR="002C13AA" w:rsidRPr="00102F97">
        <w:rPr>
          <w:rFonts w:ascii="Times New Roman" w:hAnsi="Times New Roman" w:cs="Times New Roman"/>
          <w:sz w:val="24"/>
          <w:szCs w:val="24"/>
          <w:lang w:val="es-CO"/>
        </w:rPr>
        <w:t>la tasa de interés</w:t>
      </w:r>
      <w:r w:rsidR="00B2714F" w:rsidRPr="00102F97">
        <w:rPr>
          <w:rFonts w:ascii="Times New Roman" w:hAnsi="Times New Roman" w:cs="Times New Roman"/>
          <w:sz w:val="24"/>
          <w:szCs w:val="24"/>
          <w:lang w:val="es-CO"/>
        </w:rPr>
        <w:t xml:space="preserve"> de corto plazo </w:t>
      </w:r>
      <w:r w:rsidR="005144CB" w:rsidRPr="00102F97">
        <w:rPr>
          <w:rFonts w:ascii="Times New Roman" w:hAnsi="Times New Roman" w:cs="Times New Roman"/>
          <w:sz w:val="24"/>
          <w:szCs w:val="24"/>
          <w:lang w:val="es-CO"/>
        </w:rPr>
        <w:t>y tipo de cambio</w:t>
      </w:r>
      <w:r w:rsidR="002D7364" w:rsidRPr="00102F97">
        <w:rPr>
          <w:rFonts w:ascii="Times New Roman" w:hAnsi="Times New Roman" w:cs="Times New Roman"/>
          <w:sz w:val="24"/>
          <w:szCs w:val="24"/>
          <w:lang w:val="es-CO"/>
        </w:rPr>
        <w:t xml:space="preserve"> bajo los dos objetivos operacionales de política </w:t>
      </w:r>
      <w:r w:rsidR="002D7364" w:rsidRPr="00102F97">
        <w:rPr>
          <w:rFonts w:ascii="Times New Roman" w:hAnsi="Times New Roman" w:cs="Times New Roman"/>
          <w:sz w:val="24"/>
          <w:szCs w:val="24"/>
          <w:lang w:val="es-CO"/>
        </w:rPr>
        <w:lastRenderedPageBreak/>
        <w:t>monetaria</w:t>
      </w:r>
      <w:r w:rsidR="00DB791E" w:rsidRPr="00102F97">
        <w:rPr>
          <w:rFonts w:ascii="Times New Roman" w:hAnsi="Times New Roman" w:cs="Times New Roman"/>
          <w:sz w:val="24"/>
          <w:szCs w:val="24"/>
          <w:lang w:val="es-CO"/>
        </w:rPr>
        <w:t>: “corto” y objetivos de tasa de interés</w:t>
      </w:r>
      <w:r w:rsidR="000D7AA4" w:rsidRPr="00102F97">
        <w:rPr>
          <w:rFonts w:ascii="Times New Roman" w:hAnsi="Times New Roman" w:cs="Times New Roman"/>
          <w:sz w:val="24"/>
          <w:szCs w:val="24"/>
          <w:lang w:val="es-CO"/>
        </w:rPr>
        <w:t>.</w:t>
      </w:r>
      <w:r w:rsidR="00241284" w:rsidRPr="00102F97">
        <w:rPr>
          <w:rFonts w:ascii="Times New Roman" w:hAnsi="Times New Roman" w:cs="Times New Roman"/>
          <w:sz w:val="24"/>
          <w:szCs w:val="24"/>
          <w:lang w:val="es-CO"/>
        </w:rPr>
        <w:t xml:space="preserve"> </w:t>
      </w:r>
      <w:r w:rsidR="00DB791E" w:rsidRPr="00102F97">
        <w:rPr>
          <w:rFonts w:ascii="Times New Roman" w:hAnsi="Times New Roman" w:cs="Times New Roman"/>
          <w:sz w:val="24"/>
          <w:szCs w:val="24"/>
          <w:lang w:val="es-CO"/>
        </w:rPr>
        <w:t>Usando</w:t>
      </w:r>
      <w:r w:rsidR="008964F8" w:rsidRPr="00102F97">
        <w:rPr>
          <w:rFonts w:ascii="Times New Roman" w:hAnsi="Times New Roman" w:cs="Times New Roman"/>
          <w:sz w:val="24"/>
          <w:szCs w:val="24"/>
          <w:lang w:val="es-CO"/>
        </w:rPr>
        <w:t xml:space="preserve"> pruebas para detect</w:t>
      </w:r>
      <w:r w:rsidR="00B2714F" w:rsidRPr="00102F97">
        <w:rPr>
          <w:rFonts w:ascii="Times New Roman" w:hAnsi="Times New Roman" w:cs="Times New Roman"/>
          <w:sz w:val="24"/>
          <w:szCs w:val="24"/>
          <w:lang w:val="es-CO"/>
        </w:rPr>
        <w:t>ar múltiples cambios estructurales</w:t>
      </w:r>
      <w:r w:rsidR="00277D87" w:rsidRPr="00102F97">
        <w:rPr>
          <w:rFonts w:ascii="Times New Roman" w:hAnsi="Times New Roman" w:cs="Times New Roman"/>
          <w:sz w:val="24"/>
          <w:szCs w:val="24"/>
          <w:lang w:val="es-CO"/>
        </w:rPr>
        <w:t xml:space="preserve"> en ambas variables pero</w:t>
      </w:r>
      <w:r w:rsidR="00DB791E" w:rsidRPr="00102F97">
        <w:rPr>
          <w:rFonts w:ascii="Times New Roman" w:hAnsi="Times New Roman" w:cs="Times New Roman"/>
          <w:sz w:val="24"/>
          <w:szCs w:val="24"/>
          <w:lang w:val="es-CO"/>
        </w:rPr>
        <w:t xml:space="preserve"> para el periodo de (1995-2012)</w:t>
      </w:r>
      <w:r w:rsidR="000D7AA4" w:rsidRPr="00102F97">
        <w:rPr>
          <w:rFonts w:ascii="Times New Roman" w:hAnsi="Times New Roman" w:cs="Times New Roman"/>
          <w:sz w:val="24"/>
          <w:szCs w:val="24"/>
          <w:lang w:val="es-CO"/>
        </w:rPr>
        <w:t>.</w:t>
      </w:r>
      <w:r w:rsidR="008625DB" w:rsidRPr="00102F97">
        <w:rPr>
          <w:rFonts w:ascii="Times New Roman" w:hAnsi="Times New Roman" w:cs="Times New Roman"/>
          <w:sz w:val="24"/>
          <w:szCs w:val="24"/>
          <w:lang w:val="es-CO"/>
        </w:rPr>
        <w:t xml:space="preserve"> </w:t>
      </w:r>
    </w:p>
    <w:p w:rsidR="00B516FC" w:rsidRPr="00102F97" w:rsidRDefault="00B85966" w:rsidP="001544BE">
      <w:pPr>
        <w:jc w:val="both"/>
        <w:rPr>
          <w:rFonts w:ascii="Times New Roman" w:hAnsi="Times New Roman" w:cs="Times New Roman"/>
          <w:sz w:val="24"/>
          <w:szCs w:val="24"/>
          <w:lang w:val="es-CO"/>
        </w:rPr>
      </w:pPr>
      <w:r w:rsidRPr="00102F97">
        <w:rPr>
          <w:rFonts w:ascii="Times New Roman" w:hAnsi="Times New Roman" w:cs="Times New Roman"/>
          <w:sz w:val="24"/>
          <w:szCs w:val="24"/>
          <w:lang w:val="es-CO"/>
        </w:rPr>
        <w:t>Aplicando</w:t>
      </w:r>
      <w:r w:rsidR="00B2714F" w:rsidRPr="00102F97">
        <w:rPr>
          <w:rFonts w:ascii="Times New Roman" w:hAnsi="Times New Roman" w:cs="Times New Roman"/>
          <w:sz w:val="24"/>
          <w:szCs w:val="24"/>
          <w:lang w:val="es-CO"/>
        </w:rPr>
        <w:t xml:space="preserve"> u</w:t>
      </w:r>
      <w:r w:rsidR="008964F8" w:rsidRPr="00102F97">
        <w:rPr>
          <w:rFonts w:ascii="Times New Roman" w:hAnsi="Times New Roman" w:cs="Times New Roman"/>
          <w:sz w:val="24"/>
          <w:szCs w:val="24"/>
          <w:lang w:val="es-CO"/>
        </w:rPr>
        <w:t xml:space="preserve">n </w:t>
      </w:r>
      <w:r w:rsidR="008964F8" w:rsidRPr="000E6090">
        <w:rPr>
          <w:rFonts w:ascii="Times New Roman" w:hAnsi="Times New Roman" w:cs="Times New Roman"/>
          <w:sz w:val="24"/>
          <w:szCs w:val="24"/>
          <w:lang w:val="es-CO"/>
        </w:rPr>
        <w:t>modelo</w:t>
      </w:r>
      <w:r w:rsidR="008964F8" w:rsidRPr="00102F97">
        <w:rPr>
          <w:rFonts w:ascii="Times New Roman" w:hAnsi="Times New Roman" w:cs="Times New Roman"/>
          <w:sz w:val="24"/>
          <w:szCs w:val="24"/>
          <w:lang w:val="es-CO"/>
        </w:rPr>
        <w:t xml:space="preserve"> GARCH bivariado y pruebas de causalidad en varianza</w:t>
      </w:r>
      <w:r w:rsidR="006E3870" w:rsidRPr="00102F97">
        <w:rPr>
          <w:rFonts w:ascii="Times New Roman" w:hAnsi="Times New Roman" w:cs="Times New Roman"/>
          <w:sz w:val="24"/>
          <w:szCs w:val="24"/>
          <w:lang w:val="es-CO"/>
        </w:rPr>
        <w:t xml:space="preserve"> Granger</w:t>
      </w:r>
      <w:r w:rsidR="006E3870" w:rsidRPr="00102F97">
        <w:rPr>
          <w:rStyle w:val="Refdenotaalpie"/>
          <w:rFonts w:ascii="Times New Roman" w:hAnsi="Times New Roman" w:cs="Times New Roman"/>
          <w:sz w:val="24"/>
          <w:szCs w:val="24"/>
          <w:lang w:val="es-CO"/>
        </w:rPr>
        <w:footnoteReference w:id="18"/>
      </w:r>
      <w:r w:rsidR="008964F8" w:rsidRPr="00102F97">
        <w:rPr>
          <w:rFonts w:ascii="Times New Roman" w:hAnsi="Times New Roman" w:cs="Times New Roman"/>
          <w:sz w:val="24"/>
          <w:szCs w:val="24"/>
          <w:lang w:val="es-CO"/>
        </w:rPr>
        <w:t xml:space="preserve"> para probar el efecto causal que existe entre la tasa de interés-tipo de cambio</w:t>
      </w:r>
      <w:r w:rsidR="001544BE" w:rsidRPr="00102F97">
        <w:rPr>
          <w:rFonts w:ascii="Times New Roman" w:hAnsi="Times New Roman" w:cs="Times New Roman"/>
          <w:sz w:val="24"/>
          <w:szCs w:val="24"/>
          <w:lang w:val="es-CO"/>
        </w:rPr>
        <w:t>,</w:t>
      </w:r>
      <w:r w:rsidR="00241284" w:rsidRPr="00102F97">
        <w:rPr>
          <w:rFonts w:ascii="Times New Roman" w:hAnsi="Times New Roman" w:cs="Times New Roman"/>
          <w:sz w:val="24"/>
          <w:szCs w:val="24"/>
          <w:lang w:val="es-CO"/>
        </w:rPr>
        <w:t xml:space="preserve"> afín de comparar los resultados obtenidos </w:t>
      </w:r>
      <w:r w:rsidR="001544BE" w:rsidRPr="00102F97">
        <w:rPr>
          <w:rFonts w:ascii="Times New Roman" w:hAnsi="Times New Roman" w:cs="Times New Roman"/>
          <w:sz w:val="24"/>
          <w:szCs w:val="24"/>
          <w:lang w:val="es-CO"/>
        </w:rPr>
        <w:t>en este trabajo de investigación con los argumentos teóricos</w:t>
      </w:r>
      <w:r w:rsidR="007B236D" w:rsidRPr="00102F97">
        <w:rPr>
          <w:rStyle w:val="Refdenotaalpie"/>
          <w:rFonts w:ascii="Times New Roman" w:hAnsi="Times New Roman" w:cs="Times New Roman"/>
          <w:sz w:val="24"/>
          <w:szCs w:val="24"/>
          <w:lang w:val="es-CO"/>
        </w:rPr>
        <w:footnoteReference w:id="19"/>
      </w:r>
      <w:r w:rsidR="001544BE" w:rsidRPr="00102F97">
        <w:rPr>
          <w:rFonts w:ascii="Times New Roman" w:hAnsi="Times New Roman" w:cs="Times New Roman"/>
          <w:sz w:val="24"/>
          <w:szCs w:val="24"/>
          <w:lang w:val="es-CO"/>
        </w:rPr>
        <w:t xml:space="preserve"> que</w:t>
      </w:r>
      <w:r w:rsidR="00D71E67" w:rsidRPr="00102F97">
        <w:rPr>
          <w:rFonts w:ascii="Times New Roman" w:hAnsi="Times New Roman" w:cs="Times New Roman"/>
          <w:sz w:val="24"/>
          <w:szCs w:val="24"/>
          <w:lang w:val="es-CO"/>
        </w:rPr>
        <w:t xml:space="preserve"> aceptan ó rechazan</w:t>
      </w:r>
      <w:r w:rsidR="001544BE" w:rsidRPr="00102F97">
        <w:rPr>
          <w:rFonts w:ascii="Times New Roman" w:hAnsi="Times New Roman" w:cs="Times New Roman"/>
          <w:sz w:val="24"/>
          <w:szCs w:val="24"/>
          <w:lang w:val="es-CO"/>
        </w:rPr>
        <w:t xml:space="preserve"> </w:t>
      </w:r>
      <w:r w:rsidR="00D71E67" w:rsidRPr="00102F97">
        <w:rPr>
          <w:rFonts w:ascii="Times New Roman" w:hAnsi="Times New Roman" w:cs="Times New Roman"/>
          <w:sz w:val="24"/>
          <w:szCs w:val="24"/>
          <w:lang w:val="es-CO"/>
        </w:rPr>
        <w:t xml:space="preserve">el cumplimiento de </w:t>
      </w:r>
      <w:r w:rsidR="001544BE" w:rsidRPr="00102F97">
        <w:rPr>
          <w:rFonts w:ascii="Times New Roman" w:hAnsi="Times New Roman" w:cs="Times New Roman"/>
          <w:sz w:val="24"/>
          <w:szCs w:val="24"/>
          <w:lang w:val="es-CO"/>
        </w:rPr>
        <w:t>la</w:t>
      </w:r>
      <w:r w:rsidR="00241284" w:rsidRPr="00102F97">
        <w:rPr>
          <w:rFonts w:ascii="Times New Roman" w:hAnsi="Times New Roman" w:cs="Times New Roman"/>
          <w:sz w:val="24"/>
          <w:szCs w:val="24"/>
          <w:lang w:val="es-CO"/>
        </w:rPr>
        <w:t xml:space="preserve"> hipótesis</w:t>
      </w:r>
      <w:r w:rsidR="001544BE" w:rsidRPr="00102F97">
        <w:rPr>
          <w:rFonts w:ascii="Times New Roman" w:hAnsi="Times New Roman" w:cs="Times New Roman"/>
          <w:sz w:val="24"/>
          <w:szCs w:val="24"/>
          <w:lang w:val="es-CO"/>
        </w:rPr>
        <w:t xml:space="preserve"> de la “p</w:t>
      </w:r>
      <w:r w:rsidR="00241284" w:rsidRPr="00102F97">
        <w:rPr>
          <w:rFonts w:ascii="Times New Roman" w:hAnsi="Times New Roman" w:cs="Times New Roman"/>
          <w:sz w:val="24"/>
          <w:szCs w:val="24"/>
          <w:lang w:val="es-CO"/>
        </w:rPr>
        <w:t xml:space="preserve">aridad descubierta de tasas de </w:t>
      </w:r>
      <w:r w:rsidR="001544BE" w:rsidRPr="00102F97">
        <w:rPr>
          <w:rFonts w:ascii="Times New Roman" w:hAnsi="Times New Roman" w:cs="Times New Roman"/>
          <w:sz w:val="24"/>
          <w:szCs w:val="24"/>
          <w:lang w:val="es-CO"/>
        </w:rPr>
        <w:t>interés</w:t>
      </w:r>
      <w:r w:rsidR="00D71E67" w:rsidRPr="00102F97">
        <w:rPr>
          <w:rFonts w:ascii="Times New Roman" w:hAnsi="Times New Roman" w:cs="Times New Roman"/>
          <w:sz w:val="24"/>
          <w:szCs w:val="24"/>
          <w:lang w:val="es-CO"/>
        </w:rPr>
        <w:t>” para el caso de México.</w:t>
      </w:r>
    </w:p>
    <w:p w:rsidR="00140FA0" w:rsidRPr="00102F97" w:rsidRDefault="00140FA0" w:rsidP="00140FA0">
      <w:pPr>
        <w:jc w:val="both"/>
        <w:rPr>
          <w:rFonts w:ascii="Times New Roman" w:hAnsi="Times New Roman" w:cs="Times New Roman"/>
          <w:sz w:val="24"/>
          <w:szCs w:val="24"/>
          <w:lang w:val="es-CO"/>
        </w:rPr>
      </w:pPr>
      <w:r w:rsidRPr="00102F97">
        <w:rPr>
          <w:rFonts w:ascii="Times New Roman" w:hAnsi="Times New Roman" w:cs="Times New Roman"/>
          <w:sz w:val="24"/>
          <w:szCs w:val="24"/>
          <w:lang w:val="es-CO"/>
        </w:rPr>
        <w:t xml:space="preserve">Las </w:t>
      </w:r>
      <w:r w:rsidRPr="000E6090">
        <w:rPr>
          <w:rFonts w:ascii="Times New Roman" w:hAnsi="Times New Roman" w:cs="Times New Roman"/>
          <w:sz w:val="24"/>
          <w:szCs w:val="24"/>
          <w:lang w:val="es-CO"/>
        </w:rPr>
        <w:t>variables</w:t>
      </w:r>
      <w:r w:rsidR="00BF0817" w:rsidRPr="000E6090">
        <w:rPr>
          <w:rFonts w:ascii="Times New Roman" w:hAnsi="Times New Roman" w:cs="Times New Roman"/>
          <w:sz w:val="24"/>
          <w:szCs w:val="24"/>
          <w:lang w:val="es-CO"/>
        </w:rPr>
        <w:t xml:space="preserve"> nacionales</w:t>
      </w:r>
      <w:r w:rsidR="0039553A">
        <w:rPr>
          <w:rFonts w:ascii="Times New Roman" w:hAnsi="Times New Roman" w:cs="Times New Roman"/>
          <w:sz w:val="24"/>
          <w:szCs w:val="24"/>
          <w:lang w:val="es-CO"/>
        </w:rPr>
        <w:t xml:space="preserve"> </w:t>
      </w:r>
      <w:r w:rsidR="00BF0817">
        <w:rPr>
          <w:rFonts w:ascii="Times New Roman" w:hAnsi="Times New Roman" w:cs="Times New Roman"/>
          <w:sz w:val="24"/>
          <w:szCs w:val="24"/>
          <w:lang w:val="es-CO"/>
        </w:rPr>
        <w:t>que</w:t>
      </w:r>
      <w:r w:rsidR="0039553A">
        <w:rPr>
          <w:rFonts w:ascii="Times New Roman" w:hAnsi="Times New Roman" w:cs="Times New Roman"/>
          <w:sz w:val="24"/>
          <w:szCs w:val="24"/>
          <w:lang w:val="es-CO"/>
        </w:rPr>
        <w:t xml:space="preserve"> se</w:t>
      </w:r>
      <w:r w:rsidR="00B82CA1">
        <w:rPr>
          <w:rFonts w:ascii="Times New Roman" w:hAnsi="Times New Roman" w:cs="Times New Roman"/>
          <w:sz w:val="24"/>
          <w:szCs w:val="24"/>
          <w:lang w:val="es-CO"/>
        </w:rPr>
        <w:t xml:space="preserve"> analizaron</w:t>
      </w:r>
      <w:r w:rsidR="00BF0817">
        <w:rPr>
          <w:rFonts w:ascii="Times New Roman" w:hAnsi="Times New Roman" w:cs="Times New Roman"/>
          <w:sz w:val="24"/>
          <w:szCs w:val="24"/>
          <w:lang w:val="es-CO"/>
        </w:rPr>
        <w:t xml:space="preserve"> </w:t>
      </w:r>
      <w:r w:rsidRPr="00102F97">
        <w:rPr>
          <w:rFonts w:ascii="Times New Roman" w:hAnsi="Times New Roman" w:cs="Times New Roman"/>
          <w:sz w:val="24"/>
          <w:szCs w:val="24"/>
          <w:lang w:val="es-CO"/>
        </w:rPr>
        <w:t xml:space="preserve"> para</w:t>
      </w:r>
      <w:r w:rsidR="00B82CA1">
        <w:rPr>
          <w:rFonts w:ascii="Times New Roman" w:hAnsi="Times New Roman" w:cs="Times New Roman"/>
          <w:sz w:val="24"/>
          <w:szCs w:val="24"/>
          <w:lang w:val="es-CO"/>
        </w:rPr>
        <w:t xml:space="preserve"> realizar las estimaciones fueron</w:t>
      </w:r>
      <w:r w:rsidRPr="00102F97">
        <w:rPr>
          <w:rFonts w:ascii="Times New Roman" w:hAnsi="Times New Roman" w:cs="Times New Roman"/>
          <w:sz w:val="24"/>
          <w:szCs w:val="24"/>
          <w:lang w:val="es-CO"/>
        </w:rPr>
        <w:t>:</w:t>
      </w:r>
    </w:p>
    <w:p w:rsidR="00140FA0" w:rsidRPr="00102F97" w:rsidRDefault="00140FA0" w:rsidP="00140FA0">
      <w:pPr>
        <w:pStyle w:val="Prrafodelista"/>
        <w:numPr>
          <w:ilvl w:val="0"/>
          <w:numId w:val="1"/>
        </w:numPr>
        <w:jc w:val="both"/>
        <w:rPr>
          <w:rFonts w:ascii="Times New Roman" w:hAnsi="Times New Roman" w:cs="Times New Roman"/>
          <w:sz w:val="24"/>
          <w:szCs w:val="24"/>
          <w:lang w:val="es-CO"/>
        </w:rPr>
      </w:pPr>
      <w:r w:rsidRPr="00102F97">
        <w:rPr>
          <w:rFonts w:ascii="Times New Roman" w:hAnsi="Times New Roman" w:cs="Times New Roman"/>
          <w:sz w:val="24"/>
          <w:szCs w:val="24"/>
          <w:lang w:val="es-CO"/>
        </w:rPr>
        <w:t xml:space="preserve">Tasa de interés = tasa de interés diaria libre de riesgo del mercado secundario calculados mediante los bonos de gobierno mexicano  (Cetes fondeo). </w:t>
      </w:r>
    </w:p>
    <w:p w:rsidR="00140FA0" w:rsidRPr="00102F97" w:rsidRDefault="00140FA0" w:rsidP="00140FA0">
      <w:pPr>
        <w:pStyle w:val="Prrafodelista"/>
        <w:numPr>
          <w:ilvl w:val="0"/>
          <w:numId w:val="1"/>
        </w:numPr>
        <w:jc w:val="both"/>
        <w:rPr>
          <w:rFonts w:ascii="Times New Roman" w:hAnsi="Times New Roman" w:cs="Times New Roman"/>
          <w:sz w:val="24"/>
          <w:szCs w:val="24"/>
          <w:lang w:val="es-CO"/>
        </w:rPr>
      </w:pPr>
      <w:r w:rsidRPr="00102F97">
        <w:rPr>
          <w:rFonts w:ascii="Times New Roman" w:hAnsi="Times New Roman" w:cs="Times New Roman"/>
          <w:sz w:val="24"/>
          <w:szCs w:val="24"/>
          <w:lang w:val="es-CO"/>
        </w:rPr>
        <w:t>Tipo de cambio = spot peso-dólar</w:t>
      </w:r>
    </w:p>
    <w:p w:rsidR="00820781" w:rsidRPr="00102F97" w:rsidRDefault="00820781" w:rsidP="00140FA0">
      <w:pPr>
        <w:pStyle w:val="Prrafodelista"/>
        <w:numPr>
          <w:ilvl w:val="0"/>
          <w:numId w:val="1"/>
        </w:numPr>
        <w:jc w:val="both"/>
        <w:rPr>
          <w:rFonts w:ascii="Times New Roman" w:hAnsi="Times New Roman" w:cs="Times New Roman"/>
          <w:sz w:val="24"/>
          <w:szCs w:val="24"/>
          <w:lang w:val="es-CO"/>
        </w:rPr>
      </w:pPr>
      <w:r w:rsidRPr="00102F97">
        <w:rPr>
          <w:rFonts w:ascii="Times New Roman" w:hAnsi="Times New Roman" w:cs="Times New Roman"/>
          <w:sz w:val="24"/>
          <w:szCs w:val="24"/>
          <w:lang w:val="es-CO"/>
        </w:rPr>
        <w:t>Tasas de interés de largo plazo (títulos de deuda de más de un año de vencimiento v.r. bondes o ajustabonos</w:t>
      </w:r>
    </w:p>
    <w:p w:rsidR="009B3762" w:rsidRPr="00102F97" w:rsidRDefault="009B3762" w:rsidP="001544BE">
      <w:pPr>
        <w:jc w:val="both"/>
        <w:rPr>
          <w:rFonts w:ascii="Times New Roman" w:hAnsi="Times New Roman" w:cs="Times New Roman"/>
          <w:sz w:val="24"/>
          <w:szCs w:val="24"/>
          <w:lang w:val="es-CO"/>
        </w:rPr>
      </w:pPr>
      <w:r w:rsidRPr="00102F97">
        <w:rPr>
          <w:rFonts w:ascii="Times New Roman" w:hAnsi="Times New Roman" w:cs="Times New Roman"/>
          <w:sz w:val="24"/>
          <w:szCs w:val="24"/>
          <w:lang w:val="es-CO"/>
        </w:rPr>
        <w:t xml:space="preserve">Se </w:t>
      </w:r>
      <w:r w:rsidR="008C346E" w:rsidRPr="00102F97">
        <w:rPr>
          <w:rFonts w:ascii="Times New Roman" w:hAnsi="Times New Roman" w:cs="Times New Roman"/>
          <w:sz w:val="24"/>
          <w:szCs w:val="24"/>
          <w:lang w:val="es-CO"/>
        </w:rPr>
        <w:t>consideró</w:t>
      </w:r>
      <w:r w:rsidRPr="00102F97">
        <w:rPr>
          <w:rFonts w:ascii="Times New Roman" w:hAnsi="Times New Roman" w:cs="Times New Roman"/>
          <w:sz w:val="24"/>
          <w:szCs w:val="24"/>
          <w:lang w:val="es-CO"/>
        </w:rPr>
        <w:t xml:space="preserve"> viable aplicar un modelo GARCH, porque como las variables a analizar son series de tipo financieras</w:t>
      </w:r>
      <w:r w:rsidRPr="00102F97">
        <w:rPr>
          <w:rStyle w:val="Refdenotaalpie"/>
          <w:rFonts w:ascii="Times New Roman" w:hAnsi="Times New Roman" w:cs="Times New Roman"/>
          <w:sz w:val="24"/>
          <w:szCs w:val="24"/>
          <w:lang w:val="es-CO"/>
        </w:rPr>
        <w:footnoteReference w:id="20"/>
      </w:r>
      <w:r w:rsidR="00140FA0" w:rsidRPr="00102F97">
        <w:rPr>
          <w:rFonts w:ascii="Times New Roman" w:hAnsi="Times New Roman" w:cs="Times New Roman"/>
          <w:sz w:val="24"/>
          <w:szCs w:val="24"/>
          <w:lang w:val="es-CO"/>
        </w:rPr>
        <w:t xml:space="preserve"> y </w:t>
      </w:r>
      <w:r w:rsidRPr="00102F97">
        <w:rPr>
          <w:rFonts w:ascii="Times New Roman" w:hAnsi="Times New Roman" w:cs="Times New Roman"/>
          <w:sz w:val="24"/>
          <w:szCs w:val="24"/>
          <w:lang w:val="es-CO"/>
        </w:rPr>
        <w:t xml:space="preserve">a menudo </w:t>
      </w:r>
      <w:r w:rsidR="00140FA0" w:rsidRPr="00102F97">
        <w:rPr>
          <w:rFonts w:ascii="Times New Roman" w:hAnsi="Times New Roman" w:cs="Times New Roman"/>
          <w:sz w:val="24"/>
          <w:szCs w:val="24"/>
          <w:lang w:val="es-CO"/>
        </w:rPr>
        <w:t xml:space="preserve">estas </w:t>
      </w:r>
      <w:r w:rsidRPr="00102F97">
        <w:rPr>
          <w:rFonts w:ascii="Times New Roman" w:hAnsi="Times New Roman" w:cs="Times New Roman"/>
          <w:sz w:val="24"/>
          <w:szCs w:val="24"/>
          <w:lang w:val="es-CO"/>
        </w:rPr>
        <w:t>presentan fenómenos de acumulación de volatilidad; es decir existen lapsos en los que sus precios muestran amplias variaciones durante prolongados periodos y luego se dan intervalos de calma relativa. Como señala Philip F</w:t>
      </w:r>
      <w:r w:rsidR="00140FA0" w:rsidRPr="00102F97">
        <w:rPr>
          <w:rFonts w:ascii="Times New Roman" w:hAnsi="Times New Roman" w:cs="Times New Roman"/>
          <w:sz w:val="24"/>
          <w:szCs w:val="24"/>
          <w:lang w:val="es-CO"/>
        </w:rPr>
        <w:t>r</w:t>
      </w:r>
      <w:r w:rsidRPr="00102F97">
        <w:rPr>
          <w:rFonts w:ascii="Times New Roman" w:hAnsi="Times New Roman" w:cs="Times New Roman"/>
          <w:sz w:val="24"/>
          <w:szCs w:val="24"/>
          <w:lang w:val="es-CO"/>
        </w:rPr>
        <w:t xml:space="preserve">anses. </w:t>
      </w:r>
      <w:r w:rsidR="00900BCA" w:rsidRPr="00102F97">
        <w:rPr>
          <w:rFonts w:ascii="Times New Roman" w:hAnsi="Times New Roman" w:cs="Times New Roman"/>
          <w:sz w:val="24"/>
          <w:szCs w:val="24"/>
          <w:lang w:val="es-CO"/>
        </w:rPr>
        <w:t xml:space="preserve"> </w:t>
      </w:r>
      <w:r w:rsidR="00140FA0" w:rsidRPr="00102F97">
        <w:rPr>
          <w:rFonts w:ascii="Times New Roman" w:hAnsi="Times New Roman" w:cs="Times New Roman"/>
          <w:sz w:val="24"/>
          <w:szCs w:val="24"/>
          <w:lang w:val="es-CO"/>
        </w:rPr>
        <w:t xml:space="preserve">Sin embargo, una característica de estas series de tipo financieras es que no son estacionarias. Pero aplicándoles la </w:t>
      </w:r>
      <w:r w:rsidR="000E6090" w:rsidRPr="00102F97">
        <w:rPr>
          <w:rFonts w:ascii="Times New Roman" w:hAnsi="Times New Roman" w:cs="Times New Roman"/>
          <w:sz w:val="24"/>
          <w:szCs w:val="24"/>
          <w:lang w:val="es-CO"/>
        </w:rPr>
        <w:t>primera</w:t>
      </w:r>
      <w:r w:rsidR="00140FA0" w:rsidRPr="00102F97">
        <w:rPr>
          <w:rFonts w:ascii="Times New Roman" w:hAnsi="Times New Roman" w:cs="Times New Roman"/>
          <w:sz w:val="24"/>
          <w:szCs w:val="24"/>
          <w:lang w:val="es-CO"/>
        </w:rPr>
        <w:t xml:space="preserve"> diferencia, por lo general se vuelven estacionarias. </w:t>
      </w:r>
      <w:sdt>
        <w:sdtPr>
          <w:rPr>
            <w:rFonts w:ascii="Times New Roman" w:hAnsi="Times New Roman" w:cs="Times New Roman"/>
            <w:sz w:val="24"/>
            <w:szCs w:val="24"/>
            <w:lang w:val="es-CO"/>
          </w:rPr>
          <w:id w:val="2218903"/>
          <w:citation/>
        </w:sdtPr>
        <w:sdtEndPr/>
        <w:sdtContent>
          <w:r w:rsidR="00CF182F" w:rsidRPr="00102F97">
            <w:rPr>
              <w:rFonts w:ascii="Times New Roman" w:hAnsi="Times New Roman" w:cs="Times New Roman"/>
              <w:sz w:val="24"/>
              <w:szCs w:val="24"/>
              <w:lang w:val="es-CO"/>
            </w:rPr>
            <w:fldChar w:fldCharType="begin"/>
          </w:r>
          <w:r w:rsidR="00140FA0" w:rsidRPr="00102F97">
            <w:rPr>
              <w:rFonts w:ascii="Times New Roman" w:hAnsi="Times New Roman" w:cs="Times New Roman"/>
              <w:sz w:val="24"/>
              <w:szCs w:val="24"/>
              <w:lang w:val="es-ES"/>
            </w:rPr>
            <w:instrText xml:space="preserve"> CITATION Guj09 \l 3082 </w:instrText>
          </w:r>
          <w:r w:rsidR="00CF182F" w:rsidRPr="00102F97">
            <w:rPr>
              <w:rFonts w:ascii="Times New Roman" w:hAnsi="Times New Roman" w:cs="Times New Roman"/>
              <w:sz w:val="24"/>
              <w:szCs w:val="24"/>
              <w:lang w:val="es-CO"/>
            </w:rPr>
            <w:fldChar w:fldCharType="separate"/>
          </w:r>
          <w:r w:rsidR="00902E84" w:rsidRPr="00902E84">
            <w:rPr>
              <w:rFonts w:ascii="Times New Roman" w:hAnsi="Times New Roman" w:cs="Times New Roman"/>
              <w:noProof/>
              <w:sz w:val="24"/>
              <w:szCs w:val="24"/>
              <w:lang w:val="es-ES"/>
            </w:rPr>
            <w:t>(Gujarati, 2009)</w:t>
          </w:r>
          <w:r w:rsidR="00CF182F" w:rsidRPr="00102F97">
            <w:rPr>
              <w:rFonts w:ascii="Times New Roman" w:hAnsi="Times New Roman" w:cs="Times New Roman"/>
              <w:sz w:val="24"/>
              <w:szCs w:val="24"/>
              <w:lang w:val="es-CO"/>
            </w:rPr>
            <w:fldChar w:fldCharType="end"/>
          </w:r>
        </w:sdtContent>
      </w:sdt>
    </w:p>
    <w:p w:rsidR="00BF0817" w:rsidRDefault="00140FA0" w:rsidP="00BF0817">
      <w:pPr>
        <w:jc w:val="both"/>
        <w:rPr>
          <w:rFonts w:ascii="Times New Roman" w:hAnsi="Times New Roman" w:cs="Times New Roman"/>
          <w:sz w:val="24"/>
          <w:szCs w:val="24"/>
          <w:lang w:val="es-CO"/>
        </w:rPr>
      </w:pPr>
      <w:r w:rsidRPr="00102F97">
        <w:rPr>
          <w:rFonts w:ascii="Times New Roman" w:hAnsi="Times New Roman" w:cs="Times New Roman"/>
          <w:sz w:val="24"/>
          <w:szCs w:val="24"/>
          <w:lang w:val="es-CO"/>
        </w:rPr>
        <w:t>Los</w:t>
      </w:r>
      <w:r w:rsidR="001251C8" w:rsidRPr="00102F97">
        <w:rPr>
          <w:rFonts w:ascii="Times New Roman" w:hAnsi="Times New Roman" w:cs="Times New Roman"/>
          <w:sz w:val="24"/>
          <w:szCs w:val="24"/>
          <w:lang w:val="es-CO"/>
        </w:rPr>
        <w:t xml:space="preserve"> datos</w:t>
      </w:r>
      <w:r w:rsidR="007E4528" w:rsidRPr="00102F97">
        <w:rPr>
          <w:rFonts w:ascii="Times New Roman" w:hAnsi="Times New Roman" w:cs="Times New Roman"/>
          <w:sz w:val="24"/>
          <w:szCs w:val="24"/>
          <w:lang w:val="es-CO"/>
        </w:rPr>
        <w:t xml:space="preserve"> </w:t>
      </w:r>
      <w:r w:rsidRPr="00102F97">
        <w:rPr>
          <w:rFonts w:ascii="Times New Roman" w:hAnsi="Times New Roman" w:cs="Times New Roman"/>
          <w:sz w:val="24"/>
          <w:szCs w:val="24"/>
          <w:lang w:val="es-CO"/>
        </w:rPr>
        <w:t xml:space="preserve">para las series </w:t>
      </w:r>
      <w:r w:rsidR="007E4528" w:rsidRPr="00102F97">
        <w:rPr>
          <w:rFonts w:ascii="Times New Roman" w:hAnsi="Times New Roman" w:cs="Times New Roman"/>
          <w:sz w:val="24"/>
          <w:szCs w:val="24"/>
          <w:lang w:val="es-CO"/>
        </w:rPr>
        <w:t>serán obtenidos de la base de datos de la página oficial de Banco de México (Banxico) y del  Instituto Nacional de Estadística y Geografía (INEGI).</w:t>
      </w:r>
      <w:r w:rsidR="006E3870" w:rsidRPr="00102F97">
        <w:rPr>
          <w:rFonts w:ascii="Times New Roman" w:hAnsi="Times New Roman" w:cs="Times New Roman"/>
          <w:sz w:val="24"/>
          <w:szCs w:val="24"/>
          <w:lang w:val="es-CO"/>
        </w:rPr>
        <w:t xml:space="preserve"> Para la elaboración del ejercicio econométrico, las</w:t>
      </w:r>
      <w:r w:rsidR="00B2714F" w:rsidRPr="00102F97">
        <w:rPr>
          <w:rFonts w:ascii="Times New Roman" w:hAnsi="Times New Roman" w:cs="Times New Roman"/>
          <w:sz w:val="24"/>
          <w:szCs w:val="24"/>
          <w:lang w:val="es-CO"/>
        </w:rPr>
        <w:t xml:space="preserve"> estimaciones y diferent</w:t>
      </w:r>
      <w:r w:rsidR="00F3388F" w:rsidRPr="00102F97">
        <w:rPr>
          <w:rFonts w:ascii="Times New Roman" w:hAnsi="Times New Roman" w:cs="Times New Roman"/>
          <w:sz w:val="24"/>
          <w:szCs w:val="24"/>
          <w:lang w:val="es-CO"/>
        </w:rPr>
        <w:t>es pruebas econométricas se realizarán</w:t>
      </w:r>
      <w:r w:rsidR="006E3870" w:rsidRPr="00102F97">
        <w:rPr>
          <w:rFonts w:ascii="Times New Roman" w:hAnsi="Times New Roman" w:cs="Times New Roman"/>
          <w:sz w:val="24"/>
          <w:szCs w:val="24"/>
          <w:lang w:val="es-CO"/>
        </w:rPr>
        <w:t xml:space="preserve"> en el programa  Eviews 7. </w:t>
      </w:r>
    </w:p>
    <w:p w:rsidR="00B82CA1" w:rsidRPr="00B82CA1" w:rsidRDefault="00B82CA1" w:rsidP="00B82CA1">
      <w:pPr>
        <w:jc w:val="both"/>
        <w:rPr>
          <w:rFonts w:ascii="Times New Roman" w:hAnsi="Times New Roman" w:cs="Times New Roman"/>
          <w:sz w:val="24"/>
          <w:szCs w:val="24"/>
        </w:rPr>
      </w:pPr>
      <w:r w:rsidRPr="00B82CA1">
        <w:rPr>
          <w:rFonts w:ascii="Times New Roman" w:hAnsi="Times New Roman" w:cs="Times New Roman"/>
          <w:sz w:val="24"/>
          <w:szCs w:val="24"/>
        </w:rPr>
        <w:t xml:space="preserve">Los datos utilizados para evaluar la volatilidad de la tasa de interés y del tipo de cambio bajo los dos objetivos operacionales de Política Monetaria son muestras diarias para cada una de las series. </w:t>
      </w:r>
    </w:p>
    <w:p w:rsidR="00B82CA1" w:rsidRPr="00B82CA1" w:rsidRDefault="00B82CA1" w:rsidP="00B82CA1">
      <w:pPr>
        <w:jc w:val="both"/>
        <w:rPr>
          <w:rFonts w:ascii="Times New Roman" w:hAnsi="Times New Roman" w:cs="Times New Roman"/>
          <w:bCs/>
          <w:sz w:val="24"/>
          <w:szCs w:val="24"/>
        </w:rPr>
      </w:pPr>
      <w:r w:rsidRPr="00B82CA1">
        <w:rPr>
          <w:rFonts w:ascii="Times New Roman" w:hAnsi="Times New Roman" w:cs="Times New Roman"/>
          <w:bCs/>
          <w:sz w:val="24"/>
          <w:szCs w:val="24"/>
        </w:rPr>
        <w:t xml:space="preserve">El inicio de la muestra está determinado por la disponibilidad de datos. Ya que para ambas variables se encontraron datos a partir de 1998. </w:t>
      </w:r>
    </w:p>
    <w:p w:rsidR="00B82CA1" w:rsidRPr="00B82CA1" w:rsidRDefault="00B82CA1" w:rsidP="00B82CA1">
      <w:pPr>
        <w:jc w:val="both"/>
        <w:rPr>
          <w:rFonts w:ascii="Times New Roman" w:hAnsi="Times New Roman" w:cs="Times New Roman"/>
          <w:sz w:val="24"/>
          <w:szCs w:val="24"/>
        </w:rPr>
      </w:pPr>
      <w:r w:rsidRPr="00B82CA1">
        <w:rPr>
          <w:rFonts w:ascii="Times New Roman" w:hAnsi="Times New Roman" w:cs="Times New Roman"/>
          <w:bCs/>
          <w:sz w:val="24"/>
          <w:szCs w:val="24"/>
        </w:rPr>
        <w:lastRenderedPageBreak/>
        <w:t xml:space="preserve">El periodo de la muestra de ambas variables es a partir del 3 de noviembre de 1998 hasta el 26 de diciembre de 2013. La muestra de cada serie financiera incluye 3817 observaciones diarias medidas en semanas de 5 días. </w:t>
      </w:r>
    </w:p>
    <w:p w:rsidR="00B82CA1" w:rsidRPr="005F0A1B" w:rsidRDefault="005F0A1B" w:rsidP="005F0A1B">
      <w:pPr>
        <w:pStyle w:val="Prrafodelista"/>
        <w:numPr>
          <w:ilvl w:val="0"/>
          <w:numId w:val="28"/>
        </w:numPr>
        <w:jc w:val="both"/>
        <w:rPr>
          <w:rFonts w:ascii="Times New Roman" w:hAnsi="Times New Roman" w:cs="Times New Roman"/>
          <w:sz w:val="24"/>
          <w:szCs w:val="24"/>
        </w:rPr>
      </w:pPr>
      <w:r w:rsidRPr="005F0A1B">
        <w:rPr>
          <w:rFonts w:ascii="Times New Roman" w:hAnsi="Times New Roman" w:cs="Times New Roman"/>
          <w:b/>
          <w:sz w:val="24"/>
          <w:szCs w:val="24"/>
          <w:lang w:val="es-CO"/>
        </w:rPr>
        <w:t>Análisis de la volatilidad de la tasas de interés y del tipo de cambio.</w:t>
      </w:r>
    </w:p>
    <w:p w:rsidR="00B82CA1" w:rsidRPr="00B82CA1" w:rsidRDefault="00B82CA1" w:rsidP="00B82CA1">
      <w:pPr>
        <w:jc w:val="both"/>
        <w:rPr>
          <w:rFonts w:ascii="Times New Roman" w:hAnsi="Times New Roman" w:cs="Times New Roman"/>
          <w:sz w:val="24"/>
          <w:szCs w:val="24"/>
        </w:rPr>
      </w:pPr>
      <w:r w:rsidRPr="00B82CA1">
        <w:rPr>
          <w:rFonts w:ascii="Times New Roman" w:hAnsi="Times New Roman" w:cs="Times New Roman"/>
          <w:sz w:val="24"/>
          <w:szCs w:val="24"/>
        </w:rPr>
        <w:t xml:space="preserve">La metodología que se utilizó para analizar la volatilidad del tipo de cambio y de la tasa de interés fue la siguiente: </w:t>
      </w:r>
    </w:p>
    <w:p w:rsidR="00B82CA1" w:rsidRPr="00B82CA1" w:rsidRDefault="00B82CA1" w:rsidP="00B82CA1">
      <w:pPr>
        <w:jc w:val="both"/>
        <w:rPr>
          <w:rFonts w:ascii="Times New Roman" w:hAnsi="Times New Roman" w:cs="Times New Roman"/>
          <w:sz w:val="24"/>
          <w:szCs w:val="24"/>
        </w:rPr>
      </w:pPr>
      <w:r w:rsidRPr="00B82CA1">
        <w:rPr>
          <w:rFonts w:ascii="Times New Roman" w:hAnsi="Times New Roman" w:cs="Times New Roman"/>
          <w:sz w:val="24"/>
          <w:szCs w:val="24"/>
        </w:rPr>
        <w:t xml:space="preserve">Primeramente, se graficaron, en forma de histograma,  las serie de datos de ambas variables en su forma original para observar su comportamiento en el tiempo. </w:t>
      </w:r>
    </w:p>
    <w:p w:rsidR="00B82CA1" w:rsidRPr="00B82CA1" w:rsidRDefault="00B82CA1" w:rsidP="00B82CA1">
      <w:pPr>
        <w:jc w:val="both"/>
        <w:rPr>
          <w:rFonts w:ascii="Times New Roman" w:hAnsi="Times New Roman" w:cs="Times New Roman"/>
          <w:sz w:val="24"/>
          <w:szCs w:val="24"/>
        </w:rPr>
      </w:pPr>
      <w:r w:rsidRPr="00B82CA1">
        <w:rPr>
          <w:rFonts w:ascii="Times New Roman" w:hAnsi="Times New Roman" w:cs="Times New Roman"/>
          <w:sz w:val="24"/>
          <w:szCs w:val="24"/>
        </w:rPr>
        <w:t xml:space="preserve">En segundo lugar, se graficaron de nuevo las series de datos de ambas variables, pero ahora, se realizaron por periodos. Es decir, se graficaron los datos para medir la volatilidad de la tasa de interés, en primer lugar para el periodo del objetivo operacional del Saldo sobre las Cuentas Corrientes y posteriormente se hizo para el periodo de la tasa de interés como objetivo operacional; mismo procedimiento se realizó para el tipo de cambio. </w:t>
      </w:r>
    </w:p>
    <w:p w:rsidR="00B82CA1" w:rsidRPr="00B82CA1" w:rsidRDefault="00B82CA1" w:rsidP="00B82CA1">
      <w:pPr>
        <w:jc w:val="both"/>
        <w:rPr>
          <w:rFonts w:ascii="Times New Roman" w:hAnsi="Times New Roman" w:cs="Times New Roman"/>
          <w:sz w:val="24"/>
          <w:szCs w:val="24"/>
        </w:rPr>
      </w:pPr>
      <w:r w:rsidRPr="00B82CA1">
        <w:rPr>
          <w:rFonts w:ascii="Times New Roman" w:hAnsi="Times New Roman" w:cs="Times New Roman"/>
          <w:sz w:val="24"/>
          <w:szCs w:val="24"/>
        </w:rPr>
        <w:t>Después, se estimó la ecuación que se utilizó para el modelo.</w:t>
      </w:r>
    </w:p>
    <w:p w:rsidR="00B82CA1" w:rsidRPr="00B82CA1" w:rsidRDefault="00B82CA1" w:rsidP="00B82CA1">
      <w:pPr>
        <w:jc w:val="both"/>
        <w:rPr>
          <w:rFonts w:ascii="Times New Roman" w:hAnsi="Times New Roman" w:cs="Times New Roman"/>
          <w:sz w:val="24"/>
          <w:szCs w:val="24"/>
        </w:rPr>
      </w:pPr>
      <w:r w:rsidRPr="00B82CA1">
        <w:rPr>
          <w:rFonts w:ascii="Times New Roman" w:hAnsi="Times New Roman" w:cs="Times New Roman"/>
          <w:sz w:val="24"/>
          <w:szCs w:val="24"/>
        </w:rPr>
        <w:t xml:space="preserve">Además, se calculó la matriz que representa el modelo BEKK. Lo que sirvió de sustento para analizar, gráfica y numéricamente el </w:t>
      </w:r>
      <w:r w:rsidRPr="00B82CA1">
        <w:rPr>
          <w:rFonts w:ascii="Times New Roman" w:hAnsi="Times New Roman" w:cs="Times New Roman"/>
          <w:sz w:val="24"/>
          <w:szCs w:val="24"/>
          <w:lang w:val="es-CO"/>
        </w:rPr>
        <w:t xml:space="preserve">efecto causal tasa de interés-tipo de cambio </w:t>
      </w:r>
    </w:p>
    <w:p w:rsidR="00B82CA1" w:rsidRPr="00B82CA1" w:rsidRDefault="00B82CA1" w:rsidP="00B82CA1">
      <w:pPr>
        <w:jc w:val="both"/>
        <w:rPr>
          <w:rFonts w:ascii="Times New Roman" w:hAnsi="Times New Roman" w:cs="Times New Roman"/>
          <w:sz w:val="24"/>
          <w:szCs w:val="24"/>
        </w:rPr>
      </w:pPr>
      <w:r w:rsidRPr="00B82CA1">
        <w:rPr>
          <w:rFonts w:ascii="Times New Roman" w:hAnsi="Times New Roman" w:cs="Times New Roman"/>
          <w:sz w:val="24"/>
          <w:szCs w:val="24"/>
        </w:rPr>
        <w:t xml:space="preserve">Posteriormente, se comenzó con el ejercicio econométrico. Se tomó la diagonal. Sin embargo se tuvo que hacer algunas modificaciones al programa para medir los efectos cruzados.  </w:t>
      </w:r>
    </w:p>
    <w:p w:rsidR="00B82CA1" w:rsidRPr="00B82CA1" w:rsidRDefault="00B82CA1" w:rsidP="00B82CA1">
      <w:pPr>
        <w:jc w:val="both"/>
        <w:rPr>
          <w:rFonts w:ascii="Times New Roman" w:hAnsi="Times New Roman" w:cs="Times New Roman"/>
          <w:sz w:val="24"/>
          <w:szCs w:val="24"/>
        </w:rPr>
      </w:pPr>
      <w:r w:rsidRPr="00B82CA1">
        <w:rPr>
          <w:rFonts w:ascii="Times New Roman" w:hAnsi="Times New Roman" w:cs="Times New Roman"/>
          <w:sz w:val="24"/>
          <w:szCs w:val="24"/>
        </w:rPr>
        <w:t xml:space="preserve">Y finalmente se obtuvieron los resultados que nos llevaron a las conclusiones descritas más adelante.  </w:t>
      </w:r>
    </w:p>
    <w:p w:rsidR="00B82CA1" w:rsidRPr="00B00FE4" w:rsidRDefault="00B82CA1" w:rsidP="00BF0817">
      <w:pPr>
        <w:jc w:val="both"/>
        <w:rPr>
          <w:rFonts w:ascii="Times New Roman" w:hAnsi="Times New Roman" w:cs="Times New Roman"/>
          <w:sz w:val="24"/>
          <w:szCs w:val="24"/>
          <w:lang w:val="es-CO"/>
        </w:rPr>
      </w:pPr>
      <w:r w:rsidRPr="00B00FE4">
        <w:rPr>
          <w:rFonts w:ascii="Times New Roman" w:hAnsi="Times New Roman" w:cs="Times New Roman"/>
          <w:sz w:val="24"/>
          <w:szCs w:val="24"/>
          <w:lang w:val="es-CO"/>
        </w:rPr>
        <w:t>Gráfica 1. Tasa de Interés</w:t>
      </w:r>
    </w:p>
    <w:bookmarkEnd w:id="2"/>
    <w:p w:rsidR="00414C09" w:rsidRPr="00102F97" w:rsidRDefault="00B82CA1" w:rsidP="003D5246">
      <w:pPr>
        <w:spacing w:after="80" w:line="240" w:lineRule="auto"/>
        <w:rPr>
          <w:rFonts w:ascii="Times New Roman" w:hAnsi="Times New Roman" w:cs="Times New Roman"/>
          <w:sz w:val="24"/>
          <w:szCs w:val="24"/>
          <w:lang w:val="es-CO"/>
        </w:rPr>
      </w:pPr>
      <w:r>
        <w:rPr>
          <w:rFonts w:ascii="Times New Roman" w:hAnsi="Times New Roman" w:cs="Times New Roman"/>
          <w:noProof/>
          <w:sz w:val="24"/>
          <w:szCs w:val="24"/>
        </w:rPr>
        <w:drawing>
          <wp:inline distT="0" distB="0" distL="0" distR="0" wp14:anchorId="4CDDD565">
            <wp:extent cx="4664075" cy="2145665"/>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64075" cy="2145665"/>
                    </a:xfrm>
                    <a:prstGeom prst="rect">
                      <a:avLst/>
                    </a:prstGeom>
                    <a:noFill/>
                  </pic:spPr>
                </pic:pic>
              </a:graphicData>
            </a:graphic>
          </wp:inline>
        </w:drawing>
      </w:r>
    </w:p>
    <w:p w:rsidR="00B00FE4" w:rsidRDefault="00C22BDF" w:rsidP="00B82CA1">
      <w:pPr>
        <w:spacing w:after="80" w:line="240" w:lineRule="auto"/>
        <w:rPr>
          <w:rFonts w:ascii="Times New Roman" w:hAnsi="Times New Roman" w:cs="Times New Roman"/>
          <w:sz w:val="24"/>
          <w:szCs w:val="24"/>
          <w:lang w:val="es-CO"/>
        </w:rPr>
      </w:pPr>
      <w:r w:rsidRPr="00102F97">
        <w:rPr>
          <w:rFonts w:ascii="Times New Roman" w:hAnsi="Times New Roman" w:cs="Times New Roman"/>
          <w:sz w:val="24"/>
          <w:szCs w:val="24"/>
          <w:lang w:val="es-CO"/>
        </w:rPr>
        <w:t xml:space="preserve">     </w:t>
      </w:r>
      <w:r w:rsidR="00B82CA1" w:rsidRPr="00B82CA1">
        <w:rPr>
          <w:rFonts w:ascii="Times New Roman" w:hAnsi="Times New Roman" w:cs="Times New Roman"/>
          <w:sz w:val="24"/>
          <w:szCs w:val="24"/>
          <w:lang w:val="es-CO"/>
        </w:rPr>
        <w:t xml:space="preserve">Fuente: Elaboración propia en Eviews 8. </w:t>
      </w:r>
    </w:p>
    <w:p w:rsidR="00B82CA1" w:rsidRPr="00B00FE4" w:rsidRDefault="00B82CA1" w:rsidP="00B82CA1">
      <w:pPr>
        <w:spacing w:after="80" w:line="240" w:lineRule="auto"/>
        <w:rPr>
          <w:rFonts w:ascii="Times New Roman" w:hAnsi="Times New Roman" w:cs="Times New Roman"/>
          <w:sz w:val="24"/>
          <w:szCs w:val="24"/>
          <w:lang w:val="es-CO"/>
        </w:rPr>
      </w:pPr>
      <w:r w:rsidRPr="00B00FE4">
        <w:rPr>
          <w:rFonts w:ascii="Times New Roman" w:hAnsi="Times New Roman" w:cs="Times New Roman"/>
          <w:sz w:val="24"/>
          <w:szCs w:val="24"/>
          <w:lang w:val="es-CO"/>
        </w:rPr>
        <w:lastRenderedPageBreak/>
        <w:t xml:space="preserve">Gráfica 2. Tipo de cambio </w:t>
      </w:r>
    </w:p>
    <w:p w:rsidR="00B00FE4" w:rsidRDefault="00B82CA1" w:rsidP="00B00FE4">
      <w:pPr>
        <w:spacing w:after="80" w:line="240" w:lineRule="auto"/>
        <w:rPr>
          <w:rFonts w:ascii="Times New Roman" w:eastAsiaTheme="majorEastAsia" w:hAnsi="Times New Roman" w:cs="Times New Roman"/>
          <w:bCs/>
          <w:noProof/>
          <w:color w:val="000000" w:themeColor="text1"/>
          <w:sz w:val="24"/>
          <w:szCs w:val="24"/>
          <w:lang w:val="es-CO"/>
        </w:rPr>
      </w:pPr>
      <w:r>
        <w:rPr>
          <w:rFonts w:ascii="Times New Roman" w:hAnsi="Times New Roman" w:cs="Times New Roman"/>
          <w:noProof/>
          <w:sz w:val="24"/>
          <w:szCs w:val="24"/>
        </w:rPr>
        <w:drawing>
          <wp:inline distT="0" distB="0" distL="0" distR="0" wp14:anchorId="1EDC26FD" wp14:editId="7ED06B9B">
            <wp:extent cx="4633595" cy="2145665"/>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33595" cy="2145665"/>
                    </a:xfrm>
                    <a:prstGeom prst="rect">
                      <a:avLst/>
                    </a:prstGeom>
                    <a:noFill/>
                  </pic:spPr>
                </pic:pic>
              </a:graphicData>
            </a:graphic>
          </wp:inline>
        </w:drawing>
      </w:r>
      <w:r w:rsidR="00C22BDF" w:rsidRPr="00102F97">
        <w:rPr>
          <w:rFonts w:ascii="Times New Roman" w:hAnsi="Times New Roman" w:cs="Times New Roman"/>
          <w:sz w:val="24"/>
          <w:szCs w:val="24"/>
          <w:lang w:val="es-CO"/>
        </w:rPr>
        <w:tab/>
        <w:t xml:space="preserve"> </w:t>
      </w:r>
      <w:r w:rsidR="00AF092C" w:rsidRPr="00102F97">
        <w:rPr>
          <w:rFonts w:ascii="Times New Roman" w:hAnsi="Times New Roman" w:cs="Times New Roman"/>
          <w:sz w:val="24"/>
          <w:szCs w:val="24"/>
          <w:lang w:val="es-CO"/>
        </w:rPr>
        <w:t xml:space="preserve">              </w:t>
      </w:r>
      <w:r w:rsidRPr="00B82CA1">
        <w:rPr>
          <w:rFonts w:ascii="Times New Roman" w:eastAsiaTheme="majorEastAsia" w:hAnsi="Times New Roman" w:cs="Times New Roman"/>
          <w:bCs/>
          <w:noProof/>
          <w:color w:val="000000" w:themeColor="text1"/>
          <w:sz w:val="24"/>
          <w:szCs w:val="24"/>
          <w:lang w:val="es-CO"/>
        </w:rPr>
        <w:t xml:space="preserve">Fuente: Elaboración propia en Eviews 8. </w:t>
      </w:r>
    </w:p>
    <w:p w:rsidR="00B00FE4" w:rsidRDefault="00B00FE4" w:rsidP="00B00FE4">
      <w:pPr>
        <w:spacing w:after="80" w:line="240" w:lineRule="auto"/>
        <w:rPr>
          <w:rFonts w:ascii="Times New Roman" w:hAnsi="Times New Roman" w:cs="Times New Roman"/>
          <w:noProof/>
          <w:color w:val="000000" w:themeColor="text1"/>
          <w:sz w:val="24"/>
          <w:szCs w:val="24"/>
          <w:lang w:val="es-CO"/>
        </w:rPr>
      </w:pPr>
    </w:p>
    <w:p w:rsidR="00B00FE4" w:rsidRDefault="00B00FE4" w:rsidP="00B00FE4">
      <w:pPr>
        <w:spacing w:after="80" w:line="240" w:lineRule="auto"/>
        <w:rPr>
          <w:rFonts w:ascii="Times New Roman" w:hAnsi="Times New Roman" w:cs="Times New Roman"/>
          <w:noProof/>
          <w:color w:val="000000" w:themeColor="text1"/>
          <w:sz w:val="24"/>
          <w:szCs w:val="24"/>
          <w:lang w:val="es-CO"/>
        </w:rPr>
      </w:pPr>
    </w:p>
    <w:p w:rsidR="00B00FE4" w:rsidRDefault="00B00FE4" w:rsidP="00B00FE4">
      <w:pPr>
        <w:spacing w:after="80" w:line="240" w:lineRule="auto"/>
        <w:rPr>
          <w:rFonts w:ascii="Times New Roman" w:hAnsi="Times New Roman" w:cs="Times New Roman"/>
          <w:noProof/>
          <w:color w:val="000000" w:themeColor="text1"/>
          <w:sz w:val="24"/>
          <w:szCs w:val="24"/>
          <w:lang w:val="es-CO"/>
        </w:rPr>
      </w:pPr>
    </w:p>
    <w:p w:rsidR="00B00FE4" w:rsidRDefault="00B00FE4" w:rsidP="00B00FE4">
      <w:pPr>
        <w:spacing w:after="80" w:line="240" w:lineRule="auto"/>
        <w:rPr>
          <w:rFonts w:ascii="Times New Roman" w:hAnsi="Times New Roman" w:cs="Times New Roman"/>
          <w:noProof/>
          <w:color w:val="000000" w:themeColor="text1"/>
          <w:sz w:val="24"/>
          <w:szCs w:val="24"/>
          <w:lang w:val="es-CO"/>
        </w:rPr>
      </w:pPr>
    </w:p>
    <w:p w:rsidR="00B00FE4" w:rsidRDefault="00B00FE4" w:rsidP="00B00FE4">
      <w:pPr>
        <w:spacing w:after="80" w:line="240" w:lineRule="auto"/>
        <w:rPr>
          <w:rFonts w:ascii="Times New Roman" w:hAnsi="Times New Roman" w:cs="Times New Roman"/>
          <w:noProof/>
          <w:color w:val="000000" w:themeColor="text1"/>
          <w:sz w:val="24"/>
          <w:szCs w:val="24"/>
          <w:lang w:val="es-CO"/>
        </w:rPr>
      </w:pPr>
    </w:p>
    <w:p w:rsidR="00B82CA1" w:rsidRDefault="00B82CA1" w:rsidP="00B00FE4">
      <w:pPr>
        <w:spacing w:after="80" w:line="240" w:lineRule="auto"/>
        <w:rPr>
          <w:rFonts w:ascii="Times New Roman" w:hAnsi="Times New Roman" w:cs="Times New Roman"/>
          <w:noProof/>
          <w:color w:val="000000" w:themeColor="text1"/>
          <w:sz w:val="24"/>
          <w:szCs w:val="24"/>
          <w:lang w:val="es-CO"/>
        </w:rPr>
      </w:pPr>
      <w:r w:rsidRPr="00B82CA1">
        <w:rPr>
          <w:rFonts w:ascii="Times New Roman" w:hAnsi="Times New Roman" w:cs="Times New Roman"/>
          <w:noProof/>
          <w:color w:val="000000" w:themeColor="text1"/>
          <w:sz w:val="24"/>
          <w:szCs w:val="24"/>
          <w:lang w:val="es-CO"/>
        </w:rPr>
        <w:t xml:space="preserve">Gráfica </w:t>
      </w:r>
      <w:r>
        <w:rPr>
          <w:rFonts w:ascii="Times New Roman" w:hAnsi="Times New Roman" w:cs="Times New Roman"/>
          <w:noProof/>
          <w:color w:val="000000" w:themeColor="text1"/>
          <w:sz w:val="24"/>
          <w:szCs w:val="24"/>
          <w:lang w:val="es-CO"/>
        </w:rPr>
        <w:t>3</w:t>
      </w:r>
      <w:r w:rsidRPr="00B82CA1">
        <w:rPr>
          <w:rFonts w:ascii="Times New Roman" w:hAnsi="Times New Roman" w:cs="Times New Roman"/>
          <w:noProof/>
          <w:color w:val="000000" w:themeColor="text1"/>
          <w:sz w:val="24"/>
          <w:szCs w:val="24"/>
          <w:lang w:val="es-CO"/>
        </w:rPr>
        <w:t>. Tasa de interés para el periodo del objetivo operacional de Saldos sobre las Cuentas Corrientes (1998-2008)</w:t>
      </w:r>
    </w:p>
    <w:p w:rsidR="00B00FE4" w:rsidRDefault="00B00FE4" w:rsidP="00B00FE4">
      <w:pPr>
        <w:spacing w:after="80" w:line="240" w:lineRule="auto"/>
        <w:rPr>
          <w:rFonts w:ascii="Times New Roman" w:hAnsi="Times New Roman" w:cs="Times New Roman"/>
          <w:color w:val="000000" w:themeColor="text1"/>
          <w:sz w:val="24"/>
          <w:szCs w:val="24"/>
          <w:lang w:val="es-CO"/>
        </w:rPr>
      </w:pPr>
      <w:r>
        <w:rPr>
          <w:rFonts w:ascii="Times New Roman" w:eastAsiaTheme="minorHAnsi" w:hAnsi="Times New Roman" w:cs="Times New Roman"/>
          <w:noProof/>
          <w:sz w:val="24"/>
          <w:szCs w:val="24"/>
        </w:rPr>
        <w:drawing>
          <wp:inline distT="0" distB="0" distL="0" distR="0" wp14:anchorId="20FD2775" wp14:editId="2ADF7238">
            <wp:extent cx="4651375" cy="2145665"/>
            <wp:effectExtent l="0" t="0" r="0" b="698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51375" cy="2145665"/>
                    </a:xfrm>
                    <a:prstGeom prst="rect">
                      <a:avLst/>
                    </a:prstGeom>
                    <a:noFill/>
                  </pic:spPr>
                </pic:pic>
              </a:graphicData>
            </a:graphic>
          </wp:inline>
        </w:drawing>
      </w:r>
    </w:p>
    <w:p w:rsidR="00B00FE4" w:rsidRDefault="00B82CA1" w:rsidP="00B00FE4">
      <w:pPr>
        <w:spacing w:after="80" w:line="240" w:lineRule="auto"/>
        <w:rPr>
          <w:rFonts w:ascii="Times New Roman" w:hAnsi="Times New Roman" w:cs="Times New Roman"/>
          <w:color w:val="000000" w:themeColor="text1"/>
          <w:sz w:val="24"/>
          <w:szCs w:val="24"/>
          <w:lang w:val="es-CO"/>
        </w:rPr>
      </w:pPr>
      <w:r w:rsidRPr="00B82CA1">
        <w:rPr>
          <w:rFonts w:ascii="Times New Roman" w:hAnsi="Times New Roman" w:cs="Times New Roman"/>
          <w:color w:val="000000" w:themeColor="text1"/>
          <w:sz w:val="24"/>
          <w:szCs w:val="24"/>
          <w:lang w:val="es-CO"/>
        </w:rPr>
        <w:t xml:space="preserve">Fuente: Elaboración propia en Eviews 8. </w:t>
      </w:r>
    </w:p>
    <w:p w:rsidR="00B00FE4" w:rsidRDefault="00B00FE4" w:rsidP="00B00FE4">
      <w:pPr>
        <w:spacing w:after="80" w:line="240" w:lineRule="auto"/>
        <w:rPr>
          <w:rFonts w:ascii="Times New Roman" w:hAnsi="Times New Roman" w:cs="Times New Roman"/>
          <w:color w:val="000000" w:themeColor="text1"/>
          <w:sz w:val="24"/>
          <w:szCs w:val="24"/>
          <w:lang w:val="es-CO"/>
        </w:rPr>
      </w:pPr>
    </w:p>
    <w:p w:rsidR="00B00FE4" w:rsidRDefault="00B00FE4" w:rsidP="00B00FE4">
      <w:pPr>
        <w:spacing w:after="80" w:line="240" w:lineRule="auto"/>
        <w:rPr>
          <w:rFonts w:ascii="Times New Roman" w:hAnsi="Times New Roman" w:cs="Times New Roman"/>
          <w:color w:val="000000" w:themeColor="text1"/>
          <w:sz w:val="24"/>
          <w:szCs w:val="24"/>
          <w:lang w:val="es-CO"/>
        </w:rPr>
      </w:pPr>
    </w:p>
    <w:p w:rsidR="00B00FE4" w:rsidRDefault="00B00FE4" w:rsidP="00B00FE4">
      <w:pPr>
        <w:spacing w:after="80" w:line="240" w:lineRule="auto"/>
        <w:rPr>
          <w:rFonts w:ascii="Times New Roman" w:hAnsi="Times New Roman" w:cs="Times New Roman"/>
          <w:color w:val="000000" w:themeColor="text1"/>
          <w:sz w:val="24"/>
          <w:szCs w:val="24"/>
          <w:lang w:val="es-CO"/>
        </w:rPr>
      </w:pPr>
    </w:p>
    <w:p w:rsidR="00B00FE4" w:rsidRDefault="00B00FE4" w:rsidP="00B00FE4">
      <w:pPr>
        <w:spacing w:after="80" w:line="240" w:lineRule="auto"/>
        <w:rPr>
          <w:rFonts w:ascii="Times New Roman" w:hAnsi="Times New Roman" w:cs="Times New Roman"/>
          <w:color w:val="000000" w:themeColor="text1"/>
          <w:sz w:val="24"/>
          <w:szCs w:val="24"/>
          <w:lang w:val="es-CO"/>
        </w:rPr>
      </w:pPr>
    </w:p>
    <w:p w:rsidR="00B00FE4" w:rsidRDefault="00B00FE4" w:rsidP="00B00FE4">
      <w:pPr>
        <w:spacing w:after="80" w:line="240" w:lineRule="auto"/>
        <w:rPr>
          <w:rFonts w:ascii="Times New Roman" w:hAnsi="Times New Roman" w:cs="Times New Roman"/>
          <w:color w:val="000000" w:themeColor="text1"/>
          <w:sz w:val="24"/>
          <w:szCs w:val="24"/>
          <w:lang w:val="es-CO"/>
        </w:rPr>
      </w:pPr>
    </w:p>
    <w:p w:rsidR="00B00FE4" w:rsidRDefault="00B00FE4" w:rsidP="00B00FE4">
      <w:pPr>
        <w:spacing w:after="80" w:line="240" w:lineRule="auto"/>
        <w:rPr>
          <w:rFonts w:ascii="Times New Roman" w:hAnsi="Times New Roman" w:cs="Times New Roman"/>
          <w:color w:val="000000" w:themeColor="text1"/>
          <w:sz w:val="24"/>
          <w:szCs w:val="24"/>
          <w:lang w:val="es-CO"/>
        </w:rPr>
      </w:pPr>
    </w:p>
    <w:p w:rsidR="00B00FE4" w:rsidRDefault="00B00FE4" w:rsidP="00B00FE4">
      <w:pPr>
        <w:spacing w:after="80" w:line="240" w:lineRule="auto"/>
        <w:rPr>
          <w:rFonts w:ascii="Times New Roman" w:hAnsi="Times New Roman" w:cs="Times New Roman"/>
          <w:color w:val="000000" w:themeColor="text1"/>
          <w:sz w:val="24"/>
          <w:szCs w:val="24"/>
          <w:lang w:val="es-CO"/>
        </w:rPr>
      </w:pPr>
    </w:p>
    <w:p w:rsidR="00B82CA1" w:rsidRDefault="00B82CA1" w:rsidP="00B00FE4">
      <w:pPr>
        <w:spacing w:after="80" w:line="240" w:lineRule="auto"/>
        <w:rPr>
          <w:rFonts w:ascii="Times New Roman" w:hAnsi="Times New Roman" w:cs="Times New Roman"/>
          <w:color w:val="000000" w:themeColor="text1"/>
          <w:sz w:val="24"/>
          <w:szCs w:val="24"/>
          <w:lang w:val="es-CO"/>
        </w:rPr>
      </w:pPr>
      <w:r w:rsidRPr="00B82CA1">
        <w:rPr>
          <w:rFonts w:ascii="Times New Roman" w:hAnsi="Times New Roman" w:cs="Times New Roman"/>
          <w:color w:val="000000" w:themeColor="text1"/>
          <w:sz w:val="24"/>
          <w:szCs w:val="24"/>
          <w:lang w:val="es-CO"/>
        </w:rPr>
        <w:lastRenderedPageBreak/>
        <w:t xml:space="preserve">Gráfica </w:t>
      </w:r>
      <w:r>
        <w:rPr>
          <w:rFonts w:ascii="Times New Roman" w:hAnsi="Times New Roman" w:cs="Times New Roman"/>
          <w:color w:val="000000" w:themeColor="text1"/>
          <w:sz w:val="24"/>
          <w:szCs w:val="24"/>
          <w:lang w:val="es-CO"/>
        </w:rPr>
        <w:t>4</w:t>
      </w:r>
      <w:r w:rsidRPr="00B82CA1">
        <w:rPr>
          <w:rFonts w:ascii="Times New Roman" w:hAnsi="Times New Roman" w:cs="Times New Roman"/>
          <w:color w:val="000000" w:themeColor="text1"/>
          <w:sz w:val="24"/>
          <w:szCs w:val="24"/>
          <w:lang w:val="es-CO"/>
        </w:rPr>
        <w:t>. Tipo de cambio para el periodo objetivo operacional de Saldos sobre las Cuentas Corrientes (1998-2008)</w:t>
      </w:r>
    </w:p>
    <w:p w:rsidR="00B00FE4" w:rsidRDefault="00B00FE4" w:rsidP="00B00FE4">
      <w:pPr>
        <w:spacing w:after="80" w:line="240" w:lineRule="auto"/>
        <w:rPr>
          <w:rFonts w:ascii="Times New Roman" w:eastAsiaTheme="minorHAnsi" w:hAnsi="Times New Roman" w:cs="Times New Roman"/>
          <w:noProof/>
          <w:sz w:val="24"/>
          <w:szCs w:val="24"/>
        </w:rPr>
      </w:pPr>
    </w:p>
    <w:p w:rsidR="00B00FE4" w:rsidRDefault="00B00FE4" w:rsidP="00B00FE4">
      <w:pPr>
        <w:spacing w:after="80" w:line="240" w:lineRule="auto"/>
        <w:rPr>
          <w:rFonts w:ascii="Times New Roman" w:hAnsi="Times New Roman" w:cs="Times New Roman"/>
          <w:color w:val="000000" w:themeColor="text1"/>
          <w:sz w:val="24"/>
          <w:szCs w:val="24"/>
          <w:lang w:val="es-CO"/>
        </w:rPr>
      </w:pPr>
      <w:r>
        <w:rPr>
          <w:rFonts w:ascii="Times New Roman" w:eastAsiaTheme="minorHAnsi" w:hAnsi="Times New Roman" w:cs="Times New Roman"/>
          <w:noProof/>
          <w:sz w:val="24"/>
          <w:szCs w:val="24"/>
        </w:rPr>
        <w:drawing>
          <wp:inline distT="0" distB="0" distL="0" distR="0" wp14:anchorId="6FDAD271" wp14:editId="38C83342">
            <wp:extent cx="4838700" cy="2047875"/>
            <wp:effectExtent l="0" t="0" r="0"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40200" cy="2048510"/>
                    </a:xfrm>
                    <a:prstGeom prst="rect">
                      <a:avLst/>
                    </a:prstGeom>
                    <a:noFill/>
                  </pic:spPr>
                </pic:pic>
              </a:graphicData>
            </a:graphic>
          </wp:inline>
        </w:drawing>
      </w:r>
    </w:p>
    <w:p w:rsidR="00B00FE4" w:rsidRDefault="00B82CA1" w:rsidP="00B00FE4">
      <w:pPr>
        <w:spacing w:after="80" w:line="240" w:lineRule="auto"/>
        <w:rPr>
          <w:rFonts w:ascii="Times New Roman" w:hAnsi="Times New Roman" w:cs="Times New Roman"/>
          <w:color w:val="000000" w:themeColor="text1"/>
          <w:sz w:val="24"/>
          <w:szCs w:val="24"/>
          <w:lang w:val="es-CO"/>
        </w:rPr>
      </w:pPr>
      <w:r w:rsidRPr="00B82CA1">
        <w:rPr>
          <w:rFonts w:ascii="Times New Roman" w:hAnsi="Times New Roman" w:cs="Times New Roman"/>
          <w:color w:val="000000" w:themeColor="text1"/>
          <w:sz w:val="24"/>
          <w:szCs w:val="24"/>
          <w:lang w:val="es-CO"/>
        </w:rPr>
        <w:t xml:space="preserve">Fuente: Elaboración propia en Eviews 8. </w:t>
      </w:r>
    </w:p>
    <w:p w:rsidR="00B00FE4" w:rsidRDefault="00B00FE4" w:rsidP="00B00FE4">
      <w:pPr>
        <w:spacing w:after="80" w:line="240" w:lineRule="auto"/>
        <w:rPr>
          <w:rFonts w:ascii="Times New Roman" w:hAnsi="Times New Roman" w:cs="Times New Roman"/>
          <w:color w:val="000000" w:themeColor="text1"/>
          <w:sz w:val="24"/>
          <w:szCs w:val="24"/>
          <w:lang w:val="es-CO"/>
        </w:rPr>
      </w:pPr>
    </w:p>
    <w:p w:rsidR="00B00FE4" w:rsidRDefault="00B00FE4" w:rsidP="00B00FE4">
      <w:pPr>
        <w:spacing w:after="80" w:line="240" w:lineRule="auto"/>
        <w:rPr>
          <w:rFonts w:ascii="Times New Roman" w:hAnsi="Times New Roman" w:cs="Times New Roman"/>
          <w:color w:val="000000" w:themeColor="text1"/>
          <w:sz w:val="24"/>
          <w:szCs w:val="24"/>
          <w:lang w:val="es-CO"/>
        </w:rPr>
      </w:pPr>
    </w:p>
    <w:p w:rsidR="00B00FE4" w:rsidRDefault="00B00FE4" w:rsidP="00B00FE4">
      <w:pPr>
        <w:spacing w:after="80" w:line="240" w:lineRule="auto"/>
        <w:rPr>
          <w:rFonts w:ascii="Times New Roman" w:hAnsi="Times New Roman" w:cs="Times New Roman"/>
          <w:color w:val="000000" w:themeColor="text1"/>
          <w:sz w:val="24"/>
          <w:szCs w:val="24"/>
          <w:lang w:val="es-CO"/>
        </w:rPr>
      </w:pPr>
    </w:p>
    <w:p w:rsidR="00B82CA1" w:rsidRDefault="00B82CA1" w:rsidP="00B00FE4">
      <w:pPr>
        <w:spacing w:after="80" w:line="240" w:lineRule="auto"/>
        <w:rPr>
          <w:rFonts w:ascii="Times New Roman" w:hAnsi="Times New Roman" w:cs="Times New Roman"/>
          <w:color w:val="000000" w:themeColor="text1"/>
          <w:sz w:val="24"/>
          <w:szCs w:val="24"/>
          <w:lang w:val="es-CO"/>
        </w:rPr>
      </w:pPr>
      <w:r w:rsidRPr="00B00FE4">
        <w:rPr>
          <w:rFonts w:ascii="Times New Roman" w:hAnsi="Times New Roman" w:cs="Times New Roman"/>
          <w:color w:val="000000" w:themeColor="text1"/>
          <w:sz w:val="24"/>
          <w:szCs w:val="24"/>
          <w:lang w:val="es-CO"/>
        </w:rPr>
        <w:t xml:space="preserve">Gráfica </w:t>
      </w:r>
      <w:r w:rsidR="00EC66C8" w:rsidRPr="00B00FE4">
        <w:rPr>
          <w:rFonts w:ascii="Times New Roman" w:hAnsi="Times New Roman" w:cs="Times New Roman"/>
          <w:color w:val="000000" w:themeColor="text1"/>
          <w:sz w:val="24"/>
          <w:szCs w:val="24"/>
          <w:lang w:val="es-CO"/>
        </w:rPr>
        <w:t>5</w:t>
      </w:r>
      <w:r w:rsidRPr="00B00FE4">
        <w:rPr>
          <w:rFonts w:ascii="Times New Roman" w:hAnsi="Times New Roman" w:cs="Times New Roman"/>
          <w:color w:val="000000" w:themeColor="text1"/>
          <w:sz w:val="24"/>
          <w:szCs w:val="24"/>
          <w:lang w:val="es-CO"/>
        </w:rPr>
        <w:t>. Tasa de interés para el periodo de la tasa de interés como objetivo operacional (2008-2013)</w:t>
      </w:r>
    </w:p>
    <w:p w:rsidR="00B00FE4" w:rsidRDefault="00B00FE4" w:rsidP="00B00FE4">
      <w:pPr>
        <w:spacing w:after="80" w:line="240" w:lineRule="auto"/>
        <w:rPr>
          <w:rFonts w:ascii="Times New Roman" w:hAnsi="Times New Roman" w:cs="Times New Roman"/>
          <w:color w:val="000000" w:themeColor="text1"/>
          <w:sz w:val="24"/>
          <w:szCs w:val="24"/>
          <w:lang w:val="es-CO"/>
        </w:rPr>
      </w:pPr>
    </w:p>
    <w:p w:rsidR="00B82CA1" w:rsidRPr="00B00FE4" w:rsidRDefault="00B00FE4" w:rsidP="00B00FE4">
      <w:pPr>
        <w:spacing w:after="80" w:line="240" w:lineRule="auto"/>
        <w:rPr>
          <w:rFonts w:ascii="Times New Roman" w:hAnsi="Times New Roman" w:cs="Times New Roman"/>
          <w:color w:val="000000" w:themeColor="text1"/>
          <w:sz w:val="24"/>
          <w:szCs w:val="24"/>
          <w:lang w:val="es-CO"/>
        </w:rPr>
      </w:pPr>
      <w:r>
        <w:rPr>
          <w:rFonts w:ascii="Times New Roman" w:hAnsi="Times New Roman" w:cs="Times New Roman"/>
          <w:noProof/>
          <w:color w:val="000000" w:themeColor="text1"/>
          <w:sz w:val="24"/>
          <w:szCs w:val="24"/>
        </w:rPr>
        <w:drawing>
          <wp:inline distT="0" distB="0" distL="0" distR="0" wp14:anchorId="064B8A1D" wp14:editId="1AFE1F7A">
            <wp:extent cx="5229225" cy="2095500"/>
            <wp:effectExtent l="0" t="0" r="952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33979" cy="2097405"/>
                    </a:xfrm>
                    <a:prstGeom prst="rect">
                      <a:avLst/>
                    </a:prstGeom>
                    <a:noFill/>
                  </pic:spPr>
                </pic:pic>
              </a:graphicData>
            </a:graphic>
          </wp:inline>
        </w:drawing>
      </w:r>
      <w:r w:rsidR="00B82CA1" w:rsidRPr="00EC66C8">
        <w:rPr>
          <w:rFonts w:ascii="Times New Roman" w:hAnsi="Times New Roman" w:cs="Times New Roman"/>
          <w:color w:val="000000" w:themeColor="text1"/>
          <w:sz w:val="24"/>
          <w:szCs w:val="24"/>
          <w:lang w:val="es-CO"/>
        </w:rPr>
        <w:t xml:space="preserve">Fuente: Elaboración propia en Eviews 8. </w:t>
      </w:r>
    </w:p>
    <w:p w:rsidR="00B00FE4" w:rsidRDefault="00B00FE4" w:rsidP="00B82CA1">
      <w:pPr>
        <w:pStyle w:val="Ttulo2"/>
        <w:shd w:val="clear" w:color="auto" w:fill="FFFFFF" w:themeFill="background1"/>
        <w:rPr>
          <w:rFonts w:ascii="Times New Roman" w:hAnsi="Times New Roman" w:cs="Times New Roman"/>
          <w:color w:val="000000" w:themeColor="text1"/>
          <w:sz w:val="24"/>
          <w:szCs w:val="24"/>
          <w:lang w:val="es-CO"/>
        </w:rPr>
      </w:pPr>
    </w:p>
    <w:p w:rsidR="00B82CA1" w:rsidRPr="00B00FE4" w:rsidRDefault="00B82CA1" w:rsidP="00B82CA1">
      <w:pPr>
        <w:pStyle w:val="Ttulo2"/>
        <w:shd w:val="clear" w:color="auto" w:fill="FFFFFF" w:themeFill="background1"/>
        <w:rPr>
          <w:rFonts w:ascii="Times New Roman" w:hAnsi="Times New Roman" w:cs="Times New Roman"/>
          <w:b w:val="0"/>
          <w:color w:val="000000" w:themeColor="text1"/>
          <w:sz w:val="24"/>
          <w:szCs w:val="24"/>
          <w:lang w:val="es-CO"/>
        </w:rPr>
      </w:pPr>
      <w:r w:rsidRPr="00B00FE4">
        <w:rPr>
          <w:rFonts w:ascii="Times New Roman" w:hAnsi="Times New Roman" w:cs="Times New Roman"/>
          <w:b w:val="0"/>
          <w:color w:val="000000" w:themeColor="text1"/>
          <w:sz w:val="24"/>
          <w:szCs w:val="24"/>
          <w:lang w:val="es-CO"/>
        </w:rPr>
        <w:t xml:space="preserve">Gráfica </w:t>
      </w:r>
      <w:r w:rsidR="00EC66C8" w:rsidRPr="00B00FE4">
        <w:rPr>
          <w:rFonts w:ascii="Times New Roman" w:hAnsi="Times New Roman" w:cs="Times New Roman"/>
          <w:b w:val="0"/>
          <w:color w:val="000000" w:themeColor="text1"/>
          <w:sz w:val="24"/>
          <w:szCs w:val="24"/>
          <w:lang w:val="es-CO"/>
        </w:rPr>
        <w:t>6</w:t>
      </w:r>
      <w:r w:rsidRPr="00B00FE4">
        <w:rPr>
          <w:rFonts w:ascii="Times New Roman" w:hAnsi="Times New Roman" w:cs="Times New Roman"/>
          <w:b w:val="0"/>
          <w:color w:val="000000" w:themeColor="text1"/>
          <w:sz w:val="24"/>
          <w:szCs w:val="24"/>
          <w:lang w:val="es-CO"/>
        </w:rPr>
        <w:t>. Tipo de cambio para periodo de la tasa de interés como objetivo operacional (2008-2013)</w:t>
      </w:r>
    </w:p>
    <w:p w:rsidR="00B82CA1" w:rsidRDefault="00B82CA1" w:rsidP="004A778E">
      <w:pPr>
        <w:pStyle w:val="Ttulo2"/>
        <w:shd w:val="clear" w:color="auto" w:fill="FFFFFF" w:themeFill="background1"/>
        <w:rPr>
          <w:rFonts w:ascii="Times New Roman" w:hAnsi="Times New Roman" w:cs="Times New Roman"/>
          <w:color w:val="000000" w:themeColor="text1"/>
          <w:sz w:val="24"/>
          <w:szCs w:val="24"/>
          <w:lang w:val="es-CO"/>
        </w:rPr>
      </w:pPr>
      <w:r>
        <w:rPr>
          <w:rFonts w:ascii="Times New Roman" w:hAnsi="Times New Roman" w:cs="Times New Roman"/>
          <w:noProof/>
          <w:color w:val="000000" w:themeColor="text1"/>
          <w:sz w:val="24"/>
          <w:szCs w:val="24"/>
        </w:rPr>
        <w:drawing>
          <wp:inline distT="0" distB="0" distL="0" distR="0" wp14:anchorId="4CD56354">
            <wp:extent cx="4924425" cy="2037025"/>
            <wp:effectExtent l="0" t="0" r="0" b="190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923022" cy="2036445"/>
                    </a:xfrm>
                    <a:prstGeom prst="rect">
                      <a:avLst/>
                    </a:prstGeom>
                    <a:noFill/>
                  </pic:spPr>
                </pic:pic>
              </a:graphicData>
            </a:graphic>
          </wp:inline>
        </w:drawing>
      </w:r>
    </w:p>
    <w:p w:rsidR="00EC66C8" w:rsidRPr="00B00FE4" w:rsidRDefault="00EC66C8" w:rsidP="00EC66C8">
      <w:pPr>
        <w:rPr>
          <w:rFonts w:ascii="Times New Roman" w:hAnsi="Times New Roman" w:cs="Times New Roman"/>
          <w:bCs/>
          <w:lang w:val="es-CO"/>
        </w:rPr>
      </w:pPr>
      <w:r w:rsidRPr="00B00FE4">
        <w:rPr>
          <w:rFonts w:ascii="Times New Roman" w:hAnsi="Times New Roman" w:cs="Times New Roman"/>
          <w:bCs/>
          <w:lang w:val="es-CO"/>
        </w:rPr>
        <w:t>Fuente: Elaboración propia en Eviews 8</w:t>
      </w:r>
    </w:p>
    <w:p w:rsidR="00B00FE4" w:rsidRDefault="00B00FE4" w:rsidP="00EC66C8">
      <w:pPr>
        <w:rPr>
          <w:rFonts w:ascii="Times New Roman" w:eastAsiaTheme="majorEastAsia" w:hAnsi="Times New Roman" w:cs="Times New Roman"/>
          <w:b/>
          <w:bCs/>
          <w:color w:val="000000" w:themeColor="text1"/>
          <w:sz w:val="24"/>
          <w:szCs w:val="24"/>
          <w:lang w:val="es-CO"/>
        </w:rPr>
      </w:pPr>
    </w:p>
    <w:p w:rsidR="00B00FE4" w:rsidRDefault="00B00FE4" w:rsidP="00EC66C8">
      <w:pPr>
        <w:rPr>
          <w:rFonts w:ascii="Times New Roman" w:eastAsiaTheme="majorEastAsia" w:hAnsi="Times New Roman" w:cs="Times New Roman"/>
          <w:b/>
          <w:bCs/>
          <w:color w:val="000000" w:themeColor="text1"/>
          <w:sz w:val="24"/>
          <w:szCs w:val="24"/>
          <w:lang w:val="es-CO"/>
        </w:rPr>
      </w:pPr>
    </w:p>
    <w:p w:rsidR="00EC66C8" w:rsidRDefault="00EC66C8" w:rsidP="00EC66C8">
      <w:pPr>
        <w:rPr>
          <w:rFonts w:ascii="Times New Roman" w:eastAsiaTheme="majorEastAsia" w:hAnsi="Times New Roman" w:cs="Times New Roman"/>
          <w:b/>
          <w:bCs/>
          <w:color w:val="000000" w:themeColor="text1"/>
          <w:sz w:val="24"/>
          <w:szCs w:val="24"/>
          <w:lang w:val="es-CO"/>
        </w:rPr>
      </w:pPr>
      <w:r>
        <w:rPr>
          <w:rFonts w:ascii="Times New Roman" w:eastAsiaTheme="majorEastAsia" w:hAnsi="Times New Roman" w:cs="Times New Roman"/>
          <w:b/>
          <w:bCs/>
          <w:color w:val="000000" w:themeColor="text1"/>
          <w:sz w:val="24"/>
          <w:szCs w:val="24"/>
          <w:lang w:val="es-CO"/>
        </w:rPr>
        <w:t xml:space="preserve">Cuadro </w:t>
      </w:r>
      <w:r w:rsidR="005F0A1B">
        <w:rPr>
          <w:rFonts w:ascii="Times New Roman" w:eastAsiaTheme="majorEastAsia" w:hAnsi="Times New Roman" w:cs="Times New Roman"/>
          <w:b/>
          <w:bCs/>
          <w:color w:val="000000" w:themeColor="text1"/>
          <w:sz w:val="24"/>
          <w:szCs w:val="24"/>
          <w:lang w:val="es-CO"/>
        </w:rPr>
        <w:t>3</w:t>
      </w:r>
      <w:r w:rsidRPr="00EC66C8">
        <w:rPr>
          <w:rFonts w:ascii="Times New Roman" w:eastAsiaTheme="majorEastAsia" w:hAnsi="Times New Roman" w:cs="Times New Roman"/>
          <w:b/>
          <w:bCs/>
          <w:color w:val="000000" w:themeColor="text1"/>
          <w:sz w:val="24"/>
          <w:szCs w:val="24"/>
          <w:lang w:val="es-CO"/>
        </w:rPr>
        <w:t>. Desviación estándar del tipo de cambio y de la tasa de interés</w:t>
      </w:r>
    </w:p>
    <w:tbl>
      <w:tblPr>
        <w:tblStyle w:val="Cuadrculaclara-nfasis12"/>
        <w:tblW w:w="0" w:type="auto"/>
        <w:tblLook w:val="04A0" w:firstRow="1" w:lastRow="0" w:firstColumn="1" w:lastColumn="0" w:noHBand="0" w:noVBand="1"/>
      </w:tblPr>
      <w:tblGrid>
        <w:gridCol w:w="5070"/>
        <w:gridCol w:w="1842"/>
        <w:gridCol w:w="2066"/>
      </w:tblGrid>
      <w:tr w:rsidR="00EC66C8" w:rsidRPr="00EC66C8" w:rsidTr="00CD5B5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EC66C8" w:rsidRPr="00EC66C8" w:rsidRDefault="00EC66C8" w:rsidP="00EC66C8">
            <w:pPr>
              <w:spacing w:before="100" w:beforeAutospacing="1" w:after="100" w:afterAutospacing="1" w:line="360" w:lineRule="auto"/>
              <w:rPr>
                <w:rFonts w:ascii="Times New Roman" w:hAnsi="Times New Roman"/>
                <w:i/>
                <w:sz w:val="24"/>
                <w:szCs w:val="24"/>
                <w:lang w:val="es-CO"/>
              </w:rPr>
            </w:pPr>
            <w:r w:rsidRPr="00EC66C8">
              <w:rPr>
                <w:rFonts w:ascii="Times New Roman" w:hAnsi="Times New Roman"/>
                <w:i/>
                <w:sz w:val="24"/>
                <w:szCs w:val="24"/>
                <w:lang w:val="es-CO"/>
              </w:rPr>
              <w:t>Periodo</w:t>
            </w:r>
          </w:p>
        </w:tc>
        <w:tc>
          <w:tcPr>
            <w:tcW w:w="1842" w:type="dxa"/>
          </w:tcPr>
          <w:p w:rsidR="00EC66C8" w:rsidRPr="00EC66C8" w:rsidRDefault="00EC66C8" w:rsidP="00EC66C8">
            <w:pPr>
              <w:spacing w:before="100" w:beforeAutospacing="1" w:after="100" w:afterAutospacing="1"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i/>
                <w:sz w:val="24"/>
                <w:szCs w:val="24"/>
                <w:lang w:val="es-CO"/>
              </w:rPr>
            </w:pPr>
            <w:r w:rsidRPr="00EC66C8">
              <w:rPr>
                <w:rFonts w:ascii="Times New Roman" w:hAnsi="Times New Roman"/>
                <w:i/>
                <w:sz w:val="24"/>
                <w:szCs w:val="24"/>
                <w:lang w:val="es-CO"/>
              </w:rPr>
              <w:t>Tasa de interés</w:t>
            </w:r>
          </w:p>
        </w:tc>
        <w:tc>
          <w:tcPr>
            <w:tcW w:w="2066" w:type="dxa"/>
          </w:tcPr>
          <w:p w:rsidR="00EC66C8" w:rsidRPr="00EC66C8" w:rsidRDefault="00EC66C8" w:rsidP="00EC66C8">
            <w:pPr>
              <w:spacing w:before="100" w:beforeAutospacing="1" w:after="100" w:afterAutospacing="1"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i/>
                <w:sz w:val="24"/>
                <w:szCs w:val="24"/>
                <w:lang w:val="es-CO"/>
              </w:rPr>
            </w:pPr>
            <w:r w:rsidRPr="00EC66C8">
              <w:rPr>
                <w:rFonts w:ascii="Times New Roman" w:hAnsi="Times New Roman"/>
                <w:i/>
                <w:sz w:val="24"/>
                <w:szCs w:val="24"/>
                <w:lang w:val="es-CO"/>
              </w:rPr>
              <w:t>Tipo de Cambio</w:t>
            </w:r>
          </w:p>
        </w:tc>
      </w:tr>
      <w:tr w:rsidR="00EC66C8" w:rsidRPr="00EC66C8" w:rsidTr="00CD5B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EC66C8" w:rsidRPr="00EC66C8" w:rsidRDefault="00EC66C8" w:rsidP="00EC66C8">
            <w:pPr>
              <w:spacing w:before="100" w:beforeAutospacing="1" w:after="100" w:afterAutospacing="1" w:line="360" w:lineRule="auto"/>
              <w:rPr>
                <w:rFonts w:ascii="Times New Roman" w:hAnsi="Times New Roman"/>
                <w:sz w:val="24"/>
                <w:szCs w:val="24"/>
                <w:lang w:val="es-CO"/>
              </w:rPr>
            </w:pPr>
            <w:r w:rsidRPr="00EC66C8">
              <w:rPr>
                <w:rFonts w:ascii="Times New Roman" w:hAnsi="Times New Roman"/>
                <w:sz w:val="24"/>
                <w:szCs w:val="24"/>
                <w:lang w:val="es-CO"/>
              </w:rPr>
              <w:t>Objetivo operacional de Saldos sobre las Cuentas Corrientes (1998-2008)</w:t>
            </w:r>
          </w:p>
        </w:tc>
        <w:tc>
          <w:tcPr>
            <w:tcW w:w="1842" w:type="dxa"/>
          </w:tcPr>
          <w:p w:rsidR="00EC66C8" w:rsidRPr="00EC66C8" w:rsidRDefault="00EC66C8" w:rsidP="00EC66C8">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CO"/>
              </w:rPr>
            </w:pPr>
            <w:r w:rsidRPr="00EC66C8">
              <w:rPr>
                <w:rFonts w:ascii="Times New Roman" w:hAnsi="Times New Roman" w:cs="Times New Roman"/>
                <w:sz w:val="24"/>
                <w:szCs w:val="24"/>
                <w:lang w:val="es-CO"/>
              </w:rPr>
              <w:t>5.767520</w:t>
            </w:r>
          </w:p>
        </w:tc>
        <w:tc>
          <w:tcPr>
            <w:tcW w:w="2066" w:type="dxa"/>
          </w:tcPr>
          <w:p w:rsidR="00EC66C8" w:rsidRPr="00EC66C8" w:rsidRDefault="00EC66C8" w:rsidP="00EC66C8">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CO"/>
              </w:rPr>
            </w:pPr>
            <w:r w:rsidRPr="00EC66C8">
              <w:rPr>
                <w:rFonts w:ascii="Times New Roman" w:hAnsi="Times New Roman" w:cs="Times New Roman"/>
                <w:sz w:val="24"/>
                <w:szCs w:val="24"/>
                <w:lang w:val="es-CO"/>
              </w:rPr>
              <w:t>0.767656</w:t>
            </w:r>
          </w:p>
        </w:tc>
      </w:tr>
      <w:tr w:rsidR="00EC66C8" w:rsidRPr="00EC66C8" w:rsidTr="00CD5B5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EC66C8" w:rsidRPr="00EC66C8" w:rsidRDefault="00EC66C8" w:rsidP="00EC66C8">
            <w:pPr>
              <w:spacing w:before="100" w:beforeAutospacing="1" w:after="100" w:afterAutospacing="1" w:line="360" w:lineRule="auto"/>
              <w:rPr>
                <w:rFonts w:ascii="Times New Roman" w:hAnsi="Times New Roman"/>
                <w:sz w:val="24"/>
                <w:szCs w:val="24"/>
                <w:lang w:val="es-CO"/>
              </w:rPr>
            </w:pPr>
            <w:r w:rsidRPr="00EC66C8">
              <w:rPr>
                <w:rFonts w:ascii="Times New Roman" w:hAnsi="Times New Roman"/>
                <w:sz w:val="24"/>
                <w:szCs w:val="24"/>
                <w:lang w:val="es-CO"/>
              </w:rPr>
              <w:t xml:space="preserve">Tasa de interés como objetivo operacional </w:t>
            </w:r>
          </w:p>
          <w:p w:rsidR="00EC66C8" w:rsidRPr="00EC66C8" w:rsidRDefault="00EC66C8" w:rsidP="00EC66C8">
            <w:pPr>
              <w:spacing w:before="100" w:beforeAutospacing="1" w:after="100" w:afterAutospacing="1" w:line="360" w:lineRule="auto"/>
              <w:rPr>
                <w:rFonts w:ascii="Times New Roman" w:hAnsi="Times New Roman"/>
                <w:sz w:val="24"/>
                <w:szCs w:val="24"/>
                <w:lang w:val="es-CO"/>
              </w:rPr>
            </w:pPr>
            <w:r w:rsidRPr="00EC66C8">
              <w:rPr>
                <w:rFonts w:ascii="Times New Roman" w:hAnsi="Times New Roman"/>
                <w:sz w:val="24"/>
                <w:szCs w:val="24"/>
                <w:lang w:val="es-CO"/>
              </w:rPr>
              <w:t>(2008-2013)</w:t>
            </w:r>
          </w:p>
        </w:tc>
        <w:tc>
          <w:tcPr>
            <w:tcW w:w="1842" w:type="dxa"/>
          </w:tcPr>
          <w:p w:rsidR="00EC66C8" w:rsidRPr="00EC66C8" w:rsidRDefault="00EC66C8" w:rsidP="00EC66C8">
            <w:pPr>
              <w:spacing w:before="100" w:beforeAutospacing="1" w:after="100" w:afterAutospacing="1" w:line="360" w:lineRule="auto"/>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lang w:val="es-CO"/>
              </w:rPr>
            </w:pPr>
            <w:r w:rsidRPr="00EC66C8">
              <w:rPr>
                <w:rFonts w:ascii="Times New Roman" w:hAnsi="Times New Roman" w:cs="Times New Roman"/>
                <w:sz w:val="24"/>
                <w:szCs w:val="24"/>
                <w:lang w:val="es-CO"/>
              </w:rPr>
              <w:t>1.279854</w:t>
            </w:r>
          </w:p>
        </w:tc>
        <w:tc>
          <w:tcPr>
            <w:tcW w:w="2066" w:type="dxa"/>
          </w:tcPr>
          <w:p w:rsidR="00EC66C8" w:rsidRPr="00EC66C8" w:rsidRDefault="00EC66C8" w:rsidP="00EC66C8">
            <w:pPr>
              <w:spacing w:before="100" w:beforeAutospacing="1" w:after="100" w:afterAutospacing="1" w:line="360" w:lineRule="auto"/>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lang w:val="es-CO"/>
              </w:rPr>
            </w:pPr>
            <w:r w:rsidRPr="00EC66C8">
              <w:rPr>
                <w:rFonts w:ascii="Times New Roman" w:hAnsi="Times New Roman" w:cs="Times New Roman"/>
                <w:sz w:val="24"/>
                <w:szCs w:val="24"/>
                <w:lang w:val="es-CO"/>
              </w:rPr>
              <w:t>0.895368</w:t>
            </w:r>
          </w:p>
        </w:tc>
      </w:tr>
      <w:tr w:rsidR="00EC66C8" w:rsidRPr="00EC66C8" w:rsidTr="00CD5B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70" w:type="dxa"/>
          </w:tcPr>
          <w:p w:rsidR="00EC66C8" w:rsidRPr="00EC66C8" w:rsidRDefault="00EC66C8" w:rsidP="00EC66C8">
            <w:pPr>
              <w:spacing w:before="100" w:beforeAutospacing="1" w:after="100" w:afterAutospacing="1" w:line="360" w:lineRule="auto"/>
              <w:rPr>
                <w:rFonts w:ascii="Times New Roman" w:hAnsi="Times New Roman"/>
                <w:bCs w:val="0"/>
                <w:sz w:val="24"/>
                <w:szCs w:val="24"/>
                <w:lang w:val="es-CO"/>
              </w:rPr>
            </w:pPr>
            <w:r>
              <w:rPr>
                <w:rFonts w:ascii="Times New Roman" w:hAnsi="Times New Roman"/>
                <w:bCs w:val="0"/>
                <w:sz w:val="24"/>
                <w:szCs w:val="24"/>
                <w:lang w:val="es-CO"/>
              </w:rPr>
              <w:t>Fuente: Elaboración propia</w:t>
            </w:r>
          </w:p>
        </w:tc>
        <w:tc>
          <w:tcPr>
            <w:tcW w:w="1842" w:type="dxa"/>
          </w:tcPr>
          <w:p w:rsidR="00EC66C8" w:rsidRPr="00EC66C8" w:rsidRDefault="00EC66C8" w:rsidP="00EC66C8">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CO"/>
              </w:rPr>
            </w:pPr>
          </w:p>
        </w:tc>
        <w:tc>
          <w:tcPr>
            <w:tcW w:w="2066" w:type="dxa"/>
          </w:tcPr>
          <w:p w:rsidR="00EC66C8" w:rsidRPr="00EC66C8" w:rsidRDefault="00EC66C8" w:rsidP="00EC66C8">
            <w:pPr>
              <w:spacing w:before="100" w:beforeAutospacing="1" w:after="100" w:afterAutospacing="1"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CO"/>
              </w:rPr>
            </w:pPr>
          </w:p>
        </w:tc>
      </w:tr>
    </w:tbl>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lang w:val="es-CO"/>
        </w:rPr>
      </w:pPr>
      <w:r w:rsidRPr="00EC66C8">
        <w:rPr>
          <w:rFonts w:ascii="Times New Roman" w:hAnsi="Times New Roman" w:cs="Times New Roman"/>
          <w:b w:val="0"/>
          <w:color w:val="000000" w:themeColor="text1"/>
          <w:sz w:val="24"/>
          <w:szCs w:val="24"/>
          <w:lang w:val="es-CO"/>
        </w:rPr>
        <w:lastRenderedPageBreak/>
        <w:t xml:space="preserve">En el cuadro </w:t>
      </w:r>
      <w:r w:rsidR="005F0A1B">
        <w:rPr>
          <w:rFonts w:ascii="Times New Roman" w:hAnsi="Times New Roman" w:cs="Times New Roman"/>
          <w:b w:val="0"/>
          <w:color w:val="000000" w:themeColor="text1"/>
          <w:sz w:val="24"/>
          <w:szCs w:val="24"/>
          <w:lang w:val="es-CO"/>
        </w:rPr>
        <w:t>3</w:t>
      </w:r>
      <w:r w:rsidRPr="00EC66C8">
        <w:rPr>
          <w:rFonts w:ascii="Times New Roman" w:hAnsi="Times New Roman" w:cs="Times New Roman"/>
          <w:b w:val="0"/>
          <w:color w:val="000000" w:themeColor="text1"/>
          <w:sz w:val="24"/>
          <w:szCs w:val="24"/>
          <w:lang w:val="es-CO"/>
        </w:rPr>
        <w:t xml:space="preserve">, que sintetiza las gráficas anteriores, se muestra el comportamiento de la tasa de interés y del tipo de cambio para ambos periodos. </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lang w:val="es-CO"/>
        </w:rPr>
      </w:pPr>
      <w:r w:rsidRPr="00EC66C8">
        <w:rPr>
          <w:rFonts w:ascii="Times New Roman" w:hAnsi="Times New Roman" w:cs="Times New Roman"/>
          <w:b w:val="0"/>
          <w:color w:val="000000" w:themeColor="text1"/>
          <w:sz w:val="24"/>
          <w:szCs w:val="24"/>
          <w:lang w:val="es-CO"/>
        </w:rPr>
        <w:t xml:space="preserve">Se observa que la desviación estándar de la tasa de interés para el periodo del objetivo operacional de Saldos sobre las Cuentas Corrientes (1998-2008) fue mayor que en el periodo de la tasa de interés como objetivo operacional. Esta diferencia entre ambos datos significa que en el primer periodo existió mayor volatilidad; mientras que para el segundo periodo se logró disminuir la volatilidad; lo cual se ve reflejado en su desviación estándar. </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lang w:val="es-CO"/>
        </w:rPr>
      </w:pPr>
      <w:r w:rsidRPr="00EC66C8">
        <w:rPr>
          <w:rFonts w:ascii="Times New Roman" w:hAnsi="Times New Roman" w:cs="Times New Roman"/>
          <w:b w:val="0"/>
          <w:color w:val="000000" w:themeColor="text1"/>
          <w:sz w:val="24"/>
          <w:szCs w:val="24"/>
          <w:lang w:val="es-CO"/>
        </w:rPr>
        <w:t xml:space="preserve">Por su parte, el tipo de cambio presentó un efecto contrario; es decir, para el periodo de la tasa de interés como objetivo operacional, dicha variable mostró un incremento en su volatilidad en relación al periodo anterior. </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lang w:val="es-CO"/>
        </w:rPr>
      </w:pPr>
      <w:r w:rsidRPr="00EC66C8">
        <w:rPr>
          <w:rFonts w:ascii="Times New Roman" w:hAnsi="Times New Roman" w:cs="Times New Roman"/>
          <w:b w:val="0"/>
          <w:color w:val="000000" w:themeColor="text1"/>
          <w:sz w:val="24"/>
          <w:szCs w:val="24"/>
          <w:lang w:val="es-CO"/>
        </w:rPr>
        <w:t xml:space="preserve">Esto se explica porque al transitar hacia un nuevo objetivo operacional, se logró estabilizar la tasa de interés pero no el tipo de cambio. Es importante mencionar, que todo el periodo de estudio, que comprende de 1998 a 2013 se cuenta con tipo de cambio flexible; ya que a partir de 1995 y tras la Crisis Financiera que sufrió el país, se estableció el tipo de cambio flexible. </w:t>
      </w:r>
    </w:p>
    <w:p w:rsidR="00EC66C8" w:rsidRPr="00EC66C8" w:rsidRDefault="00EC66C8" w:rsidP="00EC66C8">
      <w:pPr>
        <w:pStyle w:val="Ttulo2"/>
        <w:shd w:val="clear" w:color="auto" w:fill="FFFFFF" w:themeFill="background1"/>
        <w:rPr>
          <w:rFonts w:ascii="Times New Roman" w:hAnsi="Times New Roman" w:cs="Times New Roman"/>
          <w:color w:val="000000" w:themeColor="text1"/>
          <w:sz w:val="24"/>
          <w:szCs w:val="24"/>
          <w:lang w:val="es-CO"/>
        </w:rPr>
      </w:pPr>
      <w:r w:rsidRPr="00EC66C8">
        <w:rPr>
          <w:rFonts w:ascii="Times New Roman" w:hAnsi="Times New Roman" w:cs="Times New Roman"/>
          <w:color w:val="000000" w:themeColor="text1"/>
          <w:sz w:val="24"/>
          <w:szCs w:val="24"/>
          <w:lang w:val="es-CO"/>
        </w:rPr>
        <w:t xml:space="preserve"> </w:t>
      </w:r>
      <w:r w:rsidR="005F0A1B">
        <w:rPr>
          <w:rFonts w:ascii="Times New Roman" w:hAnsi="Times New Roman" w:cs="Times New Roman"/>
          <w:color w:val="000000" w:themeColor="text1"/>
          <w:sz w:val="24"/>
          <w:szCs w:val="24"/>
          <w:lang w:val="es-CO"/>
        </w:rPr>
        <w:t xml:space="preserve">3.1 </w:t>
      </w:r>
      <w:r w:rsidRPr="00EC66C8">
        <w:rPr>
          <w:rFonts w:ascii="Times New Roman" w:hAnsi="Times New Roman" w:cs="Times New Roman"/>
          <w:color w:val="000000" w:themeColor="text1"/>
          <w:sz w:val="24"/>
          <w:szCs w:val="24"/>
          <w:lang w:val="es-CO"/>
        </w:rPr>
        <w:t xml:space="preserve">Modelo BEKK </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lang w:val="es-CO"/>
        </w:rPr>
      </w:pPr>
      <w:r w:rsidRPr="00EC66C8">
        <w:rPr>
          <w:rFonts w:ascii="Times New Roman" w:hAnsi="Times New Roman" w:cs="Times New Roman"/>
          <w:b w:val="0"/>
          <w:color w:val="000000" w:themeColor="text1"/>
          <w:sz w:val="24"/>
          <w:szCs w:val="24"/>
          <w:lang w:val="es-CO"/>
        </w:rPr>
        <w:t>Con el propósito de analizar la interacción entre la volatilidad de la tasa de interés y del tipo de cambio, se utiliza un modelo multivariado para las varianzas; aplicado el modelo BEKK</w:t>
      </w:r>
      <w:r w:rsidRPr="00EC66C8">
        <w:rPr>
          <w:rFonts w:ascii="Times New Roman" w:hAnsi="Times New Roman" w:cs="Times New Roman"/>
          <w:b w:val="0"/>
          <w:color w:val="000000" w:themeColor="text1"/>
          <w:sz w:val="24"/>
          <w:szCs w:val="24"/>
          <w:vertAlign w:val="superscript"/>
          <w:lang w:val="es-CO"/>
        </w:rPr>
        <w:footnoteReference w:id="21"/>
      </w:r>
      <w:r w:rsidRPr="00EC66C8">
        <w:rPr>
          <w:rFonts w:ascii="Times New Roman" w:hAnsi="Times New Roman" w:cs="Times New Roman"/>
          <w:b w:val="0"/>
          <w:color w:val="000000" w:themeColor="text1"/>
          <w:sz w:val="24"/>
          <w:szCs w:val="24"/>
          <w:lang w:val="es-CO"/>
        </w:rPr>
        <w:t>, el cual estima las varianzas y covarianzas condicionales de las series, utilizando un método ARCH multivariado (Engle y Kroner, 1995) (Benavides y Capistrán, 2009-2010).</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lang w:val="es-CO"/>
        </w:rPr>
      </w:pPr>
      <w:r w:rsidRPr="00EC66C8">
        <w:rPr>
          <w:rFonts w:ascii="Times New Roman" w:hAnsi="Times New Roman" w:cs="Times New Roman"/>
          <w:b w:val="0"/>
          <w:color w:val="000000" w:themeColor="text1"/>
          <w:sz w:val="24"/>
          <w:szCs w:val="24"/>
          <w:lang w:val="es-CO"/>
        </w:rPr>
        <w:t xml:space="preserve"> El modelo BEKK es un caso especial de un modelo postulado anteriormente en un documento de investigación de Bollerslev et al. (1988), que propusieron el modelo VEC, en donde cada elemento en la matriz de varianza </w:t>
      </w:r>
      <m:oMath>
        <m:sSub>
          <m:sSubPr>
            <m:ctrlPr>
              <w:rPr>
                <w:rFonts w:ascii="Cambria Math" w:hAnsi="Cambria Math" w:cs="Times New Roman"/>
                <w:b w:val="0"/>
                <w:i/>
                <w:color w:val="000000" w:themeColor="text1"/>
                <w:sz w:val="24"/>
                <w:szCs w:val="24"/>
                <w:lang w:val="es-CO"/>
              </w:rPr>
            </m:ctrlPr>
          </m:sSubPr>
          <m:e>
            <m:r>
              <m:rPr>
                <m:sty m:val="bi"/>
              </m:rPr>
              <w:rPr>
                <w:rFonts w:ascii="Cambria Math" w:hAnsi="Cambria Math" w:cs="Times New Roman"/>
                <w:color w:val="000000" w:themeColor="text1"/>
                <w:sz w:val="24"/>
                <w:szCs w:val="24"/>
                <w:lang w:val="es-CO"/>
              </w:rPr>
              <m:t>H</m:t>
            </m:r>
          </m:e>
          <m:sub>
            <m:r>
              <m:rPr>
                <m:sty m:val="bi"/>
              </m:rPr>
              <w:rPr>
                <w:rFonts w:ascii="Cambria Math" w:hAnsi="Cambria Math" w:cs="Times New Roman"/>
                <w:color w:val="000000" w:themeColor="text1"/>
                <w:sz w:val="24"/>
                <w:szCs w:val="24"/>
                <w:lang w:val="es-CO"/>
              </w:rPr>
              <m:t xml:space="preserve">t </m:t>
            </m:r>
          </m:sub>
        </m:sSub>
      </m:oMath>
      <w:r w:rsidRPr="00EC66C8">
        <w:rPr>
          <w:rFonts w:ascii="Times New Roman" w:hAnsi="Times New Roman" w:cs="Times New Roman"/>
          <w:b w:val="0"/>
          <w:color w:val="000000" w:themeColor="text1"/>
          <w:sz w:val="24"/>
          <w:szCs w:val="24"/>
          <w:lang w:val="es-CO"/>
        </w:rPr>
        <w:t xml:space="preserve">solamente depende de sus valores pasados </w:t>
      </w:r>
      <m:oMath>
        <m:sSub>
          <m:sSubPr>
            <m:ctrlPr>
              <w:rPr>
                <w:rFonts w:ascii="Cambria Math" w:hAnsi="Cambria Math" w:cs="Times New Roman"/>
                <w:b w:val="0"/>
                <w:i/>
                <w:color w:val="000000" w:themeColor="text1"/>
                <w:sz w:val="24"/>
                <w:szCs w:val="24"/>
                <w:lang w:val="es-CO"/>
              </w:rPr>
            </m:ctrlPr>
          </m:sSubPr>
          <m:e>
            <m:r>
              <m:rPr>
                <m:sty m:val="bi"/>
              </m:rPr>
              <w:rPr>
                <w:rFonts w:ascii="Cambria Math" w:hAnsi="Cambria Math" w:cs="Times New Roman"/>
                <w:color w:val="000000" w:themeColor="text1"/>
                <w:sz w:val="24"/>
                <w:szCs w:val="24"/>
                <w:lang w:val="es-CO"/>
              </w:rPr>
              <m:t>H</m:t>
            </m:r>
          </m:e>
          <m:sub>
            <m:r>
              <m:rPr>
                <m:sty m:val="bi"/>
              </m:rPr>
              <w:rPr>
                <w:rFonts w:ascii="Cambria Math" w:hAnsi="Cambria Math" w:cs="Times New Roman"/>
                <w:color w:val="000000" w:themeColor="text1"/>
                <w:sz w:val="24"/>
                <w:szCs w:val="24"/>
                <w:lang w:val="es-CO"/>
              </w:rPr>
              <m:t>t-1</m:t>
            </m:r>
          </m:sub>
        </m:sSub>
      </m:oMath>
      <w:r w:rsidRPr="00EC66C8">
        <w:rPr>
          <w:rFonts w:ascii="Times New Roman" w:hAnsi="Times New Roman" w:cs="Times New Roman"/>
          <w:b w:val="0"/>
          <w:color w:val="000000" w:themeColor="text1"/>
          <w:sz w:val="24"/>
          <w:szCs w:val="24"/>
          <w:lang w:val="es-CO"/>
        </w:rPr>
        <w:t xml:space="preserve"> y de valores pasados del producto cruzado de los residuos. Es decir, las varianzas dependen de sus propios residuos cuadráticos pasados y las covarianzas dependen de sus propios productos verticales pasados de sus residuos relevantes. Como se presenta en la ecuación 1. </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lang w:val="es-CO"/>
        </w:rPr>
      </w:pPr>
      <w:r w:rsidRPr="00EC66C8">
        <w:rPr>
          <w:rFonts w:ascii="Times New Roman" w:hAnsi="Times New Roman" w:cs="Times New Roman"/>
          <w:b w:val="0"/>
          <w:color w:val="000000" w:themeColor="text1"/>
          <w:sz w:val="24"/>
          <w:szCs w:val="24"/>
          <w:lang w:val="es-CO"/>
        </w:rPr>
        <w:t xml:space="preserve"> “Una limitación importante del modelo de Bollerslev et al (1988) es la posibilidad de estimar una varianza negativa, que es inconsistente con la teoría estadística” (Benavides y Capistrán, 2009-2010:6).</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lang w:val="es-CO"/>
        </w:rPr>
      </w:pPr>
      <w:r w:rsidRPr="00EC66C8">
        <w:rPr>
          <w:rFonts w:ascii="Times New Roman" w:hAnsi="Times New Roman" w:cs="Times New Roman"/>
          <w:b w:val="0"/>
          <w:color w:val="000000" w:themeColor="text1"/>
          <w:sz w:val="24"/>
          <w:szCs w:val="24"/>
          <w:lang w:val="es-CO"/>
        </w:rPr>
        <w:lastRenderedPageBreak/>
        <w:t xml:space="preserve">Por su parte, el modelo BEKK que se ha propuesto presenta las condiciones suficientes para obtener una matriz de varianzas definida positiva y condicional en el proceso de la optimización.  </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lang w:val="es-CO"/>
        </w:rPr>
      </w:pPr>
      <w:r w:rsidRPr="00EC66C8">
        <w:rPr>
          <w:rFonts w:ascii="Times New Roman" w:hAnsi="Times New Roman" w:cs="Times New Roman"/>
          <w:b w:val="0"/>
          <w:color w:val="000000" w:themeColor="text1"/>
          <w:sz w:val="24"/>
          <w:szCs w:val="24"/>
          <w:lang w:val="es-CO"/>
        </w:rPr>
        <w:t xml:space="preserve">Cada uno de los elementos de </w:t>
      </w:r>
      <m:oMath>
        <m:sSub>
          <m:sSubPr>
            <m:ctrlPr>
              <w:rPr>
                <w:rFonts w:ascii="Cambria Math" w:hAnsi="Cambria Math" w:cs="Times New Roman"/>
                <w:b w:val="0"/>
                <w:i/>
                <w:color w:val="000000" w:themeColor="text1"/>
                <w:sz w:val="24"/>
                <w:szCs w:val="24"/>
                <w:lang w:val="es-CO"/>
              </w:rPr>
            </m:ctrlPr>
          </m:sSubPr>
          <m:e>
            <m:r>
              <m:rPr>
                <m:sty m:val="bi"/>
              </m:rPr>
              <w:rPr>
                <w:rFonts w:ascii="Cambria Math" w:hAnsi="Cambria Math" w:cs="Times New Roman"/>
                <w:color w:val="000000" w:themeColor="text1"/>
                <w:sz w:val="24"/>
                <w:szCs w:val="24"/>
                <w:lang w:val="es-CO"/>
              </w:rPr>
              <m:t>H</m:t>
            </m:r>
          </m:e>
          <m:sub>
            <m:r>
              <m:rPr>
                <m:sty m:val="bi"/>
              </m:rPr>
              <w:rPr>
                <w:rFonts w:ascii="Cambria Math" w:hAnsi="Cambria Math" w:cs="Times New Roman"/>
                <w:color w:val="000000" w:themeColor="text1"/>
                <w:sz w:val="24"/>
                <w:szCs w:val="24"/>
                <w:lang w:val="es-CO"/>
              </w:rPr>
              <m:t>t</m:t>
            </m:r>
          </m:sub>
        </m:sSub>
        <m:r>
          <m:rPr>
            <m:sty m:val="bi"/>
          </m:rPr>
          <w:rPr>
            <w:rFonts w:ascii="Cambria Math" w:hAnsi="Cambria Math" w:cs="Times New Roman"/>
            <w:color w:val="000000" w:themeColor="text1"/>
            <w:sz w:val="24"/>
            <w:szCs w:val="24"/>
            <w:lang w:val="es-CO"/>
          </w:rPr>
          <m:t xml:space="preserve"> </m:t>
        </m:r>
      </m:oMath>
      <w:r w:rsidRPr="00EC66C8">
        <w:rPr>
          <w:rFonts w:ascii="Times New Roman" w:hAnsi="Times New Roman" w:cs="Times New Roman"/>
          <w:b w:val="0"/>
          <w:color w:val="000000" w:themeColor="text1"/>
          <w:sz w:val="24"/>
          <w:szCs w:val="24"/>
          <w:lang w:val="es-CO"/>
        </w:rPr>
        <w:t xml:space="preserve">depende de valores rezagados de cuadrados y productos vectoriales de </w:t>
      </w:r>
      <m:oMath>
        <m:sSub>
          <m:sSubPr>
            <m:ctrlPr>
              <w:rPr>
                <w:rFonts w:ascii="Cambria Math" w:hAnsi="Cambria Math" w:cs="Times New Roman"/>
                <w:b w:val="0"/>
                <w:i/>
                <w:color w:val="000000" w:themeColor="text1"/>
                <w:sz w:val="24"/>
                <w:szCs w:val="24"/>
                <w:lang w:val="es-CO"/>
              </w:rPr>
            </m:ctrlPr>
          </m:sSubPr>
          <m:e>
            <m:r>
              <m:rPr>
                <m:sty m:val="bi"/>
              </m:rPr>
              <w:rPr>
                <w:rFonts w:ascii="Cambria Math" w:hAnsi="Cambria Math" w:cs="Times New Roman"/>
                <w:color w:val="000000" w:themeColor="text1"/>
                <w:sz w:val="24"/>
                <w:szCs w:val="24"/>
                <w:lang w:val="es-CO"/>
              </w:rPr>
              <m:t>ϵ</m:t>
            </m:r>
          </m:e>
          <m:sub>
            <m:r>
              <m:rPr>
                <m:sty m:val="bi"/>
              </m:rPr>
              <w:rPr>
                <w:rFonts w:ascii="Cambria Math" w:hAnsi="Cambria Math" w:cs="Times New Roman"/>
                <w:color w:val="000000" w:themeColor="text1"/>
                <w:sz w:val="24"/>
                <w:szCs w:val="24"/>
                <w:lang w:val="es-CO"/>
              </w:rPr>
              <m:t>t</m:t>
            </m:r>
          </m:sub>
        </m:sSub>
        <m:r>
          <m:rPr>
            <m:sty m:val="bi"/>
          </m:rPr>
          <w:rPr>
            <w:rFonts w:ascii="Cambria Math" w:hAnsi="Cambria Math" w:cs="Times New Roman"/>
            <w:color w:val="000000" w:themeColor="text1"/>
            <w:sz w:val="24"/>
            <w:szCs w:val="24"/>
            <w:lang w:val="es-CO"/>
          </w:rPr>
          <m:t xml:space="preserve">,  </m:t>
        </m:r>
      </m:oMath>
      <w:r w:rsidRPr="00EC66C8">
        <w:rPr>
          <w:rFonts w:ascii="Times New Roman" w:hAnsi="Times New Roman" w:cs="Times New Roman"/>
          <w:b w:val="0"/>
          <w:color w:val="000000" w:themeColor="text1"/>
          <w:sz w:val="24"/>
          <w:szCs w:val="24"/>
          <w:lang w:val="es-CO"/>
        </w:rPr>
        <w:t xml:space="preserve"> así como de valores rezagados de </w:t>
      </w:r>
      <m:oMath>
        <m:sSub>
          <m:sSubPr>
            <m:ctrlPr>
              <w:rPr>
                <w:rFonts w:ascii="Cambria Math" w:hAnsi="Cambria Math" w:cs="Times New Roman"/>
                <w:b w:val="0"/>
                <w:i/>
                <w:color w:val="000000" w:themeColor="text1"/>
                <w:sz w:val="24"/>
                <w:szCs w:val="24"/>
                <w:lang w:val="es-CO"/>
              </w:rPr>
            </m:ctrlPr>
          </m:sSubPr>
          <m:e>
            <m:r>
              <m:rPr>
                <m:sty m:val="bi"/>
              </m:rPr>
              <w:rPr>
                <w:rFonts w:ascii="Cambria Math" w:hAnsi="Cambria Math" w:cs="Times New Roman"/>
                <w:color w:val="000000" w:themeColor="text1"/>
                <w:sz w:val="24"/>
                <w:szCs w:val="24"/>
                <w:lang w:val="es-CO"/>
              </w:rPr>
              <m:t>H</m:t>
            </m:r>
          </m:e>
          <m:sub>
            <m:r>
              <m:rPr>
                <m:sty m:val="bi"/>
              </m:rPr>
              <w:rPr>
                <w:rFonts w:ascii="Cambria Math" w:hAnsi="Cambria Math" w:cs="Times New Roman"/>
                <w:color w:val="000000" w:themeColor="text1"/>
                <w:sz w:val="24"/>
                <w:szCs w:val="24"/>
                <w:lang w:val="es-CO"/>
              </w:rPr>
              <m:t>t</m:t>
            </m:r>
          </m:sub>
        </m:sSub>
        <m:r>
          <m:rPr>
            <m:sty m:val="bi"/>
          </m:rPr>
          <w:rPr>
            <w:rFonts w:ascii="Cambria Math" w:hAnsi="Cambria Math" w:cs="Times New Roman"/>
            <w:color w:val="000000" w:themeColor="text1"/>
            <w:sz w:val="24"/>
            <w:szCs w:val="24"/>
            <w:lang w:val="es-CO"/>
          </w:rPr>
          <m:t xml:space="preserve"> .(</m:t>
        </m:r>
      </m:oMath>
      <w:r w:rsidRPr="00EC66C8">
        <w:rPr>
          <w:rFonts w:ascii="Times New Roman" w:hAnsi="Times New Roman" w:cs="Times New Roman"/>
          <w:b w:val="0"/>
          <w:color w:val="000000" w:themeColor="text1"/>
          <w:sz w:val="24"/>
          <w:szCs w:val="24"/>
          <w:lang w:val="es-CO"/>
        </w:rPr>
        <w:t xml:space="preserve">Benavides y Capistrán, 2009-2010:6). Este modelo se presenta de la siguiente manera: </w:t>
      </w:r>
    </w:p>
    <w:p w:rsidR="00EC66C8" w:rsidRPr="00EC66C8" w:rsidRDefault="006829AF" w:rsidP="00EC66C8">
      <w:pPr>
        <w:pStyle w:val="Ttulo2"/>
        <w:shd w:val="clear" w:color="auto" w:fill="FFFFFF" w:themeFill="background1"/>
        <w:jc w:val="both"/>
        <w:rPr>
          <w:rFonts w:ascii="Times New Roman" w:hAnsi="Times New Roman" w:cs="Times New Roman"/>
          <w:b w:val="0"/>
          <w:color w:val="000000" w:themeColor="text1"/>
          <w:sz w:val="24"/>
          <w:szCs w:val="24"/>
          <w:lang w:val="es-CO"/>
        </w:rPr>
      </w:pPr>
      <w:r>
        <w:rPr>
          <w:rFonts w:ascii="Times New Roman" w:hAnsi="Times New Roman" w:cs="Times New Roman"/>
          <w:b w:val="0"/>
          <w:noProof/>
          <w:color w:val="000000" w:themeColor="text1"/>
          <w:sz w:val="24"/>
          <w:szCs w:val="24"/>
        </w:rPr>
        <mc:AlternateContent>
          <mc:Choice Requires="wps">
            <w:drawing>
              <wp:anchor distT="0" distB="0" distL="114300" distR="114300" simplePos="0" relativeHeight="251693056" behindDoc="0" locked="0" layoutInCell="1" allowOverlap="1">
                <wp:simplePos x="0" y="0"/>
                <wp:positionH relativeFrom="column">
                  <wp:posOffset>2794635</wp:posOffset>
                </wp:positionH>
                <wp:positionV relativeFrom="paragraph">
                  <wp:posOffset>205740</wp:posOffset>
                </wp:positionV>
                <wp:extent cx="1458595" cy="262890"/>
                <wp:effectExtent l="0" t="0" r="8255" b="3810"/>
                <wp:wrapNone/>
                <wp:docPr id="27" name="Text Box 1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8595" cy="2628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C66C8" w:rsidRPr="00726056" w:rsidRDefault="00EC66C8" w:rsidP="00EC66C8">
                            <w:pPr>
                              <w:rPr>
                                <w:b/>
                                <w:lang w:val="es-ES"/>
                              </w:rPr>
                            </w:pPr>
                            <w:r w:rsidRPr="00726056">
                              <w:rPr>
                                <w:b/>
                                <w:lang w:val="es-ES"/>
                              </w:rPr>
                              <w:t>Ecuación general (1)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43" o:spid="_x0000_s1043" type="#_x0000_t202" style="position:absolute;left:0;text-align:left;margin-left:220.05pt;margin-top:16.2pt;width:114.85pt;height:20.7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" stroked="f">
                <v:textbox>
                  <w:txbxContent>
                    <w:p w:rsidR="00EC66C8" w:rsidRPr="00726056" w:rsidRDefault="00EC66C8" w:rsidP="00EC66C8">
                      <w:pPr>
                        <w:rPr>
                          <w:b/>
                          <w:lang w:val="es-ES"/>
                        </w:rPr>
                      </w:pPr>
                      <w:r w:rsidRPr="00726056">
                        <w:rPr>
                          <w:b/>
                          <w:lang w:val="es-ES"/>
                        </w:rPr>
                        <w:t>Ecuación general (1)</w:t>
                      </w:r>
                    </w:p>
                  </w:txbxContent>
                </v:textbox>
              </v:shape>
            </w:pict>
          </mc:Fallback>
        </mc:AlternateContent>
      </w:r>
      <m:oMath>
        <m:sSub>
          <m:sSubPr>
            <m:ctrlPr>
              <w:rPr>
                <w:rFonts w:ascii="Cambria Math" w:hAnsi="Cambria Math" w:cs="Times New Roman"/>
                <w:b w:val="0"/>
                <w:color w:val="000000" w:themeColor="text1"/>
                <w:sz w:val="24"/>
                <w:szCs w:val="24"/>
                <w:lang w:val="es-CO"/>
              </w:rPr>
            </m:ctrlPr>
          </m:sSubPr>
          <m:e>
            <m:r>
              <m:rPr>
                <m:sty m:val="b"/>
              </m:rPr>
              <w:rPr>
                <w:rFonts w:ascii="Cambria Math" w:hAnsi="Cambria Math" w:cs="Times New Roman"/>
                <w:color w:val="000000" w:themeColor="text1"/>
                <w:sz w:val="24"/>
                <w:szCs w:val="24"/>
                <w:lang w:val="es-CO"/>
              </w:rPr>
              <m:t>H</m:t>
            </m:r>
          </m:e>
          <m:sub>
            <m:r>
              <m:rPr>
                <m:sty m:val="b"/>
              </m:rPr>
              <w:rPr>
                <w:rFonts w:ascii="Cambria Math" w:hAnsi="Cambria Math" w:cs="Times New Roman"/>
                <w:color w:val="000000" w:themeColor="text1"/>
                <w:sz w:val="24"/>
                <w:szCs w:val="24"/>
                <w:lang w:val="es-CO"/>
              </w:rPr>
              <m:t>t</m:t>
            </m:r>
          </m:sub>
        </m:sSub>
        <m:r>
          <m:rPr>
            <m:sty m:val="b"/>
          </m:rPr>
          <w:rPr>
            <w:rFonts w:ascii="Cambria Math" w:hAnsi="Cambria Math" w:cs="Times New Roman"/>
            <w:color w:val="000000" w:themeColor="text1"/>
            <w:sz w:val="24"/>
            <w:szCs w:val="24"/>
            <w:lang w:val="es-CO"/>
          </w:rPr>
          <m:t>=C</m:t>
        </m:r>
        <m:sSup>
          <m:sSupPr>
            <m:ctrlPr>
              <w:rPr>
                <w:rFonts w:ascii="Cambria Math" w:hAnsi="Cambria Math" w:cs="Times New Roman"/>
                <w:b w:val="0"/>
                <w:color w:val="000000" w:themeColor="text1"/>
                <w:sz w:val="24"/>
                <w:szCs w:val="24"/>
                <w:lang w:val="es-CO"/>
              </w:rPr>
            </m:ctrlPr>
          </m:sSupPr>
          <m:e>
            <m:r>
              <m:rPr>
                <m:sty m:val="b"/>
              </m:rPr>
              <w:rPr>
                <w:rFonts w:ascii="Cambria Math" w:hAnsi="Cambria Math" w:cs="Times New Roman"/>
                <w:color w:val="000000" w:themeColor="text1"/>
                <w:sz w:val="24"/>
                <w:szCs w:val="24"/>
                <w:lang w:val="es-CO"/>
              </w:rPr>
              <m:t>C</m:t>
            </m:r>
          </m:e>
          <m:sup>
            <m:r>
              <m:rPr>
                <m:sty m:val="b"/>
              </m:rPr>
              <w:rPr>
                <w:rFonts w:ascii="Cambria Math" w:hAnsi="Cambria Math" w:cs="Times New Roman"/>
                <w:color w:val="000000" w:themeColor="text1"/>
                <w:sz w:val="24"/>
                <w:szCs w:val="24"/>
                <w:lang w:val="es-CO"/>
              </w:rPr>
              <m:t>´</m:t>
            </m:r>
          </m:sup>
        </m:sSup>
        <m:r>
          <m:rPr>
            <m:sty m:val="b"/>
          </m:rPr>
          <w:rPr>
            <w:rFonts w:ascii="Cambria Math" w:hAnsi="Cambria Math" w:cs="Times New Roman"/>
            <w:color w:val="000000" w:themeColor="text1"/>
            <w:sz w:val="24"/>
            <w:szCs w:val="24"/>
            <w:lang w:val="es-CO"/>
          </w:rPr>
          <m:t>+A</m:t>
        </m:r>
        <m:sSub>
          <m:sSubPr>
            <m:ctrlPr>
              <w:rPr>
                <w:rFonts w:ascii="Cambria Math" w:hAnsi="Cambria Math" w:cs="Times New Roman"/>
                <w:b w:val="0"/>
                <w:color w:val="000000" w:themeColor="text1"/>
                <w:sz w:val="24"/>
                <w:szCs w:val="24"/>
                <w:lang w:val="es-CO"/>
              </w:rPr>
            </m:ctrlPr>
          </m:sSubPr>
          <m:e>
            <m:r>
              <m:rPr>
                <m:sty m:val="b"/>
              </m:rPr>
              <w:rPr>
                <w:rFonts w:ascii="Cambria Math" w:hAnsi="Cambria Math" w:cs="Times New Roman"/>
                <w:color w:val="000000" w:themeColor="text1"/>
                <w:sz w:val="24"/>
                <w:szCs w:val="24"/>
                <w:lang w:val="es-CO"/>
              </w:rPr>
              <m:t>ϵ</m:t>
            </m:r>
          </m:e>
          <m:sub>
            <m:r>
              <m:rPr>
                <m:sty m:val="b"/>
              </m:rPr>
              <w:rPr>
                <w:rFonts w:ascii="Cambria Math" w:hAnsi="Cambria Math" w:cs="Times New Roman"/>
                <w:color w:val="000000" w:themeColor="text1"/>
                <w:sz w:val="24"/>
                <w:szCs w:val="24"/>
                <w:lang w:val="es-CO"/>
              </w:rPr>
              <m:t>t-1</m:t>
            </m:r>
          </m:sub>
        </m:sSub>
        <m:sSub>
          <m:sSubPr>
            <m:ctrlPr>
              <w:rPr>
                <w:rFonts w:ascii="Cambria Math" w:hAnsi="Cambria Math" w:cs="Times New Roman"/>
                <w:b w:val="0"/>
                <w:color w:val="000000" w:themeColor="text1"/>
                <w:sz w:val="24"/>
                <w:szCs w:val="24"/>
                <w:lang w:val="es-CO"/>
              </w:rPr>
            </m:ctrlPr>
          </m:sSubPr>
          <m:e>
            <m:sSup>
              <m:sSupPr>
                <m:ctrlPr>
                  <w:rPr>
                    <w:rFonts w:ascii="Cambria Math" w:hAnsi="Cambria Math" w:cs="Times New Roman"/>
                    <w:b w:val="0"/>
                    <w:color w:val="000000" w:themeColor="text1"/>
                    <w:sz w:val="24"/>
                    <w:szCs w:val="24"/>
                    <w:lang w:val="es-CO"/>
                  </w:rPr>
                </m:ctrlPr>
              </m:sSupPr>
              <m:e>
                <m:r>
                  <m:rPr>
                    <m:sty m:val="b"/>
                  </m:rPr>
                  <w:rPr>
                    <w:rFonts w:ascii="Cambria Math" w:hAnsi="Cambria Math" w:cs="Times New Roman"/>
                    <w:color w:val="000000" w:themeColor="text1"/>
                    <w:sz w:val="24"/>
                    <w:szCs w:val="24"/>
                    <w:lang w:val="es-CO"/>
                  </w:rPr>
                  <m:t>ϵ</m:t>
                </m:r>
              </m:e>
              <m:sup>
                <m:r>
                  <m:rPr>
                    <m:sty m:val="b"/>
                  </m:rPr>
                  <w:rPr>
                    <w:rFonts w:ascii="Cambria Math" w:hAnsi="Cambria Math" w:cs="Times New Roman"/>
                    <w:color w:val="000000" w:themeColor="text1"/>
                    <w:sz w:val="24"/>
                    <w:szCs w:val="24"/>
                    <w:lang w:val="es-CO"/>
                  </w:rPr>
                  <m:t>´</m:t>
                </m:r>
              </m:sup>
            </m:sSup>
          </m:e>
          <m:sub>
            <m:r>
              <m:rPr>
                <m:sty m:val="b"/>
              </m:rPr>
              <w:rPr>
                <w:rFonts w:ascii="Cambria Math" w:hAnsi="Cambria Math" w:cs="Times New Roman"/>
                <w:color w:val="000000" w:themeColor="text1"/>
                <w:sz w:val="24"/>
                <w:szCs w:val="24"/>
                <w:lang w:val="es-CO"/>
              </w:rPr>
              <m:t>t-1</m:t>
            </m:r>
          </m:sub>
        </m:sSub>
        <m:sSup>
          <m:sSupPr>
            <m:ctrlPr>
              <w:rPr>
                <w:rFonts w:ascii="Cambria Math" w:hAnsi="Cambria Math" w:cs="Times New Roman"/>
                <w:b w:val="0"/>
                <w:color w:val="000000" w:themeColor="text1"/>
                <w:sz w:val="24"/>
                <w:szCs w:val="24"/>
                <w:lang w:val="es-CO"/>
              </w:rPr>
            </m:ctrlPr>
          </m:sSupPr>
          <m:e>
            <m:r>
              <m:rPr>
                <m:sty m:val="b"/>
              </m:rPr>
              <w:rPr>
                <w:rFonts w:ascii="Cambria Math" w:hAnsi="Cambria Math" w:cs="Times New Roman"/>
                <w:color w:val="000000" w:themeColor="text1"/>
                <w:sz w:val="24"/>
                <w:szCs w:val="24"/>
                <w:lang w:val="es-CO"/>
              </w:rPr>
              <m:t>A</m:t>
            </m:r>
          </m:e>
          <m:sup>
            <m:r>
              <m:rPr>
                <m:sty m:val="b"/>
              </m:rPr>
              <w:rPr>
                <w:rFonts w:ascii="Cambria Math" w:hAnsi="Cambria Math" w:cs="Times New Roman"/>
                <w:color w:val="000000" w:themeColor="text1"/>
                <w:sz w:val="24"/>
                <w:szCs w:val="24"/>
                <w:lang w:val="es-CO"/>
              </w:rPr>
              <m:t>´</m:t>
            </m:r>
          </m:sup>
        </m:sSup>
        <m:r>
          <m:rPr>
            <m:sty m:val="b"/>
          </m:rPr>
          <w:rPr>
            <w:rFonts w:ascii="Cambria Math" w:hAnsi="Cambria Math" w:cs="Times New Roman"/>
            <w:color w:val="000000" w:themeColor="text1"/>
            <w:sz w:val="24"/>
            <w:szCs w:val="24"/>
            <w:lang w:val="es-CO"/>
          </w:rPr>
          <m:t>+B</m:t>
        </m:r>
        <m:sSub>
          <m:sSubPr>
            <m:ctrlPr>
              <w:rPr>
                <w:rFonts w:ascii="Cambria Math" w:hAnsi="Cambria Math" w:cs="Times New Roman"/>
                <w:b w:val="0"/>
                <w:color w:val="000000" w:themeColor="text1"/>
                <w:sz w:val="24"/>
                <w:szCs w:val="24"/>
                <w:lang w:val="es-CO"/>
              </w:rPr>
            </m:ctrlPr>
          </m:sSubPr>
          <m:e>
            <m:r>
              <m:rPr>
                <m:sty m:val="b"/>
              </m:rPr>
              <w:rPr>
                <w:rFonts w:ascii="Cambria Math" w:hAnsi="Cambria Math" w:cs="Times New Roman"/>
                <w:color w:val="000000" w:themeColor="text1"/>
                <w:sz w:val="24"/>
                <w:szCs w:val="24"/>
                <w:lang w:val="es-CO"/>
              </w:rPr>
              <m:t>H</m:t>
            </m:r>
          </m:e>
          <m:sub>
            <m:r>
              <m:rPr>
                <m:sty m:val="b"/>
              </m:rPr>
              <w:rPr>
                <w:rFonts w:ascii="Cambria Math" w:hAnsi="Cambria Math" w:cs="Times New Roman"/>
                <w:color w:val="000000" w:themeColor="text1"/>
                <w:sz w:val="24"/>
                <w:szCs w:val="24"/>
                <w:lang w:val="es-CO"/>
              </w:rPr>
              <m:t>t-1</m:t>
            </m:r>
          </m:sub>
        </m:sSub>
        <m:sSup>
          <m:sSupPr>
            <m:ctrlPr>
              <w:rPr>
                <w:rFonts w:ascii="Cambria Math" w:hAnsi="Cambria Math" w:cs="Times New Roman"/>
                <w:b w:val="0"/>
                <w:color w:val="000000" w:themeColor="text1"/>
                <w:sz w:val="24"/>
                <w:szCs w:val="24"/>
                <w:lang w:val="es-CO"/>
              </w:rPr>
            </m:ctrlPr>
          </m:sSupPr>
          <m:e>
            <m:r>
              <m:rPr>
                <m:sty m:val="b"/>
              </m:rPr>
              <w:rPr>
                <w:rFonts w:ascii="Cambria Math" w:hAnsi="Cambria Math" w:cs="Times New Roman"/>
                <w:color w:val="000000" w:themeColor="text1"/>
                <w:sz w:val="24"/>
                <w:szCs w:val="24"/>
                <w:lang w:val="es-CO"/>
              </w:rPr>
              <m:t>B</m:t>
            </m:r>
          </m:e>
          <m:sup>
            <m:r>
              <m:rPr>
                <m:sty m:val="b"/>
              </m:rPr>
              <w:rPr>
                <w:rFonts w:ascii="Cambria Math" w:hAnsi="Cambria Math" w:cs="Times New Roman"/>
                <w:color w:val="000000" w:themeColor="text1"/>
                <w:sz w:val="24"/>
                <w:szCs w:val="24"/>
                <w:lang w:val="es-CO"/>
              </w:rPr>
              <m:t>´</m:t>
            </m:r>
          </m:sup>
        </m:sSup>
      </m:oMath>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lang w:val="es-CO"/>
        </w:rPr>
      </w:pPr>
      <w:r w:rsidRPr="00EC66C8">
        <w:rPr>
          <w:rFonts w:ascii="Times New Roman" w:hAnsi="Times New Roman" w:cs="Times New Roman"/>
          <w:b w:val="0"/>
          <w:color w:val="000000" w:themeColor="text1"/>
          <w:sz w:val="24"/>
          <w:szCs w:val="24"/>
          <w:lang w:val="es-CO"/>
        </w:rPr>
        <w:t xml:space="preserve">Dónde: </w:t>
      </w:r>
    </w:p>
    <w:p w:rsidR="00EC66C8" w:rsidRPr="00EC66C8" w:rsidRDefault="00AE77F8" w:rsidP="00EC66C8">
      <w:pPr>
        <w:pStyle w:val="Ttulo2"/>
        <w:shd w:val="clear" w:color="auto" w:fill="FFFFFF" w:themeFill="background1"/>
        <w:jc w:val="both"/>
        <w:rPr>
          <w:rFonts w:ascii="Times New Roman" w:hAnsi="Times New Roman" w:cs="Times New Roman"/>
          <w:b w:val="0"/>
          <w:color w:val="000000" w:themeColor="text1"/>
          <w:sz w:val="24"/>
          <w:szCs w:val="24"/>
          <w:lang w:val="es-CO"/>
        </w:rPr>
      </w:pPr>
      <m:oMathPara>
        <m:oMathParaPr>
          <m:jc m:val="left"/>
        </m:oMathParaPr>
        <m:oMath>
          <m:sSub>
            <m:sSubPr>
              <m:ctrlPr>
                <w:rPr>
                  <w:rFonts w:ascii="Cambria Math" w:hAnsi="Cambria Math" w:cs="Times New Roman"/>
                  <w:b w:val="0"/>
                  <w:color w:val="000000" w:themeColor="text1"/>
                  <w:sz w:val="24"/>
                  <w:szCs w:val="24"/>
                  <w:lang w:val="es-CO"/>
                </w:rPr>
              </m:ctrlPr>
            </m:sSubPr>
            <m:e>
              <m:r>
                <m:rPr>
                  <m:sty m:val="b"/>
                </m:rPr>
                <w:rPr>
                  <w:rFonts w:ascii="Cambria Math" w:hAnsi="Cambria Math" w:cs="Times New Roman"/>
                  <w:color w:val="000000" w:themeColor="text1"/>
                  <w:sz w:val="24"/>
                  <w:szCs w:val="24"/>
                  <w:lang w:val="es-CO"/>
                </w:rPr>
                <m:t>H</m:t>
              </m:r>
            </m:e>
            <m:sub>
              <m:r>
                <m:rPr>
                  <m:sty m:val="b"/>
                </m:rPr>
                <w:rPr>
                  <w:rFonts w:ascii="Cambria Math" w:hAnsi="Cambria Math" w:cs="Times New Roman"/>
                  <w:color w:val="000000" w:themeColor="text1"/>
                  <w:sz w:val="24"/>
                  <w:szCs w:val="24"/>
                  <w:lang w:val="es-CO"/>
                </w:rPr>
                <m:t>t</m:t>
              </m:r>
            </m:sub>
          </m:sSub>
          <m:r>
            <m:rPr>
              <m:sty m:val="b"/>
            </m:rPr>
            <w:rPr>
              <w:rFonts w:ascii="Cambria Math" w:hAnsi="Cambria Math" w:cs="Times New Roman"/>
              <w:color w:val="000000" w:themeColor="text1"/>
              <w:sz w:val="24"/>
              <w:szCs w:val="24"/>
              <w:lang w:val="es-CO"/>
            </w:rPr>
            <m:t xml:space="preserve">=Varianza o volatilidad </m:t>
          </m:r>
        </m:oMath>
      </m:oMathPara>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lang w:val="es-CO"/>
        </w:rPr>
      </w:pPr>
      <m:oMathPara>
        <m:oMathParaPr>
          <m:jc m:val="left"/>
        </m:oMathParaPr>
        <m:oMath>
          <m:r>
            <m:rPr>
              <m:sty m:val="b"/>
            </m:rPr>
            <w:rPr>
              <w:rFonts w:ascii="Cambria Math" w:hAnsi="Cambria Math" w:cs="Times New Roman"/>
              <w:color w:val="000000" w:themeColor="text1"/>
              <w:sz w:val="24"/>
              <w:szCs w:val="24"/>
              <w:lang w:val="es-CO"/>
            </w:rPr>
            <m:t>C</m:t>
          </m:r>
          <m:sSup>
            <m:sSupPr>
              <m:ctrlPr>
                <w:rPr>
                  <w:rFonts w:ascii="Cambria Math" w:hAnsi="Cambria Math" w:cs="Times New Roman"/>
                  <w:b w:val="0"/>
                  <w:color w:val="000000" w:themeColor="text1"/>
                  <w:sz w:val="24"/>
                  <w:szCs w:val="24"/>
                  <w:lang w:val="es-CO"/>
                </w:rPr>
              </m:ctrlPr>
            </m:sSupPr>
            <m:e>
              <m:r>
                <m:rPr>
                  <m:sty m:val="b"/>
                </m:rPr>
                <w:rPr>
                  <w:rFonts w:ascii="Cambria Math" w:hAnsi="Cambria Math" w:cs="Times New Roman"/>
                  <w:color w:val="000000" w:themeColor="text1"/>
                  <w:sz w:val="24"/>
                  <w:szCs w:val="24"/>
                  <w:lang w:val="es-CO"/>
                </w:rPr>
                <m:t>C</m:t>
              </m:r>
            </m:e>
            <m:sup>
              <m:r>
                <m:rPr>
                  <m:sty m:val="b"/>
                </m:rPr>
                <w:rPr>
                  <w:rFonts w:ascii="Cambria Math" w:hAnsi="Cambria Math" w:cs="Times New Roman"/>
                  <w:color w:val="000000" w:themeColor="text1"/>
                  <w:sz w:val="24"/>
                  <w:szCs w:val="24"/>
                  <w:lang w:val="es-CO"/>
                </w:rPr>
                <m:t>´</m:t>
              </m:r>
            </m:sup>
          </m:sSup>
          <m:r>
            <m:rPr>
              <m:sty m:val="b"/>
            </m:rPr>
            <w:rPr>
              <w:rFonts w:ascii="Cambria Math" w:hAnsi="Cambria Math" w:cs="Times New Roman"/>
              <w:color w:val="000000" w:themeColor="text1"/>
              <w:sz w:val="24"/>
              <w:szCs w:val="24"/>
              <w:lang w:val="es-CO"/>
            </w:rPr>
            <m:t>=Constante</m:t>
          </m:r>
        </m:oMath>
      </m:oMathPara>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lang w:val="es-CO"/>
        </w:rPr>
      </w:pPr>
      <m:oMathPara>
        <m:oMathParaPr>
          <m:jc m:val="left"/>
        </m:oMathParaPr>
        <m:oMath>
          <m:r>
            <m:rPr>
              <m:sty m:val="b"/>
            </m:rPr>
            <w:rPr>
              <w:rFonts w:ascii="Cambria Math" w:hAnsi="Cambria Math" w:cs="Times New Roman"/>
              <w:color w:val="000000" w:themeColor="text1"/>
              <w:sz w:val="24"/>
              <w:szCs w:val="24"/>
              <w:lang w:val="es-CO"/>
            </w:rPr>
            <m:t>A</m:t>
          </m:r>
          <m:sSub>
            <m:sSubPr>
              <m:ctrlPr>
                <w:rPr>
                  <w:rFonts w:ascii="Cambria Math" w:hAnsi="Cambria Math" w:cs="Times New Roman"/>
                  <w:b w:val="0"/>
                  <w:color w:val="000000" w:themeColor="text1"/>
                  <w:sz w:val="24"/>
                  <w:szCs w:val="24"/>
                  <w:lang w:val="es-CO"/>
                </w:rPr>
              </m:ctrlPr>
            </m:sSubPr>
            <m:e>
              <m:r>
                <m:rPr>
                  <m:sty m:val="b"/>
                </m:rPr>
                <w:rPr>
                  <w:rFonts w:ascii="Cambria Math" w:hAnsi="Cambria Math" w:cs="Times New Roman"/>
                  <w:color w:val="000000" w:themeColor="text1"/>
                  <w:sz w:val="24"/>
                  <w:szCs w:val="24"/>
                  <w:lang w:val="es-CO"/>
                </w:rPr>
                <m:t>ϵ</m:t>
              </m:r>
            </m:e>
            <m:sub>
              <m:r>
                <m:rPr>
                  <m:sty m:val="b"/>
                </m:rPr>
                <w:rPr>
                  <w:rFonts w:ascii="Cambria Math" w:hAnsi="Cambria Math" w:cs="Times New Roman"/>
                  <w:color w:val="000000" w:themeColor="text1"/>
                  <w:sz w:val="24"/>
                  <w:szCs w:val="24"/>
                  <w:lang w:val="es-CO"/>
                </w:rPr>
                <m:t>t-1</m:t>
              </m:r>
            </m:sub>
          </m:sSub>
          <m:sSub>
            <m:sSubPr>
              <m:ctrlPr>
                <w:rPr>
                  <w:rFonts w:ascii="Cambria Math" w:hAnsi="Cambria Math" w:cs="Times New Roman"/>
                  <w:b w:val="0"/>
                  <w:color w:val="000000" w:themeColor="text1"/>
                  <w:sz w:val="24"/>
                  <w:szCs w:val="24"/>
                  <w:lang w:val="es-CO"/>
                </w:rPr>
              </m:ctrlPr>
            </m:sSubPr>
            <m:e>
              <m:sSup>
                <m:sSupPr>
                  <m:ctrlPr>
                    <w:rPr>
                      <w:rFonts w:ascii="Cambria Math" w:hAnsi="Cambria Math" w:cs="Times New Roman"/>
                      <w:b w:val="0"/>
                      <w:color w:val="000000" w:themeColor="text1"/>
                      <w:sz w:val="24"/>
                      <w:szCs w:val="24"/>
                      <w:lang w:val="es-CO"/>
                    </w:rPr>
                  </m:ctrlPr>
                </m:sSupPr>
                <m:e>
                  <m:r>
                    <m:rPr>
                      <m:sty m:val="b"/>
                    </m:rPr>
                    <w:rPr>
                      <w:rFonts w:ascii="Cambria Math" w:hAnsi="Cambria Math" w:cs="Times New Roman"/>
                      <w:color w:val="000000" w:themeColor="text1"/>
                      <w:sz w:val="24"/>
                      <w:szCs w:val="24"/>
                      <w:lang w:val="es-CO"/>
                    </w:rPr>
                    <m:t>ϵ</m:t>
                  </m:r>
                </m:e>
                <m:sup>
                  <m:r>
                    <m:rPr>
                      <m:sty m:val="b"/>
                    </m:rPr>
                    <w:rPr>
                      <w:rFonts w:ascii="Cambria Math" w:hAnsi="Cambria Math" w:cs="Times New Roman"/>
                      <w:color w:val="000000" w:themeColor="text1"/>
                      <w:sz w:val="24"/>
                      <w:szCs w:val="24"/>
                      <w:lang w:val="es-CO"/>
                    </w:rPr>
                    <m:t>´</m:t>
                  </m:r>
                </m:sup>
              </m:sSup>
            </m:e>
            <m:sub>
              <m:r>
                <m:rPr>
                  <m:sty m:val="b"/>
                </m:rPr>
                <w:rPr>
                  <w:rFonts w:ascii="Cambria Math" w:hAnsi="Cambria Math" w:cs="Times New Roman"/>
                  <w:color w:val="000000" w:themeColor="text1"/>
                  <w:sz w:val="24"/>
                  <w:szCs w:val="24"/>
                  <w:lang w:val="es-CO"/>
                </w:rPr>
                <m:t>t-1</m:t>
              </m:r>
            </m:sub>
          </m:sSub>
          <m:sSup>
            <m:sSupPr>
              <m:ctrlPr>
                <w:rPr>
                  <w:rFonts w:ascii="Cambria Math" w:hAnsi="Cambria Math" w:cs="Times New Roman"/>
                  <w:b w:val="0"/>
                  <w:color w:val="000000" w:themeColor="text1"/>
                  <w:sz w:val="24"/>
                  <w:szCs w:val="24"/>
                  <w:lang w:val="es-CO"/>
                </w:rPr>
              </m:ctrlPr>
            </m:sSupPr>
            <m:e>
              <m:r>
                <m:rPr>
                  <m:sty m:val="b"/>
                </m:rPr>
                <w:rPr>
                  <w:rFonts w:ascii="Cambria Math" w:hAnsi="Cambria Math" w:cs="Times New Roman"/>
                  <w:color w:val="000000" w:themeColor="text1"/>
                  <w:sz w:val="24"/>
                  <w:szCs w:val="24"/>
                  <w:lang w:val="es-CO"/>
                </w:rPr>
                <m:t>A</m:t>
              </m:r>
            </m:e>
            <m:sup>
              <m:r>
                <m:rPr>
                  <m:sty m:val="b"/>
                </m:rPr>
                <w:rPr>
                  <w:rFonts w:ascii="Cambria Math" w:hAnsi="Cambria Math" w:cs="Times New Roman"/>
                  <w:color w:val="000000" w:themeColor="text1"/>
                  <w:sz w:val="24"/>
                  <w:szCs w:val="24"/>
                  <w:lang w:val="es-CO"/>
                </w:rPr>
                <m:t>´</m:t>
              </m:r>
            </m:sup>
          </m:sSup>
          <m:r>
            <m:rPr>
              <m:sty m:val="b"/>
            </m:rPr>
            <w:rPr>
              <w:rFonts w:ascii="Cambria Math" w:hAnsi="Cambria Math" w:cs="Times New Roman"/>
              <w:color w:val="000000" w:themeColor="text1"/>
              <w:sz w:val="24"/>
              <w:szCs w:val="24"/>
              <w:lang w:val="es-CO"/>
            </w:rPr>
            <m:t>=Errores</m:t>
          </m:r>
        </m:oMath>
      </m:oMathPara>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lang w:val="es-CO"/>
        </w:rPr>
      </w:pPr>
      <m:oMathPara>
        <m:oMathParaPr>
          <m:jc m:val="left"/>
        </m:oMathParaPr>
        <m:oMath>
          <m:r>
            <m:rPr>
              <m:sty m:val="b"/>
            </m:rPr>
            <w:rPr>
              <w:rFonts w:ascii="Cambria Math" w:hAnsi="Cambria Math" w:cs="Times New Roman"/>
              <w:color w:val="000000" w:themeColor="text1"/>
              <w:sz w:val="24"/>
              <w:szCs w:val="24"/>
              <w:lang w:val="es-CO"/>
            </w:rPr>
            <m:t>B</m:t>
          </m:r>
          <m:sSub>
            <m:sSubPr>
              <m:ctrlPr>
                <w:rPr>
                  <w:rFonts w:ascii="Cambria Math" w:hAnsi="Cambria Math" w:cs="Times New Roman"/>
                  <w:b w:val="0"/>
                  <w:color w:val="000000" w:themeColor="text1"/>
                  <w:sz w:val="24"/>
                  <w:szCs w:val="24"/>
                  <w:lang w:val="es-CO"/>
                </w:rPr>
              </m:ctrlPr>
            </m:sSubPr>
            <m:e>
              <m:r>
                <m:rPr>
                  <m:sty m:val="b"/>
                </m:rPr>
                <w:rPr>
                  <w:rFonts w:ascii="Cambria Math" w:hAnsi="Cambria Math" w:cs="Times New Roman"/>
                  <w:color w:val="000000" w:themeColor="text1"/>
                  <w:sz w:val="24"/>
                  <w:szCs w:val="24"/>
                  <w:lang w:val="es-CO"/>
                </w:rPr>
                <m:t>H</m:t>
              </m:r>
            </m:e>
            <m:sub>
              <m:r>
                <m:rPr>
                  <m:sty m:val="b"/>
                </m:rPr>
                <w:rPr>
                  <w:rFonts w:ascii="Cambria Math" w:hAnsi="Cambria Math" w:cs="Times New Roman"/>
                  <w:color w:val="000000" w:themeColor="text1"/>
                  <w:sz w:val="24"/>
                  <w:szCs w:val="24"/>
                  <w:lang w:val="es-CO"/>
                </w:rPr>
                <m:t>t-1</m:t>
              </m:r>
            </m:sub>
          </m:sSub>
          <m:sSup>
            <m:sSupPr>
              <m:ctrlPr>
                <w:rPr>
                  <w:rFonts w:ascii="Cambria Math" w:hAnsi="Cambria Math" w:cs="Times New Roman"/>
                  <w:b w:val="0"/>
                  <w:color w:val="000000" w:themeColor="text1"/>
                  <w:sz w:val="24"/>
                  <w:szCs w:val="24"/>
                  <w:lang w:val="es-CO"/>
                </w:rPr>
              </m:ctrlPr>
            </m:sSupPr>
            <m:e>
              <m:r>
                <m:rPr>
                  <m:sty m:val="b"/>
                </m:rPr>
                <w:rPr>
                  <w:rFonts w:ascii="Cambria Math" w:hAnsi="Cambria Math" w:cs="Times New Roman"/>
                  <w:color w:val="000000" w:themeColor="text1"/>
                  <w:sz w:val="24"/>
                  <w:szCs w:val="24"/>
                  <w:lang w:val="es-CO"/>
                </w:rPr>
                <m:t>B</m:t>
              </m:r>
            </m:e>
            <m:sup>
              <m:r>
                <m:rPr>
                  <m:sty m:val="b"/>
                </m:rPr>
                <w:rPr>
                  <w:rFonts w:ascii="Cambria Math" w:hAnsi="Cambria Math" w:cs="Times New Roman"/>
                  <w:color w:val="000000" w:themeColor="text1"/>
                  <w:sz w:val="24"/>
                  <w:szCs w:val="24"/>
                  <w:lang w:val="es-CO"/>
                </w:rPr>
                <m:t>´</m:t>
              </m:r>
            </m:sup>
          </m:sSup>
          <m:r>
            <m:rPr>
              <m:sty m:val="b"/>
            </m:rPr>
            <w:rPr>
              <w:rFonts w:ascii="Cambria Math" w:hAnsi="Cambria Math" w:cs="Times New Roman"/>
              <w:color w:val="000000" w:themeColor="text1"/>
              <w:sz w:val="24"/>
              <w:szCs w:val="24"/>
              <w:lang w:val="es-CO"/>
            </w:rPr>
            <m:t>=Varianzas rezagadas</m:t>
          </m:r>
        </m:oMath>
      </m:oMathPara>
    </w:p>
    <w:p w:rsidR="00EC66C8" w:rsidRPr="00EC66C8" w:rsidRDefault="006829AF" w:rsidP="00EC66C8">
      <w:pPr>
        <w:pStyle w:val="Ttulo2"/>
        <w:shd w:val="clear" w:color="auto" w:fill="FFFFFF" w:themeFill="background1"/>
        <w:jc w:val="both"/>
        <w:rPr>
          <w:rFonts w:ascii="Times New Roman" w:hAnsi="Times New Roman" w:cs="Times New Roman"/>
          <w:b w:val="0"/>
          <w:color w:val="000000" w:themeColor="text1"/>
          <w:sz w:val="24"/>
          <w:szCs w:val="24"/>
          <w:lang w:val="es-CO"/>
        </w:rPr>
      </w:pPr>
      <w:r>
        <w:rPr>
          <w:rFonts w:ascii="Times New Roman" w:hAnsi="Times New Roman" w:cs="Times New Roman"/>
          <w:b w:val="0"/>
          <w:noProof/>
          <w:color w:val="000000" w:themeColor="text1"/>
          <w:sz w:val="24"/>
          <w:szCs w:val="24"/>
        </w:rPr>
        <mc:AlternateContent>
          <mc:Choice Requires="wps">
            <w:drawing>
              <wp:anchor distT="0" distB="0" distL="114300" distR="114300" simplePos="0" relativeHeight="251689984" behindDoc="0" locked="0" layoutInCell="1" allowOverlap="1">
                <wp:simplePos x="0" y="0"/>
                <wp:positionH relativeFrom="column">
                  <wp:posOffset>709295</wp:posOffset>
                </wp:positionH>
                <wp:positionV relativeFrom="paragraph">
                  <wp:posOffset>276860</wp:posOffset>
                </wp:positionV>
                <wp:extent cx="769620" cy="542925"/>
                <wp:effectExtent l="0" t="0" r="11430" b="28575"/>
                <wp:wrapNone/>
                <wp:docPr id="26" name="11 Corchetes"/>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9620" cy="542925"/>
                        </a:xfrm>
                        <a:prstGeom prst="bracketPair">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8948AA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11 Corchetes" o:spid="_x0000_s1026" type="#_x0000_t185" style="position:absolute;margin-left:55.85pt;margin-top:21.8pt;width:60.6pt;height:42.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" strokecolor="black [3040]">
                <v:path arrowok="t"/>
              </v:shape>
            </w:pict>
          </mc:Fallback>
        </mc:AlternateContent>
      </w:r>
      <w:r>
        <w:rPr>
          <w:rFonts w:ascii="Times New Roman" w:hAnsi="Times New Roman" w:cs="Times New Roman"/>
          <w:b w:val="0"/>
          <w:noProof/>
          <w:color w:val="000000" w:themeColor="text1"/>
          <w:sz w:val="24"/>
          <w:szCs w:val="24"/>
        </w:rPr>
        <mc:AlternateContent>
          <mc:Choice Requires="wps">
            <w:drawing>
              <wp:anchor distT="0" distB="0" distL="114300" distR="114300" simplePos="0" relativeHeight="251692032" behindDoc="0" locked="0" layoutInCell="1" allowOverlap="1">
                <wp:simplePos x="0" y="0"/>
                <wp:positionH relativeFrom="column">
                  <wp:posOffset>3327400</wp:posOffset>
                </wp:positionH>
                <wp:positionV relativeFrom="paragraph">
                  <wp:posOffset>238760</wp:posOffset>
                </wp:positionV>
                <wp:extent cx="777875" cy="542925"/>
                <wp:effectExtent l="0" t="0" r="22225" b="28575"/>
                <wp:wrapNone/>
                <wp:docPr id="25" name="15 Corchetes"/>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77875" cy="542925"/>
                        </a:xfrm>
                        <a:prstGeom prst="bracketPair">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DE3E5A" id="15 Corchetes" o:spid="_x0000_s1026" type="#_x0000_t185" style="position:absolute;margin-left:262pt;margin-top:18.8pt;width:61.25pt;height:42.7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" strokecolor="black [3040]">
                <v:path arrowok="t"/>
              </v:shape>
            </w:pict>
          </mc:Fallback>
        </mc:AlternateContent>
      </w:r>
      <w:r>
        <w:rPr>
          <w:rFonts w:ascii="Times New Roman" w:hAnsi="Times New Roman" w:cs="Times New Roman"/>
          <w:b w:val="0"/>
          <w:noProof/>
          <w:color w:val="000000" w:themeColor="text1"/>
          <w:sz w:val="24"/>
          <w:szCs w:val="24"/>
        </w:rPr>
        <mc:AlternateContent>
          <mc:Choice Requires="wps">
            <w:drawing>
              <wp:anchor distT="0" distB="0" distL="114300" distR="114300" simplePos="0" relativeHeight="251691008" behindDoc="0" locked="0" layoutInCell="1" allowOverlap="1">
                <wp:simplePos x="0" y="0"/>
                <wp:positionH relativeFrom="column">
                  <wp:posOffset>2026920</wp:posOffset>
                </wp:positionH>
                <wp:positionV relativeFrom="paragraph">
                  <wp:posOffset>267335</wp:posOffset>
                </wp:positionV>
                <wp:extent cx="767715" cy="542925"/>
                <wp:effectExtent l="0" t="0" r="13335" b="28575"/>
                <wp:wrapNone/>
                <wp:docPr id="21" name="14 Corchetes"/>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7715" cy="542925"/>
                        </a:xfrm>
                        <a:prstGeom prst="bracketPair">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7F2051" id="14 Corchetes" o:spid="_x0000_s1026" type="#_x0000_t185" style="position:absolute;margin-left:159.6pt;margin-top:21.05pt;width:60.45pt;height:42.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" strokecolor="black [3040]">
                <v:path arrowok="t"/>
              </v:shape>
            </w:pict>
          </mc:Fallback>
        </mc:AlternateConten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lang w:val="es-CO"/>
        </w:rPr>
      </w:pPr>
      <m:oMathPara>
        <m:oMath>
          <m:r>
            <m:rPr>
              <m:sty m:val="bi"/>
            </m:rPr>
            <w:rPr>
              <w:rFonts w:ascii="Cambria Math" w:hAnsi="Cambria Math" w:cs="Times New Roman"/>
              <w:color w:val="000000" w:themeColor="text1"/>
              <w:sz w:val="24"/>
              <w:szCs w:val="24"/>
              <w:lang w:val="es-CO"/>
            </w:rPr>
            <m:t>C=</m:t>
          </m:r>
          <m:m>
            <m:mPr>
              <m:mcs>
                <m:mc>
                  <m:mcPr>
                    <m:count m:val="2"/>
                    <m:mcJc m:val="center"/>
                  </m:mcPr>
                </m:mc>
              </m:mcs>
              <m:ctrlPr>
                <w:rPr>
                  <w:rFonts w:ascii="Cambria Math" w:hAnsi="Cambria Math" w:cs="Times New Roman"/>
                  <w:b w:val="0"/>
                  <w:i/>
                  <w:color w:val="000000" w:themeColor="text1"/>
                  <w:sz w:val="24"/>
                  <w:szCs w:val="24"/>
                  <w:lang w:val="es-CO"/>
                </w:rPr>
              </m:ctrlPr>
            </m:mPr>
            <m:mr>
              <m:e>
                <m:sSub>
                  <m:sSubPr>
                    <m:ctrlPr>
                      <w:rPr>
                        <w:rFonts w:ascii="Cambria Math" w:hAnsi="Cambria Math" w:cs="Times New Roman"/>
                        <w:b w:val="0"/>
                        <w:i/>
                        <w:color w:val="000000" w:themeColor="text1"/>
                        <w:sz w:val="24"/>
                        <w:szCs w:val="24"/>
                        <w:lang w:val="es-CO"/>
                      </w:rPr>
                    </m:ctrlPr>
                  </m:sSubPr>
                  <m:e>
                    <m:r>
                      <m:rPr>
                        <m:sty m:val="bi"/>
                      </m:rPr>
                      <w:rPr>
                        <w:rFonts w:ascii="Cambria Math" w:hAnsi="Cambria Math" w:cs="Times New Roman"/>
                        <w:color w:val="000000" w:themeColor="text1"/>
                        <w:sz w:val="24"/>
                        <w:szCs w:val="24"/>
                        <w:lang w:val="es-CO"/>
                      </w:rPr>
                      <m:t>Ω</m:t>
                    </m:r>
                  </m:e>
                  <m:sub>
                    <m:r>
                      <m:rPr>
                        <m:sty m:val="bi"/>
                      </m:rPr>
                      <w:rPr>
                        <w:rFonts w:ascii="Cambria Math" w:hAnsi="Cambria Math" w:cs="Times New Roman"/>
                        <w:color w:val="000000" w:themeColor="text1"/>
                        <w:sz w:val="24"/>
                        <w:szCs w:val="24"/>
                        <w:lang w:val="es-CO"/>
                      </w:rPr>
                      <m:t>tc,tc</m:t>
                    </m:r>
                  </m:sub>
                </m:sSub>
              </m:e>
              <m:e>
                <m:sSub>
                  <m:sSubPr>
                    <m:ctrlPr>
                      <w:rPr>
                        <w:rFonts w:ascii="Cambria Math" w:hAnsi="Cambria Math" w:cs="Times New Roman"/>
                        <w:b w:val="0"/>
                        <w:i/>
                        <w:color w:val="000000" w:themeColor="text1"/>
                        <w:sz w:val="24"/>
                        <w:szCs w:val="24"/>
                        <w:lang w:val="es-CO"/>
                      </w:rPr>
                    </m:ctrlPr>
                  </m:sSubPr>
                  <m:e>
                    <m:r>
                      <m:rPr>
                        <m:sty m:val="bi"/>
                      </m:rPr>
                      <w:rPr>
                        <w:rFonts w:ascii="Cambria Math" w:hAnsi="Cambria Math" w:cs="Times New Roman"/>
                        <w:color w:val="000000" w:themeColor="text1"/>
                        <w:sz w:val="24"/>
                        <w:szCs w:val="24"/>
                        <w:lang w:val="es-CO"/>
                      </w:rPr>
                      <m:t>Ω</m:t>
                    </m:r>
                  </m:e>
                  <m:sub>
                    <m:r>
                      <m:rPr>
                        <m:sty m:val="bi"/>
                      </m:rPr>
                      <w:rPr>
                        <w:rFonts w:ascii="Cambria Math" w:hAnsi="Cambria Math" w:cs="Times New Roman"/>
                        <w:color w:val="000000" w:themeColor="text1"/>
                        <w:sz w:val="24"/>
                        <w:szCs w:val="24"/>
                        <w:lang w:val="es-CO"/>
                      </w:rPr>
                      <m:t>tc,i</m:t>
                    </m:r>
                  </m:sub>
                </m:sSub>
              </m:e>
            </m:mr>
            <m:mr>
              <m:e>
                <m:sSub>
                  <m:sSubPr>
                    <m:ctrlPr>
                      <w:rPr>
                        <w:rFonts w:ascii="Cambria Math" w:hAnsi="Cambria Math" w:cs="Times New Roman"/>
                        <w:b w:val="0"/>
                        <w:i/>
                        <w:color w:val="000000" w:themeColor="text1"/>
                        <w:sz w:val="24"/>
                        <w:szCs w:val="24"/>
                        <w:lang w:val="es-CO"/>
                      </w:rPr>
                    </m:ctrlPr>
                  </m:sSubPr>
                  <m:e>
                    <m:r>
                      <m:rPr>
                        <m:sty m:val="bi"/>
                      </m:rPr>
                      <w:rPr>
                        <w:rFonts w:ascii="Cambria Math" w:hAnsi="Cambria Math" w:cs="Times New Roman"/>
                        <w:color w:val="000000" w:themeColor="text1"/>
                        <w:sz w:val="24"/>
                        <w:szCs w:val="24"/>
                        <w:lang w:val="es-CO"/>
                      </w:rPr>
                      <m:t>Ω</m:t>
                    </m:r>
                  </m:e>
                  <m:sub>
                    <m:r>
                      <m:rPr>
                        <m:sty m:val="bi"/>
                      </m:rPr>
                      <w:rPr>
                        <w:rFonts w:ascii="Cambria Math" w:hAnsi="Cambria Math" w:cs="Times New Roman"/>
                        <w:color w:val="000000" w:themeColor="text1"/>
                        <w:sz w:val="24"/>
                        <w:szCs w:val="24"/>
                        <w:lang w:val="es-CO"/>
                      </w:rPr>
                      <m:t>i,tc</m:t>
                    </m:r>
                  </m:sub>
                </m:sSub>
              </m:e>
              <m:e>
                <m:sSub>
                  <m:sSubPr>
                    <m:ctrlPr>
                      <w:rPr>
                        <w:rFonts w:ascii="Cambria Math" w:hAnsi="Cambria Math" w:cs="Times New Roman"/>
                        <w:b w:val="0"/>
                        <w:i/>
                        <w:color w:val="000000" w:themeColor="text1"/>
                        <w:sz w:val="24"/>
                        <w:szCs w:val="24"/>
                        <w:lang w:val="es-CO"/>
                      </w:rPr>
                    </m:ctrlPr>
                  </m:sSubPr>
                  <m:e>
                    <m:r>
                      <m:rPr>
                        <m:sty m:val="bi"/>
                      </m:rPr>
                      <w:rPr>
                        <w:rFonts w:ascii="Cambria Math" w:hAnsi="Cambria Math" w:cs="Times New Roman"/>
                        <w:color w:val="000000" w:themeColor="text1"/>
                        <w:sz w:val="24"/>
                        <w:szCs w:val="24"/>
                        <w:lang w:val="es-CO"/>
                      </w:rPr>
                      <m:t>Ω</m:t>
                    </m:r>
                  </m:e>
                  <m:sub>
                    <m:r>
                      <m:rPr>
                        <m:sty m:val="bi"/>
                      </m:rPr>
                      <w:rPr>
                        <w:rFonts w:ascii="Cambria Math" w:hAnsi="Cambria Math" w:cs="Times New Roman"/>
                        <w:color w:val="000000" w:themeColor="text1"/>
                        <w:sz w:val="24"/>
                        <w:szCs w:val="24"/>
                        <w:lang w:val="es-CO"/>
                      </w:rPr>
                      <m:t>i,i</m:t>
                    </m:r>
                  </m:sub>
                </m:sSub>
              </m:e>
            </m:mr>
          </m:m>
          <m:r>
            <m:rPr>
              <m:sty m:val="bi"/>
            </m:rPr>
            <w:rPr>
              <w:rFonts w:ascii="Cambria Math" w:hAnsi="Cambria Math" w:cs="Times New Roman"/>
              <w:color w:val="000000" w:themeColor="text1"/>
              <w:sz w:val="24"/>
              <w:szCs w:val="24"/>
              <w:lang w:val="es-CO"/>
            </w:rPr>
            <m:t xml:space="preserve">  ,       A=</m:t>
          </m:r>
          <m:m>
            <m:mPr>
              <m:mcs>
                <m:mc>
                  <m:mcPr>
                    <m:count m:val="2"/>
                    <m:mcJc m:val="center"/>
                  </m:mcPr>
                </m:mc>
              </m:mcs>
              <m:ctrlPr>
                <w:rPr>
                  <w:rFonts w:ascii="Cambria Math" w:hAnsi="Cambria Math" w:cs="Times New Roman"/>
                  <w:b w:val="0"/>
                  <w:i/>
                  <w:color w:val="000000" w:themeColor="text1"/>
                  <w:sz w:val="24"/>
                  <w:szCs w:val="24"/>
                  <w:lang w:val="es-CO"/>
                </w:rPr>
              </m:ctrlPr>
            </m:mPr>
            <m:mr>
              <m:e>
                <m:sSub>
                  <m:sSubPr>
                    <m:ctrlPr>
                      <w:rPr>
                        <w:rFonts w:ascii="Cambria Math" w:hAnsi="Cambria Math" w:cs="Times New Roman"/>
                        <w:b w:val="0"/>
                        <w:i/>
                        <w:color w:val="000000" w:themeColor="text1"/>
                        <w:sz w:val="24"/>
                        <w:szCs w:val="24"/>
                        <w:lang w:val="es-CO"/>
                      </w:rPr>
                    </m:ctrlPr>
                  </m:sSubPr>
                  <m:e>
                    <m:r>
                      <m:rPr>
                        <m:sty m:val="bi"/>
                      </m:rPr>
                      <w:rPr>
                        <w:rFonts w:ascii="Cambria Math" w:hAnsi="Cambria Math" w:cs="Times New Roman"/>
                        <w:color w:val="000000" w:themeColor="text1"/>
                        <w:sz w:val="24"/>
                        <w:szCs w:val="24"/>
                        <w:lang w:val="es-CO"/>
                      </w:rPr>
                      <m:t>α</m:t>
                    </m:r>
                  </m:e>
                  <m:sub>
                    <m:r>
                      <m:rPr>
                        <m:sty m:val="bi"/>
                      </m:rPr>
                      <w:rPr>
                        <w:rFonts w:ascii="Cambria Math" w:hAnsi="Cambria Math" w:cs="Times New Roman"/>
                        <w:color w:val="000000" w:themeColor="text1"/>
                        <w:sz w:val="24"/>
                        <w:szCs w:val="24"/>
                        <w:lang w:val="es-CO"/>
                      </w:rPr>
                      <m:t>tc,tc</m:t>
                    </m:r>
                  </m:sub>
                </m:sSub>
              </m:e>
              <m:e>
                <m:sSub>
                  <m:sSubPr>
                    <m:ctrlPr>
                      <w:rPr>
                        <w:rFonts w:ascii="Cambria Math" w:hAnsi="Cambria Math" w:cs="Times New Roman"/>
                        <w:b w:val="0"/>
                        <w:i/>
                        <w:color w:val="000000" w:themeColor="text1"/>
                        <w:sz w:val="24"/>
                        <w:szCs w:val="24"/>
                        <w:lang w:val="es-CO"/>
                      </w:rPr>
                    </m:ctrlPr>
                  </m:sSubPr>
                  <m:e>
                    <m:r>
                      <m:rPr>
                        <m:sty m:val="bi"/>
                      </m:rPr>
                      <w:rPr>
                        <w:rFonts w:ascii="Cambria Math" w:hAnsi="Cambria Math" w:cs="Times New Roman"/>
                        <w:color w:val="000000" w:themeColor="text1"/>
                        <w:sz w:val="24"/>
                        <w:szCs w:val="24"/>
                        <w:lang w:val="es-CO"/>
                      </w:rPr>
                      <m:t>α</m:t>
                    </m:r>
                  </m:e>
                  <m:sub>
                    <m:r>
                      <m:rPr>
                        <m:sty m:val="bi"/>
                      </m:rPr>
                      <w:rPr>
                        <w:rFonts w:ascii="Cambria Math" w:hAnsi="Cambria Math" w:cs="Times New Roman"/>
                        <w:color w:val="000000" w:themeColor="text1"/>
                        <w:sz w:val="24"/>
                        <w:szCs w:val="24"/>
                        <w:lang w:val="es-CO"/>
                      </w:rPr>
                      <m:t>tc,i</m:t>
                    </m:r>
                  </m:sub>
                </m:sSub>
              </m:e>
            </m:mr>
            <m:mr>
              <m:e>
                <m:sSub>
                  <m:sSubPr>
                    <m:ctrlPr>
                      <w:rPr>
                        <w:rFonts w:ascii="Cambria Math" w:hAnsi="Cambria Math" w:cs="Times New Roman"/>
                        <w:b w:val="0"/>
                        <w:i/>
                        <w:color w:val="000000" w:themeColor="text1"/>
                        <w:sz w:val="24"/>
                        <w:szCs w:val="24"/>
                        <w:lang w:val="es-CO"/>
                      </w:rPr>
                    </m:ctrlPr>
                  </m:sSubPr>
                  <m:e>
                    <m:r>
                      <m:rPr>
                        <m:sty m:val="bi"/>
                      </m:rPr>
                      <w:rPr>
                        <w:rFonts w:ascii="Cambria Math" w:hAnsi="Cambria Math" w:cs="Times New Roman"/>
                        <w:color w:val="000000" w:themeColor="text1"/>
                        <w:sz w:val="24"/>
                        <w:szCs w:val="24"/>
                        <w:lang w:val="es-CO"/>
                      </w:rPr>
                      <m:t>α</m:t>
                    </m:r>
                  </m:e>
                  <m:sub>
                    <m:r>
                      <m:rPr>
                        <m:sty m:val="bi"/>
                      </m:rPr>
                      <w:rPr>
                        <w:rFonts w:ascii="Cambria Math" w:hAnsi="Cambria Math" w:cs="Times New Roman"/>
                        <w:color w:val="000000" w:themeColor="text1"/>
                        <w:sz w:val="24"/>
                        <w:szCs w:val="24"/>
                        <w:lang w:val="es-CO"/>
                      </w:rPr>
                      <m:t>i,tc</m:t>
                    </m:r>
                  </m:sub>
                </m:sSub>
              </m:e>
              <m:e>
                <m:sSub>
                  <m:sSubPr>
                    <m:ctrlPr>
                      <w:rPr>
                        <w:rFonts w:ascii="Cambria Math" w:hAnsi="Cambria Math" w:cs="Times New Roman"/>
                        <w:b w:val="0"/>
                        <w:i/>
                        <w:color w:val="000000" w:themeColor="text1"/>
                        <w:sz w:val="24"/>
                        <w:szCs w:val="24"/>
                        <w:lang w:val="es-CO"/>
                      </w:rPr>
                    </m:ctrlPr>
                  </m:sSubPr>
                  <m:e>
                    <m:r>
                      <m:rPr>
                        <m:sty m:val="bi"/>
                      </m:rPr>
                      <w:rPr>
                        <w:rFonts w:ascii="Cambria Math" w:hAnsi="Cambria Math" w:cs="Times New Roman"/>
                        <w:color w:val="000000" w:themeColor="text1"/>
                        <w:sz w:val="24"/>
                        <w:szCs w:val="24"/>
                        <w:lang w:val="es-CO"/>
                      </w:rPr>
                      <m:t>α</m:t>
                    </m:r>
                  </m:e>
                  <m:sub>
                    <m:r>
                      <m:rPr>
                        <m:sty m:val="bi"/>
                      </m:rPr>
                      <w:rPr>
                        <w:rFonts w:ascii="Cambria Math" w:hAnsi="Cambria Math" w:cs="Times New Roman"/>
                        <w:color w:val="000000" w:themeColor="text1"/>
                        <w:sz w:val="24"/>
                        <w:szCs w:val="24"/>
                        <w:lang w:val="es-CO"/>
                      </w:rPr>
                      <m:t>i,i</m:t>
                    </m:r>
                  </m:sub>
                </m:sSub>
              </m:e>
            </m:mr>
          </m:m>
          <m:r>
            <m:rPr>
              <m:sty m:val="bi"/>
            </m:rPr>
            <w:rPr>
              <w:rFonts w:ascii="Cambria Math" w:hAnsi="Cambria Math" w:cs="Times New Roman"/>
              <w:color w:val="000000" w:themeColor="text1"/>
              <w:sz w:val="24"/>
              <w:szCs w:val="24"/>
              <w:lang w:val="es-CO"/>
            </w:rPr>
            <m:t xml:space="preserve">   ,      B=</m:t>
          </m:r>
          <m:m>
            <m:mPr>
              <m:mcs>
                <m:mc>
                  <m:mcPr>
                    <m:count m:val="2"/>
                    <m:mcJc m:val="center"/>
                  </m:mcPr>
                </m:mc>
              </m:mcs>
              <m:ctrlPr>
                <w:rPr>
                  <w:rFonts w:ascii="Cambria Math" w:hAnsi="Cambria Math" w:cs="Times New Roman"/>
                  <w:b w:val="0"/>
                  <w:i/>
                  <w:color w:val="000000" w:themeColor="text1"/>
                  <w:sz w:val="24"/>
                  <w:szCs w:val="24"/>
                  <w:lang w:val="es-CO"/>
                </w:rPr>
              </m:ctrlPr>
            </m:mPr>
            <m:mr>
              <m:e>
                <m:sSub>
                  <m:sSubPr>
                    <m:ctrlPr>
                      <w:rPr>
                        <w:rFonts w:ascii="Cambria Math" w:hAnsi="Cambria Math" w:cs="Times New Roman"/>
                        <w:b w:val="0"/>
                        <w:i/>
                        <w:color w:val="000000" w:themeColor="text1"/>
                        <w:sz w:val="24"/>
                        <w:szCs w:val="24"/>
                        <w:lang w:val="es-CO"/>
                      </w:rPr>
                    </m:ctrlPr>
                  </m:sSubPr>
                  <m:e>
                    <m:r>
                      <m:rPr>
                        <m:sty m:val="bi"/>
                      </m:rPr>
                      <w:rPr>
                        <w:rFonts w:ascii="Cambria Math" w:hAnsi="Cambria Math" w:cs="Times New Roman"/>
                        <w:color w:val="000000" w:themeColor="text1"/>
                        <w:sz w:val="24"/>
                        <w:szCs w:val="24"/>
                        <w:lang w:val="es-CO"/>
                      </w:rPr>
                      <m:t>β</m:t>
                    </m:r>
                  </m:e>
                  <m:sub>
                    <m:r>
                      <m:rPr>
                        <m:sty m:val="bi"/>
                      </m:rPr>
                      <w:rPr>
                        <w:rFonts w:ascii="Cambria Math" w:hAnsi="Cambria Math" w:cs="Times New Roman"/>
                        <w:color w:val="000000" w:themeColor="text1"/>
                        <w:sz w:val="24"/>
                        <w:szCs w:val="24"/>
                        <w:lang w:val="es-CO"/>
                      </w:rPr>
                      <m:t>tc,tc</m:t>
                    </m:r>
                  </m:sub>
                </m:sSub>
              </m:e>
              <m:e>
                <m:sSub>
                  <m:sSubPr>
                    <m:ctrlPr>
                      <w:rPr>
                        <w:rFonts w:ascii="Cambria Math" w:hAnsi="Cambria Math" w:cs="Times New Roman"/>
                        <w:b w:val="0"/>
                        <w:i/>
                        <w:color w:val="000000" w:themeColor="text1"/>
                        <w:sz w:val="24"/>
                        <w:szCs w:val="24"/>
                        <w:lang w:val="es-CO"/>
                      </w:rPr>
                    </m:ctrlPr>
                  </m:sSubPr>
                  <m:e>
                    <m:r>
                      <m:rPr>
                        <m:sty m:val="bi"/>
                      </m:rPr>
                      <w:rPr>
                        <w:rFonts w:ascii="Cambria Math" w:hAnsi="Cambria Math" w:cs="Times New Roman"/>
                        <w:color w:val="000000" w:themeColor="text1"/>
                        <w:sz w:val="24"/>
                        <w:szCs w:val="24"/>
                        <w:lang w:val="es-CO"/>
                      </w:rPr>
                      <m:t>β</m:t>
                    </m:r>
                  </m:e>
                  <m:sub>
                    <m:r>
                      <m:rPr>
                        <m:sty m:val="bi"/>
                      </m:rPr>
                      <w:rPr>
                        <w:rFonts w:ascii="Cambria Math" w:hAnsi="Cambria Math" w:cs="Times New Roman"/>
                        <w:color w:val="000000" w:themeColor="text1"/>
                        <w:sz w:val="24"/>
                        <w:szCs w:val="24"/>
                        <w:lang w:val="es-CO"/>
                      </w:rPr>
                      <m:t>tc,i</m:t>
                    </m:r>
                  </m:sub>
                </m:sSub>
              </m:e>
            </m:mr>
            <m:mr>
              <m:e>
                <m:sSub>
                  <m:sSubPr>
                    <m:ctrlPr>
                      <w:rPr>
                        <w:rFonts w:ascii="Cambria Math" w:hAnsi="Cambria Math" w:cs="Times New Roman"/>
                        <w:b w:val="0"/>
                        <w:i/>
                        <w:color w:val="000000" w:themeColor="text1"/>
                        <w:sz w:val="24"/>
                        <w:szCs w:val="24"/>
                        <w:lang w:val="es-CO"/>
                      </w:rPr>
                    </m:ctrlPr>
                  </m:sSubPr>
                  <m:e>
                    <m:r>
                      <m:rPr>
                        <m:sty m:val="bi"/>
                      </m:rPr>
                      <w:rPr>
                        <w:rFonts w:ascii="Cambria Math" w:hAnsi="Cambria Math" w:cs="Times New Roman"/>
                        <w:color w:val="000000" w:themeColor="text1"/>
                        <w:sz w:val="24"/>
                        <w:szCs w:val="24"/>
                        <w:lang w:val="es-CO"/>
                      </w:rPr>
                      <m:t>β</m:t>
                    </m:r>
                  </m:e>
                  <m:sub>
                    <m:r>
                      <m:rPr>
                        <m:sty m:val="bi"/>
                      </m:rPr>
                      <w:rPr>
                        <w:rFonts w:ascii="Cambria Math" w:hAnsi="Cambria Math" w:cs="Times New Roman"/>
                        <w:color w:val="000000" w:themeColor="text1"/>
                        <w:sz w:val="24"/>
                        <w:szCs w:val="24"/>
                        <w:lang w:val="es-CO"/>
                      </w:rPr>
                      <m:t>i,tc</m:t>
                    </m:r>
                  </m:sub>
                </m:sSub>
              </m:e>
              <m:e>
                <m:sSub>
                  <m:sSubPr>
                    <m:ctrlPr>
                      <w:rPr>
                        <w:rFonts w:ascii="Cambria Math" w:hAnsi="Cambria Math" w:cs="Times New Roman"/>
                        <w:b w:val="0"/>
                        <w:i/>
                        <w:color w:val="000000" w:themeColor="text1"/>
                        <w:sz w:val="24"/>
                        <w:szCs w:val="24"/>
                        <w:lang w:val="es-CO"/>
                      </w:rPr>
                    </m:ctrlPr>
                  </m:sSubPr>
                  <m:e>
                    <m:r>
                      <m:rPr>
                        <m:sty m:val="bi"/>
                      </m:rPr>
                      <w:rPr>
                        <w:rFonts w:ascii="Cambria Math" w:hAnsi="Cambria Math" w:cs="Times New Roman"/>
                        <w:color w:val="000000" w:themeColor="text1"/>
                        <w:sz w:val="24"/>
                        <w:szCs w:val="24"/>
                        <w:lang w:val="es-CO"/>
                      </w:rPr>
                      <m:t>β</m:t>
                    </m:r>
                  </m:e>
                  <m:sub>
                    <m:r>
                      <m:rPr>
                        <m:sty m:val="bi"/>
                      </m:rPr>
                      <w:rPr>
                        <w:rFonts w:ascii="Cambria Math" w:hAnsi="Cambria Math" w:cs="Times New Roman"/>
                        <w:color w:val="000000" w:themeColor="text1"/>
                        <w:sz w:val="24"/>
                        <w:szCs w:val="24"/>
                        <w:lang w:val="es-CO"/>
                      </w:rPr>
                      <m:t>i,i</m:t>
                    </m:r>
                  </m:sub>
                </m:sSub>
              </m:e>
            </m:mr>
          </m:m>
        </m:oMath>
      </m:oMathPara>
    </w:p>
    <w:p w:rsidR="00EC66C8" w:rsidRPr="00EC66C8" w:rsidRDefault="00EC66C8" w:rsidP="00EC66C8">
      <w:pPr>
        <w:pStyle w:val="Ttulo2"/>
        <w:shd w:val="clear" w:color="auto" w:fill="FFFFFF" w:themeFill="background1"/>
        <w:jc w:val="both"/>
        <w:rPr>
          <w:rFonts w:ascii="Times New Roman" w:hAnsi="Times New Roman" w:cs="Times New Roman"/>
          <w:color w:val="000000" w:themeColor="text1"/>
          <w:sz w:val="24"/>
          <w:szCs w:val="24"/>
        </w:rPr>
      </w:pPr>
    </w:p>
    <w:p w:rsidR="00EC66C8" w:rsidRPr="00EC66C8" w:rsidRDefault="005F0A1B" w:rsidP="00EC66C8">
      <w:pPr>
        <w:pStyle w:val="Ttulo2"/>
        <w:shd w:val="clear" w:color="auto" w:fill="FFFFFF" w:themeFill="background1"/>
        <w:rPr>
          <w:rFonts w:ascii="Times New Roman" w:hAnsi="Times New Roman" w:cs="Times New Roman"/>
          <w:color w:val="000000" w:themeColor="text1"/>
          <w:sz w:val="24"/>
          <w:szCs w:val="24"/>
          <w:lang w:val="es-CO"/>
        </w:rPr>
      </w:pPr>
      <w:r>
        <w:rPr>
          <w:rFonts w:ascii="Times New Roman" w:hAnsi="Times New Roman" w:cs="Times New Roman"/>
          <w:color w:val="000000" w:themeColor="text1"/>
          <w:sz w:val="24"/>
          <w:szCs w:val="24"/>
          <w:lang w:val="es-CO"/>
        </w:rPr>
        <w:t xml:space="preserve">3.2 </w:t>
      </w:r>
      <w:r w:rsidR="00EC66C8" w:rsidRPr="00EC66C8">
        <w:rPr>
          <w:rFonts w:ascii="Times New Roman" w:hAnsi="Times New Roman" w:cs="Times New Roman"/>
          <w:color w:val="000000" w:themeColor="text1"/>
          <w:sz w:val="24"/>
          <w:szCs w:val="24"/>
          <w:lang w:val="es-CO"/>
        </w:rPr>
        <w:t>Resultados del modelo BEKK</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rPr>
      </w:pPr>
      <w:r w:rsidRPr="00EC66C8">
        <w:rPr>
          <w:rFonts w:ascii="Times New Roman" w:hAnsi="Times New Roman" w:cs="Times New Roman"/>
          <w:b w:val="0"/>
          <w:color w:val="000000" w:themeColor="text1"/>
          <w:sz w:val="24"/>
          <w:szCs w:val="24"/>
          <w:lang w:val="es-CO"/>
        </w:rPr>
        <w:t>Como ya se mencionó con anterioridad, e</w:t>
      </w:r>
      <w:r w:rsidRPr="00EC66C8">
        <w:rPr>
          <w:rFonts w:ascii="Times New Roman" w:hAnsi="Times New Roman" w:cs="Times New Roman"/>
          <w:b w:val="0"/>
          <w:color w:val="000000" w:themeColor="text1"/>
          <w:sz w:val="24"/>
          <w:szCs w:val="24"/>
        </w:rPr>
        <w:t xml:space="preserve">l periodo de estudio comprende desde el 3 de Noviembre de 1998 hasta el 26 de Diciembre de 2013. </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rPr>
      </w:pPr>
      <w:r w:rsidRPr="00EC66C8">
        <w:rPr>
          <w:rFonts w:ascii="Times New Roman" w:hAnsi="Times New Roman" w:cs="Times New Roman"/>
          <w:b w:val="0"/>
          <w:color w:val="000000" w:themeColor="text1"/>
          <w:sz w:val="24"/>
          <w:szCs w:val="24"/>
        </w:rPr>
        <w:t xml:space="preserve">La decisión de dividir las series en dos periodos, es analizar a detalle el comportamiento de dichas variables durante el régimen de Saldos sobre las cuentas corrientes y durante el periodo bajo el cual se rige esta investigación; periodo en que el Banco de México estableció la transición hacia un objetivo operacional de tasa de interés y no es sino a partir del 21 de enero de 2008 cuando se comenzó a implementar algunas adecuaciones al referido cambio en Política Monetaria. </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rPr>
      </w:pPr>
      <w:r w:rsidRPr="00EC66C8">
        <w:rPr>
          <w:rFonts w:ascii="Times New Roman" w:hAnsi="Times New Roman" w:cs="Times New Roman"/>
          <w:b w:val="0"/>
          <w:color w:val="000000" w:themeColor="text1"/>
          <w:sz w:val="24"/>
          <w:szCs w:val="24"/>
        </w:rPr>
        <w:t xml:space="preserve">Esta separación de las dos etapas en la conducción de la Política Monetaria nos lleva a hacer un análisis de ambos periodos, lo cual nos permitirá concluir si el cambio de objetivo operacional a tasas de interés celebrado en 2008, refleja una buena conducción de la Política Monetaria por parte del Banco Central; es decir, que se reduzca la volatilidad, tanto del tipo de cambio como de la tasa de interés, o simplemente, si ésta transición no ha generado los cambios que el Instituto Central se planteó al inicio de éste proceso. </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lang w:val="es-CO"/>
        </w:rPr>
      </w:pPr>
      <w:r>
        <w:rPr>
          <w:rFonts w:ascii="Times New Roman" w:hAnsi="Times New Roman" w:cs="Times New Roman"/>
          <w:b w:val="0"/>
          <w:color w:val="000000" w:themeColor="text1"/>
          <w:sz w:val="24"/>
          <w:szCs w:val="24"/>
          <w:lang w:val="es-CO"/>
        </w:rPr>
        <w:lastRenderedPageBreak/>
        <w:t>Gráfica 7</w:t>
      </w:r>
      <w:r w:rsidRPr="00EC66C8">
        <w:rPr>
          <w:rFonts w:ascii="Times New Roman" w:hAnsi="Times New Roman" w:cs="Times New Roman"/>
          <w:b w:val="0"/>
          <w:color w:val="000000" w:themeColor="text1"/>
          <w:sz w:val="24"/>
          <w:szCs w:val="24"/>
          <w:lang w:val="es-CO"/>
        </w:rPr>
        <w:t>. Volatilidad del tipo de cambio y la tasa de interés. Periodo completo. (1998-2013)</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rPr>
      </w:pPr>
      <w:r w:rsidRPr="00EC66C8">
        <w:rPr>
          <w:rFonts w:ascii="Times New Roman" w:hAnsi="Times New Roman" w:cs="Times New Roman"/>
          <w:b w:val="0"/>
          <w:noProof/>
          <w:color w:val="000000" w:themeColor="text1"/>
          <w:sz w:val="24"/>
          <w:szCs w:val="24"/>
        </w:rPr>
        <w:drawing>
          <wp:anchor distT="0" distB="0" distL="114300" distR="114300" simplePos="0" relativeHeight="251661824" behindDoc="1" locked="0" layoutInCell="1" allowOverlap="1" wp14:anchorId="29F24F1D" wp14:editId="4FD1DD5B">
            <wp:simplePos x="0" y="0"/>
            <wp:positionH relativeFrom="column">
              <wp:posOffset>214630</wp:posOffset>
            </wp:positionH>
            <wp:positionV relativeFrom="paragraph">
              <wp:posOffset>78105</wp:posOffset>
            </wp:positionV>
            <wp:extent cx="5419725" cy="2171700"/>
            <wp:effectExtent l="0" t="0" r="0" b="0"/>
            <wp:wrapThrough wrapText="bothSides">
              <wp:wrapPolygon edited="0">
                <wp:start x="0" y="0"/>
                <wp:lineTo x="0" y="21411"/>
                <wp:lineTo x="21562" y="21411"/>
                <wp:lineTo x="21562" y="0"/>
                <wp:lineTo x="0" y="0"/>
              </wp:wrapPolygon>
            </wp:wrapThrough>
            <wp:docPr id="2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cstate="print">
                      <a:extLst>
                        <a:ext uri="{28A0092B-C50C-407E-A947-70E740481C1C}">
                          <a14:useLocalDpi xmlns:a14="http://schemas.microsoft.com/office/drawing/2010/main" val="0"/>
                        </a:ext>
                      </a:extLst>
                    </a:blip>
                    <a:srcRect l="19509" t="9563" r="18430" b="9836"/>
                    <a:stretch/>
                  </pic:blipFill>
                  <pic:spPr bwMode="auto">
                    <a:xfrm>
                      <a:off x="0" y="0"/>
                      <a:ext cx="5419725" cy="21717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sidRPr="00EC66C8">
        <w:rPr>
          <w:rFonts w:ascii="Times New Roman" w:hAnsi="Times New Roman" w:cs="Times New Roman"/>
          <w:b w:val="0"/>
          <w:color w:val="000000" w:themeColor="text1"/>
          <w:sz w:val="24"/>
          <w:szCs w:val="24"/>
          <w:lang w:val="es-CO"/>
        </w:rPr>
        <w:t>Fuente: Elaboración propia en Eviews 8</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rPr>
      </w:pPr>
      <w:r w:rsidRPr="00EC66C8">
        <w:rPr>
          <w:rFonts w:ascii="Times New Roman" w:hAnsi="Times New Roman" w:cs="Times New Roman"/>
          <w:b w:val="0"/>
          <w:color w:val="000000" w:themeColor="text1"/>
          <w:sz w:val="24"/>
          <w:szCs w:val="24"/>
          <w:lang w:val="es-CO"/>
        </w:rPr>
        <w:t xml:space="preserve">En ésta gráfica se puede apreciar el comportamiento de la volatilidad de ambas variables a lo largo de 15 años. Como se puede observar, a partir  de 2004, se empieza a notar que la volatilidad disminuyó; esto como resultado del envío de </w:t>
      </w:r>
      <w:r w:rsidRPr="00EC66C8">
        <w:rPr>
          <w:rFonts w:ascii="Times New Roman" w:hAnsi="Times New Roman" w:cs="Times New Roman"/>
          <w:b w:val="0"/>
          <w:color w:val="000000" w:themeColor="text1"/>
          <w:sz w:val="24"/>
          <w:szCs w:val="24"/>
        </w:rPr>
        <w:t>las primeras señales del nivel de tasa de interés</w:t>
      </w:r>
      <w:r w:rsidRPr="00EC66C8">
        <w:rPr>
          <w:rFonts w:ascii="Times New Roman" w:hAnsi="Times New Roman" w:cs="Times New Roman"/>
          <w:b w:val="0"/>
          <w:color w:val="000000" w:themeColor="text1"/>
          <w:sz w:val="24"/>
          <w:szCs w:val="24"/>
          <w:lang w:val="es-CO"/>
        </w:rPr>
        <w:t xml:space="preserve">. A partir de 2008, se observa que a pesar de la determinación de un nivel especifico de tasa de interés, se presentaron ciertas variaciones, esto como consecuencia de la crisis del referido año; pero a partir de entonces el Banco Central estableció la tasa de interés como objetivo operacional. </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lang w:val="es-CO"/>
        </w:rPr>
      </w:pPr>
      <w:r>
        <w:rPr>
          <w:rFonts w:ascii="Times New Roman" w:hAnsi="Times New Roman" w:cs="Times New Roman"/>
          <w:b w:val="0"/>
          <w:color w:val="000000" w:themeColor="text1"/>
          <w:sz w:val="24"/>
          <w:szCs w:val="24"/>
          <w:lang w:val="es-CO"/>
        </w:rPr>
        <w:t>Gráfica 8</w:t>
      </w:r>
      <w:r w:rsidRPr="00EC66C8">
        <w:rPr>
          <w:rFonts w:ascii="Times New Roman" w:hAnsi="Times New Roman" w:cs="Times New Roman"/>
          <w:b w:val="0"/>
          <w:color w:val="000000" w:themeColor="text1"/>
          <w:sz w:val="24"/>
          <w:szCs w:val="24"/>
          <w:lang w:val="es-CO"/>
        </w:rPr>
        <w:t>. Volatilidad del tipo de cambio y la tasa de interés. Periodo del objetivo operacional de saldos sobre las cuentas corrientes 03/noviembre/1998 al 21/enero/2008</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lang w:val="es-CO"/>
        </w:rPr>
      </w:pPr>
      <w:r w:rsidRPr="00EC66C8">
        <w:rPr>
          <w:rFonts w:ascii="Times New Roman" w:hAnsi="Times New Roman" w:cs="Times New Roman"/>
          <w:b w:val="0"/>
          <w:noProof/>
          <w:color w:val="000000" w:themeColor="text1"/>
          <w:sz w:val="24"/>
          <w:szCs w:val="24"/>
        </w:rPr>
        <w:drawing>
          <wp:anchor distT="0" distB="0" distL="114300" distR="114300" simplePos="0" relativeHeight="251665920" behindDoc="1" locked="0" layoutInCell="1" allowOverlap="1" wp14:anchorId="4125D363" wp14:editId="632B42F2">
            <wp:simplePos x="0" y="0"/>
            <wp:positionH relativeFrom="column">
              <wp:posOffset>224790</wp:posOffset>
            </wp:positionH>
            <wp:positionV relativeFrom="paragraph">
              <wp:posOffset>41910</wp:posOffset>
            </wp:positionV>
            <wp:extent cx="5105400" cy="2238375"/>
            <wp:effectExtent l="0" t="0" r="0" b="0"/>
            <wp:wrapThrough wrapText="bothSides">
              <wp:wrapPolygon edited="0">
                <wp:start x="0" y="0"/>
                <wp:lineTo x="0" y="21508"/>
                <wp:lineTo x="21519" y="21508"/>
                <wp:lineTo x="21519" y="0"/>
                <wp:lineTo x="0" y="0"/>
              </wp:wrapPolygon>
            </wp:wrapThrough>
            <wp:docPr id="23"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cstate="print">
                      <a:extLst>
                        <a:ext uri="{28A0092B-C50C-407E-A947-70E740481C1C}">
                          <a14:useLocalDpi xmlns:a14="http://schemas.microsoft.com/office/drawing/2010/main" val="0"/>
                        </a:ext>
                      </a:extLst>
                    </a:blip>
                    <a:srcRect l="18894" t="9016" r="19044" b="8470"/>
                    <a:stretch/>
                  </pic:blipFill>
                  <pic:spPr bwMode="auto">
                    <a:xfrm>
                      <a:off x="0" y="0"/>
                      <a:ext cx="5105400" cy="22383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lang w:val="es-CO"/>
        </w:rPr>
      </w:pP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lang w:val="es-CO"/>
        </w:rPr>
      </w:pPr>
    </w:p>
    <w:p w:rsidR="00EC66C8" w:rsidRPr="00EC66C8" w:rsidRDefault="00EC66C8" w:rsidP="00EC66C8">
      <w:pPr>
        <w:pStyle w:val="Ttulo2"/>
        <w:shd w:val="clear" w:color="auto" w:fill="FFFFFF" w:themeFill="background1"/>
        <w:jc w:val="both"/>
        <w:rPr>
          <w:rFonts w:ascii="Times New Roman" w:hAnsi="Times New Roman" w:cs="Times New Roman"/>
          <w:color w:val="000000" w:themeColor="text1"/>
          <w:sz w:val="24"/>
          <w:szCs w:val="24"/>
          <w:lang w:val="es-CO"/>
        </w:rPr>
      </w:pPr>
    </w:p>
    <w:p w:rsidR="00EC66C8" w:rsidRPr="00EC66C8" w:rsidRDefault="00EC66C8" w:rsidP="00EC66C8">
      <w:pPr>
        <w:pStyle w:val="Ttulo2"/>
        <w:shd w:val="clear" w:color="auto" w:fill="FFFFFF" w:themeFill="background1"/>
        <w:jc w:val="both"/>
        <w:rPr>
          <w:rFonts w:ascii="Times New Roman" w:hAnsi="Times New Roman" w:cs="Times New Roman"/>
          <w:color w:val="000000" w:themeColor="text1"/>
          <w:sz w:val="24"/>
          <w:szCs w:val="24"/>
          <w:lang w:val="es-CO"/>
        </w:rPr>
      </w:pPr>
    </w:p>
    <w:p w:rsidR="00EC66C8" w:rsidRPr="00EC66C8" w:rsidRDefault="00EC66C8" w:rsidP="00EC66C8">
      <w:pPr>
        <w:pStyle w:val="Ttulo2"/>
        <w:shd w:val="clear" w:color="auto" w:fill="FFFFFF" w:themeFill="background1"/>
        <w:jc w:val="both"/>
        <w:rPr>
          <w:rFonts w:ascii="Times New Roman" w:hAnsi="Times New Roman" w:cs="Times New Roman"/>
          <w:color w:val="000000" w:themeColor="text1"/>
          <w:sz w:val="24"/>
          <w:szCs w:val="24"/>
          <w:lang w:val="es-CO"/>
        </w:rPr>
      </w:pP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lang w:val="es-CO"/>
        </w:rPr>
      </w:pPr>
      <w:r w:rsidRPr="00EC66C8">
        <w:rPr>
          <w:rFonts w:ascii="Times New Roman" w:hAnsi="Times New Roman" w:cs="Times New Roman"/>
          <w:b w:val="0"/>
          <w:color w:val="000000" w:themeColor="text1"/>
          <w:sz w:val="24"/>
          <w:szCs w:val="24"/>
          <w:lang w:val="es-CO"/>
        </w:rPr>
        <w:t>Fuente: Elaboración propia en Eviews 8</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rPr>
      </w:pPr>
      <w:r w:rsidRPr="00EC66C8">
        <w:rPr>
          <w:rFonts w:ascii="Times New Roman" w:hAnsi="Times New Roman" w:cs="Times New Roman"/>
          <w:b w:val="0"/>
          <w:color w:val="000000" w:themeColor="text1"/>
          <w:sz w:val="24"/>
          <w:szCs w:val="24"/>
          <w:lang w:val="es-CO"/>
        </w:rPr>
        <w:lastRenderedPageBreak/>
        <w:t xml:space="preserve">En la gráfica anterior se puede apreciar el comportamiento de la volatilidad de ambas variables a lo largo del periodo del uso del “Corto” (1998-2008). Se observa que a partir de 2004, las volatilidades disminuyeron; esto como resultado del envío de </w:t>
      </w:r>
      <w:r w:rsidRPr="00EC66C8">
        <w:rPr>
          <w:rFonts w:ascii="Times New Roman" w:hAnsi="Times New Roman" w:cs="Times New Roman"/>
          <w:b w:val="0"/>
          <w:color w:val="000000" w:themeColor="text1"/>
          <w:sz w:val="24"/>
          <w:szCs w:val="24"/>
        </w:rPr>
        <w:t>las primeras señales del nivel de tasa de interés</w:t>
      </w:r>
      <w:r w:rsidRPr="00EC66C8">
        <w:rPr>
          <w:rFonts w:ascii="Times New Roman" w:hAnsi="Times New Roman" w:cs="Times New Roman"/>
          <w:b w:val="0"/>
          <w:color w:val="000000" w:themeColor="text1"/>
          <w:sz w:val="24"/>
          <w:szCs w:val="24"/>
          <w:lang w:val="es-CO"/>
        </w:rPr>
        <w:t xml:space="preserve">. A partir del dicho año, la volatilidad se mantuvo en niveles bajos. </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lang w:val="es-CO"/>
        </w:rPr>
      </w:pPr>
      <w:r>
        <w:rPr>
          <w:rFonts w:ascii="Times New Roman" w:hAnsi="Times New Roman" w:cs="Times New Roman"/>
          <w:b w:val="0"/>
          <w:color w:val="000000" w:themeColor="text1"/>
          <w:sz w:val="24"/>
          <w:szCs w:val="24"/>
          <w:lang w:val="es-CO"/>
        </w:rPr>
        <w:t>Gráfica 9.</w:t>
      </w:r>
      <w:r w:rsidRPr="00EC66C8">
        <w:rPr>
          <w:rFonts w:ascii="Times New Roman" w:hAnsi="Times New Roman" w:cs="Times New Roman"/>
          <w:b w:val="0"/>
          <w:color w:val="000000" w:themeColor="text1"/>
          <w:sz w:val="24"/>
          <w:szCs w:val="24"/>
          <w:lang w:val="es-CO"/>
        </w:rPr>
        <w:t xml:space="preserve"> Volatilidad del tipo de cambio y la tasa de interés. Periodo de la tasa de interés como objetivo operacional  21/enero/2008 al 26/diciembre/2013</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lang w:val="es-CO"/>
        </w:rPr>
      </w:pPr>
      <w:r w:rsidRPr="00EC66C8">
        <w:rPr>
          <w:rFonts w:ascii="Times New Roman" w:hAnsi="Times New Roman" w:cs="Times New Roman"/>
          <w:b w:val="0"/>
          <w:noProof/>
          <w:color w:val="000000" w:themeColor="text1"/>
          <w:sz w:val="24"/>
          <w:szCs w:val="24"/>
        </w:rPr>
        <w:drawing>
          <wp:anchor distT="0" distB="0" distL="114300" distR="114300" simplePos="0" relativeHeight="251670016" behindDoc="1" locked="0" layoutInCell="1" allowOverlap="1" wp14:anchorId="1F79E543" wp14:editId="225CF39D">
            <wp:simplePos x="0" y="0"/>
            <wp:positionH relativeFrom="column">
              <wp:posOffset>224790</wp:posOffset>
            </wp:positionH>
            <wp:positionV relativeFrom="paragraph">
              <wp:posOffset>6350</wp:posOffset>
            </wp:positionV>
            <wp:extent cx="5772150" cy="2419350"/>
            <wp:effectExtent l="0" t="0" r="0" b="0"/>
            <wp:wrapThrough wrapText="bothSides">
              <wp:wrapPolygon edited="0">
                <wp:start x="0" y="0"/>
                <wp:lineTo x="0" y="21430"/>
                <wp:lineTo x="21529" y="21430"/>
                <wp:lineTo x="21529" y="0"/>
                <wp:lineTo x="0" y="0"/>
              </wp:wrapPolygon>
            </wp:wrapThrough>
            <wp:docPr id="24"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cstate="print">
                      <a:extLst>
                        <a:ext uri="{28A0092B-C50C-407E-A947-70E740481C1C}">
                          <a14:useLocalDpi xmlns:a14="http://schemas.microsoft.com/office/drawing/2010/main" val="0"/>
                        </a:ext>
                      </a:extLst>
                    </a:blip>
                    <a:srcRect l="20584" t="9289" r="20427" b="9836"/>
                    <a:stretch/>
                  </pic:blipFill>
                  <pic:spPr bwMode="auto">
                    <a:xfrm>
                      <a:off x="0" y="0"/>
                      <a:ext cx="5772150" cy="24193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sidRPr="00EC66C8">
        <w:rPr>
          <w:rFonts w:ascii="Times New Roman" w:hAnsi="Times New Roman" w:cs="Times New Roman"/>
          <w:b w:val="0"/>
          <w:color w:val="000000" w:themeColor="text1"/>
          <w:sz w:val="24"/>
          <w:szCs w:val="24"/>
          <w:lang w:val="es-CO"/>
        </w:rPr>
        <w:t>Fuente: Elaboración propia en Eviews 8</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rPr>
      </w:pPr>
      <w:r w:rsidRPr="00EC66C8">
        <w:rPr>
          <w:rFonts w:ascii="Times New Roman" w:hAnsi="Times New Roman" w:cs="Times New Roman"/>
          <w:b w:val="0"/>
          <w:color w:val="000000" w:themeColor="text1"/>
          <w:sz w:val="24"/>
          <w:szCs w:val="24"/>
          <w:lang w:val="es-CO"/>
        </w:rPr>
        <w:t xml:space="preserve">En ésta gráfica se puede apreciar el comportamiento de la volatilidad de ambas variables a partir de la fecha en que el Banco Central decidió transitar hacia la tasa de interés como objetivo operacional. Como se puede observar, en 2008 hubo una ligera variación como consecuencia de la crisis; sin embargo a partir de 2010, las volatilidades se mantuvieron en niveles bajos; esto debido a la nueva postura de Política Monetaria. </w:t>
      </w:r>
    </w:p>
    <w:p w:rsidR="00B47EAC" w:rsidRPr="00B47EAC" w:rsidRDefault="006829AF" w:rsidP="00B47EAC">
      <w:pPr>
        <w:pStyle w:val="Ttulo2"/>
        <w:shd w:val="clear" w:color="auto" w:fill="FFFFFF" w:themeFill="background1"/>
        <w:rPr>
          <w:rFonts w:ascii="Times New Roman" w:hAnsi="Times New Roman" w:cs="Times New Roman"/>
          <w:b w:val="0"/>
          <w:color w:val="000000" w:themeColor="text1"/>
          <w:sz w:val="24"/>
          <w:szCs w:val="24"/>
        </w:rPr>
      </w:pPr>
      <w:r>
        <w:rPr>
          <w:rFonts w:ascii="Times New Roman" w:hAnsi="Times New Roman" w:cs="Times New Roman"/>
          <w:b w:val="0"/>
          <w:color w:val="000000" w:themeColor="text1"/>
          <w:sz w:val="24"/>
          <w:szCs w:val="24"/>
        </w:rPr>
        <w:t>Cuadro 4</w:t>
      </w:r>
      <w:r w:rsidR="00B47EAC" w:rsidRPr="00B47EAC">
        <w:rPr>
          <w:rFonts w:ascii="Times New Roman" w:hAnsi="Times New Roman" w:cs="Times New Roman"/>
          <w:b w:val="0"/>
          <w:color w:val="000000" w:themeColor="text1"/>
          <w:sz w:val="24"/>
          <w:szCs w:val="24"/>
        </w:rPr>
        <w:t>.  Resumen</w:t>
      </w:r>
    </w:p>
    <w:tbl>
      <w:tblPr>
        <w:tblStyle w:val="Cuadrculaclara-nfasis5"/>
        <w:tblpPr w:leftFromText="141" w:rightFromText="141" w:vertAnchor="text" w:horzAnchor="margin" w:tblpY="108"/>
        <w:tblW w:w="8897" w:type="dxa"/>
        <w:tblLook w:val="04A0" w:firstRow="1" w:lastRow="0" w:firstColumn="1" w:lastColumn="0" w:noHBand="0" w:noVBand="1"/>
      </w:tblPr>
      <w:tblGrid>
        <w:gridCol w:w="1809"/>
        <w:gridCol w:w="1843"/>
        <w:gridCol w:w="2126"/>
        <w:gridCol w:w="3119"/>
      </w:tblGrid>
      <w:tr w:rsidR="00B47EAC" w:rsidRPr="00B47EAC" w:rsidTr="00B47EA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B47EAC" w:rsidRPr="00B47EAC" w:rsidRDefault="00B47EAC" w:rsidP="00B47EAC">
            <w:pPr>
              <w:pStyle w:val="Ttulo2"/>
              <w:shd w:val="clear" w:color="auto" w:fill="FFFFFF" w:themeFill="background1"/>
              <w:spacing w:line="276" w:lineRule="auto"/>
              <w:outlineLvl w:val="1"/>
              <w:rPr>
                <w:rFonts w:ascii="Times New Roman" w:hAnsi="Times New Roman" w:cs="Times New Roman"/>
                <w:bCs/>
                <w:color w:val="000000" w:themeColor="text1"/>
                <w:sz w:val="20"/>
                <w:szCs w:val="20"/>
              </w:rPr>
            </w:pPr>
          </w:p>
        </w:tc>
        <w:tc>
          <w:tcPr>
            <w:tcW w:w="1843" w:type="dxa"/>
          </w:tcPr>
          <w:p w:rsidR="00B47EAC" w:rsidRPr="00B47EAC" w:rsidRDefault="00B47EAC" w:rsidP="00B47EAC">
            <w:pPr>
              <w:pStyle w:val="Ttulo2"/>
              <w:shd w:val="clear" w:color="auto" w:fill="FFFFFF" w:themeFill="background1"/>
              <w:spacing w:line="276" w:lineRule="auto"/>
              <w:outlineLvl w:val="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color w:val="000000" w:themeColor="text1"/>
                <w:sz w:val="20"/>
                <w:szCs w:val="20"/>
              </w:rPr>
            </w:pPr>
            <w:r w:rsidRPr="00B47EAC">
              <w:rPr>
                <w:rFonts w:ascii="Times New Roman" w:hAnsi="Times New Roman" w:cs="Times New Roman"/>
                <w:b/>
                <w:bCs/>
                <w:color w:val="000000" w:themeColor="text1"/>
                <w:sz w:val="20"/>
                <w:szCs w:val="20"/>
              </w:rPr>
              <w:t>Periodo Completo (1998-2013)</w:t>
            </w:r>
          </w:p>
        </w:tc>
        <w:tc>
          <w:tcPr>
            <w:tcW w:w="2126" w:type="dxa"/>
          </w:tcPr>
          <w:p w:rsidR="00B47EAC" w:rsidRPr="00B47EAC" w:rsidRDefault="00B47EAC" w:rsidP="00B47EAC">
            <w:pPr>
              <w:pStyle w:val="Ttulo2"/>
              <w:shd w:val="clear" w:color="auto" w:fill="FFFFFF" w:themeFill="background1"/>
              <w:spacing w:line="276" w:lineRule="auto"/>
              <w:outlineLvl w:val="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color w:val="000000" w:themeColor="text1"/>
                <w:sz w:val="20"/>
                <w:szCs w:val="20"/>
              </w:rPr>
            </w:pPr>
            <w:r w:rsidRPr="00B47EAC">
              <w:rPr>
                <w:rFonts w:ascii="Times New Roman" w:hAnsi="Times New Roman" w:cs="Times New Roman"/>
                <w:b/>
                <w:bCs/>
                <w:color w:val="000000" w:themeColor="text1"/>
                <w:sz w:val="20"/>
                <w:szCs w:val="20"/>
              </w:rPr>
              <w:t>Periodo del Objetivo Operacional de Saldos sobre Las Cuentas Corrientes (1998-2008)</w:t>
            </w:r>
          </w:p>
        </w:tc>
        <w:tc>
          <w:tcPr>
            <w:tcW w:w="3119" w:type="dxa"/>
          </w:tcPr>
          <w:p w:rsidR="00B47EAC" w:rsidRPr="00B47EAC" w:rsidRDefault="00B47EAC" w:rsidP="00B47EAC">
            <w:pPr>
              <w:pStyle w:val="Ttulo2"/>
              <w:shd w:val="clear" w:color="auto" w:fill="FFFFFF" w:themeFill="background1"/>
              <w:spacing w:line="276" w:lineRule="auto"/>
              <w:outlineLvl w:val="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color w:val="000000" w:themeColor="text1"/>
                <w:sz w:val="20"/>
                <w:szCs w:val="20"/>
              </w:rPr>
            </w:pPr>
            <w:r w:rsidRPr="00B47EAC">
              <w:rPr>
                <w:rFonts w:ascii="Times New Roman" w:hAnsi="Times New Roman" w:cs="Times New Roman"/>
                <w:b/>
                <w:bCs/>
                <w:color w:val="000000" w:themeColor="text1"/>
                <w:sz w:val="20"/>
                <w:szCs w:val="20"/>
              </w:rPr>
              <w:t>Periodo de la tasa de interés como objetivo operacional (2008-2013)</w:t>
            </w:r>
          </w:p>
        </w:tc>
      </w:tr>
      <w:tr w:rsidR="00B47EAC" w:rsidRPr="00B47EAC" w:rsidTr="00B47E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B47EAC" w:rsidRPr="00B47EAC" w:rsidRDefault="00B47EAC" w:rsidP="00B47EAC">
            <w:pPr>
              <w:pStyle w:val="Ttulo2"/>
              <w:shd w:val="clear" w:color="auto" w:fill="FFFFFF" w:themeFill="background1"/>
              <w:spacing w:line="276" w:lineRule="auto"/>
              <w:outlineLvl w:val="1"/>
              <w:rPr>
                <w:rFonts w:ascii="Times New Roman" w:hAnsi="Times New Roman" w:cs="Times New Roman"/>
                <w:b/>
                <w:bCs/>
                <w:color w:val="000000" w:themeColor="text1"/>
                <w:sz w:val="20"/>
                <w:szCs w:val="20"/>
              </w:rPr>
            </w:pPr>
            <w:r w:rsidRPr="00B47EAC">
              <w:rPr>
                <w:rFonts w:ascii="Times New Roman" w:hAnsi="Times New Roman" w:cs="Times New Roman"/>
                <w:b/>
                <w:bCs/>
                <w:color w:val="000000" w:themeColor="text1"/>
                <w:sz w:val="20"/>
                <w:szCs w:val="20"/>
              </w:rPr>
              <w:t>MU(1)</w:t>
            </w:r>
          </w:p>
        </w:tc>
        <w:tc>
          <w:tcPr>
            <w:tcW w:w="1843" w:type="dxa"/>
          </w:tcPr>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-8.89E-05</w:t>
            </w:r>
          </w:p>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(-1.115264)</w:t>
            </w:r>
          </w:p>
        </w:tc>
        <w:tc>
          <w:tcPr>
            <w:tcW w:w="2126" w:type="dxa"/>
          </w:tcPr>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-1.23E-05</w:t>
            </w:r>
          </w:p>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(-0.151970)</w:t>
            </w:r>
          </w:p>
        </w:tc>
        <w:tc>
          <w:tcPr>
            <w:tcW w:w="3119" w:type="dxa"/>
          </w:tcPr>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3.04E-05</w:t>
            </w:r>
          </w:p>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(0.140621)</w:t>
            </w:r>
          </w:p>
        </w:tc>
      </w:tr>
      <w:tr w:rsidR="00B47EAC" w:rsidRPr="00B47EAC" w:rsidTr="00B47EA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B47EAC" w:rsidRPr="00B47EAC" w:rsidRDefault="00B47EAC" w:rsidP="00B47EAC">
            <w:pPr>
              <w:pStyle w:val="Ttulo2"/>
              <w:shd w:val="clear" w:color="auto" w:fill="FFFFFF" w:themeFill="background1"/>
              <w:spacing w:line="276" w:lineRule="auto"/>
              <w:outlineLvl w:val="1"/>
              <w:rPr>
                <w:rFonts w:ascii="Times New Roman" w:hAnsi="Times New Roman" w:cs="Times New Roman"/>
                <w:b/>
                <w:bCs/>
                <w:color w:val="000000" w:themeColor="text1"/>
                <w:sz w:val="20"/>
                <w:szCs w:val="20"/>
              </w:rPr>
            </w:pPr>
            <w:r w:rsidRPr="00B47EAC">
              <w:rPr>
                <w:rFonts w:ascii="Times New Roman" w:hAnsi="Times New Roman" w:cs="Times New Roman"/>
                <w:b/>
                <w:bCs/>
                <w:color w:val="000000" w:themeColor="text1"/>
                <w:sz w:val="20"/>
                <w:szCs w:val="20"/>
              </w:rPr>
              <w:t>MU(2)</w:t>
            </w:r>
          </w:p>
        </w:tc>
        <w:tc>
          <w:tcPr>
            <w:tcW w:w="1843" w:type="dxa"/>
          </w:tcPr>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-0.000428</w:t>
            </w:r>
          </w:p>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(-1.918818)</w:t>
            </w:r>
          </w:p>
        </w:tc>
        <w:tc>
          <w:tcPr>
            <w:tcW w:w="2126" w:type="dxa"/>
          </w:tcPr>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-0.001449</w:t>
            </w:r>
          </w:p>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(-2.398119)</w:t>
            </w:r>
          </w:p>
        </w:tc>
        <w:tc>
          <w:tcPr>
            <w:tcW w:w="3119" w:type="dxa"/>
          </w:tcPr>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-0.001822</w:t>
            </w:r>
          </w:p>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(-2.219785)</w:t>
            </w:r>
          </w:p>
        </w:tc>
      </w:tr>
      <w:tr w:rsidR="00B47EAC" w:rsidRPr="00B47EAC" w:rsidTr="00B47E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B47EAC" w:rsidRPr="00B47EAC" w:rsidRDefault="00B47EAC" w:rsidP="00B47EAC">
            <w:pPr>
              <w:pStyle w:val="Ttulo2"/>
              <w:shd w:val="clear" w:color="auto" w:fill="FFFFFF" w:themeFill="background1"/>
              <w:spacing w:line="276" w:lineRule="auto"/>
              <w:outlineLvl w:val="1"/>
              <w:rPr>
                <w:rFonts w:ascii="Times New Roman" w:hAnsi="Times New Roman" w:cs="Times New Roman"/>
                <w:b/>
                <w:bCs/>
                <w:color w:val="000000" w:themeColor="text1"/>
                <w:sz w:val="20"/>
                <w:szCs w:val="20"/>
              </w:rPr>
            </w:pPr>
            <w:r w:rsidRPr="00B47EAC">
              <w:rPr>
                <w:rFonts w:ascii="Times New Roman" w:hAnsi="Times New Roman" w:cs="Times New Roman"/>
                <w:b/>
                <w:bCs/>
                <w:color w:val="000000" w:themeColor="text1"/>
                <w:sz w:val="20"/>
                <w:szCs w:val="20"/>
              </w:rPr>
              <w:lastRenderedPageBreak/>
              <w:t>OMEGA(1)</w:t>
            </w:r>
          </w:p>
        </w:tc>
        <w:tc>
          <w:tcPr>
            <w:tcW w:w="1843" w:type="dxa"/>
          </w:tcPr>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0.000621</w:t>
            </w:r>
          </w:p>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(11.29447)</w:t>
            </w:r>
          </w:p>
        </w:tc>
        <w:tc>
          <w:tcPr>
            <w:tcW w:w="2126" w:type="dxa"/>
          </w:tcPr>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0.002780</w:t>
            </w:r>
          </w:p>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(21.65647)</w:t>
            </w:r>
          </w:p>
        </w:tc>
        <w:tc>
          <w:tcPr>
            <w:tcW w:w="3119" w:type="dxa"/>
          </w:tcPr>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-0.003789</w:t>
            </w:r>
          </w:p>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(-8.170532)</w:t>
            </w:r>
          </w:p>
        </w:tc>
      </w:tr>
      <w:tr w:rsidR="00B47EAC" w:rsidRPr="00B47EAC" w:rsidTr="00B47EA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B47EAC" w:rsidRPr="00B47EAC" w:rsidRDefault="00B47EAC" w:rsidP="00B47EAC">
            <w:pPr>
              <w:pStyle w:val="Ttulo2"/>
              <w:shd w:val="clear" w:color="auto" w:fill="FFFFFF" w:themeFill="background1"/>
              <w:spacing w:line="276" w:lineRule="auto"/>
              <w:outlineLvl w:val="1"/>
              <w:rPr>
                <w:rFonts w:ascii="Times New Roman" w:hAnsi="Times New Roman" w:cs="Times New Roman"/>
                <w:bCs/>
                <w:color w:val="000000" w:themeColor="text1"/>
                <w:sz w:val="20"/>
                <w:szCs w:val="20"/>
              </w:rPr>
            </w:pPr>
            <w:r w:rsidRPr="00B47EAC">
              <w:rPr>
                <w:rFonts w:ascii="Times New Roman" w:hAnsi="Times New Roman" w:cs="Times New Roman"/>
                <w:b/>
                <w:bCs/>
                <w:color w:val="000000" w:themeColor="text1"/>
                <w:sz w:val="20"/>
                <w:szCs w:val="20"/>
              </w:rPr>
              <w:t>BETA(1)</w:t>
            </w:r>
            <w:r w:rsidRPr="00B47EAC">
              <w:rPr>
                <w:rFonts w:ascii="Times New Roman" w:hAnsi="Times New Roman" w:cs="Times New Roman"/>
                <w:b/>
                <w:bCs/>
                <w:color w:val="000000" w:themeColor="text1"/>
                <w:sz w:val="20"/>
                <w:szCs w:val="20"/>
              </w:rPr>
              <w:br/>
            </w:r>
            <m:oMathPara>
              <m:oMath>
                <m:sSub>
                  <m:sSubPr>
                    <m:ctrlPr>
                      <w:rPr>
                        <w:rFonts w:ascii="Cambria Math" w:hAnsi="Cambria Math" w:cs="Times New Roman"/>
                        <w:b/>
                        <w:bCs/>
                        <w:i/>
                        <w:color w:val="000000" w:themeColor="text1"/>
                        <w:sz w:val="20"/>
                        <w:szCs w:val="20"/>
                      </w:rPr>
                    </m:ctrlPr>
                  </m:sSubPr>
                  <m:e>
                    <m:r>
                      <m:rPr>
                        <m:sty m:val="bi"/>
                      </m:rPr>
                      <w:rPr>
                        <w:rFonts w:ascii="Cambria Math" w:hAnsi="Cambria Math" w:cs="Times New Roman"/>
                        <w:color w:val="000000" w:themeColor="text1"/>
                        <w:sz w:val="20"/>
                        <w:szCs w:val="20"/>
                      </w:rPr>
                      <m:t>β</m:t>
                    </m:r>
                  </m:e>
                  <m:sub>
                    <m:r>
                      <m:rPr>
                        <m:sty m:val="bi"/>
                      </m:rPr>
                      <w:rPr>
                        <w:rFonts w:ascii="Cambria Math" w:hAnsi="Cambria Math" w:cs="Times New Roman"/>
                        <w:color w:val="000000" w:themeColor="text1"/>
                        <w:sz w:val="20"/>
                        <w:szCs w:val="20"/>
                      </w:rPr>
                      <m:t>tc</m:t>
                    </m:r>
                    <m:r>
                      <w:rPr>
                        <w:rFonts w:ascii="Cambria Math" w:hAnsi="Cambria Math" w:cs="Times New Roman"/>
                        <w:color w:val="000000" w:themeColor="text1"/>
                        <w:sz w:val="20"/>
                        <w:szCs w:val="20"/>
                      </w:rPr>
                      <m:t>.</m:t>
                    </m:r>
                    <m:r>
                      <m:rPr>
                        <m:sty m:val="bi"/>
                      </m:rPr>
                      <w:rPr>
                        <w:rFonts w:ascii="Cambria Math" w:hAnsi="Cambria Math" w:cs="Times New Roman"/>
                        <w:color w:val="000000" w:themeColor="text1"/>
                        <w:sz w:val="20"/>
                        <w:szCs w:val="20"/>
                      </w:rPr>
                      <m:t>tc</m:t>
                    </m:r>
                  </m:sub>
                </m:sSub>
              </m:oMath>
            </m:oMathPara>
          </w:p>
        </w:tc>
        <w:tc>
          <w:tcPr>
            <w:tcW w:w="1843" w:type="dxa"/>
          </w:tcPr>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-0.963606</w:t>
            </w:r>
          </w:p>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(-401.2172)</w:t>
            </w:r>
          </w:p>
        </w:tc>
        <w:tc>
          <w:tcPr>
            <w:tcW w:w="2126" w:type="dxa"/>
          </w:tcPr>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-0.022425</w:t>
            </w:r>
          </w:p>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(-0.501379)</w:t>
            </w:r>
          </w:p>
        </w:tc>
        <w:tc>
          <w:tcPr>
            <w:tcW w:w="3119" w:type="dxa"/>
          </w:tcPr>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0.683948</w:t>
            </w:r>
          </w:p>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(16.75804)</w:t>
            </w:r>
          </w:p>
        </w:tc>
      </w:tr>
      <w:tr w:rsidR="00B47EAC" w:rsidRPr="00B47EAC" w:rsidTr="00B47E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B47EAC" w:rsidRPr="00B47EAC" w:rsidRDefault="00B47EAC" w:rsidP="00B47EAC">
            <w:pPr>
              <w:pStyle w:val="Ttulo2"/>
              <w:shd w:val="clear" w:color="auto" w:fill="FFFFFF" w:themeFill="background1"/>
              <w:spacing w:line="276" w:lineRule="auto"/>
              <w:outlineLvl w:val="1"/>
              <w:rPr>
                <w:rFonts w:ascii="Times New Roman" w:hAnsi="Times New Roman" w:cs="Times New Roman"/>
                <w:bCs/>
                <w:color w:val="000000" w:themeColor="text1"/>
                <w:sz w:val="20"/>
                <w:szCs w:val="20"/>
              </w:rPr>
            </w:pPr>
            <w:r w:rsidRPr="00B47EAC">
              <w:rPr>
                <w:rFonts w:ascii="Times New Roman" w:hAnsi="Times New Roman" w:cs="Times New Roman"/>
                <w:b/>
                <w:bCs/>
                <w:color w:val="000000" w:themeColor="text1"/>
                <w:sz w:val="20"/>
                <w:szCs w:val="20"/>
              </w:rPr>
              <w:t>BETA(3)</w:t>
            </w:r>
            <w:r w:rsidRPr="00B47EAC">
              <w:rPr>
                <w:rFonts w:ascii="Times New Roman" w:hAnsi="Times New Roman" w:cs="Times New Roman"/>
                <w:b/>
                <w:bCs/>
                <w:color w:val="000000" w:themeColor="text1"/>
                <w:sz w:val="20"/>
                <w:szCs w:val="20"/>
              </w:rPr>
              <w:br/>
            </w:r>
            <m:oMathPara>
              <m:oMath>
                <m:sSub>
                  <m:sSubPr>
                    <m:ctrlPr>
                      <w:rPr>
                        <w:rFonts w:ascii="Cambria Math" w:hAnsi="Cambria Math" w:cs="Times New Roman"/>
                        <w:b/>
                        <w:bCs/>
                        <w:i/>
                        <w:color w:val="000000" w:themeColor="text1"/>
                        <w:sz w:val="20"/>
                        <w:szCs w:val="20"/>
                      </w:rPr>
                    </m:ctrlPr>
                  </m:sSubPr>
                  <m:e>
                    <m:r>
                      <m:rPr>
                        <m:sty m:val="bi"/>
                      </m:rPr>
                      <w:rPr>
                        <w:rFonts w:ascii="Cambria Math" w:hAnsi="Cambria Math" w:cs="Times New Roman"/>
                        <w:color w:val="000000" w:themeColor="text1"/>
                        <w:sz w:val="20"/>
                        <w:szCs w:val="20"/>
                      </w:rPr>
                      <m:t>β</m:t>
                    </m:r>
                  </m:e>
                  <m:sub>
                    <m:r>
                      <m:rPr>
                        <m:sty m:val="bi"/>
                      </m:rPr>
                      <w:rPr>
                        <w:rFonts w:ascii="Cambria Math" w:hAnsi="Cambria Math" w:cs="Times New Roman"/>
                        <w:color w:val="000000" w:themeColor="text1"/>
                        <w:sz w:val="20"/>
                        <w:szCs w:val="20"/>
                      </w:rPr>
                      <m:t>i</m:t>
                    </m:r>
                    <m:r>
                      <w:rPr>
                        <w:rFonts w:ascii="Cambria Math" w:hAnsi="Cambria Math" w:cs="Times New Roman"/>
                        <w:color w:val="000000" w:themeColor="text1"/>
                        <w:sz w:val="20"/>
                        <w:szCs w:val="20"/>
                      </w:rPr>
                      <m:t>.</m:t>
                    </m:r>
                    <m:r>
                      <m:rPr>
                        <m:sty m:val="bi"/>
                      </m:rPr>
                      <w:rPr>
                        <w:rFonts w:ascii="Cambria Math" w:hAnsi="Cambria Math" w:cs="Times New Roman"/>
                        <w:color w:val="000000" w:themeColor="text1"/>
                        <w:sz w:val="20"/>
                        <w:szCs w:val="20"/>
                      </w:rPr>
                      <m:t>tc</m:t>
                    </m:r>
                  </m:sub>
                </m:sSub>
              </m:oMath>
            </m:oMathPara>
          </w:p>
        </w:tc>
        <w:tc>
          <w:tcPr>
            <w:tcW w:w="1843" w:type="dxa"/>
          </w:tcPr>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-0.002744</w:t>
            </w:r>
          </w:p>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(-3.728681)</w:t>
            </w:r>
          </w:p>
        </w:tc>
        <w:tc>
          <w:tcPr>
            <w:tcW w:w="2126" w:type="dxa"/>
          </w:tcPr>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0.094838</w:t>
            </w:r>
          </w:p>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(27.73057)</w:t>
            </w:r>
          </w:p>
        </w:tc>
        <w:tc>
          <w:tcPr>
            <w:tcW w:w="3119" w:type="dxa"/>
          </w:tcPr>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-0.085871</w:t>
            </w:r>
          </w:p>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(-7.887829)</w:t>
            </w:r>
          </w:p>
        </w:tc>
      </w:tr>
      <w:tr w:rsidR="00B47EAC" w:rsidRPr="00B47EAC" w:rsidTr="00B47EA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B47EAC" w:rsidRPr="00B47EAC" w:rsidRDefault="00B47EAC" w:rsidP="00B47EAC">
            <w:pPr>
              <w:pStyle w:val="Ttulo2"/>
              <w:shd w:val="clear" w:color="auto" w:fill="FFFFFF" w:themeFill="background1"/>
              <w:spacing w:line="276" w:lineRule="auto"/>
              <w:outlineLvl w:val="1"/>
              <w:rPr>
                <w:rFonts w:ascii="Times New Roman" w:hAnsi="Times New Roman" w:cs="Times New Roman"/>
                <w:bCs/>
                <w:color w:val="000000" w:themeColor="text1"/>
                <w:sz w:val="20"/>
                <w:szCs w:val="20"/>
              </w:rPr>
            </w:pPr>
            <w:r w:rsidRPr="00B47EAC">
              <w:rPr>
                <w:rFonts w:ascii="Times New Roman" w:hAnsi="Times New Roman" w:cs="Times New Roman"/>
                <w:b/>
                <w:bCs/>
                <w:color w:val="000000" w:themeColor="text1"/>
                <w:sz w:val="20"/>
                <w:szCs w:val="20"/>
              </w:rPr>
              <w:t>ALPHA(1)</w:t>
            </w:r>
            <w:r w:rsidRPr="00B47EAC">
              <w:rPr>
                <w:rFonts w:ascii="Times New Roman" w:hAnsi="Times New Roman" w:cs="Times New Roman"/>
                <w:b/>
                <w:bCs/>
                <w:color w:val="000000" w:themeColor="text1"/>
                <w:sz w:val="20"/>
                <w:szCs w:val="20"/>
              </w:rPr>
              <w:br/>
            </w:r>
            <m:oMathPara>
              <m:oMath>
                <m:sSub>
                  <m:sSubPr>
                    <m:ctrlPr>
                      <w:rPr>
                        <w:rFonts w:ascii="Cambria Math" w:hAnsi="Cambria Math" w:cs="Times New Roman"/>
                        <w:b/>
                        <w:bCs/>
                        <w:i/>
                        <w:color w:val="000000" w:themeColor="text1"/>
                        <w:sz w:val="20"/>
                        <w:szCs w:val="20"/>
                      </w:rPr>
                    </m:ctrlPr>
                  </m:sSubPr>
                  <m:e>
                    <m:r>
                      <m:rPr>
                        <m:sty m:val="bi"/>
                      </m:rPr>
                      <w:rPr>
                        <w:rFonts w:ascii="Cambria Math" w:hAnsi="Cambria Math" w:cs="Times New Roman"/>
                        <w:color w:val="000000" w:themeColor="text1"/>
                        <w:sz w:val="20"/>
                        <w:szCs w:val="20"/>
                      </w:rPr>
                      <m:t>α</m:t>
                    </m:r>
                  </m:e>
                  <m:sub>
                    <m:r>
                      <m:rPr>
                        <m:sty m:val="bi"/>
                      </m:rPr>
                      <w:rPr>
                        <w:rFonts w:ascii="Cambria Math" w:hAnsi="Cambria Math" w:cs="Times New Roman"/>
                        <w:color w:val="000000" w:themeColor="text1"/>
                        <w:sz w:val="20"/>
                        <w:szCs w:val="20"/>
                      </w:rPr>
                      <m:t>tc</m:t>
                    </m:r>
                    <m:r>
                      <w:rPr>
                        <w:rFonts w:ascii="Cambria Math" w:hAnsi="Cambria Math" w:cs="Times New Roman"/>
                        <w:color w:val="000000" w:themeColor="text1"/>
                        <w:sz w:val="20"/>
                        <w:szCs w:val="20"/>
                      </w:rPr>
                      <m:t>.</m:t>
                    </m:r>
                    <m:r>
                      <m:rPr>
                        <m:sty m:val="bi"/>
                      </m:rPr>
                      <w:rPr>
                        <w:rFonts w:ascii="Cambria Math" w:hAnsi="Cambria Math" w:cs="Times New Roman"/>
                        <w:color w:val="000000" w:themeColor="text1"/>
                        <w:sz w:val="20"/>
                        <w:szCs w:val="20"/>
                      </w:rPr>
                      <m:t>tc</m:t>
                    </m:r>
                  </m:sub>
                </m:sSub>
              </m:oMath>
            </m:oMathPara>
          </w:p>
        </w:tc>
        <w:tc>
          <w:tcPr>
            <w:tcW w:w="1843" w:type="dxa"/>
          </w:tcPr>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0.245189</w:t>
            </w:r>
          </w:p>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(36.56963)</w:t>
            </w:r>
          </w:p>
        </w:tc>
        <w:tc>
          <w:tcPr>
            <w:tcW w:w="2126" w:type="dxa"/>
          </w:tcPr>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-0.336325</w:t>
            </w:r>
          </w:p>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(-18.56140)</w:t>
            </w:r>
          </w:p>
        </w:tc>
        <w:tc>
          <w:tcPr>
            <w:tcW w:w="3119" w:type="dxa"/>
          </w:tcPr>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0.391527</w:t>
            </w:r>
          </w:p>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(16.50155)</w:t>
            </w:r>
          </w:p>
        </w:tc>
      </w:tr>
      <w:tr w:rsidR="00B47EAC" w:rsidRPr="00B47EAC" w:rsidTr="00B47E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B47EAC" w:rsidRPr="00B47EAC" w:rsidRDefault="00B47EAC" w:rsidP="00B47EAC">
            <w:pPr>
              <w:pStyle w:val="Ttulo2"/>
              <w:shd w:val="clear" w:color="auto" w:fill="FFFFFF" w:themeFill="background1"/>
              <w:spacing w:line="276" w:lineRule="auto"/>
              <w:outlineLvl w:val="1"/>
              <w:rPr>
                <w:rFonts w:ascii="Times New Roman" w:hAnsi="Times New Roman" w:cs="Times New Roman"/>
                <w:bCs/>
                <w:color w:val="000000" w:themeColor="text1"/>
                <w:sz w:val="20"/>
                <w:szCs w:val="20"/>
              </w:rPr>
            </w:pPr>
            <w:r w:rsidRPr="00B47EAC">
              <w:rPr>
                <w:rFonts w:ascii="Times New Roman" w:hAnsi="Times New Roman" w:cs="Times New Roman"/>
                <w:b/>
                <w:bCs/>
                <w:color w:val="000000" w:themeColor="text1"/>
                <w:sz w:val="20"/>
                <w:szCs w:val="20"/>
              </w:rPr>
              <w:t xml:space="preserve">ALPHA(3) </w:t>
            </w:r>
            <w:r w:rsidRPr="00B47EAC">
              <w:rPr>
                <w:rFonts w:ascii="Times New Roman" w:hAnsi="Times New Roman" w:cs="Times New Roman"/>
                <w:b/>
                <w:bCs/>
                <w:color w:val="000000" w:themeColor="text1"/>
                <w:sz w:val="20"/>
                <w:szCs w:val="20"/>
              </w:rPr>
              <w:br/>
            </w:r>
            <m:oMathPara>
              <m:oMath>
                <m:sSub>
                  <m:sSubPr>
                    <m:ctrlPr>
                      <w:rPr>
                        <w:rFonts w:ascii="Cambria Math" w:hAnsi="Cambria Math" w:cs="Times New Roman"/>
                        <w:b/>
                        <w:bCs/>
                        <w:i/>
                        <w:color w:val="000000" w:themeColor="text1"/>
                        <w:sz w:val="20"/>
                        <w:szCs w:val="20"/>
                      </w:rPr>
                    </m:ctrlPr>
                  </m:sSubPr>
                  <m:e>
                    <m:r>
                      <m:rPr>
                        <m:sty m:val="bi"/>
                      </m:rPr>
                      <w:rPr>
                        <w:rFonts w:ascii="Cambria Math" w:hAnsi="Cambria Math" w:cs="Times New Roman"/>
                        <w:color w:val="000000" w:themeColor="text1"/>
                        <w:sz w:val="20"/>
                        <w:szCs w:val="20"/>
                      </w:rPr>
                      <m:t>α</m:t>
                    </m:r>
                  </m:e>
                  <m:sub>
                    <m:r>
                      <m:rPr>
                        <m:sty m:val="bi"/>
                      </m:rPr>
                      <w:rPr>
                        <w:rFonts w:ascii="Cambria Math" w:hAnsi="Cambria Math" w:cs="Times New Roman"/>
                        <w:color w:val="000000" w:themeColor="text1"/>
                        <w:sz w:val="20"/>
                        <w:szCs w:val="20"/>
                      </w:rPr>
                      <m:t>i</m:t>
                    </m:r>
                    <m:r>
                      <w:rPr>
                        <w:rFonts w:ascii="Cambria Math" w:hAnsi="Cambria Math" w:cs="Times New Roman"/>
                        <w:color w:val="000000" w:themeColor="text1"/>
                        <w:sz w:val="20"/>
                        <w:szCs w:val="20"/>
                      </w:rPr>
                      <m:t>.</m:t>
                    </m:r>
                    <m:r>
                      <m:rPr>
                        <m:sty m:val="bi"/>
                      </m:rPr>
                      <w:rPr>
                        <w:rFonts w:ascii="Cambria Math" w:hAnsi="Cambria Math" w:cs="Times New Roman"/>
                        <w:color w:val="000000" w:themeColor="text1"/>
                        <w:sz w:val="20"/>
                        <w:szCs w:val="20"/>
                      </w:rPr>
                      <m:t>tc</m:t>
                    </m:r>
                  </m:sub>
                </m:sSub>
              </m:oMath>
            </m:oMathPara>
          </w:p>
        </w:tc>
        <w:tc>
          <w:tcPr>
            <w:tcW w:w="1843" w:type="dxa"/>
          </w:tcPr>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0.001099</w:t>
            </w:r>
          </w:p>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(0.552799)</w:t>
            </w:r>
          </w:p>
        </w:tc>
        <w:tc>
          <w:tcPr>
            <w:tcW w:w="2126" w:type="dxa"/>
          </w:tcPr>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0.010140</w:t>
            </w:r>
          </w:p>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(4.044170)</w:t>
            </w:r>
          </w:p>
        </w:tc>
        <w:tc>
          <w:tcPr>
            <w:tcW w:w="3119" w:type="dxa"/>
          </w:tcPr>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0.030844</w:t>
            </w:r>
          </w:p>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(2.686596)</w:t>
            </w:r>
          </w:p>
        </w:tc>
      </w:tr>
      <w:tr w:rsidR="00B47EAC" w:rsidRPr="00B47EAC" w:rsidTr="00B47EA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B47EAC" w:rsidRPr="00B47EAC" w:rsidRDefault="00B47EAC" w:rsidP="00B47EAC">
            <w:pPr>
              <w:pStyle w:val="Ttulo2"/>
              <w:shd w:val="clear" w:color="auto" w:fill="FFFFFF" w:themeFill="background1"/>
              <w:spacing w:line="276" w:lineRule="auto"/>
              <w:outlineLvl w:val="1"/>
              <w:rPr>
                <w:rFonts w:ascii="Times New Roman" w:hAnsi="Times New Roman" w:cs="Times New Roman"/>
                <w:b/>
                <w:bCs/>
                <w:color w:val="000000" w:themeColor="text1"/>
                <w:sz w:val="20"/>
                <w:szCs w:val="20"/>
              </w:rPr>
            </w:pPr>
            <w:r w:rsidRPr="00B47EAC">
              <w:rPr>
                <w:rFonts w:ascii="Times New Roman" w:hAnsi="Times New Roman" w:cs="Times New Roman"/>
                <w:b/>
                <w:bCs/>
                <w:color w:val="000000" w:themeColor="text1"/>
                <w:sz w:val="20"/>
                <w:szCs w:val="20"/>
              </w:rPr>
              <w:t>OMEGA(3)</w:t>
            </w:r>
          </w:p>
        </w:tc>
        <w:tc>
          <w:tcPr>
            <w:tcW w:w="1843" w:type="dxa"/>
          </w:tcPr>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0.006823</w:t>
            </w:r>
          </w:p>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(18.14997)</w:t>
            </w:r>
          </w:p>
        </w:tc>
        <w:tc>
          <w:tcPr>
            <w:tcW w:w="2126" w:type="dxa"/>
          </w:tcPr>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-3.16E-06</w:t>
            </w:r>
          </w:p>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(-3.14E-07)</w:t>
            </w:r>
          </w:p>
        </w:tc>
        <w:tc>
          <w:tcPr>
            <w:tcW w:w="3119" w:type="dxa"/>
          </w:tcPr>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3.10E-05</w:t>
            </w:r>
          </w:p>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(1.24E-05)</w:t>
            </w:r>
          </w:p>
        </w:tc>
      </w:tr>
      <w:tr w:rsidR="00B47EAC" w:rsidRPr="00B47EAC" w:rsidTr="00B47E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B47EAC" w:rsidRPr="00B47EAC" w:rsidRDefault="00B47EAC" w:rsidP="00B47EAC">
            <w:pPr>
              <w:pStyle w:val="Ttulo2"/>
              <w:shd w:val="clear" w:color="auto" w:fill="FFFFFF" w:themeFill="background1"/>
              <w:spacing w:line="276" w:lineRule="auto"/>
              <w:outlineLvl w:val="1"/>
              <w:rPr>
                <w:rFonts w:ascii="Times New Roman" w:hAnsi="Times New Roman" w:cs="Times New Roman"/>
                <w:b/>
                <w:bCs/>
                <w:color w:val="000000" w:themeColor="text1"/>
                <w:sz w:val="20"/>
                <w:szCs w:val="20"/>
              </w:rPr>
            </w:pPr>
            <w:r w:rsidRPr="00B47EAC">
              <w:rPr>
                <w:rFonts w:ascii="Times New Roman" w:hAnsi="Times New Roman" w:cs="Times New Roman"/>
                <w:b/>
                <w:bCs/>
                <w:color w:val="000000" w:themeColor="text1"/>
                <w:sz w:val="20"/>
                <w:szCs w:val="20"/>
              </w:rPr>
              <w:t>OMEGA(2)</w:t>
            </w:r>
          </w:p>
        </w:tc>
        <w:tc>
          <w:tcPr>
            <w:tcW w:w="1843" w:type="dxa"/>
          </w:tcPr>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-0.003025</w:t>
            </w:r>
          </w:p>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(-3.801207)</w:t>
            </w:r>
          </w:p>
        </w:tc>
        <w:tc>
          <w:tcPr>
            <w:tcW w:w="2126" w:type="dxa"/>
          </w:tcPr>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-0.000916</w:t>
            </w:r>
          </w:p>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(-0.271885)</w:t>
            </w:r>
          </w:p>
        </w:tc>
        <w:tc>
          <w:tcPr>
            <w:tcW w:w="3119" w:type="dxa"/>
          </w:tcPr>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0.017327</w:t>
            </w:r>
          </w:p>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(3.920449)</w:t>
            </w:r>
          </w:p>
        </w:tc>
      </w:tr>
      <w:tr w:rsidR="00B47EAC" w:rsidRPr="00B47EAC" w:rsidTr="00B47EA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B47EAC" w:rsidRPr="00B47EAC" w:rsidRDefault="00B47EAC" w:rsidP="00B47EAC">
            <w:pPr>
              <w:pStyle w:val="Ttulo2"/>
              <w:shd w:val="clear" w:color="auto" w:fill="FFFFFF" w:themeFill="background1"/>
              <w:spacing w:line="276" w:lineRule="auto"/>
              <w:outlineLvl w:val="1"/>
              <w:rPr>
                <w:rFonts w:ascii="Times New Roman" w:hAnsi="Times New Roman" w:cs="Times New Roman"/>
                <w:bCs/>
                <w:color w:val="000000" w:themeColor="text1"/>
                <w:sz w:val="20"/>
                <w:szCs w:val="20"/>
              </w:rPr>
            </w:pPr>
            <w:r w:rsidRPr="00B47EAC">
              <w:rPr>
                <w:rFonts w:ascii="Times New Roman" w:hAnsi="Times New Roman" w:cs="Times New Roman"/>
                <w:b/>
                <w:bCs/>
                <w:color w:val="000000" w:themeColor="text1"/>
                <w:sz w:val="20"/>
                <w:szCs w:val="20"/>
              </w:rPr>
              <w:t>BETA(4)</w:t>
            </w:r>
            <w:r w:rsidRPr="00B47EAC">
              <w:rPr>
                <w:rFonts w:ascii="Times New Roman" w:hAnsi="Times New Roman" w:cs="Times New Roman"/>
                <w:b/>
                <w:bCs/>
                <w:color w:val="000000" w:themeColor="text1"/>
                <w:sz w:val="20"/>
                <w:szCs w:val="20"/>
              </w:rPr>
              <w:br/>
            </w:r>
            <m:oMathPara>
              <m:oMath>
                <m:sSub>
                  <m:sSubPr>
                    <m:ctrlPr>
                      <w:rPr>
                        <w:rFonts w:ascii="Cambria Math" w:hAnsi="Cambria Math" w:cs="Times New Roman"/>
                        <w:b/>
                        <w:bCs/>
                        <w:i/>
                        <w:color w:val="000000" w:themeColor="text1"/>
                        <w:sz w:val="20"/>
                        <w:szCs w:val="20"/>
                      </w:rPr>
                    </m:ctrlPr>
                  </m:sSubPr>
                  <m:e>
                    <m:r>
                      <m:rPr>
                        <m:sty m:val="bi"/>
                      </m:rPr>
                      <w:rPr>
                        <w:rFonts w:ascii="Cambria Math" w:hAnsi="Cambria Math" w:cs="Times New Roman"/>
                        <w:color w:val="000000" w:themeColor="text1"/>
                        <w:sz w:val="20"/>
                        <w:szCs w:val="20"/>
                      </w:rPr>
                      <m:t>β</m:t>
                    </m:r>
                  </m:e>
                  <m:sub>
                    <m:r>
                      <m:rPr>
                        <m:sty m:val="bi"/>
                      </m:rPr>
                      <w:rPr>
                        <w:rFonts w:ascii="Cambria Math" w:hAnsi="Cambria Math" w:cs="Times New Roman"/>
                        <w:color w:val="000000" w:themeColor="text1"/>
                        <w:sz w:val="20"/>
                        <w:szCs w:val="20"/>
                      </w:rPr>
                      <m:t>tc</m:t>
                    </m:r>
                    <m:r>
                      <w:rPr>
                        <w:rFonts w:ascii="Cambria Math" w:hAnsi="Cambria Math" w:cs="Times New Roman"/>
                        <w:color w:val="000000" w:themeColor="text1"/>
                        <w:sz w:val="20"/>
                        <w:szCs w:val="20"/>
                      </w:rPr>
                      <m:t>.</m:t>
                    </m:r>
                    <m:r>
                      <m:rPr>
                        <m:sty m:val="bi"/>
                      </m:rPr>
                      <w:rPr>
                        <w:rFonts w:ascii="Cambria Math" w:hAnsi="Cambria Math" w:cs="Times New Roman"/>
                        <w:color w:val="000000" w:themeColor="text1"/>
                        <w:sz w:val="20"/>
                        <w:szCs w:val="20"/>
                      </w:rPr>
                      <m:t>i</m:t>
                    </m:r>
                  </m:sub>
                </m:sSub>
              </m:oMath>
            </m:oMathPara>
          </w:p>
        </w:tc>
        <w:tc>
          <w:tcPr>
            <w:tcW w:w="1843" w:type="dxa"/>
          </w:tcPr>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-0.779448</w:t>
            </w:r>
          </w:p>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(-238.7659)</w:t>
            </w:r>
          </w:p>
        </w:tc>
        <w:tc>
          <w:tcPr>
            <w:tcW w:w="2126" w:type="dxa"/>
          </w:tcPr>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0.161721</w:t>
            </w:r>
          </w:p>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(4.578938)</w:t>
            </w:r>
          </w:p>
        </w:tc>
        <w:tc>
          <w:tcPr>
            <w:tcW w:w="3119" w:type="dxa"/>
          </w:tcPr>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0.295102</w:t>
            </w:r>
          </w:p>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(4.783637)</w:t>
            </w:r>
          </w:p>
        </w:tc>
      </w:tr>
      <w:tr w:rsidR="00B47EAC" w:rsidRPr="00B47EAC" w:rsidTr="00B47E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B47EAC" w:rsidRPr="00B47EAC" w:rsidRDefault="00B47EAC" w:rsidP="00B47EAC">
            <w:pPr>
              <w:pStyle w:val="Ttulo2"/>
              <w:shd w:val="clear" w:color="auto" w:fill="FFFFFF" w:themeFill="background1"/>
              <w:spacing w:line="276" w:lineRule="auto"/>
              <w:outlineLvl w:val="1"/>
              <w:rPr>
                <w:rFonts w:ascii="Times New Roman" w:hAnsi="Times New Roman" w:cs="Times New Roman"/>
                <w:bCs/>
                <w:color w:val="000000" w:themeColor="text1"/>
                <w:sz w:val="20"/>
                <w:szCs w:val="20"/>
              </w:rPr>
            </w:pPr>
            <w:r w:rsidRPr="00B47EAC">
              <w:rPr>
                <w:rFonts w:ascii="Times New Roman" w:hAnsi="Times New Roman" w:cs="Times New Roman"/>
                <w:b/>
                <w:bCs/>
                <w:color w:val="000000" w:themeColor="text1"/>
                <w:sz w:val="20"/>
                <w:szCs w:val="20"/>
              </w:rPr>
              <w:t>BETA(2)</w:t>
            </w:r>
            <w:r w:rsidRPr="00B47EAC">
              <w:rPr>
                <w:rFonts w:ascii="Times New Roman" w:hAnsi="Times New Roman" w:cs="Times New Roman"/>
                <w:b/>
                <w:bCs/>
                <w:color w:val="000000" w:themeColor="text1"/>
                <w:sz w:val="20"/>
                <w:szCs w:val="20"/>
              </w:rPr>
              <w:br/>
            </w:r>
            <m:oMathPara>
              <m:oMath>
                <m:sSub>
                  <m:sSubPr>
                    <m:ctrlPr>
                      <w:rPr>
                        <w:rFonts w:ascii="Cambria Math" w:hAnsi="Cambria Math" w:cs="Times New Roman"/>
                        <w:b/>
                        <w:bCs/>
                        <w:i/>
                        <w:color w:val="000000" w:themeColor="text1"/>
                        <w:sz w:val="20"/>
                        <w:szCs w:val="20"/>
                      </w:rPr>
                    </m:ctrlPr>
                  </m:sSubPr>
                  <m:e>
                    <m:r>
                      <m:rPr>
                        <m:sty m:val="bi"/>
                      </m:rPr>
                      <w:rPr>
                        <w:rFonts w:ascii="Cambria Math" w:hAnsi="Cambria Math" w:cs="Times New Roman"/>
                        <w:color w:val="000000" w:themeColor="text1"/>
                        <w:sz w:val="20"/>
                        <w:szCs w:val="20"/>
                      </w:rPr>
                      <m:t>β</m:t>
                    </m:r>
                  </m:e>
                  <m:sub>
                    <m:r>
                      <m:rPr>
                        <m:sty m:val="bi"/>
                      </m:rPr>
                      <w:rPr>
                        <w:rFonts w:ascii="Cambria Math" w:hAnsi="Cambria Math" w:cs="Times New Roman"/>
                        <w:color w:val="000000" w:themeColor="text1"/>
                        <w:sz w:val="20"/>
                        <w:szCs w:val="20"/>
                      </w:rPr>
                      <m:t>i</m:t>
                    </m:r>
                    <m:r>
                      <w:rPr>
                        <w:rFonts w:ascii="Cambria Math" w:hAnsi="Cambria Math" w:cs="Times New Roman"/>
                        <w:color w:val="000000" w:themeColor="text1"/>
                        <w:sz w:val="20"/>
                        <w:szCs w:val="20"/>
                      </w:rPr>
                      <m:t>.</m:t>
                    </m:r>
                    <m:r>
                      <m:rPr>
                        <m:sty m:val="bi"/>
                      </m:rPr>
                      <w:rPr>
                        <w:rFonts w:ascii="Cambria Math" w:hAnsi="Cambria Math" w:cs="Times New Roman"/>
                        <w:color w:val="000000" w:themeColor="text1"/>
                        <w:sz w:val="20"/>
                        <w:szCs w:val="20"/>
                      </w:rPr>
                      <m:t>i</m:t>
                    </m:r>
                  </m:sub>
                </m:sSub>
              </m:oMath>
            </m:oMathPara>
          </w:p>
        </w:tc>
        <w:tc>
          <w:tcPr>
            <w:tcW w:w="1843" w:type="dxa"/>
          </w:tcPr>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-0.075415</w:t>
            </w:r>
          </w:p>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(-3.475302)</w:t>
            </w:r>
          </w:p>
        </w:tc>
        <w:tc>
          <w:tcPr>
            <w:tcW w:w="2126" w:type="dxa"/>
          </w:tcPr>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-6.289339</w:t>
            </w:r>
          </w:p>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(-24.51405)</w:t>
            </w:r>
          </w:p>
        </w:tc>
        <w:tc>
          <w:tcPr>
            <w:tcW w:w="3119" w:type="dxa"/>
          </w:tcPr>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2.131839</w:t>
            </w:r>
          </w:p>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(12.52747)</w:t>
            </w:r>
          </w:p>
        </w:tc>
      </w:tr>
      <w:tr w:rsidR="00B47EAC" w:rsidRPr="00B47EAC" w:rsidTr="00B47EA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B47EAC" w:rsidRPr="00B47EAC" w:rsidRDefault="00B47EAC" w:rsidP="00B47EAC">
            <w:pPr>
              <w:pStyle w:val="Ttulo2"/>
              <w:shd w:val="clear" w:color="auto" w:fill="FFFFFF" w:themeFill="background1"/>
              <w:spacing w:line="276" w:lineRule="auto"/>
              <w:outlineLvl w:val="1"/>
              <w:rPr>
                <w:rFonts w:ascii="Times New Roman" w:hAnsi="Times New Roman" w:cs="Times New Roman"/>
                <w:bCs/>
                <w:color w:val="000000" w:themeColor="text1"/>
                <w:sz w:val="20"/>
                <w:szCs w:val="20"/>
              </w:rPr>
            </w:pPr>
            <w:r w:rsidRPr="00B47EAC">
              <w:rPr>
                <w:rFonts w:ascii="Times New Roman" w:hAnsi="Times New Roman" w:cs="Times New Roman"/>
                <w:b/>
                <w:bCs/>
                <w:color w:val="000000" w:themeColor="text1"/>
                <w:sz w:val="20"/>
                <w:szCs w:val="20"/>
              </w:rPr>
              <w:t>ALPHA(4)</w:t>
            </w:r>
            <w:r w:rsidRPr="00B47EAC">
              <w:rPr>
                <w:rFonts w:ascii="Times New Roman" w:hAnsi="Times New Roman" w:cs="Times New Roman"/>
                <w:b/>
                <w:bCs/>
                <w:color w:val="000000" w:themeColor="text1"/>
                <w:sz w:val="20"/>
                <w:szCs w:val="20"/>
              </w:rPr>
              <w:br/>
            </w:r>
            <m:oMathPara>
              <m:oMath>
                <m:sSub>
                  <m:sSubPr>
                    <m:ctrlPr>
                      <w:rPr>
                        <w:rFonts w:ascii="Cambria Math" w:hAnsi="Cambria Math" w:cs="Times New Roman"/>
                        <w:b/>
                        <w:bCs/>
                        <w:i/>
                        <w:color w:val="000000" w:themeColor="text1"/>
                        <w:sz w:val="20"/>
                        <w:szCs w:val="20"/>
                      </w:rPr>
                    </m:ctrlPr>
                  </m:sSubPr>
                  <m:e>
                    <m:r>
                      <m:rPr>
                        <m:sty m:val="bi"/>
                      </m:rPr>
                      <w:rPr>
                        <w:rFonts w:ascii="Cambria Math" w:hAnsi="Cambria Math" w:cs="Times New Roman"/>
                        <w:color w:val="000000" w:themeColor="text1"/>
                        <w:sz w:val="20"/>
                        <w:szCs w:val="20"/>
                      </w:rPr>
                      <m:t>α</m:t>
                    </m:r>
                  </m:e>
                  <m:sub>
                    <m:r>
                      <m:rPr>
                        <m:sty m:val="bi"/>
                      </m:rPr>
                      <w:rPr>
                        <w:rFonts w:ascii="Cambria Math" w:hAnsi="Cambria Math" w:cs="Times New Roman"/>
                        <w:color w:val="000000" w:themeColor="text1"/>
                        <w:sz w:val="20"/>
                        <w:szCs w:val="20"/>
                      </w:rPr>
                      <m:t>tc</m:t>
                    </m:r>
                    <m:r>
                      <w:rPr>
                        <w:rFonts w:ascii="Cambria Math" w:hAnsi="Cambria Math" w:cs="Times New Roman"/>
                        <w:color w:val="000000" w:themeColor="text1"/>
                        <w:sz w:val="20"/>
                        <w:szCs w:val="20"/>
                      </w:rPr>
                      <m:t>.</m:t>
                    </m:r>
                    <m:r>
                      <m:rPr>
                        <m:sty m:val="bi"/>
                      </m:rPr>
                      <w:rPr>
                        <w:rFonts w:ascii="Cambria Math" w:hAnsi="Cambria Math" w:cs="Times New Roman"/>
                        <w:color w:val="000000" w:themeColor="text1"/>
                        <w:sz w:val="20"/>
                        <w:szCs w:val="20"/>
                      </w:rPr>
                      <m:t>i</m:t>
                    </m:r>
                  </m:sub>
                </m:sSub>
              </m:oMath>
            </m:oMathPara>
          </w:p>
        </w:tc>
        <w:tc>
          <w:tcPr>
            <w:tcW w:w="1843" w:type="dxa"/>
          </w:tcPr>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-0.739731</w:t>
            </w:r>
          </w:p>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(-90.19094)</w:t>
            </w:r>
          </w:p>
        </w:tc>
        <w:tc>
          <w:tcPr>
            <w:tcW w:w="2126" w:type="dxa"/>
          </w:tcPr>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-0.687647</w:t>
            </w:r>
          </w:p>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(-46.41715)</w:t>
            </w:r>
          </w:p>
        </w:tc>
        <w:tc>
          <w:tcPr>
            <w:tcW w:w="3119" w:type="dxa"/>
          </w:tcPr>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-0.984914</w:t>
            </w:r>
          </w:p>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(-22.67024)</w:t>
            </w:r>
          </w:p>
        </w:tc>
      </w:tr>
      <w:tr w:rsidR="00B47EAC" w:rsidRPr="00B47EAC" w:rsidTr="00B47E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B47EAC" w:rsidRPr="00B47EAC" w:rsidRDefault="00B47EAC" w:rsidP="00B47EAC">
            <w:pPr>
              <w:pStyle w:val="Ttulo2"/>
              <w:shd w:val="clear" w:color="auto" w:fill="FFFFFF" w:themeFill="background1"/>
              <w:spacing w:line="276" w:lineRule="auto"/>
              <w:outlineLvl w:val="1"/>
              <w:rPr>
                <w:rFonts w:ascii="Times New Roman" w:hAnsi="Times New Roman" w:cs="Times New Roman"/>
                <w:bCs/>
                <w:color w:val="000000" w:themeColor="text1"/>
                <w:sz w:val="20"/>
                <w:szCs w:val="20"/>
              </w:rPr>
            </w:pPr>
            <w:r w:rsidRPr="00B47EAC">
              <w:rPr>
                <w:rFonts w:ascii="Times New Roman" w:hAnsi="Times New Roman" w:cs="Times New Roman"/>
                <w:b/>
                <w:bCs/>
                <w:color w:val="000000" w:themeColor="text1"/>
                <w:sz w:val="20"/>
                <w:szCs w:val="20"/>
              </w:rPr>
              <w:t>ALPHA(2)</w:t>
            </w:r>
            <w:r w:rsidRPr="00B47EAC">
              <w:rPr>
                <w:rFonts w:ascii="Times New Roman" w:hAnsi="Times New Roman" w:cs="Times New Roman"/>
                <w:b/>
                <w:bCs/>
                <w:color w:val="000000" w:themeColor="text1"/>
                <w:sz w:val="20"/>
                <w:szCs w:val="20"/>
              </w:rPr>
              <w:br/>
            </w:r>
            <m:oMathPara>
              <m:oMath>
                <m:sSub>
                  <m:sSubPr>
                    <m:ctrlPr>
                      <w:rPr>
                        <w:rFonts w:ascii="Cambria Math" w:hAnsi="Cambria Math" w:cs="Times New Roman"/>
                        <w:b/>
                        <w:bCs/>
                        <w:i/>
                        <w:color w:val="000000" w:themeColor="text1"/>
                        <w:sz w:val="20"/>
                        <w:szCs w:val="20"/>
                      </w:rPr>
                    </m:ctrlPr>
                  </m:sSubPr>
                  <m:e>
                    <m:r>
                      <m:rPr>
                        <m:sty m:val="bi"/>
                      </m:rPr>
                      <w:rPr>
                        <w:rFonts w:ascii="Cambria Math" w:hAnsi="Cambria Math" w:cs="Times New Roman"/>
                        <w:color w:val="000000" w:themeColor="text1"/>
                        <w:sz w:val="20"/>
                        <w:szCs w:val="20"/>
                      </w:rPr>
                      <m:t>α</m:t>
                    </m:r>
                  </m:e>
                  <m:sub>
                    <m:r>
                      <m:rPr>
                        <m:sty m:val="bi"/>
                      </m:rPr>
                      <w:rPr>
                        <w:rFonts w:ascii="Cambria Math" w:hAnsi="Cambria Math" w:cs="Times New Roman"/>
                        <w:color w:val="000000" w:themeColor="text1"/>
                        <w:sz w:val="20"/>
                        <w:szCs w:val="20"/>
                      </w:rPr>
                      <m:t>i</m:t>
                    </m:r>
                    <m:r>
                      <w:rPr>
                        <w:rFonts w:ascii="Cambria Math" w:hAnsi="Cambria Math" w:cs="Times New Roman"/>
                        <w:color w:val="000000" w:themeColor="text1"/>
                        <w:sz w:val="20"/>
                        <w:szCs w:val="20"/>
                      </w:rPr>
                      <m:t>.</m:t>
                    </m:r>
                    <m:r>
                      <m:rPr>
                        <m:sty m:val="bi"/>
                      </m:rPr>
                      <w:rPr>
                        <w:rFonts w:ascii="Cambria Math" w:hAnsi="Cambria Math" w:cs="Times New Roman"/>
                        <w:color w:val="000000" w:themeColor="text1"/>
                        <w:sz w:val="20"/>
                        <w:szCs w:val="20"/>
                      </w:rPr>
                      <m:t>i</m:t>
                    </m:r>
                  </m:sub>
                </m:sSub>
              </m:oMath>
            </m:oMathPara>
          </w:p>
        </w:tc>
        <w:tc>
          <w:tcPr>
            <w:tcW w:w="1843" w:type="dxa"/>
          </w:tcPr>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-0.188682</w:t>
            </w:r>
          </w:p>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(-7.365884)</w:t>
            </w:r>
          </w:p>
        </w:tc>
        <w:tc>
          <w:tcPr>
            <w:tcW w:w="2126" w:type="dxa"/>
          </w:tcPr>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-0.040731</w:t>
            </w:r>
          </w:p>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(-0.297171)</w:t>
            </w:r>
          </w:p>
        </w:tc>
        <w:tc>
          <w:tcPr>
            <w:tcW w:w="3119" w:type="dxa"/>
          </w:tcPr>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-0.580447</w:t>
            </w:r>
          </w:p>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(-6.406487)</w:t>
            </w:r>
          </w:p>
        </w:tc>
      </w:tr>
    </w:tbl>
    <w:p w:rsidR="00B47EAC" w:rsidRPr="00B47EAC" w:rsidRDefault="00B47EAC" w:rsidP="00B47EAC">
      <w:pPr>
        <w:pStyle w:val="Ttulo2"/>
        <w:shd w:val="clear" w:color="auto" w:fill="FFFFFF" w:themeFill="background1"/>
        <w:rPr>
          <w:rFonts w:ascii="Times New Roman" w:hAnsi="Times New Roman" w:cs="Times New Roman"/>
          <w:b w:val="0"/>
          <w:color w:val="000000" w:themeColor="text1"/>
          <w:sz w:val="20"/>
          <w:szCs w:val="20"/>
        </w:rPr>
      </w:pPr>
      <w:r w:rsidRPr="00B47EAC">
        <w:rPr>
          <w:rFonts w:ascii="Times New Roman" w:hAnsi="Times New Roman" w:cs="Times New Roman"/>
          <w:b w:val="0"/>
          <w:color w:val="000000" w:themeColor="text1"/>
          <w:sz w:val="20"/>
          <w:szCs w:val="20"/>
        </w:rPr>
        <w:t xml:space="preserve">Elaboración propia. La tabla reporta los parámetros estimados del modelo BEKK de los 3 modelos GARCH (1,1) de dos variables (bivariado). Los valores en paréntesis son </w:t>
      </w:r>
      <m:oMath>
        <m:r>
          <m:rPr>
            <m:sty m:val="bi"/>
          </m:rPr>
          <w:rPr>
            <w:rFonts w:ascii="Cambria Math" w:hAnsi="Cambria Math" w:cs="Times New Roman"/>
            <w:color w:val="000000" w:themeColor="text1"/>
            <w:sz w:val="20"/>
            <w:szCs w:val="20"/>
          </w:rPr>
          <m:t>z-estadistica</m:t>
        </m:r>
      </m:oMath>
      <w:r w:rsidRPr="00B47EAC">
        <w:rPr>
          <w:rFonts w:ascii="Times New Roman" w:hAnsi="Times New Roman" w:cs="Times New Roman"/>
          <w:b w:val="0"/>
          <w:color w:val="000000" w:themeColor="text1"/>
          <w:sz w:val="20"/>
          <w:szCs w:val="20"/>
        </w:rPr>
        <w:t xml:space="preserve"> obtenidos.</w:t>
      </w:r>
    </w:p>
    <w:p w:rsidR="00B47EAC" w:rsidRPr="00B47EAC" w:rsidRDefault="00B47EAC" w:rsidP="00B47EAC">
      <w:pPr>
        <w:pStyle w:val="Ttulo2"/>
        <w:shd w:val="clear" w:color="auto" w:fill="FFFFFF" w:themeFill="background1"/>
        <w:jc w:val="both"/>
        <w:rPr>
          <w:rFonts w:ascii="Times New Roman" w:hAnsi="Times New Roman" w:cs="Times New Roman"/>
          <w:b w:val="0"/>
          <w:color w:val="000000" w:themeColor="text1"/>
          <w:sz w:val="24"/>
          <w:szCs w:val="24"/>
        </w:rPr>
      </w:pPr>
      <w:r w:rsidRPr="00B47EAC">
        <w:rPr>
          <w:rFonts w:ascii="Times New Roman" w:hAnsi="Times New Roman" w:cs="Times New Roman"/>
          <w:b w:val="0"/>
          <w:color w:val="000000" w:themeColor="text1"/>
          <w:sz w:val="24"/>
          <w:szCs w:val="24"/>
        </w:rPr>
        <w:t xml:space="preserve">En la tabla anterior se muestra el periodo completo; así como las dos etapas en que fue dividido dicho periodo. En los tres periodos todas las diagonales estimadas de A, es decir las ALPHAS y las BETAS son estadísticamente significativas. </w:t>
      </w:r>
    </w:p>
    <w:p w:rsidR="00B47EAC" w:rsidRPr="00B47EAC" w:rsidRDefault="00B47EAC" w:rsidP="00B47EAC">
      <w:pPr>
        <w:pStyle w:val="Ttulo2"/>
        <w:shd w:val="clear" w:color="auto" w:fill="FFFFFF" w:themeFill="background1"/>
        <w:jc w:val="both"/>
        <w:rPr>
          <w:rFonts w:ascii="Times New Roman" w:hAnsi="Times New Roman" w:cs="Times New Roman"/>
          <w:b w:val="0"/>
          <w:color w:val="000000" w:themeColor="text1"/>
          <w:sz w:val="24"/>
          <w:szCs w:val="24"/>
        </w:rPr>
      </w:pPr>
      <w:r w:rsidRPr="00B47EAC">
        <w:rPr>
          <w:rFonts w:ascii="Times New Roman" w:hAnsi="Times New Roman" w:cs="Times New Roman"/>
          <w:b w:val="0"/>
          <w:color w:val="000000" w:themeColor="text1"/>
          <w:sz w:val="24"/>
          <w:szCs w:val="24"/>
        </w:rPr>
        <w:lastRenderedPageBreak/>
        <w:t xml:space="preserve">La tabla nos ayuda a entender la relación en términos de la volatilidad. Los elementos en la ecuación 1,  captura el efecto ARCH (matriz A); mientras que los elementos diagonales de la matriz B miden los efectos propios del GARCH. </w:t>
      </w:r>
    </w:p>
    <w:p w:rsidR="00B47EAC" w:rsidRPr="00B47EAC" w:rsidRDefault="00B47EAC" w:rsidP="00B47EAC">
      <w:pPr>
        <w:pStyle w:val="Ttulo2"/>
        <w:shd w:val="clear" w:color="auto" w:fill="FFFFFF" w:themeFill="background1"/>
        <w:jc w:val="both"/>
        <w:rPr>
          <w:rFonts w:ascii="Times New Roman" w:hAnsi="Times New Roman" w:cs="Times New Roman"/>
          <w:b w:val="0"/>
          <w:color w:val="000000" w:themeColor="text1"/>
          <w:sz w:val="24"/>
          <w:szCs w:val="24"/>
        </w:rPr>
      </w:pPr>
      <w:r w:rsidRPr="00B47EAC">
        <w:rPr>
          <w:rFonts w:ascii="Times New Roman" w:hAnsi="Times New Roman" w:cs="Times New Roman"/>
          <w:b w:val="0"/>
          <w:color w:val="000000" w:themeColor="text1"/>
          <w:sz w:val="24"/>
          <w:szCs w:val="24"/>
        </w:rPr>
        <w:t>Como se muestra en la tabla anterior, los parámetros estimados de la diagonal, es decir ALPHA (1) ó  (</w:t>
      </w:r>
      <m:oMath>
        <m:sSub>
          <m:sSubPr>
            <m:ctrlPr>
              <w:rPr>
                <w:rFonts w:ascii="Cambria Math" w:hAnsi="Cambria Math" w:cs="Times New Roman"/>
                <w:b w:val="0"/>
                <w:i/>
                <w:color w:val="000000" w:themeColor="text1"/>
                <w:sz w:val="24"/>
                <w:szCs w:val="24"/>
              </w:rPr>
            </m:ctrlPr>
          </m:sSubPr>
          <m:e>
            <m:r>
              <m:rPr>
                <m:sty m:val="bi"/>
              </m:rPr>
              <w:rPr>
                <w:rFonts w:ascii="Cambria Math" w:hAnsi="Cambria Math" w:cs="Times New Roman"/>
                <w:color w:val="000000" w:themeColor="text1"/>
                <w:sz w:val="24"/>
                <w:szCs w:val="24"/>
              </w:rPr>
              <m:t>α</m:t>
            </m:r>
          </m:e>
          <m:sub>
            <m:r>
              <m:rPr>
                <m:sty m:val="bi"/>
              </m:rPr>
              <w:rPr>
                <w:rFonts w:ascii="Cambria Math" w:hAnsi="Cambria Math" w:cs="Times New Roman"/>
                <w:color w:val="000000" w:themeColor="text1"/>
                <w:sz w:val="24"/>
                <w:szCs w:val="24"/>
              </w:rPr>
              <m:t>tc.tc</m:t>
            </m:r>
          </m:sub>
        </m:sSub>
      </m:oMath>
      <w:r w:rsidRPr="00B47EAC">
        <w:rPr>
          <w:rFonts w:ascii="Times New Roman" w:hAnsi="Times New Roman" w:cs="Times New Roman"/>
          <w:b w:val="0"/>
          <w:color w:val="000000" w:themeColor="text1"/>
          <w:sz w:val="24"/>
          <w:szCs w:val="24"/>
        </w:rPr>
        <w:t>), BETA (1) ó (</w:t>
      </w:r>
      <m:oMath>
        <m:sSub>
          <m:sSubPr>
            <m:ctrlPr>
              <w:rPr>
                <w:rFonts w:ascii="Cambria Math" w:hAnsi="Cambria Math" w:cs="Times New Roman"/>
                <w:b w:val="0"/>
                <w:i/>
                <w:color w:val="000000" w:themeColor="text1"/>
                <w:sz w:val="24"/>
                <w:szCs w:val="24"/>
              </w:rPr>
            </m:ctrlPr>
          </m:sSubPr>
          <m:e>
            <m:r>
              <m:rPr>
                <m:sty m:val="bi"/>
              </m:rPr>
              <w:rPr>
                <w:rFonts w:ascii="Cambria Math" w:hAnsi="Cambria Math" w:cs="Times New Roman"/>
                <w:color w:val="000000" w:themeColor="text1"/>
                <w:sz w:val="24"/>
                <w:szCs w:val="24"/>
              </w:rPr>
              <m:t>β</m:t>
            </m:r>
          </m:e>
          <m:sub>
            <m:r>
              <m:rPr>
                <m:sty m:val="bi"/>
              </m:rPr>
              <w:rPr>
                <w:rFonts w:ascii="Cambria Math" w:hAnsi="Cambria Math" w:cs="Times New Roman"/>
                <w:color w:val="000000" w:themeColor="text1"/>
                <w:sz w:val="24"/>
                <w:szCs w:val="24"/>
              </w:rPr>
              <m:t>tc.tc</m:t>
            </m:r>
          </m:sub>
        </m:sSub>
        <m:r>
          <m:rPr>
            <m:sty m:val="bi"/>
          </m:rPr>
          <w:rPr>
            <w:rFonts w:ascii="Cambria Math" w:hAnsi="Cambria Math" w:cs="Times New Roman"/>
            <w:color w:val="000000" w:themeColor="text1"/>
            <w:sz w:val="24"/>
            <w:szCs w:val="24"/>
          </w:rPr>
          <m:t>)</m:t>
        </m:r>
      </m:oMath>
      <w:r w:rsidRPr="00B47EAC">
        <w:rPr>
          <w:rFonts w:ascii="Times New Roman" w:hAnsi="Times New Roman" w:cs="Times New Roman"/>
          <w:b w:val="0"/>
          <w:color w:val="000000" w:themeColor="text1"/>
          <w:sz w:val="24"/>
          <w:szCs w:val="24"/>
        </w:rPr>
        <w:t xml:space="preserve"> Y OMEGA (1) son todos estadísticamente significativo indicando un GARCH (1,1) muy fuerte. En otras palabras, los propios choques pasados de cada variable y la volatilidad afectan la varianza condicional de la tasa de interés y del tipo de cambio. </w:t>
      </w:r>
    </w:p>
    <w:p w:rsidR="00B47EAC" w:rsidRPr="00B47EAC" w:rsidRDefault="00B47EAC" w:rsidP="00B47EAC">
      <w:pPr>
        <w:pStyle w:val="Ttulo2"/>
        <w:shd w:val="clear" w:color="auto" w:fill="FFFFFF" w:themeFill="background1"/>
        <w:jc w:val="both"/>
        <w:rPr>
          <w:rFonts w:ascii="Times New Roman" w:hAnsi="Times New Roman" w:cs="Times New Roman"/>
          <w:b w:val="0"/>
          <w:color w:val="000000" w:themeColor="text1"/>
          <w:sz w:val="24"/>
          <w:szCs w:val="24"/>
        </w:rPr>
      </w:pPr>
      <w:r w:rsidRPr="00B47EAC">
        <w:rPr>
          <w:rFonts w:ascii="Times New Roman" w:hAnsi="Times New Roman" w:cs="Times New Roman"/>
          <w:b w:val="0"/>
          <w:color w:val="000000" w:themeColor="text1"/>
          <w:sz w:val="24"/>
          <w:szCs w:val="24"/>
        </w:rPr>
        <w:t xml:space="preserve">Los resultados que se muestran en el cuadro 13 son comparaciones de las estimaciones obtenidas del mismo modelo. La primera columna representa el periodo completo de estudio (1998-2013). En la segunda columna se presentan los datos de 1998 a 2008, periodo en que se utilizaba el Saldo de las Cuentas Corrientes como objetivo operacional. Finalmente, en la tercera columna se encuentra el periodo de la transición hacia la tasa de interés como objetivo operacional; es decir, del año 2008 a 2013. </w:t>
      </w:r>
    </w:p>
    <w:p w:rsidR="00B47EAC" w:rsidRPr="00B47EAC" w:rsidRDefault="00B47EAC" w:rsidP="00B47EAC">
      <w:pPr>
        <w:pStyle w:val="Ttulo2"/>
        <w:shd w:val="clear" w:color="auto" w:fill="FFFFFF" w:themeFill="background1"/>
        <w:jc w:val="both"/>
        <w:rPr>
          <w:rFonts w:ascii="Times New Roman" w:hAnsi="Times New Roman" w:cs="Times New Roman"/>
          <w:b w:val="0"/>
          <w:color w:val="000000" w:themeColor="text1"/>
          <w:sz w:val="24"/>
          <w:szCs w:val="24"/>
        </w:rPr>
      </w:pPr>
      <w:r w:rsidRPr="00B47EAC">
        <w:rPr>
          <w:rFonts w:ascii="Times New Roman" w:hAnsi="Times New Roman" w:cs="Times New Roman"/>
          <w:b w:val="0"/>
          <w:color w:val="000000" w:themeColor="text1"/>
          <w:sz w:val="24"/>
          <w:szCs w:val="24"/>
        </w:rPr>
        <w:t>Las ALPHAS miden el efecto en los errores autorregresivos, al mismo tiempo que capturan el efecto ARCH; es decir, de los errores rezagados. Como se observa en el cuadro 14, ALPHA (1) tiene un valor de -0.336325 para el primer periodo y de 0.391527 para el segundo periodo. Los demás valores de ALPHAS presentan la misma situación. Siendo más altos los valores en el periodo de transición de la tasa de interés como objetivo operacional (2008-2013); mientras que el segundo lugar lo ocupa el periodo del Saldo de las Cuentas Corrientes (1998 -2008).</w:t>
      </w:r>
    </w:p>
    <w:p w:rsidR="00B47EAC" w:rsidRPr="006829AF" w:rsidRDefault="006829AF" w:rsidP="00B47EAC">
      <w:pPr>
        <w:pStyle w:val="Ttulo2"/>
        <w:shd w:val="clear" w:color="auto" w:fill="FFFFFF" w:themeFill="background1"/>
        <w:rPr>
          <w:rFonts w:ascii="Times New Roman" w:hAnsi="Times New Roman" w:cs="Times New Roman"/>
          <w:b w:val="0"/>
          <w:color w:val="000000" w:themeColor="text1"/>
          <w:sz w:val="22"/>
          <w:szCs w:val="24"/>
        </w:rPr>
      </w:pPr>
      <w:r w:rsidRPr="006829AF">
        <w:rPr>
          <w:rFonts w:ascii="Times New Roman" w:hAnsi="Times New Roman" w:cs="Times New Roman"/>
          <w:b w:val="0"/>
          <w:color w:val="000000" w:themeColor="text1"/>
          <w:sz w:val="22"/>
          <w:szCs w:val="24"/>
        </w:rPr>
        <w:t>Cuadro 5</w:t>
      </w:r>
      <w:r w:rsidR="00B47EAC" w:rsidRPr="006829AF">
        <w:rPr>
          <w:rFonts w:ascii="Times New Roman" w:hAnsi="Times New Roman" w:cs="Times New Roman"/>
          <w:b w:val="0"/>
          <w:color w:val="000000" w:themeColor="text1"/>
          <w:sz w:val="22"/>
          <w:szCs w:val="24"/>
        </w:rPr>
        <w:t>. ALPHA</w:t>
      </w:r>
    </w:p>
    <w:tbl>
      <w:tblPr>
        <w:tblStyle w:val="Cuadrculaclara-nfasis3"/>
        <w:tblW w:w="0" w:type="auto"/>
        <w:tblLook w:val="04A0" w:firstRow="1" w:lastRow="0" w:firstColumn="1" w:lastColumn="0" w:noHBand="0" w:noVBand="1"/>
      </w:tblPr>
      <w:tblGrid>
        <w:gridCol w:w="1526"/>
        <w:gridCol w:w="3260"/>
        <w:gridCol w:w="3969"/>
      </w:tblGrid>
      <w:tr w:rsidR="00B47EAC" w:rsidRPr="00B47EAC" w:rsidTr="00B47EA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tcPr>
          <w:p w:rsidR="00B47EAC" w:rsidRPr="00B47EAC" w:rsidRDefault="00B47EAC" w:rsidP="00B47EAC">
            <w:pPr>
              <w:pStyle w:val="Ttulo2"/>
              <w:shd w:val="clear" w:color="auto" w:fill="FFFFFF" w:themeFill="background1"/>
              <w:spacing w:line="276" w:lineRule="auto"/>
              <w:outlineLvl w:val="1"/>
              <w:rPr>
                <w:rFonts w:ascii="Times New Roman" w:hAnsi="Times New Roman" w:cs="Times New Roman"/>
                <w:bCs/>
                <w:i/>
                <w:color w:val="000000" w:themeColor="text1"/>
                <w:sz w:val="24"/>
                <w:szCs w:val="24"/>
              </w:rPr>
            </w:pPr>
          </w:p>
        </w:tc>
        <w:tc>
          <w:tcPr>
            <w:tcW w:w="3260" w:type="dxa"/>
          </w:tcPr>
          <w:p w:rsidR="00B47EAC" w:rsidRPr="00B47EAC" w:rsidRDefault="00B47EAC" w:rsidP="00B47EAC">
            <w:pPr>
              <w:pStyle w:val="Ttulo2"/>
              <w:shd w:val="clear" w:color="auto" w:fill="FFFFFF" w:themeFill="background1"/>
              <w:spacing w:line="276" w:lineRule="auto"/>
              <w:outlineLvl w:val="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i/>
                <w:color w:val="000000" w:themeColor="text1"/>
                <w:sz w:val="20"/>
                <w:szCs w:val="20"/>
              </w:rPr>
            </w:pPr>
            <w:r w:rsidRPr="00B47EAC">
              <w:rPr>
                <w:rFonts w:ascii="Times New Roman" w:hAnsi="Times New Roman" w:cs="Times New Roman"/>
                <w:bCs/>
                <w:i/>
                <w:color w:val="000000" w:themeColor="text1"/>
                <w:sz w:val="20"/>
                <w:szCs w:val="20"/>
              </w:rPr>
              <w:t>Periodo del Objetivo Operacional de Saldos sobre Las Cuentas Corrientes (1998-2008)</w:t>
            </w:r>
          </w:p>
        </w:tc>
        <w:tc>
          <w:tcPr>
            <w:tcW w:w="3969" w:type="dxa"/>
          </w:tcPr>
          <w:p w:rsidR="00B47EAC" w:rsidRPr="00B47EAC" w:rsidRDefault="00B47EAC" w:rsidP="00B47EAC">
            <w:pPr>
              <w:pStyle w:val="Ttulo2"/>
              <w:shd w:val="clear" w:color="auto" w:fill="FFFFFF" w:themeFill="background1"/>
              <w:spacing w:line="276" w:lineRule="auto"/>
              <w:outlineLvl w:val="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i/>
                <w:color w:val="000000" w:themeColor="text1"/>
                <w:sz w:val="20"/>
                <w:szCs w:val="20"/>
              </w:rPr>
            </w:pPr>
            <w:r w:rsidRPr="00B47EAC">
              <w:rPr>
                <w:rFonts w:ascii="Times New Roman" w:hAnsi="Times New Roman" w:cs="Times New Roman"/>
                <w:bCs/>
                <w:i/>
                <w:color w:val="000000" w:themeColor="text1"/>
                <w:sz w:val="20"/>
                <w:szCs w:val="20"/>
              </w:rPr>
              <w:t>Periodo de la tasa de interés como objetivo operacional (2008-2013)</w:t>
            </w:r>
          </w:p>
        </w:tc>
      </w:tr>
      <w:tr w:rsidR="00B47EAC" w:rsidRPr="00B47EAC" w:rsidTr="00B47E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tcPr>
          <w:p w:rsidR="00B47EAC" w:rsidRPr="00B47EAC" w:rsidRDefault="00B47EAC" w:rsidP="00B47EAC">
            <w:pPr>
              <w:pStyle w:val="Ttulo2"/>
              <w:shd w:val="clear" w:color="auto" w:fill="FFFFFF" w:themeFill="background1"/>
              <w:spacing w:line="276" w:lineRule="auto"/>
              <w:outlineLvl w:val="1"/>
              <w:rPr>
                <w:rFonts w:ascii="Times New Roman" w:hAnsi="Times New Roman" w:cs="Times New Roman"/>
                <w:bCs/>
                <w:i/>
                <w:color w:val="000000" w:themeColor="text1"/>
                <w:sz w:val="20"/>
                <w:szCs w:val="20"/>
              </w:rPr>
            </w:pPr>
            <w:r w:rsidRPr="00B47EAC">
              <w:rPr>
                <w:rFonts w:ascii="Times New Roman" w:hAnsi="Times New Roman" w:cs="Times New Roman"/>
                <w:bCs/>
                <w:i/>
                <w:color w:val="000000" w:themeColor="text1"/>
                <w:sz w:val="20"/>
                <w:szCs w:val="20"/>
              </w:rPr>
              <w:t>ALPHA (1)</w:t>
            </w:r>
          </w:p>
        </w:tc>
        <w:tc>
          <w:tcPr>
            <w:tcW w:w="3260" w:type="dxa"/>
          </w:tcPr>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-0.336325</w:t>
            </w:r>
          </w:p>
        </w:tc>
        <w:tc>
          <w:tcPr>
            <w:tcW w:w="3969" w:type="dxa"/>
          </w:tcPr>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0.391527</w:t>
            </w:r>
          </w:p>
        </w:tc>
      </w:tr>
      <w:tr w:rsidR="00B47EAC" w:rsidRPr="00B47EAC" w:rsidTr="00B47EA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tcPr>
          <w:p w:rsidR="00B47EAC" w:rsidRPr="00B47EAC" w:rsidRDefault="00B47EAC" w:rsidP="00B47EAC">
            <w:pPr>
              <w:pStyle w:val="Ttulo2"/>
              <w:shd w:val="clear" w:color="auto" w:fill="FFFFFF" w:themeFill="background1"/>
              <w:spacing w:line="276" w:lineRule="auto"/>
              <w:outlineLvl w:val="1"/>
              <w:rPr>
                <w:rFonts w:ascii="Times New Roman" w:hAnsi="Times New Roman" w:cs="Times New Roman"/>
                <w:bCs/>
                <w:i/>
                <w:color w:val="000000" w:themeColor="text1"/>
                <w:sz w:val="20"/>
                <w:szCs w:val="20"/>
              </w:rPr>
            </w:pPr>
            <w:r w:rsidRPr="00B47EAC">
              <w:rPr>
                <w:rFonts w:ascii="Times New Roman" w:hAnsi="Times New Roman" w:cs="Times New Roman"/>
                <w:bCs/>
                <w:i/>
                <w:color w:val="000000" w:themeColor="text1"/>
                <w:sz w:val="20"/>
                <w:szCs w:val="20"/>
              </w:rPr>
              <w:t>APLHA (2)</w:t>
            </w:r>
          </w:p>
        </w:tc>
        <w:tc>
          <w:tcPr>
            <w:tcW w:w="3260" w:type="dxa"/>
          </w:tcPr>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-0.040731</w:t>
            </w:r>
          </w:p>
        </w:tc>
        <w:tc>
          <w:tcPr>
            <w:tcW w:w="3969" w:type="dxa"/>
          </w:tcPr>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-0.580447</w:t>
            </w:r>
          </w:p>
        </w:tc>
      </w:tr>
      <w:tr w:rsidR="00B47EAC" w:rsidRPr="00B47EAC" w:rsidTr="00B47E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tcPr>
          <w:p w:rsidR="00B47EAC" w:rsidRPr="00B47EAC" w:rsidRDefault="00B47EAC" w:rsidP="00B47EAC">
            <w:pPr>
              <w:pStyle w:val="Ttulo2"/>
              <w:shd w:val="clear" w:color="auto" w:fill="FFFFFF" w:themeFill="background1"/>
              <w:spacing w:line="276" w:lineRule="auto"/>
              <w:outlineLvl w:val="1"/>
              <w:rPr>
                <w:rFonts w:ascii="Times New Roman" w:hAnsi="Times New Roman" w:cs="Times New Roman"/>
                <w:bCs/>
                <w:i/>
                <w:color w:val="000000" w:themeColor="text1"/>
                <w:sz w:val="20"/>
                <w:szCs w:val="20"/>
              </w:rPr>
            </w:pPr>
            <w:r w:rsidRPr="00B47EAC">
              <w:rPr>
                <w:rFonts w:ascii="Times New Roman" w:hAnsi="Times New Roman" w:cs="Times New Roman"/>
                <w:bCs/>
                <w:i/>
                <w:color w:val="000000" w:themeColor="text1"/>
                <w:sz w:val="20"/>
                <w:szCs w:val="20"/>
              </w:rPr>
              <w:t>ALPHA (3)</w:t>
            </w:r>
          </w:p>
        </w:tc>
        <w:tc>
          <w:tcPr>
            <w:tcW w:w="3260" w:type="dxa"/>
          </w:tcPr>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0.010140</w:t>
            </w:r>
          </w:p>
        </w:tc>
        <w:tc>
          <w:tcPr>
            <w:tcW w:w="3969" w:type="dxa"/>
          </w:tcPr>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0.030844</w:t>
            </w:r>
          </w:p>
        </w:tc>
      </w:tr>
      <w:tr w:rsidR="00B47EAC" w:rsidRPr="00B47EAC" w:rsidTr="00B47EA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tcPr>
          <w:p w:rsidR="00B47EAC" w:rsidRPr="00B47EAC" w:rsidRDefault="00B47EAC" w:rsidP="00B47EAC">
            <w:pPr>
              <w:pStyle w:val="Ttulo2"/>
              <w:shd w:val="clear" w:color="auto" w:fill="FFFFFF" w:themeFill="background1"/>
              <w:spacing w:line="276" w:lineRule="auto"/>
              <w:outlineLvl w:val="1"/>
              <w:rPr>
                <w:rFonts w:ascii="Times New Roman" w:hAnsi="Times New Roman" w:cs="Times New Roman"/>
                <w:bCs/>
                <w:i/>
                <w:color w:val="000000" w:themeColor="text1"/>
                <w:sz w:val="20"/>
                <w:szCs w:val="20"/>
              </w:rPr>
            </w:pPr>
            <w:r w:rsidRPr="00B47EAC">
              <w:rPr>
                <w:rFonts w:ascii="Times New Roman" w:hAnsi="Times New Roman" w:cs="Times New Roman"/>
                <w:bCs/>
                <w:i/>
                <w:color w:val="000000" w:themeColor="text1"/>
                <w:sz w:val="20"/>
                <w:szCs w:val="20"/>
              </w:rPr>
              <w:t>ALPHA (4)</w:t>
            </w:r>
          </w:p>
        </w:tc>
        <w:tc>
          <w:tcPr>
            <w:tcW w:w="3260" w:type="dxa"/>
          </w:tcPr>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-0.687647</w:t>
            </w:r>
          </w:p>
        </w:tc>
        <w:tc>
          <w:tcPr>
            <w:tcW w:w="3969" w:type="dxa"/>
          </w:tcPr>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-0.984914</w:t>
            </w:r>
          </w:p>
        </w:tc>
      </w:tr>
    </w:tbl>
    <w:p w:rsidR="00B47EAC" w:rsidRDefault="00B47EAC" w:rsidP="00B47EAC">
      <w:pPr>
        <w:pStyle w:val="Ttulo2"/>
        <w:shd w:val="clear" w:color="auto" w:fill="FFFFFF" w:themeFill="background1"/>
        <w:jc w:val="both"/>
        <w:rPr>
          <w:rFonts w:ascii="Times New Roman" w:hAnsi="Times New Roman" w:cs="Times New Roman"/>
          <w:b w:val="0"/>
          <w:color w:val="000000" w:themeColor="text1"/>
          <w:sz w:val="24"/>
          <w:szCs w:val="24"/>
        </w:rPr>
      </w:pPr>
      <w:r w:rsidRPr="00B47EAC">
        <w:rPr>
          <w:rFonts w:ascii="Times New Roman" w:hAnsi="Times New Roman" w:cs="Times New Roman"/>
          <w:b w:val="0"/>
          <w:color w:val="000000" w:themeColor="text1"/>
          <w:sz w:val="24"/>
          <w:szCs w:val="24"/>
        </w:rPr>
        <w:t>Fuente: Elaboración propia</w:t>
      </w:r>
      <w:r>
        <w:rPr>
          <w:rFonts w:ascii="Times New Roman" w:hAnsi="Times New Roman" w:cs="Times New Roman"/>
          <w:b w:val="0"/>
          <w:color w:val="000000" w:themeColor="text1"/>
          <w:sz w:val="24"/>
          <w:szCs w:val="24"/>
        </w:rPr>
        <w:t>.</w:t>
      </w:r>
    </w:p>
    <w:p w:rsidR="00B47EAC" w:rsidRPr="00B47EAC" w:rsidRDefault="00B47EAC" w:rsidP="00B47EAC">
      <w:pPr>
        <w:pStyle w:val="Ttulo2"/>
        <w:shd w:val="clear" w:color="auto" w:fill="FFFFFF" w:themeFill="background1"/>
        <w:jc w:val="both"/>
        <w:rPr>
          <w:rFonts w:ascii="Times New Roman" w:hAnsi="Times New Roman" w:cs="Times New Roman"/>
          <w:b w:val="0"/>
          <w:color w:val="000000" w:themeColor="text1"/>
          <w:sz w:val="24"/>
          <w:szCs w:val="24"/>
        </w:rPr>
      </w:pPr>
      <w:r w:rsidRPr="00B47EAC">
        <w:rPr>
          <w:rFonts w:ascii="Times New Roman" w:hAnsi="Times New Roman" w:cs="Times New Roman"/>
          <w:b w:val="0"/>
          <w:color w:val="000000" w:themeColor="text1"/>
          <w:sz w:val="24"/>
          <w:szCs w:val="24"/>
        </w:rPr>
        <w:lastRenderedPageBreak/>
        <w:t xml:space="preserve">Por otro lado, en el periodo de la transición hacia un objetivo operacional de tasas de interés, las ALPHAS de la diagonal; es decir ALPHA (1) y ALPHA (2); son mayores que en el periodo que le antecede; siendo  0.391527 y -0.580447 en el periodo de la tasa de interés como objetivo operacional, mientras que -0.336325 y  -0.040731 respectivamente para el periodo del Saldo de las Cuentas Corrientes como objetivo operacional; esto significa que el efecto sobre los errores rezagados es mayor. </w:t>
      </w:r>
    </w:p>
    <w:p w:rsidR="00B47EAC" w:rsidRPr="00B47EAC" w:rsidRDefault="00B47EAC" w:rsidP="00B47EAC">
      <w:pPr>
        <w:pStyle w:val="Ttulo2"/>
        <w:shd w:val="clear" w:color="auto" w:fill="FFFFFF" w:themeFill="background1"/>
        <w:jc w:val="both"/>
        <w:rPr>
          <w:rFonts w:ascii="Times New Roman" w:hAnsi="Times New Roman" w:cs="Times New Roman"/>
          <w:b w:val="0"/>
          <w:color w:val="000000" w:themeColor="text1"/>
          <w:sz w:val="24"/>
          <w:szCs w:val="24"/>
        </w:rPr>
      </w:pPr>
      <w:r w:rsidRPr="00B47EAC">
        <w:rPr>
          <w:rFonts w:ascii="Times New Roman" w:hAnsi="Times New Roman" w:cs="Times New Roman"/>
          <w:b w:val="0"/>
          <w:color w:val="000000" w:themeColor="text1"/>
          <w:sz w:val="24"/>
          <w:szCs w:val="24"/>
        </w:rPr>
        <w:t xml:space="preserve">Las ALPHAS cruzadas son mayores, es decir, se presenta un efecto en residuos rezagados. </w:t>
      </w:r>
    </w:p>
    <w:p w:rsidR="00B47EAC" w:rsidRPr="00B47EAC" w:rsidRDefault="00B47EAC" w:rsidP="00B47EAC">
      <w:pPr>
        <w:pStyle w:val="Ttulo2"/>
        <w:shd w:val="clear" w:color="auto" w:fill="FFFFFF" w:themeFill="background1"/>
        <w:jc w:val="both"/>
        <w:rPr>
          <w:rFonts w:ascii="Times New Roman" w:hAnsi="Times New Roman" w:cs="Times New Roman"/>
          <w:b w:val="0"/>
          <w:color w:val="000000" w:themeColor="text1"/>
          <w:sz w:val="24"/>
          <w:szCs w:val="24"/>
        </w:rPr>
      </w:pPr>
      <w:r w:rsidRPr="00B47EAC">
        <w:rPr>
          <w:rFonts w:ascii="Times New Roman" w:hAnsi="Times New Roman" w:cs="Times New Roman"/>
          <w:b w:val="0"/>
          <w:color w:val="000000" w:themeColor="text1"/>
          <w:sz w:val="24"/>
          <w:szCs w:val="24"/>
        </w:rPr>
        <w:t>Por su parte, las BETAS miden el efecto en la varianza  rezagada; de igual manera capturan el efecto propio del GARCH siendo más alto en el periodo del Régimen de Saldos Acumulados. Esto quiere decir que los efectos de las varianzas rezagadas  son más altos en la política del Régimen de Saldos Acumulados. Estos parámetros miden el efecto rezagado de la varianza, por lo que es más fuerte la relación con las varianzas rezagadas en este periodo.</w:t>
      </w:r>
    </w:p>
    <w:p w:rsidR="00B47EAC" w:rsidRPr="00B47EAC" w:rsidRDefault="006829AF" w:rsidP="00B47EAC">
      <w:pPr>
        <w:pStyle w:val="Ttulo2"/>
        <w:shd w:val="clear" w:color="auto" w:fill="FFFFFF" w:themeFill="background1"/>
        <w:jc w:val="both"/>
        <w:rPr>
          <w:rFonts w:ascii="Times New Roman" w:hAnsi="Times New Roman" w:cs="Times New Roman"/>
          <w:b w:val="0"/>
          <w:color w:val="000000" w:themeColor="text1"/>
          <w:sz w:val="24"/>
          <w:szCs w:val="24"/>
        </w:rPr>
      </w:pPr>
      <w:r>
        <w:rPr>
          <w:rFonts w:ascii="Times New Roman" w:hAnsi="Times New Roman" w:cs="Times New Roman"/>
          <w:b w:val="0"/>
          <w:color w:val="000000" w:themeColor="text1"/>
          <w:sz w:val="24"/>
          <w:szCs w:val="24"/>
        </w:rPr>
        <w:t>Cuadro6.</w:t>
      </w:r>
      <w:r w:rsidR="00B47EAC" w:rsidRPr="00B47EAC">
        <w:rPr>
          <w:rFonts w:ascii="Times New Roman" w:hAnsi="Times New Roman" w:cs="Times New Roman"/>
          <w:b w:val="0"/>
          <w:color w:val="000000" w:themeColor="text1"/>
          <w:sz w:val="24"/>
          <w:szCs w:val="24"/>
        </w:rPr>
        <w:t xml:space="preserve"> BETAS</w:t>
      </w:r>
    </w:p>
    <w:tbl>
      <w:tblPr>
        <w:tblStyle w:val="Cuadrculaclara-nfasis3"/>
        <w:tblW w:w="0" w:type="auto"/>
        <w:tblLook w:val="04A0" w:firstRow="1" w:lastRow="0" w:firstColumn="1" w:lastColumn="0" w:noHBand="0" w:noVBand="1"/>
      </w:tblPr>
      <w:tblGrid>
        <w:gridCol w:w="1526"/>
        <w:gridCol w:w="3260"/>
        <w:gridCol w:w="3827"/>
      </w:tblGrid>
      <w:tr w:rsidR="00B47EAC" w:rsidRPr="00B47EAC" w:rsidTr="00B47EA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tcPr>
          <w:p w:rsidR="00B47EAC" w:rsidRPr="00B47EAC" w:rsidRDefault="00B47EAC" w:rsidP="00B47EAC">
            <w:pPr>
              <w:pStyle w:val="Ttulo2"/>
              <w:shd w:val="clear" w:color="auto" w:fill="FFFFFF" w:themeFill="background1"/>
              <w:spacing w:line="276" w:lineRule="auto"/>
              <w:outlineLvl w:val="1"/>
              <w:rPr>
                <w:rFonts w:ascii="Times New Roman" w:hAnsi="Times New Roman" w:cs="Times New Roman"/>
                <w:bCs/>
                <w:i/>
                <w:color w:val="000000" w:themeColor="text1"/>
                <w:sz w:val="24"/>
                <w:szCs w:val="24"/>
              </w:rPr>
            </w:pPr>
          </w:p>
        </w:tc>
        <w:tc>
          <w:tcPr>
            <w:tcW w:w="3260" w:type="dxa"/>
          </w:tcPr>
          <w:p w:rsidR="00B47EAC" w:rsidRPr="00B47EAC" w:rsidRDefault="00B47EAC" w:rsidP="00B47EAC">
            <w:pPr>
              <w:pStyle w:val="Ttulo2"/>
              <w:shd w:val="clear" w:color="auto" w:fill="FFFFFF" w:themeFill="background1"/>
              <w:spacing w:line="276" w:lineRule="auto"/>
              <w:outlineLvl w:val="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i/>
                <w:color w:val="000000" w:themeColor="text1"/>
                <w:sz w:val="20"/>
                <w:szCs w:val="20"/>
              </w:rPr>
            </w:pPr>
            <w:r w:rsidRPr="00B47EAC">
              <w:rPr>
                <w:rFonts w:ascii="Times New Roman" w:hAnsi="Times New Roman" w:cs="Times New Roman"/>
                <w:bCs/>
                <w:i/>
                <w:color w:val="000000" w:themeColor="text1"/>
                <w:sz w:val="20"/>
                <w:szCs w:val="20"/>
              </w:rPr>
              <w:t>Periodo del Objetivo Operacional de Saldos sobre Las Cuentas Corrientes (1998-2008)</w:t>
            </w:r>
          </w:p>
        </w:tc>
        <w:tc>
          <w:tcPr>
            <w:tcW w:w="3827" w:type="dxa"/>
          </w:tcPr>
          <w:p w:rsidR="00B47EAC" w:rsidRPr="00B47EAC" w:rsidRDefault="00B47EAC" w:rsidP="00B47EAC">
            <w:pPr>
              <w:pStyle w:val="Ttulo2"/>
              <w:shd w:val="clear" w:color="auto" w:fill="FFFFFF" w:themeFill="background1"/>
              <w:spacing w:line="276" w:lineRule="auto"/>
              <w:outlineLvl w:val="1"/>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i/>
                <w:color w:val="000000" w:themeColor="text1"/>
                <w:sz w:val="20"/>
                <w:szCs w:val="20"/>
              </w:rPr>
            </w:pPr>
            <w:r w:rsidRPr="00B47EAC">
              <w:rPr>
                <w:rFonts w:ascii="Times New Roman" w:hAnsi="Times New Roman" w:cs="Times New Roman"/>
                <w:bCs/>
                <w:i/>
                <w:color w:val="000000" w:themeColor="text1"/>
                <w:sz w:val="20"/>
                <w:szCs w:val="20"/>
              </w:rPr>
              <w:t>Periodo de la tasa de interés como objetivo operacional (2008-2013)</w:t>
            </w:r>
          </w:p>
        </w:tc>
      </w:tr>
      <w:tr w:rsidR="00B47EAC" w:rsidRPr="00B47EAC" w:rsidTr="00B47E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tcPr>
          <w:p w:rsidR="00B47EAC" w:rsidRPr="00B47EAC" w:rsidRDefault="00B47EAC" w:rsidP="00B47EAC">
            <w:pPr>
              <w:pStyle w:val="Ttulo2"/>
              <w:shd w:val="clear" w:color="auto" w:fill="FFFFFF" w:themeFill="background1"/>
              <w:spacing w:line="276" w:lineRule="auto"/>
              <w:outlineLvl w:val="1"/>
              <w:rPr>
                <w:rFonts w:ascii="Times New Roman" w:hAnsi="Times New Roman" w:cs="Times New Roman"/>
                <w:bCs/>
                <w:i/>
                <w:color w:val="000000" w:themeColor="text1"/>
                <w:sz w:val="20"/>
                <w:szCs w:val="20"/>
              </w:rPr>
            </w:pPr>
            <w:r w:rsidRPr="00B47EAC">
              <w:rPr>
                <w:rFonts w:ascii="Times New Roman" w:hAnsi="Times New Roman" w:cs="Times New Roman"/>
                <w:bCs/>
                <w:i/>
                <w:color w:val="000000" w:themeColor="text1"/>
                <w:sz w:val="20"/>
                <w:szCs w:val="20"/>
              </w:rPr>
              <w:t>BETA (1)</w:t>
            </w:r>
          </w:p>
        </w:tc>
        <w:tc>
          <w:tcPr>
            <w:tcW w:w="3260" w:type="dxa"/>
          </w:tcPr>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-0.022425</w:t>
            </w:r>
          </w:p>
        </w:tc>
        <w:tc>
          <w:tcPr>
            <w:tcW w:w="3827" w:type="dxa"/>
          </w:tcPr>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0.683948</w:t>
            </w:r>
          </w:p>
        </w:tc>
      </w:tr>
      <w:tr w:rsidR="00B47EAC" w:rsidRPr="00B47EAC" w:rsidTr="00B47EA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tcPr>
          <w:p w:rsidR="00B47EAC" w:rsidRPr="00B47EAC" w:rsidRDefault="00B47EAC" w:rsidP="00B47EAC">
            <w:pPr>
              <w:pStyle w:val="Ttulo2"/>
              <w:shd w:val="clear" w:color="auto" w:fill="FFFFFF" w:themeFill="background1"/>
              <w:spacing w:line="276" w:lineRule="auto"/>
              <w:outlineLvl w:val="1"/>
              <w:rPr>
                <w:rFonts w:ascii="Times New Roman" w:hAnsi="Times New Roman" w:cs="Times New Roman"/>
                <w:bCs/>
                <w:i/>
                <w:color w:val="000000" w:themeColor="text1"/>
                <w:sz w:val="20"/>
                <w:szCs w:val="20"/>
              </w:rPr>
            </w:pPr>
            <w:r w:rsidRPr="00B47EAC">
              <w:rPr>
                <w:rFonts w:ascii="Times New Roman" w:hAnsi="Times New Roman" w:cs="Times New Roman"/>
                <w:bCs/>
                <w:i/>
                <w:color w:val="000000" w:themeColor="text1"/>
                <w:sz w:val="20"/>
                <w:szCs w:val="20"/>
              </w:rPr>
              <w:t>BETA (2)</w:t>
            </w:r>
          </w:p>
        </w:tc>
        <w:tc>
          <w:tcPr>
            <w:tcW w:w="3260" w:type="dxa"/>
          </w:tcPr>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-6.289339</w:t>
            </w:r>
          </w:p>
        </w:tc>
        <w:tc>
          <w:tcPr>
            <w:tcW w:w="3827" w:type="dxa"/>
          </w:tcPr>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2.131839</w:t>
            </w:r>
          </w:p>
        </w:tc>
      </w:tr>
      <w:tr w:rsidR="00B47EAC" w:rsidRPr="00B47EAC" w:rsidTr="00B47E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tcPr>
          <w:p w:rsidR="00B47EAC" w:rsidRPr="00B47EAC" w:rsidRDefault="00B47EAC" w:rsidP="00B47EAC">
            <w:pPr>
              <w:pStyle w:val="Ttulo2"/>
              <w:shd w:val="clear" w:color="auto" w:fill="FFFFFF" w:themeFill="background1"/>
              <w:spacing w:line="276" w:lineRule="auto"/>
              <w:outlineLvl w:val="1"/>
              <w:rPr>
                <w:rFonts w:ascii="Times New Roman" w:hAnsi="Times New Roman" w:cs="Times New Roman"/>
                <w:bCs/>
                <w:i/>
                <w:color w:val="000000" w:themeColor="text1"/>
                <w:sz w:val="20"/>
                <w:szCs w:val="20"/>
              </w:rPr>
            </w:pPr>
            <w:r w:rsidRPr="00B47EAC">
              <w:rPr>
                <w:rFonts w:ascii="Times New Roman" w:hAnsi="Times New Roman" w:cs="Times New Roman"/>
                <w:bCs/>
                <w:i/>
                <w:color w:val="000000" w:themeColor="text1"/>
                <w:sz w:val="20"/>
                <w:szCs w:val="20"/>
              </w:rPr>
              <w:t>BETA (3)</w:t>
            </w:r>
          </w:p>
        </w:tc>
        <w:tc>
          <w:tcPr>
            <w:tcW w:w="3260" w:type="dxa"/>
          </w:tcPr>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0.094838</w:t>
            </w:r>
          </w:p>
        </w:tc>
        <w:tc>
          <w:tcPr>
            <w:tcW w:w="3827" w:type="dxa"/>
          </w:tcPr>
          <w:p w:rsidR="00B47EAC" w:rsidRPr="00B47EAC" w:rsidRDefault="00B47EAC" w:rsidP="00B47EAC">
            <w:pPr>
              <w:pStyle w:val="Ttulo2"/>
              <w:shd w:val="clear" w:color="auto" w:fill="FFFFFF" w:themeFill="background1"/>
              <w:spacing w:line="276" w:lineRule="auto"/>
              <w:outlineLvl w:val="1"/>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-0.085871</w:t>
            </w:r>
          </w:p>
        </w:tc>
      </w:tr>
      <w:tr w:rsidR="00B47EAC" w:rsidRPr="00B47EAC" w:rsidTr="00B47EA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tcPr>
          <w:p w:rsidR="00B47EAC" w:rsidRPr="00B47EAC" w:rsidRDefault="00B47EAC" w:rsidP="00B47EAC">
            <w:pPr>
              <w:pStyle w:val="Ttulo2"/>
              <w:shd w:val="clear" w:color="auto" w:fill="FFFFFF" w:themeFill="background1"/>
              <w:spacing w:line="276" w:lineRule="auto"/>
              <w:outlineLvl w:val="1"/>
              <w:rPr>
                <w:rFonts w:ascii="Times New Roman" w:hAnsi="Times New Roman" w:cs="Times New Roman"/>
                <w:bCs/>
                <w:i/>
                <w:color w:val="000000" w:themeColor="text1"/>
                <w:sz w:val="20"/>
                <w:szCs w:val="20"/>
              </w:rPr>
            </w:pPr>
            <w:r w:rsidRPr="00B47EAC">
              <w:rPr>
                <w:rFonts w:ascii="Times New Roman" w:hAnsi="Times New Roman" w:cs="Times New Roman"/>
                <w:bCs/>
                <w:i/>
                <w:color w:val="000000" w:themeColor="text1"/>
                <w:sz w:val="20"/>
                <w:szCs w:val="20"/>
              </w:rPr>
              <w:t>BETA (4)</w:t>
            </w:r>
          </w:p>
        </w:tc>
        <w:tc>
          <w:tcPr>
            <w:tcW w:w="3260" w:type="dxa"/>
          </w:tcPr>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0.161721</w:t>
            </w:r>
          </w:p>
        </w:tc>
        <w:tc>
          <w:tcPr>
            <w:tcW w:w="3827" w:type="dxa"/>
          </w:tcPr>
          <w:p w:rsidR="00B47EAC" w:rsidRPr="00B47EAC" w:rsidRDefault="00B47EAC" w:rsidP="00B47EAC">
            <w:pPr>
              <w:pStyle w:val="Ttulo2"/>
              <w:shd w:val="clear" w:color="auto" w:fill="FFFFFF" w:themeFill="background1"/>
              <w:spacing w:line="276" w:lineRule="auto"/>
              <w:outlineLvl w:val="1"/>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0"/>
                <w:szCs w:val="20"/>
              </w:rPr>
            </w:pPr>
            <w:r w:rsidRPr="00B47EAC">
              <w:rPr>
                <w:rFonts w:ascii="Times New Roman" w:hAnsi="Times New Roman" w:cs="Times New Roman"/>
                <w:color w:val="000000" w:themeColor="text1"/>
                <w:sz w:val="20"/>
                <w:szCs w:val="20"/>
              </w:rPr>
              <w:t>0.295102</w:t>
            </w:r>
          </w:p>
        </w:tc>
      </w:tr>
    </w:tbl>
    <w:p w:rsidR="00B47EAC" w:rsidRPr="00B47EAC" w:rsidRDefault="00B47EAC" w:rsidP="00B47EAC">
      <w:pPr>
        <w:pStyle w:val="Ttulo2"/>
        <w:shd w:val="clear" w:color="auto" w:fill="FFFFFF" w:themeFill="background1"/>
        <w:jc w:val="both"/>
        <w:rPr>
          <w:rFonts w:ascii="Times New Roman" w:hAnsi="Times New Roman" w:cs="Times New Roman"/>
          <w:b w:val="0"/>
          <w:color w:val="000000" w:themeColor="text1"/>
          <w:sz w:val="24"/>
          <w:szCs w:val="24"/>
        </w:rPr>
      </w:pPr>
      <w:r w:rsidRPr="00B47EAC">
        <w:rPr>
          <w:rFonts w:ascii="Times New Roman" w:hAnsi="Times New Roman" w:cs="Times New Roman"/>
          <w:b w:val="0"/>
          <w:color w:val="000000" w:themeColor="text1"/>
          <w:sz w:val="24"/>
          <w:szCs w:val="24"/>
        </w:rPr>
        <w:t>Fuente: Elaboración propia</w:t>
      </w:r>
    </w:p>
    <w:p w:rsidR="00B47EAC" w:rsidRPr="00B47EAC" w:rsidRDefault="00B47EAC" w:rsidP="00B47EAC">
      <w:pPr>
        <w:pStyle w:val="Ttulo2"/>
        <w:shd w:val="clear" w:color="auto" w:fill="FFFFFF" w:themeFill="background1"/>
        <w:jc w:val="both"/>
        <w:rPr>
          <w:rFonts w:ascii="Times New Roman" w:hAnsi="Times New Roman" w:cs="Times New Roman"/>
          <w:b w:val="0"/>
          <w:color w:val="000000" w:themeColor="text1"/>
          <w:sz w:val="24"/>
          <w:szCs w:val="24"/>
        </w:rPr>
      </w:pPr>
      <w:r w:rsidRPr="00B47EAC">
        <w:rPr>
          <w:rFonts w:ascii="Times New Roman" w:hAnsi="Times New Roman" w:cs="Times New Roman"/>
          <w:b w:val="0"/>
          <w:color w:val="000000" w:themeColor="text1"/>
          <w:sz w:val="24"/>
          <w:szCs w:val="24"/>
        </w:rPr>
        <w:t xml:space="preserve">En el periodo del objetivo operacional de Saldos sobre las Cuentas Corrientes (1998-2008), las BETAS de la diagonal son menores. (Véase Tabla 15). Esto significa que hay un menor efecto de las varianzas rezagadas. Es decir, la varianza de periodos anteriores tiende a disminuir  la varianza. </w:t>
      </w:r>
    </w:p>
    <w:p w:rsidR="00B47EAC" w:rsidRPr="00B47EAC" w:rsidRDefault="00B47EAC" w:rsidP="00B47EAC">
      <w:pPr>
        <w:pStyle w:val="Ttulo2"/>
        <w:shd w:val="clear" w:color="auto" w:fill="FFFFFF" w:themeFill="background1"/>
        <w:jc w:val="both"/>
        <w:rPr>
          <w:rFonts w:ascii="Times New Roman" w:hAnsi="Times New Roman" w:cs="Times New Roman"/>
          <w:b w:val="0"/>
          <w:color w:val="000000" w:themeColor="text1"/>
          <w:sz w:val="24"/>
          <w:szCs w:val="24"/>
        </w:rPr>
      </w:pPr>
      <w:r w:rsidRPr="00B47EAC">
        <w:rPr>
          <w:rFonts w:ascii="Times New Roman" w:hAnsi="Times New Roman" w:cs="Times New Roman"/>
          <w:b w:val="0"/>
          <w:color w:val="000000" w:themeColor="text1"/>
          <w:sz w:val="24"/>
          <w:szCs w:val="24"/>
        </w:rPr>
        <w:t xml:space="preserve">En la diagonal cruzada, las BETAS cruzadas son mayores; es decir los valores de BETA (3) y BETA (4), esto significa que hay un efecto en la varianza del tipo de cambio sobre la tasa de interés. </w:t>
      </w:r>
    </w:p>
    <w:p w:rsidR="00B47EAC" w:rsidRPr="00B47EAC" w:rsidRDefault="00B47EAC" w:rsidP="00B47EAC">
      <w:pPr>
        <w:pStyle w:val="Ttulo2"/>
        <w:shd w:val="clear" w:color="auto" w:fill="FFFFFF" w:themeFill="background1"/>
        <w:rPr>
          <w:rFonts w:ascii="Times New Roman" w:hAnsi="Times New Roman" w:cs="Times New Roman"/>
          <w:color w:val="000000" w:themeColor="text1"/>
          <w:sz w:val="24"/>
          <w:szCs w:val="24"/>
        </w:rPr>
      </w:pPr>
    </w:p>
    <w:p w:rsidR="00EC66C8" w:rsidRPr="00B47EAC"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rPr>
      </w:pPr>
    </w:p>
    <w:p w:rsidR="00EC66C8" w:rsidRPr="00B47EAC"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rPr>
      </w:pPr>
    </w:p>
    <w:p w:rsidR="00EC66C8" w:rsidRPr="00EC66C8" w:rsidRDefault="00B47EAC" w:rsidP="00EC66C8">
      <w:pPr>
        <w:pStyle w:val="Ttulo2"/>
        <w:shd w:val="clear" w:color="auto" w:fill="FFFFFF" w:themeFill="background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C</w:t>
      </w:r>
      <w:r w:rsidR="005F0A1B" w:rsidRPr="00EC66C8">
        <w:rPr>
          <w:rFonts w:ascii="Times New Roman" w:hAnsi="Times New Roman" w:cs="Times New Roman"/>
          <w:color w:val="000000" w:themeColor="text1"/>
          <w:sz w:val="24"/>
          <w:szCs w:val="24"/>
        </w:rPr>
        <w:t>onclusiones</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rPr>
      </w:pPr>
      <w:r w:rsidRPr="00EC66C8">
        <w:rPr>
          <w:rFonts w:ascii="Times New Roman" w:hAnsi="Times New Roman" w:cs="Times New Roman"/>
          <w:b w:val="0"/>
          <w:color w:val="000000" w:themeColor="text1"/>
          <w:sz w:val="24"/>
          <w:szCs w:val="24"/>
        </w:rPr>
        <w:t xml:space="preserve">En este trabajo de investigación se analizó la postura de Política Monetaria del Banco de México durante los últimos 15 años;  a partir de 1998 y hasta 2013. </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lang w:val="es-CO"/>
        </w:rPr>
      </w:pPr>
      <w:r w:rsidRPr="00EC66C8">
        <w:rPr>
          <w:rFonts w:ascii="Times New Roman" w:hAnsi="Times New Roman" w:cs="Times New Roman"/>
          <w:b w:val="0"/>
          <w:color w:val="000000" w:themeColor="text1"/>
          <w:sz w:val="24"/>
          <w:szCs w:val="24"/>
          <w:lang w:val="es-CO"/>
        </w:rPr>
        <w:t xml:space="preserve">En primer lugar, se presentaron los antecedentes de la Política Monetaria en México. Así como los mecanismos de transmisión de lo que hace uso el Banco de México;  institución encargada de su conducción. </w:t>
      </w:r>
    </w:p>
    <w:p w:rsid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rPr>
      </w:pPr>
      <w:r w:rsidRPr="00EC66C8">
        <w:rPr>
          <w:rFonts w:ascii="Times New Roman" w:hAnsi="Times New Roman" w:cs="Times New Roman"/>
          <w:b w:val="0"/>
          <w:color w:val="000000" w:themeColor="text1"/>
          <w:sz w:val="24"/>
          <w:szCs w:val="24"/>
        </w:rPr>
        <w:t xml:space="preserve">Este el segundo capítulo, se presentó una descripción de la evolución que ha tenido el Banco Central en cuanto a su instrumentación y conducción de la Política Monetaria. </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rPr>
      </w:pPr>
      <w:r w:rsidRPr="00EC66C8">
        <w:rPr>
          <w:rFonts w:ascii="Times New Roman" w:hAnsi="Times New Roman" w:cs="Times New Roman"/>
          <w:b w:val="0"/>
          <w:color w:val="000000" w:themeColor="text1"/>
          <w:sz w:val="24"/>
          <w:szCs w:val="24"/>
        </w:rPr>
        <w:t xml:space="preserve">A partir de 1998, el esquema de política monetaria inició una transición gradual hacia un esquema de objetivos explícitos de inflación de 3+-1%; y no fue sino hasta 2001 que fue adoptado como consecuencia del abandono del esquema de agregados monetarios. Dicha situación se presentó por la conveniencia de utilizar un esquema en un entorno en el cual la mayoría de los países ya habían transitado hacia el esquema de objetivos de inflación. </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rPr>
      </w:pPr>
      <w:r w:rsidRPr="00EC66C8">
        <w:rPr>
          <w:rFonts w:ascii="Times New Roman" w:hAnsi="Times New Roman" w:cs="Times New Roman"/>
          <w:b w:val="0"/>
          <w:color w:val="000000" w:themeColor="text1"/>
          <w:sz w:val="24"/>
          <w:szCs w:val="24"/>
        </w:rPr>
        <w:t>La crisis cambiaria y financiera que tuvo lugar a finales de 1994 y durante 1995 obligó a las autoridades mexicanas a adoptar un régimen cambiario de libre flotación. Por tanto, se abandonó el uso del tipo de cambio como ancla nominal de la economía. A consecuencia de la gran incertidumbre respecto de la evolución de la economía mexicana, en ese entonces se consideró extremadamente riesgoso utilizar como instrumento de política monetaria la fijación de una tasa de interés de corto plazo. Así, con el fin de instrumentar un esquema operativo bajo el cual tanto el tipo de cambio como las tasas de interés fuesen determinadas libremente, el Banco de México estableció el Régimen de saldos acumulados, el cual estuvo vigente a partir de 1995 hasta el año 2003; su transición hacia el régimen de saldos diarios a partir de 2003 y hasta 2008 como instrumento de política monetaria. Año en que el Banco Central decidió modificar su objetivo operacional de saldos sobre las cuentas corrientes, hacia uno de tasas de interés.</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rPr>
      </w:pPr>
      <w:r w:rsidRPr="00EC66C8">
        <w:rPr>
          <w:rFonts w:ascii="Times New Roman" w:hAnsi="Times New Roman" w:cs="Times New Roman"/>
          <w:b w:val="0"/>
          <w:color w:val="000000" w:themeColor="text1"/>
          <w:sz w:val="24"/>
          <w:szCs w:val="24"/>
          <w:lang w:val="es-CO"/>
        </w:rPr>
        <w:t>En el tercer capítulo</w:t>
      </w:r>
      <w:r w:rsidRPr="00EC66C8">
        <w:rPr>
          <w:rFonts w:ascii="Times New Roman" w:hAnsi="Times New Roman" w:cs="Times New Roman"/>
          <w:b w:val="0"/>
          <w:color w:val="000000" w:themeColor="text1"/>
          <w:sz w:val="24"/>
          <w:szCs w:val="24"/>
        </w:rPr>
        <w:t xml:space="preserve"> se hizo una descripción detallada de la transición del objetivo operacional de la Política Monetaria. Dicha transición se llevó a cabo en enero de 2008, pasando de un objetivo operacional de saldos sobre las cuentas corrientes hacia un objetivo operacional de tasas de interés.  </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lang w:val="es-CO"/>
        </w:rPr>
      </w:pPr>
      <w:r w:rsidRPr="00EC66C8">
        <w:rPr>
          <w:rFonts w:ascii="Times New Roman" w:hAnsi="Times New Roman" w:cs="Times New Roman"/>
          <w:b w:val="0"/>
          <w:color w:val="000000" w:themeColor="text1"/>
          <w:sz w:val="24"/>
          <w:szCs w:val="24"/>
          <w:lang w:val="es-CO"/>
        </w:rPr>
        <w:t xml:space="preserve">Por último, en el cuarto capítulo se analizó </w:t>
      </w:r>
      <w:r w:rsidRPr="00EC66C8">
        <w:rPr>
          <w:rFonts w:ascii="Times New Roman" w:hAnsi="Times New Roman" w:cs="Times New Roman"/>
          <w:b w:val="0"/>
          <w:color w:val="000000" w:themeColor="text1"/>
          <w:sz w:val="24"/>
          <w:szCs w:val="24"/>
        </w:rPr>
        <w:t>la volatilidad del tipo de cambio y de la tasa de interés a través de un modelo econométrico; esto con la finalidad de examinar el comportamiento de ambas variables para todo el periodo de estudio.</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rPr>
      </w:pPr>
      <w:r w:rsidRPr="00EC66C8">
        <w:rPr>
          <w:rFonts w:ascii="Times New Roman" w:hAnsi="Times New Roman" w:cs="Times New Roman"/>
          <w:b w:val="0"/>
          <w:color w:val="000000" w:themeColor="text1"/>
          <w:sz w:val="24"/>
          <w:szCs w:val="24"/>
        </w:rPr>
        <w:t xml:space="preserve">A partir de lo descrito a lo largo del trabajo de investigación, se puede responder la interrogante planteada en ésta investigación. </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lang w:val="es-CO"/>
        </w:rPr>
      </w:pPr>
      <w:r w:rsidRPr="00EC66C8">
        <w:rPr>
          <w:rFonts w:ascii="Times New Roman" w:hAnsi="Times New Roman" w:cs="Times New Roman"/>
          <w:b w:val="0"/>
          <w:color w:val="000000" w:themeColor="text1"/>
          <w:sz w:val="24"/>
          <w:szCs w:val="24"/>
        </w:rPr>
        <w:lastRenderedPageBreak/>
        <w:t xml:space="preserve">La pregunta de por qué un objetivo operacional de tasas de interés interbancaria a un día (tasa de fondeo) es más eficiente para transmitir la postura de Política Monetaria del Banco de México que un objetivo operacional “Corto”, se argumenta que </w:t>
      </w:r>
      <w:r w:rsidRPr="00EC66C8">
        <w:rPr>
          <w:rFonts w:ascii="Times New Roman" w:hAnsi="Times New Roman" w:cs="Times New Roman"/>
          <w:b w:val="0"/>
          <w:color w:val="000000" w:themeColor="text1"/>
          <w:sz w:val="24"/>
          <w:szCs w:val="24"/>
          <w:lang w:val="es-CO"/>
        </w:rPr>
        <w:t xml:space="preserve">durante el periodo en que “El Corto” fue utilizado, se encontró, que a partir de 1998, contribuyó de manera significativa </w:t>
      </w:r>
      <w:r w:rsidRPr="00EC66C8">
        <w:rPr>
          <w:rFonts w:ascii="Times New Roman" w:hAnsi="Times New Roman" w:cs="Times New Roman"/>
          <w:b w:val="0"/>
          <w:color w:val="000000" w:themeColor="text1"/>
          <w:sz w:val="24"/>
          <w:szCs w:val="24"/>
        </w:rPr>
        <w:t xml:space="preserve">al proceso de desinflación. Sin embargo, hay evidencia de que el “Corto” genera mayor incertidumbre en el efecto sobre las tasas de interés, es decir, que hay mayor inestabilidad en la tasa de interés durante el uso del “Corto” que con un objetivo operacional basado en ésta variable. </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rPr>
      </w:pPr>
      <w:r w:rsidRPr="00EC66C8">
        <w:rPr>
          <w:rFonts w:ascii="Times New Roman" w:hAnsi="Times New Roman" w:cs="Times New Roman"/>
          <w:b w:val="0"/>
          <w:color w:val="000000" w:themeColor="text1"/>
          <w:sz w:val="24"/>
          <w:szCs w:val="24"/>
        </w:rPr>
        <w:t xml:space="preserve">De acuerdo al estudio realizado por Benavides y Capistrán (2009-2010), encuentran que la volatilidad de la tasa de interés parece tener un cambio estructural en el periodo durante el cual el banco central empezó a enviar señales acerca de su objetivo de tasa de interés. La volatilidad disminuyó sustancialmente posterior al cambio. Además la volatilidad del tipo de cambio también parece presentar un cambio estructural, en donde la volatilidad disminuyó, y que coincide con el cambio de instrumento de política monetaria en abril de 2004. </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rPr>
      </w:pPr>
      <w:r w:rsidRPr="00EC66C8">
        <w:rPr>
          <w:rFonts w:ascii="Times New Roman" w:hAnsi="Times New Roman" w:cs="Times New Roman"/>
          <w:b w:val="0"/>
          <w:color w:val="000000" w:themeColor="text1"/>
          <w:sz w:val="24"/>
          <w:szCs w:val="24"/>
        </w:rPr>
        <w:t xml:space="preserve">Sin embargo, en éste trabajo de investigación se encontró que la volatilidad de la tasa de interés mostró un cambio estructural a inicios de 2004, fecha en que, de acuerdo a Benavides y Capistrán (2009-2010), se empezaron a enviar las primeras señales del nivel de tasa de interés. En la gráfica 10, se puede observar como a partir de 2004 se empieza a notar una disminución en la volatilidad de la tasa de interés. A pesar del envío de señales en el referido año, en 2008 es cuando se hace la adopción formal de la tasa de interés como objetivo operacional. A partir de entonces se observa menor volatilidad de dicha variable. </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rPr>
      </w:pPr>
      <w:r w:rsidRPr="00EC66C8">
        <w:rPr>
          <w:rFonts w:ascii="Times New Roman" w:hAnsi="Times New Roman" w:cs="Times New Roman"/>
          <w:b w:val="0"/>
          <w:color w:val="000000" w:themeColor="text1"/>
          <w:sz w:val="24"/>
          <w:szCs w:val="24"/>
        </w:rPr>
        <w:t xml:space="preserve">Adicionalmente, se muestra evidencia empírica sobre la relación causal entre dichas volatilidades. Hubo una relación causal durante el periodo del Corto, en donde la volatilidad de una variable afectó a la otra y viceversa, también mostramos que sigue existiendo una relación causal posterior al periodo del Corto. </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rPr>
      </w:pPr>
      <w:r w:rsidRPr="00EC66C8">
        <w:rPr>
          <w:rFonts w:ascii="Times New Roman" w:hAnsi="Times New Roman" w:cs="Times New Roman"/>
          <w:b w:val="0"/>
          <w:color w:val="000000" w:themeColor="text1"/>
          <w:sz w:val="24"/>
          <w:szCs w:val="24"/>
        </w:rPr>
        <w:t xml:space="preserve">Se concluye, que un objetivo operacional de tasas de interés interbancaria a un día es más eficiente para transmitir la postura de Política Monetaria, porque el envío de señales por parte del Banco de México al mercado de dinero es mucho más directo que con el uso del corto; ello permite que los agentes económicos conozcan de manera más rápida y oportuna la postura del Banco Central y así puedan tomar mejores decisiones; que en conjunto favorezcan el objetivo primordial del Instituto Central que es procurar la estabilidad de precios. </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rPr>
      </w:pPr>
      <w:r w:rsidRPr="00EC66C8">
        <w:rPr>
          <w:rFonts w:ascii="Times New Roman" w:hAnsi="Times New Roman" w:cs="Times New Roman"/>
          <w:b w:val="0"/>
          <w:color w:val="000000" w:themeColor="text1"/>
          <w:sz w:val="24"/>
          <w:szCs w:val="24"/>
        </w:rPr>
        <w:lastRenderedPageBreak/>
        <w:t xml:space="preserve">Sin embargo, es bueno señalar que a pesar de que se ha logrado disminuir la volatilidad de la tasa de interés, el tipo de cambio, a diferencia de lo argumentado por Benavides y Capistrán (2009-2010), presentó un aumento en su volatilidad, aunque el cambio es menor. Esto se debe a que el tipo de cambio existente en México es flexible. Además de recordar que dicha variable es el único canal de transmisión que tiene un impacto tanto en la demanda como en la oferta agregada. Esto significa que, el tipo de cambio es una variable que se ve afectada por diversas cuestiones ajenas a la Postura implementada por Banco Central. </w:t>
      </w:r>
    </w:p>
    <w:p w:rsidR="00EC66C8" w:rsidRPr="00EC66C8" w:rsidRDefault="00EC66C8" w:rsidP="00EC66C8">
      <w:pPr>
        <w:pStyle w:val="Ttulo2"/>
        <w:shd w:val="clear" w:color="auto" w:fill="FFFFFF" w:themeFill="background1"/>
        <w:jc w:val="both"/>
        <w:rPr>
          <w:rFonts w:ascii="Times New Roman" w:hAnsi="Times New Roman" w:cs="Times New Roman"/>
          <w:b w:val="0"/>
          <w:color w:val="000000" w:themeColor="text1"/>
          <w:sz w:val="24"/>
          <w:szCs w:val="24"/>
        </w:rPr>
      </w:pPr>
      <w:r w:rsidRPr="00EC66C8">
        <w:rPr>
          <w:rFonts w:ascii="Times New Roman" w:hAnsi="Times New Roman" w:cs="Times New Roman"/>
          <w:b w:val="0"/>
          <w:color w:val="000000" w:themeColor="text1"/>
          <w:sz w:val="24"/>
          <w:szCs w:val="24"/>
        </w:rPr>
        <w:t xml:space="preserve">El análisis y comprensión de estas consideraciones ha sido el objeto del presente trabajo. </w:t>
      </w:r>
    </w:p>
    <w:p w:rsidR="00B82CA1" w:rsidRDefault="00B82CA1" w:rsidP="004A778E">
      <w:pPr>
        <w:pStyle w:val="Ttulo2"/>
        <w:shd w:val="clear" w:color="auto" w:fill="FFFFFF" w:themeFill="background1"/>
        <w:rPr>
          <w:rFonts w:ascii="Times New Roman" w:hAnsi="Times New Roman" w:cs="Times New Roman"/>
          <w:color w:val="000000" w:themeColor="text1"/>
          <w:sz w:val="24"/>
          <w:szCs w:val="24"/>
        </w:rPr>
      </w:pPr>
    </w:p>
    <w:p w:rsidR="00B82CA1" w:rsidRPr="00EC66C8" w:rsidRDefault="005F0A1B" w:rsidP="00EC66C8">
      <w:pPr>
        <w:pStyle w:val="Ttulo2"/>
        <w:shd w:val="clear" w:color="auto" w:fill="FFFFFF" w:themeFill="background1"/>
        <w:rPr>
          <w:rFonts w:ascii="Times New Roman" w:hAnsi="Times New Roman" w:cs="Times New Roman"/>
          <w:color w:val="000000" w:themeColor="text1"/>
          <w:sz w:val="24"/>
          <w:szCs w:val="24"/>
        </w:rPr>
      </w:pPr>
      <w:r w:rsidRPr="00102F97">
        <w:rPr>
          <w:rFonts w:ascii="Times New Roman" w:hAnsi="Times New Roman" w:cs="Times New Roman"/>
          <w:color w:val="000000" w:themeColor="text1"/>
          <w:sz w:val="24"/>
          <w:szCs w:val="24"/>
        </w:rPr>
        <w:t>Bibliografía</w:t>
      </w:r>
    </w:p>
    <w:sdt>
      <w:sdtPr>
        <w:rPr>
          <w:rFonts w:ascii="Times New Roman" w:hAnsi="Times New Roman" w:cs="Times New Roman"/>
          <w:b/>
          <w:bCs/>
          <w:sz w:val="24"/>
          <w:szCs w:val="24"/>
        </w:rPr>
        <w:id w:val="6409039"/>
        <w:docPartObj>
          <w:docPartGallery w:val="Bibliographies"/>
          <w:docPartUnique/>
        </w:docPartObj>
      </w:sdtPr>
      <w:sdtEndPr>
        <w:rPr>
          <w:b w:val="0"/>
          <w:bCs w:val="0"/>
          <w:lang w:val="es-ES"/>
        </w:rPr>
      </w:sdtEndPr>
      <w:sdtContent>
        <w:p w:rsidR="00455F53" w:rsidRPr="00102F97" w:rsidRDefault="00455F53" w:rsidP="004A778E">
          <w:pPr>
            <w:spacing w:after="80" w:line="240" w:lineRule="auto"/>
            <w:rPr>
              <w:rFonts w:ascii="Times New Roman" w:hAnsi="Times New Roman" w:cs="Times New Roman"/>
              <w:sz w:val="24"/>
              <w:szCs w:val="24"/>
            </w:rPr>
          </w:pPr>
        </w:p>
        <w:sdt>
          <w:sdtPr>
            <w:rPr>
              <w:rFonts w:ascii="Times New Roman" w:hAnsi="Times New Roman" w:cs="Times New Roman"/>
              <w:sz w:val="24"/>
              <w:szCs w:val="24"/>
              <w:lang w:val="es-ES"/>
            </w:rPr>
            <w:id w:val="111145805"/>
            <w:bibliography/>
          </w:sdtPr>
          <w:sdtEndPr/>
          <w:sdtContent>
            <w:p w:rsidR="00902E84" w:rsidRPr="0075746A" w:rsidRDefault="009F12F9" w:rsidP="006829AF">
              <w:pPr>
                <w:pStyle w:val="Bibliografa"/>
                <w:jc w:val="both"/>
                <w:rPr>
                  <w:rFonts w:ascii="Times New Roman" w:hAnsi="Times New Roman" w:cs="Times New Roman"/>
                  <w:noProof/>
                  <w:sz w:val="24"/>
                  <w:szCs w:val="24"/>
                  <w:lang w:val="en-US"/>
                </w:rPr>
              </w:pPr>
              <w:r w:rsidRPr="0075746A">
                <w:rPr>
                  <w:rFonts w:ascii="Times New Roman" w:hAnsi="Times New Roman" w:cs="Times New Roman"/>
                  <w:sz w:val="24"/>
                  <w:szCs w:val="24"/>
                  <w:lang w:val="es-ES"/>
                </w:rPr>
                <w:fldChar w:fldCharType="begin"/>
              </w:r>
              <w:r w:rsidRPr="0075746A">
                <w:rPr>
                  <w:rFonts w:ascii="Times New Roman" w:hAnsi="Times New Roman" w:cs="Times New Roman"/>
                  <w:sz w:val="24"/>
                  <w:szCs w:val="24"/>
                  <w:lang w:val="es-ES"/>
                </w:rPr>
                <w:instrText xml:space="preserve"> BIBLIOGRAPHY </w:instrText>
              </w:r>
              <w:r w:rsidRPr="0075746A">
                <w:rPr>
                  <w:rFonts w:ascii="Times New Roman" w:hAnsi="Times New Roman" w:cs="Times New Roman"/>
                  <w:sz w:val="24"/>
                  <w:szCs w:val="24"/>
                  <w:lang w:val="es-ES"/>
                </w:rPr>
                <w:fldChar w:fldCharType="separate"/>
              </w:r>
              <w:r w:rsidR="00902E84" w:rsidRPr="0075746A">
                <w:rPr>
                  <w:rFonts w:ascii="Times New Roman" w:hAnsi="Times New Roman" w:cs="Times New Roman"/>
                  <w:noProof/>
                  <w:sz w:val="24"/>
                  <w:szCs w:val="24"/>
                </w:rPr>
                <w:t xml:space="preserve">Abel, A. B. &amp; Bernanke, B. S., 2004. </w:t>
              </w:r>
              <w:r w:rsidR="00902E84" w:rsidRPr="0075746A">
                <w:rPr>
                  <w:rFonts w:ascii="Times New Roman" w:hAnsi="Times New Roman" w:cs="Times New Roman"/>
                  <w:i/>
                  <w:iCs/>
                  <w:noProof/>
                  <w:sz w:val="24"/>
                  <w:szCs w:val="24"/>
                  <w:lang w:val="en-US"/>
                </w:rPr>
                <w:t xml:space="preserve">Macroeconomía. </w:t>
              </w:r>
              <w:r w:rsidR="00902E84" w:rsidRPr="0075746A">
                <w:rPr>
                  <w:rFonts w:ascii="Times New Roman" w:hAnsi="Times New Roman" w:cs="Times New Roman"/>
                  <w:noProof/>
                  <w:sz w:val="24"/>
                  <w:szCs w:val="24"/>
                  <w:lang w:val="en-US"/>
                </w:rPr>
                <w:t>s.l.:Pearson Addison Wesher.</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Aspe Armella, P., 1993. </w:t>
              </w:r>
              <w:r w:rsidRPr="0075746A">
                <w:rPr>
                  <w:rFonts w:ascii="Times New Roman" w:hAnsi="Times New Roman" w:cs="Times New Roman"/>
                  <w:i/>
                  <w:iCs/>
                  <w:noProof/>
                  <w:sz w:val="24"/>
                  <w:szCs w:val="24"/>
                </w:rPr>
                <w:t xml:space="preserve">El camino mexicano de la transformación económica. </w:t>
              </w:r>
              <w:r w:rsidRPr="0075746A">
                <w:rPr>
                  <w:rFonts w:ascii="Times New Roman" w:hAnsi="Times New Roman" w:cs="Times New Roman"/>
                  <w:noProof/>
                  <w:sz w:val="24"/>
                  <w:szCs w:val="24"/>
                </w:rPr>
                <w:t>s.l.:s.n.</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Banxico, 2007. </w:t>
              </w:r>
              <w:r w:rsidRPr="0075746A">
                <w:rPr>
                  <w:rFonts w:ascii="Times New Roman" w:hAnsi="Times New Roman" w:cs="Times New Roman"/>
                  <w:i/>
                  <w:iCs/>
                  <w:noProof/>
                  <w:sz w:val="24"/>
                  <w:szCs w:val="24"/>
                </w:rPr>
                <w:t xml:space="preserve">Instrumentación de la Política Monetaria a través de un Objetivo (Anexo 3 del Informe sobre Inflación Julio-Septiembre 2007). </w:t>
              </w:r>
              <w:r w:rsidRPr="0075746A">
                <w:rPr>
                  <w:rFonts w:ascii="Times New Roman" w:hAnsi="Times New Roman" w:cs="Times New Roman"/>
                  <w:noProof/>
                  <w:sz w:val="24"/>
                  <w:szCs w:val="24"/>
                </w:rPr>
                <w:t xml:space="preserve">[En línea] </w:t>
              </w:r>
              <w:r w:rsidRPr="0075746A">
                <w:rPr>
                  <w:rFonts w:ascii="Times New Roman" w:hAnsi="Times New Roman" w:cs="Times New Roman"/>
                  <w:noProof/>
                  <w:sz w:val="24"/>
                  <w:szCs w:val="24"/>
                </w:rPr>
                <w:br/>
                <w:t>.</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Banxico, 2007. </w:t>
              </w:r>
              <w:r w:rsidRPr="0075746A">
                <w:rPr>
                  <w:rFonts w:ascii="Times New Roman" w:hAnsi="Times New Roman" w:cs="Times New Roman"/>
                  <w:i/>
                  <w:iCs/>
                  <w:noProof/>
                  <w:sz w:val="24"/>
                  <w:szCs w:val="24"/>
                </w:rPr>
                <w:t xml:space="preserve">LA BANCA CENTRAL Y LA IMPORTANCIA DE LA ESTABILIDAD ECONÓMICA. </w:t>
              </w:r>
              <w:r w:rsidRPr="0075746A">
                <w:rPr>
                  <w:rFonts w:ascii="Times New Roman" w:hAnsi="Times New Roman" w:cs="Times New Roman"/>
                  <w:noProof/>
                  <w:sz w:val="24"/>
                  <w:szCs w:val="24"/>
                </w:rPr>
                <w:t xml:space="preserve">[En línea] </w:t>
              </w:r>
              <w:r w:rsidRPr="0075746A">
                <w:rPr>
                  <w:rFonts w:ascii="Times New Roman" w:hAnsi="Times New Roman" w:cs="Times New Roman"/>
                  <w:noProof/>
                  <w:sz w:val="24"/>
                  <w:szCs w:val="24"/>
                </w:rPr>
                <w:br/>
                <w:t xml:space="preserve">Available at: </w:t>
              </w:r>
              <w:r w:rsidRPr="0075746A">
                <w:rPr>
                  <w:rFonts w:ascii="Times New Roman" w:hAnsi="Times New Roman" w:cs="Times New Roman"/>
                  <w:noProof/>
                  <w:sz w:val="24"/>
                  <w:szCs w:val="24"/>
                  <w:u w:val="single"/>
                </w:rPr>
                <w:t>http://www.banxico.org.mx/politica-monetaria-e-inflacion/material-de-referencia/intermedio/politica-monetaria/%7B3C1A08B1-FD93-0931-44F8-96F5950FC926%7D.pdf</w:t>
              </w:r>
              <w:r w:rsidRPr="0075746A">
                <w:rPr>
                  <w:rFonts w:ascii="Times New Roman" w:hAnsi="Times New Roman" w:cs="Times New Roman"/>
                  <w:noProof/>
                  <w:sz w:val="24"/>
                  <w:szCs w:val="24"/>
                </w:rPr>
                <w:t>].</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Banxico, 2010. </w:t>
              </w:r>
              <w:r w:rsidRPr="0075746A">
                <w:rPr>
                  <w:rFonts w:ascii="Times New Roman" w:hAnsi="Times New Roman" w:cs="Times New Roman"/>
                  <w:i/>
                  <w:iCs/>
                  <w:noProof/>
                  <w:sz w:val="24"/>
                  <w:szCs w:val="24"/>
                </w:rPr>
                <w:t xml:space="preserve">Evolución Histórica. </w:t>
              </w:r>
              <w:r w:rsidRPr="0075746A">
                <w:rPr>
                  <w:rFonts w:ascii="Times New Roman" w:hAnsi="Times New Roman" w:cs="Times New Roman"/>
                  <w:noProof/>
                  <w:sz w:val="24"/>
                  <w:szCs w:val="24"/>
                </w:rPr>
                <w:t xml:space="preserve">[En línea] </w:t>
              </w:r>
              <w:r w:rsidRPr="0075746A">
                <w:rPr>
                  <w:rFonts w:ascii="Times New Roman" w:hAnsi="Times New Roman" w:cs="Times New Roman"/>
                  <w:noProof/>
                  <w:sz w:val="24"/>
                  <w:szCs w:val="24"/>
                </w:rPr>
                <w:br/>
                <w:t>.</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Banxico, 2010. </w:t>
              </w:r>
              <w:r w:rsidRPr="0075746A">
                <w:rPr>
                  <w:rFonts w:ascii="Times New Roman" w:hAnsi="Times New Roman" w:cs="Times New Roman"/>
                  <w:i/>
                  <w:iCs/>
                  <w:noProof/>
                  <w:sz w:val="24"/>
                  <w:szCs w:val="24"/>
                </w:rPr>
                <w:t xml:space="preserve">Instrumentacion de la Politica Monetaria en el Banco de Mèxico. </w:t>
              </w:r>
              <w:r w:rsidRPr="0075746A">
                <w:rPr>
                  <w:rFonts w:ascii="Times New Roman" w:hAnsi="Times New Roman" w:cs="Times New Roman"/>
                  <w:noProof/>
                  <w:sz w:val="24"/>
                  <w:szCs w:val="24"/>
                </w:rPr>
                <w:t xml:space="preserve">[En línea] </w:t>
              </w:r>
              <w:r w:rsidRPr="0075746A">
                <w:rPr>
                  <w:rFonts w:ascii="Times New Roman" w:hAnsi="Times New Roman" w:cs="Times New Roman"/>
                  <w:noProof/>
                  <w:sz w:val="24"/>
                  <w:szCs w:val="24"/>
                </w:rPr>
                <w:br/>
                <w:t xml:space="preserve">Available at: </w:t>
              </w:r>
              <w:r w:rsidRPr="0075746A">
                <w:rPr>
                  <w:rFonts w:ascii="Times New Roman" w:hAnsi="Times New Roman" w:cs="Times New Roman"/>
                  <w:noProof/>
                  <w:sz w:val="24"/>
                  <w:szCs w:val="24"/>
                  <w:u w:val="single"/>
                </w:rPr>
                <w:t>http://www.banxico.org.mx/material-educativo/informacion-general/catedra-banco-de-mexico/universidad-autonoma-de-mexico-uam-mayo-julio-2/%7B99689FA1-2FEC-871E-593A-39E38CAC3D09%7D.pdf</w:t>
              </w:r>
              <w:r w:rsidRPr="0075746A">
                <w:rPr>
                  <w:rFonts w:ascii="Times New Roman" w:hAnsi="Times New Roman" w:cs="Times New Roman"/>
                  <w:noProof/>
                  <w:sz w:val="24"/>
                  <w:szCs w:val="24"/>
                </w:rPr>
                <w:t>.</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Banxico, 2011. </w:t>
              </w:r>
              <w:r w:rsidRPr="0075746A">
                <w:rPr>
                  <w:rFonts w:ascii="Times New Roman" w:hAnsi="Times New Roman" w:cs="Times New Roman"/>
                  <w:i/>
                  <w:iCs/>
                  <w:noProof/>
                  <w:sz w:val="24"/>
                  <w:szCs w:val="24"/>
                </w:rPr>
                <w:t xml:space="preserve">Efectos de la Política Monetaría sobre la Economía. </w:t>
              </w:r>
              <w:r w:rsidRPr="0075746A">
                <w:rPr>
                  <w:rFonts w:ascii="Times New Roman" w:hAnsi="Times New Roman" w:cs="Times New Roman"/>
                  <w:noProof/>
                  <w:sz w:val="24"/>
                  <w:szCs w:val="24"/>
                </w:rPr>
                <w:t xml:space="preserve">[En línea] </w:t>
              </w:r>
              <w:r w:rsidRPr="0075746A">
                <w:rPr>
                  <w:rFonts w:ascii="Times New Roman" w:hAnsi="Times New Roman" w:cs="Times New Roman"/>
                  <w:noProof/>
                  <w:sz w:val="24"/>
                  <w:szCs w:val="24"/>
                </w:rPr>
                <w:br/>
                <w:t xml:space="preserve">Available at: </w:t>
              </w:r>
              <w:r w:rsidRPr="0075746A">
                <w:rPr>
                  <w:rFonts w:ascii="Times New Roman" w:hAnsi="Times New Roman" w:cs="Times New Roman"/>
                  <w:noProof/>
                  <w:sz w:val="24"/>
                  <w:szCs w:val="24"/>
                  <w:u w:val="single"/>
                </w:rPr>
                <w:t>18</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Banxico, 2011. </w:t>
              </w:r>
              <w:r w:rsidRPr="0075746A">
                <w:rPr>
                  <w:rFonts w:ascii="Times New Roman" w:hAnsi="Times New Roman" w:cs="Times New Roman"/>
                  <w:i/>
                  <w:iCs/>
                  <w:noProof/>
                  <w:sz w:val="24"/>
                  <w:szCs w:val="24"/>
                </w:rPr>
                <w:t xml:space="preserve">Esquema de Objetivos de Inflación. </w:t>
              </w:r>
              <w:r w:rsidRPr="0075746A">
                <w:rPr>
                  <w:rFonts w:ascii="Times New Roman" w:hAnsi="Times New Roman" w:cs="Times New Roman"/>
                  <w:noProof/>
                  <w:sz w:val="24"/>
                  <w:szCs w:val="24"/>
                </w:rPr>
                <w:t xml:space="preserve">[En línea] </w:t>
              </w:r>
              <w:r w:rsidRPr="0075746A">
                <w:rPr>
                  <w:rFonts w:ascii="Times New Roman" w:hAnsi="Times New Roman" w:cs="Times New Roman"/>
                  <w:noProof/>
                  <w:sz w:val="24"/>
                  <w:szCs w:val="24"/>
                </w:rPr>
                <w:br/>
                <w:t xml:space="preserve">Available at: </w:t>
              </w:r>
              <w:r w:rsidRPr="0075746A">
                <w:rPr>
                  <w:rFonts w:ascii="Times New Roman" w:hAnsi="Times New Roman" w:cs="Times New Roman"/>
                  <w:noProof/>
                  <w:sz w:val="24"/>
                  <w:szCs w:val="24"/>
                  <w:u w:val="single"/>
                </w:rPr>
                <w:t>http://www.banxico.org.mx/politica-monetaria-e-inflacion/material-de-referencia/intermedio/politica-monetaria/%7B5C9B2F38-D20E-8988-479A-</w:t>
              </w:r>
              <w:r w:rsidRPr="0075746A">
                <w:rPr>
                  <w:rFonts w:ascii="Times New Roman" w:hAnsi="Times New Roman" w:cs="Times New Roman"/>
                  <w:noProof/>
                  <w:sz w:val="24"/>
                  <w:szCs w:val="24"/>
                  <w:u w:val="single"/>
                </w:rPr>
                <w:lastRenderedPageBreak/>
                <w:t>922AFEEBB783%7D.pdf</w:t>
              </w:r>
              <w:r w:rsidRPr="0075746A">
                <w:rPr>
                  <w:rFonts w:ascii="Times New Roman" w:hAnsi="Times New Roman" w:cs="Times New Roman"/>
                  <w:noProof/>
                  <w:sz w:val="24"/>
                  <w:szCs w:val="24"/>
                </w:rPr>
                <w:br/>
                <w:t>[Último acceso: 28 Agosto 2011].</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Banxico, 2011. </w:t>
              </w:r>
              <w:r w:rsidRPr="0075746A">
                <w:rPr>
                  <w:rFonts w:ascii="Times New Roman" w:hAnsi="Times New Roman" w:cs="Times New Roman"/>
                  <w:i/>
                  <w:iCs/>
                  <w:noProof/>
                  <w:sz w:val="24"/>
                  <w:szCs w:val="24"/>
                </w:rPr>
                <w:t xml:space="preserve">Politica Monetaria e Inflacion. </w:t>
              </w:r>
              <w:r w:rsidRPr="0075746A">
                <w:rPr>
                  <w:rFonts w:ascii="Times New Roman" w:hAnsi="Times New Roman" w:cs="Times New Roman"/>
                  <w:noProof/>
                  <w:sz w:val="24"/>
                  <w:szCs w:val="24"/>
                </w:rPr>
                <w:t xml:space="preserve">[En línea] </w:t>
              </w:r>
              <w:r w:rsidRPr="0075746A">
                <w:rPr>
                  <w:rFonts w:ascii="Times New Roman" w:hAnsi="Times New Roman" w:cs="Times New Roman"/>
                  <w:noProof/>
                  <w:sz w:val="24"/>
                  <w:szCs w:val="24"/>
                </w:rPr>
                <w:br/>
                <w:t xml:space="preserve">Available at: </w:t>
              </w:r>
              <w:r w:rsidRPr="0075746A">
                <w:rPr>
                  <w:rFonts w:ascii="Times New Roman" w:hAnsi="Times New Roman" w:cs="Times New Roman"/>
                  <w:noProof/>
                  <w:sz w:val="24"/>
                  <w:szCs w:val="24"/>
                  <w:u w:val="single"/>
                </w:rPr>
                <w:t>http://www.banxico.org.mx/politica-monetaria-e-inflacion/index.html</w:t>
              </w:r>
              <w:r w:rsidRPr="0075746A">
                <w:rPr>
                  <w:rFonts w:ascii="Times New Roman" w:hAnsi="Times New Roman" w:cs="Times New Roman"/>
                  <w:noProof/>
                  <w:sz w:val="24"/>
                  <w:szCs w:val="24"/>
                </w:rPr>
                <w:br/>
                <w:t>[Último acceso: 28 Agosto 2011].</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Banxico, 2011. </w:t>
              </w:r>
              <w:r w:rsidRPr="0075746A">
                <w:rPr>
                  <w:rFonts w:ascii="Times New Roman" w:hAnsi="Times New Roman" w:cs="Times New Roman"/>
                  <w:i/>
                  <w:iCs/>
                  <w:noProof/>
                  <w:sz w:val="24"/>
                  <w:szCs w:val="24"/>
                </w:rPr>
                <w:t xml:space="preserve">Semblanza Historica. </w:t>
              </w:r>
              <w:r w:rsidRPr="0075746A">
                <w:rPr>
                  <w:rFonts w:ascii="Times New Roman" w:hAnsi="Times New Roman" w:cs="Times New Roman"/>
                  <w:noProof/>
                  <w:sz w:val="24"/>
                  <w:szCs w:val="24"/>
                </w:rPr>
                <w:t xml:space="preserve">[En línea] </w:t>
              </w:r>
              <w:r w:rsidRPr="0075746A">
                <w:rPr>
                  <w:rFonts w:ascii="Times New Roman" w:hAnsi="Times New Roman" w:cs="Times New Roman"/>
                  <w:noProof/>
                  <w:sz w:val="24"/>
                  <w:szCs w:val="24"/>
                </w:rPr>
                <w:br/>
                <w:t xml:space="preserve">Available at: </w:t>
              </w:r>
              <w:r w:rsidRPr="0075746A">
                <w:rPr>
                  <w:rFonts w:ascii="Times New Roman" w:hAnsi="Times New Roman" w:cs="Times New Roman"/>
                  <w:noProof/>
                  <w:sz w:val="24"/>
                  <w:szCs w:val="24"/>
                  <w:u w:val="single"/>
                </w:rPr>
                <w:t>http://www.banxico.org.mx/acerca-del-banco-de-mexico/semblanza-historica.html#mun</w:t>
              </w:r>
              <w:r w:rsidRPr="0075746A">
                <w:rPr>
                  <w:rFonts w:ascii="Times New Roman" w:hAnsi="Times New Roman" w:cs="Times New Roman"/>
                  <w:noProof/>
                  <w:sz w:val="24"/>
                  <w:szCs w:val="24"/>
                </w:rPr>
                <w:br/>
                <w:t>[Último acceso: 17 octubre 2011].</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Banxico, 2012. </w:t>
              </w:r>
              <w:r w:rsidRPr="0075746A">
                <w:rPr>
                  <w:rFonts w:ascii="Times New Roman" w:hAnsi="Times New Roman" w:cs="Times New Roman"/>
                  <w:i/>
                  <w:iCs/>
                  <w:noProof/>
                  <w:sz w:val="24"/>
                  <w:szCs w:val="24"/>
                </w:rPr>
                <w:t xml:space="preserve">Operaciones de Mercado Abierto. </w:t>
              </w:r>
              <w:r w:rsidRPr="0075746A">
                <w:rPr>
                  <w:rFonts w:ascii="Times New Roman" w:hAnsi="Times New Roman" w:cs="Times New Roman"/>
                  <w:noProof/>
                  <w:sz w:val="24"/>
                  <w:szCs w:val="24"/>
                </w:rPr>
                <w:t xml:space="preserve">[En línea] </w:t>
              </w:r>
              <w:r w:rsidRPr="0075746A">
                <w:rPr>
                  <w:rFonts w:ascii="Times New Roman" w:hAnsi="Times New Roman" w:cs="Times New Roman"/>
                  <w:noProof/>
                  <w:sz w:val="24"/>
                  <w:szCs w:val="24"/>
                </w:rPr>
                <w:br/>
                <w:t>[Último acceso: 24 Mayo 2012].</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Banxico, 2012. </w:t>
              </w:r>
              <w:r w:rsidRPr="0075746A">
                <w:rPr>
                  <w:rFonts w:ascii="Times New Roman" w:hAnsi="Times New Roman" w:cs="Times New Roman"/>
                  <w:i/>
                  <w:iCs/>
                  <w:noProof/>
                  <w:sz w:val="24"/>
                  <w:szCs w:val="24"/>
                </w:rPr>
                <w:t xml:space="preserve">Politica Monetaria e Inflacion. </w:t>
              </w:r>
              <w:r w:rsidRPr="0075746A">
                <w:rPr>
                  <w:rFonts w:ascii="Times New Roman" w:hAnsi="Times New Roman" w:cs="Times New Roman"/>
                  <w:noProof/>
                  <w:sz w:val="24"/>
                  <w:szCs w:val="24"/>
                </w:rPr>
                <w:t xml:space="preserve">[En línea] </w:t>
              </w:r>
              <w:r w:rsidRPr="0075746A">
                <w:rPr>
                  <w:rFonts w:ascii="Times New Roman" w:hAnsi="Times New Roman" w:cs="Times New Roman"/>
                  <w:noProof/>
                  <w:sz w:val="24"/>
                  <w:szCs w:val="24"/>
                </w:rPr>
                <w:br/>
                <w:t xml:space="preserve">Available at: </w:t>
              </w:r>
              <w:r w:rsidRPr="0075746A">
                <w:rPr>
                  <w:rFonts w:ascii="Times New Roman" w:hAnsi="Times New Roman" w:cs="Times New Roman"/>
                  <w:noProof/>
                  <w:sz w:val="24"/>
                  <w:szCs w:val="24"/>
                  <w:u w:val="single"/>
                </w:rPr>
                <w:t>http://www.banxico.org.mx/divulgacion/politica-monetaria-e-inflacion/politica-monetaria-inflacion.html#Instrumentaciondelapoliticamonetaria</w:t>
              </w:r>
              <w:r w:rsidRPr="0075746A">
                <w:rPr>
                  <w:rFonts w:ascii="Times New Roman" w:hAnsi="Times New Roman" w:cs="Times New Roman"/>
                  <w:noProof/>
                  <w:sz w:val="24"/>
                  <w:szCs w:val="24"/>
                </w:rPr>
                <w:br/>
                <w:t>[Último acceso: 12 Febrero 2012].</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Benavides, G. &amp; Capistrán, C., 2009-2010. </w:t>
              </w:r>
              <w:r w:rsidRPr="0075746A">
                <w:rPr>
                  <w:rFonts w:ascii="Times New Roman" w:hAnsi="Times New Roman" w:cs="Times New Roman"/>
                  <w:i/>
                  <w:iCs/>
                  <w:noProof/>
                  <w:sz w:val="24"/>
                  <w:szCs w:val="24"/>
                </w:rPr>
                <w:t xml:space="preserve">Una Nota sobre la Volatilidad de la Tasa de Interes y del Tipo de Cambio bajo Diferentes Instrumentos de Política Monetaria: México 1998-2008. </w:t>
              </w:r>
              <w:r w:rsidRPr="0075746A">
                <w:rPr>
                  <w:rFonts w:ascii="Times New Roman" w:hAnsi="Times New Roman" w:cs="Times New Roman"/>
                  <w:noProof/>
                  <w:sz w:val="24"/>
                  <w:szCs w:val="24"/>
                </w:rPr>
                <w:t xml:space="preserve">[En línea] </w:t>
              </w:r>
              <w:r w:rsidRPr="0075746A">
                <w:rPr>
                  <w:rFonts w:ascii="Times New Roman" w:hAnsi="Times New Roman" w:cs="Times New Roman"/>
                  <w:noProof/>
                  <w:sz w:val="24"/>
                  <w:szCs w:val="24"/>
                </w:rPr>
                <w:br/>
                <w:t>[Último acceso: Septiembre 2011].</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Benavides, G. &amp; Capistrán, C., 2010. </w:t>
              </w:r>
              <w:r w:rsidRPr="0075746A">
                <w:rPr>
                  <w:rFonts w:ascii="Times New Roman" w:hAnsi="Times New Roman" w:cs="Times New Roman"/>
                  <w:i/>
                  <w:iCs/>
                  <w:noProof/>
                  <w:sz w:val="24"/>
                  <w:szCs w:val="24"/>
                </w:rPr>
                <w:t xml:space="preserve">Una Nota sobre la Volatilidad de la Tasa de Interes y del Tipo de Cambio bajo Diferentes Instrumentos de Política Monetaria: México 1998-2008. </w:t>
              </w:r>
              <w:r w:rsidRPr="0075746A">
                <w:rPr>
                  <w:rFonts w:ascii="Times New Roman" w:hAnsi="Times New Roman" w:cs="Times New Roman"/>
                  <w:noProof/>
                  <w:sz w:val="24"/>
                  <w:szCs w:val="24"/>
                </w:rPr>
                <w:t xml:space="preserve">[En línea] </w:t>
              </w:r>
              <w:r w:rsidRPr="0075746A">
                <w:rPr>
                  <w:rFonts w:ascii="Times New Roman" w:hAnsi="Times New Roman" w:cs="Times New Roman"/>
                  <w:noProof/>
                  <w:sz w:val="24"/>
                  <w:szCs w:val="24"/>
                </w:rPr>
                <w:br/>
                <w:t>[Último acceso: Septiembre 2011].</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Benavides, G. &amp; Capistrán, C., 2010. </w:t>
              </w:r>
              <w:r w:rsidRPr="0075746A">
                <w:rPr>
                  <w:rFonts w:ascii="Times New Roman" w:hAnsi="Times New Roman" w:cs="Times New Roman"/>
                  <w:i/>
                  <w:iCs/>
                  <w:noProof/>
                  <w:sz w:val="24"/>
                  <w:szCs w:val="24"/>
                </w:rPr>
                <w:t xml:space="preserve">Una Nota sobre la Volatilidad de la Tasa de Interes y del Tipo de Cambio bajo Diferentes Instrumentos de Política Monetaria: México 1998-2008. </w:t>
              </w:r>
              <w:r w:rsidRPr="0075746A">
                <w:rPr>
                  <w:rFonts w:ascii="Times New Roman" w:hAnsi="Times New Roman" w:cs="Times New Roman"/>
                  <w:noProof/>
                  <w:sz w:val="24"/>
                  <w:szCs w:val="24"/>
                </w:rPr>
                <w:t xml:space="preserve">[En línea] </w:t>
              </w:r>
              <w:r w:rsidRPr="0075746A">
                <w:rPr>
                  <w:rFonts w:ascii="Times New Roman" w:hAnsi="Times New Roman" w:cs="Times New Roman"/>
                  <w:noProof/>
                  <w:sz w:val="24"/>
                  <w:szCs w:val="24"/>
                </w:rPr>
                <w:br/>
                <w:t>[Último acceso: Septiembre 2011].</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Blanchard, O., 2006. </w:t>
              </w:r>
              <w:r w:rsidRPr="0075746A">
                <w:rPr>
                  <w:rFonts w:ascii="Times New Roman" w:hAnsi="Times New Roman" w:cs="Times New Roman"/>
                  <w:i/>
                  <w:iCs/>
                  <w:noProof/>
                  <w:sz w:val="24"/>
                  <w:szCs w:val="24"/>
                </w:rPr>
                <w:t xml:space="preserve">Macroeconomía. </w:t>
              </w:r>
              <w:r w:rsidRPr="0075746A">
                <w:rPr>
                  <w:rFonts w:ascii="Times New Roman" w:hAnsi="Times New Roman" w:cs="Times New Roman"/>
                  <w:noProof/>
                  <w:sz w:val="24"/>
                  <w:szCs w:val="24"/>
                </w:rPr>
                <w:t>s.l.:Pearson Prentice Hall.</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Borjòn Nieto, J. J., 2002. </w:t>
              </w:r>
              <w:r w:rsidRPr="0075746A">
                <w:rPr>
                  <w:rFonts w:ascii="Times New Roman" w:hAnsi="Times New Roman" w:cs="Times New Roman"/>
                  <w:i/>
                  <w:iCs/>
                  <w:noProof/>
                  <w:sz w:val="24"/>
                  <w:szCs w:val="24"/>
                </w:rPr>
                <w:t xml:space="preserve">Caos, Orden y Desorden, en el Sistema Monetario y Financiero Internacional. </w:t>
              </w:r>
              <w:r w:rsidRPr="0075746A">
                <w:rPr>
                  <w:rFonts w:ascii="Times New Roman" w:hAnsi="Times New Roman" w:cs="Times New Roman"/>
                  <w:noProof/>
                  <w:sz w:val="24"/>
                  <w:szCs w:val="24"/>
                </w:rPr>
                <w:t>Mèxico D.F: Plaza y Valdes.</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Cermeño, R. &amp; Navarrete, C., 2011. </w:t>
              </w:r>
              <w:r w:rsidRPr="0075746A">
                <w:rPr>
                  <w:rFonts w:ascii="Times New Roman" w:hAnsi="Times New Roman" w:cs="Times New Roman"/>
                  <w:i/>
                  <w:iCs/>
                  <w:noProof/>
                  <w:sz w:val="24"/>
                  <w:szCs w:val="24"/>
                </w:rPr>
                <w:t xml:space="preserve">¿Qué tan predecible es la política monetaria? un análisis econométrico del contenido informativo de los comunicados del Banco de México. </w:t>
              </w:r>
              <w:r w:rsidRPr="0075746A">
                <w:rPr>
                  <w:rFonts w:ascii="Times New Roman" w:hAnsi="Times New Roman" w:cs="Times New Roman"/>
                  <w:noProof/>
                  <w:sz w:val="24"/>
                  <w:szCs w:val="24"/>
                </w:rPr>
                <w:t xml:space="preserve">[En línea] </w:t>
              </w:r>
              <w:r w:rsidRPr="0075746A">
                <w:rPr>
                  <w:rFonts w:ascii="Times New Roman" w:hAnsi="Times New Roman" w:cs="Times New Roman"/>
                  <w:noProof/>
                  <w:sz w:val="24"/>
                  <w:szCs w:val="24"/>
                </w:rPr>
                <w:br/>
                <w:t>[Último acceso: Julio 2012].</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lastRenderedPageBreak/>
                <w:t xml:space="preserve">Cuadrado, J. R., Mancha, T., Villena, J. E. &amp; Casares, J., 2006. </w:t>
              </w:r>
              <w:r w:rsidRPr="0075746A">
                <w:rPr>
                  <w:rFonts w:ascii="Times New Roman" w:hAnsi="Times New Roman" w:cs="Times New Roman"/>
                  <w:i/>
                  <w:iCs/>
                  <w:noProof/>
                  <w:sz w:val="24"/>
                  <w:szCs w:val="24"/>
                </w:rPr>
                <w:t xml:space="preserve">Polìtica Econòmica. </w:t>
              </w:r>
              <w:r w:rsidRPr="0075746A">
                <w:rPr>
                  <w:rFonts w:ascii="Times New Roman" w:hAnsi="Times New Roman" w:cs="Times New Roman"/>
                  <w:noProof/>
                  <w:sz w:val="24"/>
                  <w:szCs w:val="24"/>
                </w:rPr>
                <w:t>Madrid: McGrawHill.</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Díaz de León, A. &amp; Greenham, L., 2000. </w:t>
              </w:r>
              <w:r w:rsidRPr="0075746A">
                <w:rPr>
                  <w:rFonts w:ascii="Times New Roman" w:hAnsi="Times New Roman" w:cs="Times New Roman"/>
                  <w:i/>
                  <w:iCs/>
                  <w:noProof/>
                  <w:sz w:val="24"/>
                  <w:szCs w:val="24"/>
                </w:rPr>
                <w:t xml:space="preserve">Política Monetaria y tasas de interés: experencia reciente para el caso de México.. </w:t>
              </w:r>
              <w:r w:rsidRPr="0075746A">
                <w:rPr>
                  <w:rFonts w:ascii="Times New Roman" w:hAnsi="Times New Roman" w:cs="Times New Roman"/>
                  <w:noProof/>
                  <w:sz w:val="24"/>
                  <w:szCs w:val="24"/>
                </w:rPr>
                <w:t xml:space="preserve">[En línea] </w:t>
              </w:r>
              <w:r w:rsidRPr="0075746A">
                <w:rPr>
                  <w:rFonts w:ascii="Times New Roman" w:hAnsi="Times New Roman" w:cs="Times New Roman"/>
                  <w:noProof/>
                  <w:sz w:val="24"/>
                  <w:szCs w:val="24"/>
                </w:rPr>
                <w:br/>
                <w:t>[Último acceso: Septiembre 2011].</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Dornbusch, R., Fischer, S. &amp; Startz, R., 2005. </w:t>
              </w:r>
              <w:r w:rsidRPr="0075746A">
                <w:rPr>
                  <w:rFonts w:ascii="Times New Roman" w:hAnsi="Times New Roman" w:cs="Times New Roman"/>
                  <w:i/>
                  <w:iCs/>
                  <w:noProof/>
                  <w:sz w:val="24"/>
                  <w:szCs w:val="24"/>
                </w:rPr>
                <w:t xml:space="preserve">Macroeconomia. </w:t>
              </w:r>
              <w:r w:rsidRPr="0075746A">
                <w:rPr>
                  <w:rFonts w:ascii="Times New Roman" w:hAnsi="Times New Roman" w:cs="Times New Roman"/>
                  <w:noProof/>
                  <w:sz w:val="24"/>
                  <w:szCs w:val="24"/>
                </w:rPr>
                <w:t>Madrid: McGrawHill.</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Fernández Díaz, A., Parejo Gámir, J. A. &amp; Rodríguez Sáiz, L., 2006. </w:t>
              </w:r>
              <w:r w:rsidRPr="0075746A">
                <w:rPr>
                  <w:rFonts w:ascii="Times New Roman" w:hAnsi="Times New Roman" w:cs="Times New Roman"/>
                  <w:i/>
                  <w:iCs/>
                  <w:noProof/>
                  <w:sz w:val="24"/>
                  <w:szCs w:val="24"/>
                </w:rPr>
                <w:t xml:space="preserve">Política Económica. </w:t>
              </w:r>
              <w:r w:rsidRPr="0075746A">
                <w:rPr>
                  <w:rFonts w:ascii="Times New Roman" w:hAnsi="Times New Roman" w:cs="Times New Roman"/>
                  <w:noProof/>
                  <w:sz w:val="24"/>
                  <w:szCs w:val="24"/>
                </w:rPr>
                <w:t>España: McGrawHill.</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Garriga, A. C., 2010. </w:t>
              </w:r>
              <w:r w:rsidRPr="0075746A">
                <w:rPr>
                  <w:rFonts w:ascii="Times New Roman" w:hAnsi="Times New Roman" w:cs="Times New Roman"/>
                  <w:i/>
                  <w:iCs/>
                  <w:noProof/>
                  <w:sz w:val="24"/>
                  <w:szCs w:val="24"/>
                </w:rPr>
                <w:t xml:space="preserve">Objetivos, Instrumentos y resultados de politica monetaria México 1980-2010. </w:t>
              </w:r>
              <w:r w:rsidRPr="0075746A">
                <w:rPr>
                  <w:rFonts w:ascii="Times New Roman" w:hAnsi="Times New Roman" w:cs="Times New Roman"/>
                  <w:noProof/>
                  <w:sz w:val="24"/>
                  <w:szCs w:val="24"/>
                </w:rPr>
                <w:t>Mèxico: CIDE.</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Gaviria Ríos, M. A., 2007. </w:t>
              </w:r>
              <w:r w:rsidRPr="0075746A">
                <w:rPr>
                  <w:rFonts w:ascii="Times New Roman" w:hAnsi="Times New Roman" w:cs="Times New Roman"/>
                  <w:i/>
                  <w:iCs/>
                  <w:noProof/>
                  <w:sz w:val="24"/>
                  <w:szCs w:val="24"/>
                </w:rPr>
                <w:t xml:space="preserve">APUNTES DE TEORÍA Y POLÍTICA MONETARIA. </w:t>
              </w:r>
              <w:r w:rsidRPr="0075746A">
                <w:rPr>
                  <w:rFonts w:ascii="Times New Roman" w:hAnsi="Times New Roman" w:cs="Times New Roman"/>
                  <w:noProof/>
                  <w:sz w:val="24"/>
                  <w:szCs w:val="24"/>
                </w:rPr>
                <w:t xml:space="preserve">[En línea] </w:t>
              </w:r>
              <w:r w:rsidRPr="0075746A">
                <w:rPr>
                  <w:rFonts w:ascii="Times New Roman" w:hAnsi="Times New Roman" w:cs="Times New Roman"/>
                  <w:noProof/>
                  <w:sz w:val="24"/>
                  <w:szCs w:val="24"/>
                </w:rPr>
                <w:br/>
                <w:t xml:space="preserve">Available at: </w:t>
              </w:r>
              <w:r w:rsidRPr="0075746A">
                <w:rPr>
                  <w:rFonts w:ascii="Times New Roman" w:hAnsi="Times New Roman" w:cs="Times New Roman"/>
                  <w:noProof/>
                  <w:sz w:val="24"/>
                  <w:szCs w:val="24"/>
                  <w:u w:val="single"/>
                </w:rPr>
                <w:t>www.eumed.net/libros/2007a/233/</w:t>
              </w:r>
              <w:r w:rsidRPr="0075746A">
                <w:rPr>
                  <w:rFonts w:ascii="Times New Roman" w:hAnsi="Times New Roman" w:cs="Times New Roman"/>
                  <w:noProof/>
                  <w:sz w:val="24"/>
                  <w:szCs w:val="24"/>
                </w:rPr>
                <w:br/>
                <w:t>[Último acceso: 20 Abril 2012].</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Greenham Llorente, L. E., 1997. </w:t>
              </w:r>
              <w:r w:rsidRPr="0075746A">
                <w:rPr>
                  <w:rFonts w:ascii="Times New Roman" w:hAnsi="Times New Roman" w:cs="Times New Roman"/>
                  <w:i/>
                  <w:iCs/>
                  <w:noProof/>
                  <w:sz w:val="24"/>
                  <w:szCs w:val="24"/>
                </w:rPr>
                <w:t xml:space="preserve">Mecanismo de Transmision de Polílitica Monetaría en México. </w:t>
              </w:r>
              <w:r w:rsidRPr="0075746A">
                <w:rPr>
                  <w:rFonts w:ascii="Times New Roman" w:hAnsi="Times New Roman" w:cs="Times New Roman"/>
                  <w:noProof/>
                  <w:sz w:val="24"/>
                  <w:szCs w:val="24"/>
                </w:rPr>
                <w:t>México D.F: ITAM.</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Gujarati, D. N., 2007. </w:t>
              </w:r>
              <w:r w:rsidRPr="0075746A">
                <w:rPr>
                  <w:rFonts w:ascii="Times New Roman" w:hAnsi="Times New Roman" w:cs="Times New Roman"/>
                  <w:i/>
                  <w:iCs/>
                  <w:noProof/>
                  <w:sz w:val="24"/>
                  <w:szCs w:val="24"/>
                </w:rPr>
                <w:t xml:space="preserve">Econometría. </w:t>
              </w:r>
              <w:r w:rsidRPr="0075746A">
                <w:rPr>
                  <w:rFonts w:ascii="Times New Roman" w:hAnsi="Times New Roman" w:cs="Times New Roman"/>
                  <w:noProof/>
                  <w:sz w:val="24"/>
                  <w:szCs w:val="24"/>
                </w:rPr>
                <w:t>Cuarta edición ed. Estados Unidos: Mc Graw Hill.</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Gujarati, D. N., 2009. </w:t>
              </w:r>
              <w:r w:rsidRPr="0075746A">
                <w:rPr>
                  <w:rFonts w:ascii="Times New Roman" w:hAnsi="Times New Roman" w:cs="Times New Roman"/>
                  <w:i/>
                  <w:iCs/>
                  <w:noProof/>
                  <w:sz w:val="24"/>
                  <w:szCs w:val="24"/>
                </w:rPr>
                <w:t xml:space="preserve">Economtría. </w:t>
              </w:r>
              <w:r w:rsidRPr="0075746A">
                <w:rPr>
                  <w:rFonts w:ascii="Times New Roman" w:hAnsi="Times New Roman" w:cs="Times New Roman"/>
                  <w:noProof/>
                  <w:sz w:val="24"/>
                  <w:szCs w:val="24"/>
                </w:rPr>
                <w:t>Quinta edición ed. s.l.:Mc Graw Hill.</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Hernández, L. M., 2009. </w:t>
              </w:r>
              <w:r w:rsidRPr="0075746A">
                <w:rPr>
                  <w:rFonts w:ascii="Times New Roman" w:hAnsi="Times New Roman" w:cs="Times New Roman"/>
                  <w:i/>
                  <w:iCs/>
                  <w:noProof/>
                  <w:sz w:val="24"/>
                  <w:szCs w:val="24"/>
                </w:rPr>
                <w:t xml:space="preserve">Mèxicontemporaneo. </w:t>
              </w:r>
              <w:r w:rsidRPr="0075746A">
                <w:rPr>
                  <w:rFonts w:ascii="Times New Roman" w:hAnsi="Times New Roman" w:cs="Times New Roman"/>
                  <w:noProof/>
                  <w:sz w:val="24"/>
                  <w:szCs w:val="24"/>
                </w:rPr>
                <w:t xml:space="preserve">[En línea] </w:t>
              </w:r>
              <w:r w:rsidRPr="0075746A">
                <w:rPr>
                  <w:rFonts w:ascii="Times New Roman" w:hAnsi="Times New Roman" w:cs="Times New Roman"/>
                  <w:noProof/>
                  <w:sz w:val="24"/>
                  <w:szCs w:val="24"/>
                </w:rPr>
                <w:br/>
                <w:t xml:space="preserve">Available at: </w:t>
              </w:r>
              <w:r w:rsidRPr="0075746A">
                <w:rPr>
                  <w:rFonts w:ascii="Times New Roman" w:hAnsi="Times New Roman" w:cs="Times New Roman"/>
                  <w:noProof/>
                  <w:sz w:val="24"/>
                  <w:szCs w:val="24"/>
                  <w:u w:val="single"/>
                </w:rPr>
                <w:t>http://mexicocontenporaneo.over-blog.es/article-31024715.html</w:t>
              </w:r>
              <w:r w:rsidRPr="0075746A">
                <w:rPr>
                  <w:rFonts w:ascii="Times New Roman" w:hAnsi="Times New Roman" w:cs="Times New Roman"/>
                  <w:noProof/>
                  <w:sz w:val="24"/>
                  <w:szCs w:val="24"/>
                </w:rPr>
                <w:br/>
                <w:t>[Último acceso: 08 Octubre 2010].</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Jeanneau, S. &amp; Tovar, C. E., 2009. </w:t>
              </w:r>
              <w:r w:rsidRPr="0075746A">
                <w:rPr>
                  <w:rFonts w:ascii="Times New Roman" w:hAnsi="Times New Roman" w:cs="Times New Roman"/>
                  <w:i/>
                  <w:iCs/>
                  <w:noProof/>
                  <w:sz w:val="24"/>
                  <w:szCs w:val="24"/>
                </w:rPr>
                <w:t xml:space="preserve">Los mercdos de titulos locales y política monetaría en América Latina: presentación e implicaciones.. </w:t>
              </w:r>
              <w:r w:rsidRPr="0075746A">
                <w:rPr>
                  <w:rFonts w:ascii="Times New Roman" w:hAnsi="Times New Roman" w:cs="Times New Roman"/>
                  <w:noProof/>
                  <w:sz w:val="24"/>
                  <w:szCs w:val="24"/>
                </w:rPr>
                <w:t xml:space="preserve">[En línea] </w:t>
              </w:r>
              <w:r w:rsidRPr="0075746A">
                <w:rPr>
                  <w:rFonts w:ascii="Times New Roman" w:hAnsi="Times New Roman" w:cs="Times New Roman"/>
                  <w:noProof/>
                  <w:sz w:val="24"/>
                  <w:szCs w:val="24"/>
                </w:rPr>
                <w:br/>
                <w:t>[Último acceso: Mayo 2012].</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Krugman, P. R. &amp; Obstfeld, M., 2007. </w:t>
              </w:r>
              <w:r w:rsidRPr="0075746A">
                <w:rPr>
                  <w:rFonts w:ascii="Times New Roman" w:hAnsi="Times New Roman" w:cs="Times New Roman"/>
                  <w:i/>
                  <w:iCs/>
                  <w:noProof/>
                  <w:sz w:val="24"/>
                  <w:szCs w:val="24"/>
                </w:rPr>
                <w:t xml:space="preserve">Economìa Internacional. </w:t>
              </w:r>
              <w:r w:rsidRPr="0075746A">
                <w:rPr>
                  <w:rFonts w:ascii="Times New Roman" w:hAnsi="Times New Roman" w:cs="Times New Roman"/>
                  <w:noProof/>
                  <w:sz w:val="24"/>
                  <w:szCs w:val="24"/>
                </w:rPr>
                <w:t>Madrid (España): Pearson.</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Mántey, G., 2011. </w:t>
              </w:r>
              <w:r w:rsidRPr="0075746A">
                <w:rPr>
                  <w:rFonts w:ascii="Times New Roman" w:hAnsi="Times New Roman" w:cs="Times New Roman"/>
                  <w:i/>
                  <w:iCs/>
                  <w:noProof/>
                  <w:sz w:val="24"/>
                  <w:szCs w:val="24"/>
                </w:rPr>
                <w:t xml:space="preserve">La política de tasa de interés interbancaria y la inflación en México. </w:t>
              </w:r>
              <w:r w:rsidRPr="0075746A">
                <w:rPr>
                  <w:rFonts w:ascii="Times New Roman" w:hAnsi="Times New Roman" w:cs="Times New Roman"/>
                  <w:noProof/>
                  <w:sz w:val="24"/>
                  <w:szCs w:val="24"/>
                </w:rPr>
                <w:t>México: UNAM.</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Martínez, L., Sánchez, O. &amp; Werner, A., 2001. </w:t>
              </w:r>
              <w:r w:rsidRPr="0075746A">
                <w:rPr>
                  <w:rFonts w:ascii="Times New Roman" w:hAnsi="Times New Roman" w:cs="Times New Roman"/>
                  <w:i/>
                  <w:iCs/>
                  <w:noProof/>
                  <w:sz w:val="24"/>
                  <w:szCs w:val="24"/>
                </w:rPr>
                <w:t xml:space="preserve">Consideraciones sobre la Conducción de la Política Monetaria y el Mecanismo de Transmisión en México. </w:t>
              </w:r>
              <w:r w:rsidRPr="0075746A">
                <w:rPr>
                  <w:rFonts w:ascii="Times New Roman" w:hAnsi="Times New Roman" w:cs="Times New Roman"/>
                  <w:noProof/>
                  <w:sz w:val="24"/>
                  <w:szCs w:val="24"/>
                </w:rPr>
                <w:t xml:space="preserve">[En línea] </w:t>
              </w:r>
              <w:r w:rsidRPr="0075746A">
                <w:rPr>
                  <w:rFonts w:ascii="Times New Roman" w:hAnsi="Times New Roman" w:cs="Times New Roman"/>
                  <w:noProof/>
                  <w:sz w:val="24"/>
                  <w:szCs w:val="24"/>
                </w:rPr>
                <w:br/>
                <w:t>[Último acceso: Septiembre 2011].</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Parkin, M., Esquivel, G. &amp; Muñoz, M., 2007. </w:t>
              </w:r>
              <w:r w:rsidRPr="0075746A">
                <w:rPr>
                  <w:rFonts w:ascii="Times New Roman" w:hAnsi="Times New Roman" w:cs="Times New Roman"/>
                  <w:i/>
                  <w:iCs/>
                  <w:noProof/>
                  <w:sz w:val="24"/>
                  <w:szCs w:val="24"/>
                </w:rPr>
                <w:t xml:space="preserve">Macroeconomìa, Versiòn para Latinoamèrica. </w:t>
              </w:r>
              <w:r w:rsidRPr="0075746A">
                <w:rPr>
                  <w:rFonts w:ascii="Times New Roman" w:hAnsi="Times New Roman" w:cs="Times New Roman"/>
                  <w:noProof/>
                  <w:sz w:val="24"/>
                  <w:szCs w:val="24"/>
                </w:rPr>
                <w:t>Mèxico: PEARSON Addison Wesley.</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lastRenderedPageBreak/>
                <w:t xml:space="preserve">Ramos Francia, M. &amp; Torres Garcia, A., 2005. </w:t>
              </w:r>
              <w:r w:rsidRPr="0075746A">
                <w:rPr>
                  <w:rFonts w:ascii="Times New Roman" w:hAnsi="Times New Roman" w:cs="Times New Roman"/>
                  <w:i/>
                  <w:iCs/>
                  <w:noProof/>
                  <w:sz w:val="24"/>
                  <w:szCs w:val="24"/>
                </w:rPr>
                <w:t xml:space="preserve">Reduccion de la inflacion a través de un esquema de Objetivos de Inflacion: Experencia Mexicana. </w:t>
              </w:r>
              <w:r w:rsidRPr="0075746A">
                <w:rPr>
                  <w:rFonts w:ascii="Times New Roman" w:hAnsi="Times New Roman" w:cs="Times New Roman"/>
                  <w:noProof/>
                  <w:sz w:val="24"/>
                  <w:szCs w:val="24"/>
                </w:rPr>
                <w:t xml:space="preserve">[En línea] </w:t>
              </w:r>
              <w:r w:rsidRPr="0075746A">
                <w:rPr>
                  <w:rFonts w:ascii="Times New Roman" w:hAnsi="Times New Roman" w:cs="Times New Roman"/>
                  <w:noProof/>
                  <w:sz w:val="24"/>
                  <w:szCs w:val="24"/>
                </w:rPr>
                <w:br/>
                <w:t>[Último acceso: 29 agosto 2011].</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Samuelson, P. A., Nordhaus, W. D., Dieck, L. &amp; Salazar, J. d. J., 1999. </w:t>
              </w:r>
              <w:r w:rsidRPr="0075746A">
                <w:rPr>
                  <w:rFonts w:ascii="Times New Roman" w:hAnsi="Times New Roman" w:cs="Times New Roman"/>
                  <w:i/>
                  <w:iCs/>
                  <w:noProof/>
                  <w:sz w:val="24"/>
                  <w:szCs w:val="24"/>
                </w:rPr>
                <w:t xml:space="preserve">Macroeconomia. </w:t>
              </w:r>
              <w:r w:rsidRPr="0075746A">
                <w:rPr>
                  <w:rFonts w:ascii="Times New Roman" w:hAnsi="Times New Roman" w:cs="Times New Roman"/>
                  <w:noProof/>
                  <w:sz w:val="24"/>
                  <w:szCs w:val="24"/>
                </w:rPr>
                <w:t>s.l.:McGrawHill.</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Schwartz Rosenthal, M. J., 1998. </w:t>
              </w:r>
              <w:r w:rsidRPr="0075746A">
                <w:rPr>
                  <w:rFonts w:ascii="Times New Roman" w:hAnsi="Times New Roman" w:cs="Times New Roman"/>
                  <w:i/>
                  <w:iCs/>
                  <w:noProof/>
                  <w:sz w:val="24"/>
                  <w:szCs w:val="24"/>
                </w:rPr>
                <w:t xml:space="preserve">CONSIDERACIONES SOBRE LA INSTRUMENTACIÓN PRÁCTICA DE LA POLITICA MONETARIA. </w:t>
              </w:r>
              <w:r w:rsidRPr="0075746A">
                <w:rPr>
                  <w:rFonts w:ascii="Times New Roman" w:hAnsi="Times New Roman" w:cs="Times New Roman"/>
                  <w:noProof/>
                  <w:sz w:val="24"/>
                  <w:szCs w:val="24"/>
                </w:rPr>
                <w:t xml:space="preserve">[En línea] </w:t>
              </w:r>
              <w:r w:rsidRPr="0075746A">
                <w:rPr>
                  <w:rFonts w:ascii="Times New Roman" w:hAnsi="Times New Roman" w:cs="Times New Roman"/>
                  <w:noProof/>
                  <w:sz w:val="24"/>
                  <w:szCs w:val="24"/>
                </w:rPr>
                <w:br/>
                <w:t>[Último acceso: 28 septiembre 2011].</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Schwartz, M. J. &amp; Galván1, S., 1999. </w:t>
              </w:r>
              <w:r w:rsidRPr="0075746A">
                <w:rPr>
                  <w:rFonts w:ascii="Times New Roman" w:hAnsi="Times New Roman" w:cs="Times New Roman"/>
                  <w:i/>
                  <w:iCs/>
                  <w:noProof/>
                  <w:sz w:val="24"/>
                  <w:szCs w:val="24"/>
                </w:rPr>
                <w:t xml:space="preserve">Teoría Económica y Credibilidad en la Política Monetaria. </w:t>
              </w:r>
              <w:r w:rsidRPr="0075746A">
                <w:rPr>
                  <w:rFonts w:ascii="Times New Roman" w:hAnsi="Times New Roman" w:cs="Times New Roman"/>
                  <w:noProof/>
                  <w:sz w:val="24"/>
                  <w:szCs w:val="24"/>
                </w:rPr>
                <w:t xml:space="preserve">[En línea] </w:t>
              </w:r>
              <w:r w:rsidRPr="0075746A">
                <w:rPr>
                  <w:rFonts w:ascii="Times New Roman" w:hAnsi="Times New Roman" w:cs="Times New Roman"/>
                  <w:noProof/>
                  <w:sz w:val="24"/>
                  <w:szCs w:val="24"/>
                </w:rPr>
                <w:br/>
                <w:t>[Último acceso: Noviembre 2011].</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Turrent Díaz, E., 2007. </w:t>
              </w:r>
              <w:r w:rsidRPr="0075746A">
                <w:rPr>
                  <w:rFonts w:ascii="Times New Roman" w:hAnsi="Times New Roman" w:cs="Times New Roman"/>
                  <w:i/>
                  <w:iCs/>
                  <w:noProof/>
                  <w:sz w:val="24"/>
                  <w:szCs w:val="24"/>
                </w:rPr>
                <w:t xml:space="preserve">El Banco de México en Evolucion: Transicion hacia el esquema de Objetivos de inflacion.. </w:t>
              </w:r>
              <w:r w:rsidRPr="0075746A">
                <w:rPr>
                  <w:rFonts w:ascii="Times New Roman" w:hAnsi="Times New Roman" w:cs="Times New Roman"/>
                  <w:noProof/>
                  <w:sz w:val="24"/>
                  <w:szCs w:val="24"/>
                </w:rPr>
                <w:t xml:space="preserve">[En línea] </w:t>
              </w:r>
              <w:r w:rsidRPr="0075746A">
                <w:rPr>
                  <w:rFonts w:ascii="Times New Roman" w:hAnsi="Times New Roman" w:cs="Times New Roman"/>
                  <w:noProof/>
                  <w:sz w:val="24"/>
                  <w:szCs w:val="24"/>
                </w:rPr>
                <w:br/>
                <w:t>[Último acceso: Septiembre 2011].</w:t>
              </w:r>
            </w:p>
            <w:p w:rsidR="00902E84" w:rsidRPr="0075746A" w:rsidRDefault="00902E84" w:rsidP="006829AF">
              <w:pPr>
                <w:pStyle w:val="Bibliografa"/>
                <w:jc w:val="both"/>
                <w:rPr>
                  <w:rFonts w:ascii="Times New Roman" w:hAnsi="Times New Roman" w:cs="Times New Roman"/>
                  <w:noProof/>
                  <w:sz w:val="24"/>
                  <w:szCs w:val="24"/>
                </w:rPr>
              </w:pPr>
              <w:r w:rsidRPr="0075746A">
                <w:rPr>
                  <w:rFonts w:ascii="Times New Roman" w:hAnsi="Times New Roman" w:cs="Times New Roman"/>
                  <w:noProof/>
                  <w:sz w:val="24"/>
                  <w:szCs w:val="24"/>
                </w:rPr>
                <w:t xml:space="preserve">Vergara, R., 1998. </w:t>
              </w:r>
              <w:r w:rsidRPr="0075746A">
                <w:rPr>
                  <w:rFonts w:ascii="Times New Roman" w:hAnsi="Times New Roman" w:cs="Times New Roman"/>
                  <w:i/>
                  <w:iCs/>
                  <w:noProof/>
                  <w:sz w:val="24"/>
                  <w:szCs w:val="24"/>
                </w:rPr>
                <w:t xml:space="preserve">Credibilidad y Politica Monetaria en Mèxico 1986-1997. </w:t>
              </w:r>
              <w:r w:rsidRPr="0075746A">
                <w:rPr>
                  <w:rFonts w:ascii="Times New Roman" w:hAnsi="Times New Roman" w:cs="Times New Roman"/>
                  <w:noProof/>
                  <w:sz w:val="24"/>
                  <w:szCs w:val="24"/>
                </w:rPr>
                <w:t>Mèxico: Tesis.</w:t>
              </w:r>
            </w:p>
            <w:p w:rsidR="00AB488D" w:rsidRPr="0075746A" w:rsidRDefault="009F12F9" w:rsidP="006829AF">
              <w:pPr>
                <w:pStyle w:val="Bibliografa"/>
                <w:jc w:val="both"/>
                <w:rPr>
                  <w:rFonts w:ascii="Times New Roman" w:hAnsi="Times New Roman" w:cs="Times New Roman"/>
                  <w:sz w:val="24"/>
                  <w:szCs w:val="24"/>
                  <w:lang w:val="es-ES"/>
                </w:rPr>
              </w:pPr>
              <w:r w:rsidRPr="0075746A">
                <w:rPr>
                  <w:rFonts w:ascii="Times New Roman" w:hAnsi="Times New Roman" w:cs="Times New Roman"/>
                  <w:sz w:val="24"/>
                  <w:szCs w:val="24"/>
                  <w:lang w:val="es-ES"/>
                </w:rPr>
                <w:fldChar w:fldCharType="end"/>
              </w:r>
            </w:p>
            <w:sdt>
              <w:sdtPr>
                <w:rPr>
                  <w:rFonts w:ascii="Times New Roman" w:eastAsiaTheme="minorHAnsi" w:hAnsi="Times New Roman" w:cs="Times New Roman"/>
                  <w:b w:val="0"/>
                  <w:bCs w:val="0"/>
                  <w:color w:val="auto"/>
                  <w:sz w:val="24"/>
                  <w:szCs w:val="24"/>
                  <w:lang w:val="es-ES"/>
                </w:rPr>
                <w:id w:val="13933188"/>
                <w:bibliography/>
              </w:sdtPr>
              <w:sdtEndPr>
                <w:rPr>
                  <w:rFonts w:eastAsiaTheme="minorEastAsia"/>
                </w:rPr>
              </w:sdtEndPr>
              <w:sdtContent>
                <w:sdt>
                  <w:sdtPr>
                    <w:rPr>
                      <w:rFonts w:ascii="Times New Roman" w:eastAsiaTheme="minorHAnsi" w:hAnsi="Times New Roman" w:cs="Times New Roman"/>
                      <w:b w:val="0"/>
                      <w:bCs w:val="0"/>
                      <w:color w:val="auto"/>
                      <w:sz w:val="24"/>
                      <w:szCs w:val="24"/>
                    </w:rPr>
                    <w:id w:val="13933189"/>
                    <w:docPartObj>
                      <w:docPartGallery w:val="Bibliographies"/>
                      <w:docPartUnique/>
                    </w:docPartObj>
                  </w:sdtPr>
                  <w:sdtEndPr>
                    <w:rPr>
                      <w:rFonts w:eastAsiaTheme="minorEastAsia"/>
                      <w:lang w:val="es-ES"/>
                    </w:rPr>
                  </w:sdtEndPr>
                  <w:sdtContent>
                    <w:p w:rsidR="00A33C22" w:rsidRPr="0075746A" w:rsidRDefault="00A33C22" w:rsidP="006829AF">
                      <w:pPr>
                        <w:pStyle w:val="Ttulo1"/>
                        <w:jc w:val="both"/>
                        <w:rPr>
                          <w:rFonts w:ascii="Times New Roman" w:hAnsi="Times New Roman" w:cs="Times New Roman"/>
                          <w:sz w:val="24"/>
                          <w:szCs w:val="24"/>
                        </w:rPr>
                      </w:pPr>
                    </w:p>
                    <w:p w:rsidR="00AB488D" w:rsidRPr="0075746A" w:rsidRDefault="00AE77F8" w:rsidP="006829AF">
                      <w:pPr>
                        <w:jc w:val="both"/>
                        <w:rPr>
                          <w:rFonts w:ascii="Times New Roman" w:hAnsi="Times New Roman" w:cs="Times New Roman"/>
                          <w:sz w:val="24"/>
                          <w:szCs w:val="24"/>
                          <w:lang w:val="es-ES"/>
                        </w:rPr>
                      </w:pPr>
                    </w:p>
                  </w:sdtContent>
                </w:sdt>
              </w:sdtContent>
            </w:sdt>
            <w:p w:rsidR="000F72C1" w:rsidRPr="0075746A" w:rsidRDefault="00AE77F8" w:rsidP="006829AF">
              <w:pPr>
                <w:pStyle w:val="Bibliografa"/>
                <w:jc w:val="both"/>
                <w:rPr>
                  <w:rFonts w:ascii="Times New Roman" w:hAnsi="Times New Roman" w:cs="Times New Roman"/>
                  <w:sz w:val="24"/>
                  <w:szCs w:val="24"/>
                  <w:lang w:val="es-ES"/>
                </w:rPr>
              </w:pPr>
            </w:p>
          </w:sdtContent>
        </w:sdt>
      </w:sdtContent>
    </w:sdt>
    <w:sectPr w:rsidR="000F72C1" w:rsidRPr="0075746A" w:rsidSect="00B317DF">
      <w:footerReference w:type="default" r:id="rId1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E77F8" w:rsidRDefault="00AE77F8" w:rsidP="00AF092C">
      <w:pPr>
        <w:spacing w:after="0" w:line="240" w:lineRule="auto"/>
      </w:pPr>
      <w:r>
        <w:separator/>
      </w:r>
    </w:p>
  </w:endnote>
  <w:endnote w:type="continuationSeparator" w:id="0">
    <w:p w:rsidR="00AE77F8" w:rsidRDefault="00AE77F8" w:rsidP="00AF09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73724"/>
      <w:docPartObj>
        <w:docPartGallery w:val="Page Numbers (Bottom of Page)"/>
        <w:docPartUnique/>
      </w:docPartObj>
    </w:sdtPr>
    <w:sdtEndPr/>
    <w:sdtContent>
      <w:p w:rsidR="008A5272" w:rsidRDefault="008A5272">
        <w:pPr>
          <w:pStyle w:val="Piedepgina"/>
          <w:jc w:val="right"/>
        </w:pPr>
        <w:r>
          <w:fldChar w:fldCharType="begin"/>
        </w:r>
        <w:r>
          <w:instrText xml:space="preserve"> PAGE   \* MERGEFORMAT </w:instrText>
        </w:r>
        <w:r>
          <w:fldChar w:fldCharType="separate"/>
        </w:r>
        <w:r w:rsidR="00C64A50">
          <w:rPr>
            <w:noProof/>
          </w:rPr>
          <w:t>1</w:t>
        </w:r>
        <w:r>
          <w:rPr>
            <w:noProof/>
          </w:rPr>
          <w:fldChar w:fldCharType="end"/>
        </w:r>
      </w:p>
    </w:sdtContent>
  </w:sdt>
  <w:p w:rsidR="008A5272" w:rsidRDefault="008A527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E77F8" w:rsidRDefault="00AE77F8" w:rsidP="00AF092C">
      <w:pPr>
        <w:spacing w:after="0" w:line="240" w:lineRule="auto"/>
      </w:pPr>
      <w:r>
        <w:separator/>
      </w:r>
    </w:p>
  </w:footnote>
  <w:footnote w:type="continuationSeparator" w:id="0">
    <w:p w:rsidR="00AE77F8" w:rsidRDefault="00AE77F8" w:rsidP="00AF092C">
      <w:pPr>
        <w:spacing w:after="0" w:line="240" w:lineRule="auto"/>
      </w:pPr>
      <w:r>
        <w:continuationSeparator/>
      </w:r>
    </w:p>
  </w:footnote>
  <w:footnote w:id="1">
    <w:p w:rsidR="008A5272" w:rsidRDefault="008A5272">
      <w:pPr>
        <w:pStyle w:val="Textonotapie"/>
      </w:pPr>
      <w:r>
        <w:rPr>
          <w:rStyle w:val="Refdenotaalpie"/>
        </w:rPr>
        <w:footnoteRef/>
      </w:r>
      <w:r>
        <w:t xml:space="preserve"> Profesor de la facultad de Economía de la UAEMéx. casa1961@yahoo.com.mx</w:t>
      </w:r>
    </w:p>
  </w:footnote>
  <w:footnote w:id="2">
    <w:p w:rsidR="008A5272" w:rsidRDefault="008A5272">
      <w:pPr>
        <w:pStyle w:val="Textonotapie"/>
      </w:pPr>
      <w:r>
        <w:rPr>
          <w:rStyle w:val="Refdenotaalpie"/>
        </w:rPr>
        <w:footnoteRef/>
      </w:r>
      <w:r>
        <w:t xml:space="preserve"> Profesor de la facultad de Economía de la UAEMéx. sergio_m57@hotmail.com</w:t>
      </w:r>
    </w:p>
  </w:footnote>
  <w:footnote w:id="3">
    <w:p w:rsidR="008A5272" w:rsidRDefault="008A5272">
      <w:pPr>
        <w:pStyle w:val="Textonotapie"/>
      </w:pPr>
      <w:r>
        <w:rPr>
          <w:rStyle w:val="Refdenotaalpie"/>
        </w:rPr>
        <w:footnoteRef/>
      </w:r>
      <w:r>
        <w:t xml:space="preserve"> Profesor de la facultad de Economía de la UAEMéx. riromar@yahoo.com.mx</w:t>
      </w:r>
    </w:p>
  </w:footnote>
  <w:footnote w:id="4">
    <w:p w:rsidR="008A5272" w:rsidRDefault="008A5272">
      <w:pPr>
        <w:pStyle w:val="Textonotapie"/>
      </w:pPr>
      <w:r>
        <w:rPr>
          <w:rStyle w:val="Refdenotaalpie"/>
        </w:rPr>
        <w:footnoteRef/>
      </w:r>
      <w:r>
        <w:t xml:space="preserve"> Profesor de la facultad de Economía de la UAEMéx. jslagadov@uaemex.mx</w:t>
      </w:r>
    </w:p>
  </w:footnote>
  <w:footnote w:id="5">
    <w:p w:rsidR="008A5272" w:rsidRPr="00D97979" w:rsidRDefault="008A5272" w:rsidP="00102F97">
      <w:pPr>
        <w:pStyle w:val="Textonotapie"/>
        <w:jc w:val="both"/>
        <w:rPr>
          <w:sz w:val="18"/>
          <w:szCs w:val="18"/>
          <w:lang w:val="es-ES"/>
        </w:rPr>
      </w:pPr>
      <w:r w:rsidRPr="00D97979">
        <w:rPr>
          <w:rStyle w:val="Refdenotaalpie"/>
          <w:sz w:val="18"/>
          <w:szCs w:val="18"/>
        </w:rPr>
        <w:footnoteRef/>
      </w:r>
      <w:r w:rsidRPr="00D97979">
        <w:rPr>
          <w:sz w:val="18"/>
          <w:szCs w:val="18"/>
          <w:lang w:val="es-ES"/>
        </w:rPr>
        <w:t>El “corto” fue  utilizado del 13 de septiembre de 1995 al 9 de abril del 2003 como Régimen de Saldos Acumulados y del 10 de abril 2003 al 20 de enero del 2008 como Régimen de Saldos Diarios.</w:t>
      </w:r>
      <w:sdt>
        <w:sdtPr>
          <w:rPr>
            <w:sz w:val="18"/>
            <w:szCs w:val="18"/>
            <w:lang w:val="es-ES"/>
          </w:rPr>
          <w:id w:val="6409018"/>
          <w:citation/>
        </w:sdtPr>
        <w:sdtEndPr/>
        <w:sdtContent>
          <w:r w:rsidRPr="00D97979">
            <w:rPr>
              <w:sz w:val="18"/>
              <w:szCs w:val="18"/>
              <w:lang w:val="es-ES"/>
            </w:rPr>
            <w:fldChar w:fldCharType="begin"/>
          </w:r>
          <w:r w:rsidRPr="00D97979">
            <w:rPr>
              <w:sz w:val="18"/>
              <w:szCs w:val="18"/>
              <w:lang w:val="es-ES"/>
            </w:rPr>
            <w:instrText xml:space="preserve"> CITATION Ban12 \l 3082 </w:instrText>
          </w:r>
          <w:r w:rsidRPr="00D97979">
            <w:rPr>
              <w:sz w:val="18"/>
              <w:szCs w:val="18"/>
              <w:lang w:val="es-ES"/>
            </w:rPr>
            <w:fldChar w:fldCharType="separate"/>
          </w:r>
          <w:r>
            <w:rPr>
              <w:noProof/>
              <w:sz w:val="18"/>
              <w:szCs w:val="18"/>
              <w:lang w:val="es-ES"/>
            </w:rPr>
            <w:t xml:space="preserve"> </w:t>
          </w:r>
          <w:r w:rsidRPr="00902E84">
            <w:rPr>
              <w:noProof/>
              <w:sz w:val="18"/>
              <w:szCs w:val="18"/>
              <w:lang w:val="es-ES"/>
            </w:rPr>
            <w:t>(Banxico, 2012)</w:t>
          </w:r>
          <w:r w:rsidRPr="00D97979">
            <w:rPr>
              <w:sz w:val="18"/>
              <w:szCs w:val="18"/>
            </w:rPr>
            <w:fldChar w:fldCharType="end"/>
          </w:r>
        </w:sdtContent>
      </w:sdt>
      <w:r w:rsidRPr="00D97979">
        <w:rPr>
          <w:sz w:val="18"/>
          <w:szCs w:val="18"/>
          <w:lang w:val="es-ES"/>
        </w:rPr>
        <w:t xml:space="preserve">  </w:t>
      </w:r>
      <w:r w:rsidRPr="00D97979">
        <w:rPr>
          <w:sz w:val="18"/>
          <w:szCs w:val="18"/>
        </w:rPr>
        <w:t xml:space="preserve"> </w:t>
      </w:r>
    </w:p>
  </w:footnote>
  <w:footnote w:id="6">
    <w:p w:rsidR="008A5272" w:rsidRPr="00D97979" w:rsidRDefault="008A5272" w:rsidP="00102F97">
      <w:pPr>
        <w:pStyle w:val="Textonotapie"/>
        <w:jc w:val="both"/>
        <w:rPr>
          <w:sz w:val="18"/>
          <w:szCs w:val="18"/>
        </w:rPr>
      </w:pPr>
      <w:r w:rsidRPr="00D97979">
        <w:rPr>
          <w:rStyle w:val="Refdenotaalpie"/>
          <w:sz w:val="18"/>
          <w:szCs w:val="18"/>
        </w:rPr>
        <w:footnoteRef/>
      </w:r>
      <w:r w:rsidRPr="00D97979">
        <w:rPr>
          <w:sz w:val="18"/>
          <w:szCs w:val="18"/>
        </w:rPr>
        <w:t xml:space="preserve"> </w:t>
      </w:r>
      <w:r>
        <w:rPr>
          <w:sz w:val="18"/>
          <w:szCs w:val="18"/>
        </w:rPr>
        <w:t>Se argumenta en el marco teórico. (</w:t>
      </w:r>
      <w:r>
        <w:rPr>
          <w:sz w:val="18"/>
          <w:szCs w:val="18"/>
          <w:lang w:val="es-ES"/>
        </w:rPr>
        <w:t>Carstens y Jácome (2005)),</w:t>
      </w:r>
      <w:r w:rsidRPr="00D97979">
        <w:rPr>
          <w:sz w:val="18"/>
          <w:szCs w:val="18"/>
          <w:lang w:val="es-ES"/>
        </w:rPr>
        <w:t xml:space="preserve"> </w:t>
      </w:r>
      <w:sdt>
        <w:sdtPr>
          <w:rPr>
            <w:bCs/>
            <w:sz w:val="18"/>
            <w:szCs w:val="18"/>
            <w:lang w:val="es-ES"/>
          </w:rPr>
          <w:id w:val="49587674"/>
          <w:citation/>
        </w:sdtPr>
        <w:sdtEndPr/>
        <w:sdtContent>
          <w:r w:rsidRPr="00D97979">
            <w:rPr>
              <w:bCs/>
              <w:sz w:val="18"/>
              <w:szCs w:val="18"/>
              <w:lang w:val="es-ES"/>
            </w:rPr>
            <w:fldChar w:fldCharType="begin"/>
          </w:r>
          <w:r w:rsidRPr="00D97979">
            <w:rPr>
              <w:bCs/>
              <w:sz w:val="18"/>
              <w:szCs w:val="18"/>
              <w:lang w:val="es-ES"/>
            </w:rPr>
            <w:instrText xml:space="preserve"> CITATION Ban072 \l 3082 </w:instrText>
          </w:r>
          <w:r w:rsidRPr="00D97979">
            <w:rPr>
              <w:bCs/>
              <w:sz w:val="18"/>
              <w:szCs w:val="18"/>
              <w:lang w:val="es-ES"/>
            </w:rPr>
            <w:fldChar w:fldCharType="separate"/>
          </w:r>
          <w:r w:rsidRPr="00902E84">
            <w:rPr>
              <w:noProof/>
              <w:sz w:val="18"/>
              <w:szCs w:val="18"/>
              <w:lang w:val="es-ES"/>
            </w:rPr>
            <w:t>(Banxico, 2007)</w:t>
          </w:r>
          <w:r w:rsidRPr="00D97979">
            <w:rPr>
              <w:bCs/>
              <w:sz w:val="18"/>
              <w:szCs w:val="18"/>
              <w:lang w:val="es-ES"/>
            </w:rPr>
            <w:fldChar w:fldCharType="end"/>
          </w:r>
        </w:sdtContent>
      </w:sdt>
      <w:r w:rsidRPr="00D97979">
        <w:rPr>
          <w:bCs/>
          <w:sz w:val="18"/>
          <w:szCs w:val="18"/>
          <w:lang w:val="es-ES"/>
        </w:rPr>
        <w:t>,</w:t>
      </w:r>
      <w:r w:rsidRPr="00D97979">
        <w:rPr>
          <w:rFonts w:asciiTheme="majorHAnsi" w:hAnsiTheme="majorHAnsi"/>
          <w:bCs/>
          <w:sz w:val="18"/>
          <w:szCs w:val="18"/>
          <w:lang w:val="es-ES"/>
        </w:rPr>
        <w:t xml:space="preserve"> </w:t>
      </w:r>
      <w:sdt>
        <w:sdtPr>
          <w:rPr>
            <w:bCs/>
            <w:sz w:val="18"/>
            <w:szCs w:val="18"/>
            <w:lang w:val="es-ES"/>
          </w:rPr>
          <w:id w:val="20649601"/>
          <w:citation/>
        </w:sdtPr>
        <w:sdtEndPr/>
        <w:sdtContent>
          <w:r w:rsidRPr="00D97979">
            <w:rPr>
              <w:bCs/>
              <w:sz w:val="18"/>
              <w:szCs w:val="18"/>
              <w:lang w:val="es-ES"/>
            </w:rPr>
            <w:fldChar w:fldCharType="begin"/>
          </w:r>
          <w:r w:rsidRPr="00D97979">
            <w:rPr>
              <w:bCs/>
              <w:sz w:val="18"/>
              <w:szCs w:val="18"/>
              <w:lang w:val="es-ES"/>
            </w:rPr>
            <w:instrText xml:space="preserve"> CITATION Jea09 \l 3082 </w:instrText>
          </w:r>
          <w:r w:rsidRPr="00D97979">
            <w:rPr>
              <w:bCs/>
              <w:sz w:val="18"/>
              <w:szCs w:val="18"/>
              <w:lang w:val="es-ES"/>
            </w:rPr>
            <w:fldChar w:fldCharType="separate"/>
          </w:r>
          <w:r w:rsidRPr="00902E84">
            <w:rPr>
              <w:noProof/>
              <w:sz w:val="18"/>
              <w:szCs w:val="18"/>
              <w:lang w:val="es-ES"/>
            </w:rPr>
            <w:t>(Jeanneau &amp; Tovar, 2009)</w:t>
          </w:r>
          <w:r w:rsidRPr="00D97979">
            <w:rPr>
              <w:sz w:val="18"/>
              <w:szCs w:val="18"/>
              <w:lang w:val="es-ES"/>
            </w:rPr>
            <w:fldChar w:fldCharType="end"/>
          </w:r>
        </w:sdtContent>
      </w:sdt>
      <w:r w:rsidRPr="00D97979">
        <w:rPr>
          <w:bCs/>
          <w:sz w:val="18"/>
          <w:szCs w:val="18"/>
          <w:lang w:val="es-ES"/>
        </w:rPr>
        <w:t>.</w:t>
      </w:r>
    </w:p>
  </w:footnote>
  <w:footnote w:id="7">
    <w:p w:rsidR="008A5272" w:rsidRPr="00D97979" w:rsidRDefault="008A5272" w:rsidP="00102F97">
      <w:pPr>
        <w:pStyle w:val="Textonotapie"/>
        <w:jc w:val="both"/>
        <w:rPr>
          <w:sz w:val="18"/>
          <w:szCs w:val="18"/>
        </w:rPr>
      </w:pPr>
      <w:r w:rsidRPr="00D97979">
        <w:rPr>
          <w:rStyle w:val="Refdenotaalpie"/>
          <w:sz w:val="18"/>
          <w:szCs w:val="18"/>
        </w:rPr>
        <w:footnoteRef/>
      </w:r>
      <w:r w:rsidRPr="00D97979">
        <w:rPr>
          <w:sz w:val="18"/>
          <w:szCs w:val="18"/>
        </w:rPr>
        <w:t xml:space="preserve"> La inflación es el incremento sostenido y generalizado de los precios de bienes y servicios de una economía </w:t>
      </w:r>
      <w:r>
        <w:rPr>
          <w:sz w:val="18"/>
          <w:szCs w:val="18"/>
        </w:rPr>
        <w:t>dentro de un periodo a otro</w:t>
      </w:r>
      <w:r w:rsidRPr="00D97979">
        <w:rPr>
          <w:sz w:val="18"/>
          <w:szCs w:val="18"/>
        </w:rPr>
        <w:t>.</w:t>
      </w:r>
    </w:p>
  </w:footnote>
  <w:footnote w:id="8">
    <w:p w:rsidR="008A5272" w:rsidRPr="00D97979" w:rsidRDefault="008A5272" w:rsidP="00102F97">
      <w:pPr>
        <w:pStyle w:val="Textonotapie"/>
        <w:jc w:val="both"/>
        <w:rPr>
          <w:sz w:val="18"/>
          <w:szCs w:val="18"/>
        </w:rPr>
      </w:pPr>
      <w:r w:rsidRPr="00D97979">
        <w:rPr>
          <w:rStyle w:val="Refdenotaalpie"/>
          <w:sz w:val="18"/>
          <w:szCs w:val="18"/>
        </w:rPr>
        <w:footnoteRef/>
      </w:r>
      <w:r w:rsidRPr="00D97979">
        <w:rPr>
          <w:sz w:val="18"/>
          <w:szCs w:val="18"/>
        </w:rPr>
        <w:t xml:space="preserve"> </w:t>
      </w:r>
      <w:r w:rsidRPr="00D97979">
        <w:rPr>
          <w:sz w:val="18"/>
          <w:szCs w:val="18"/>
          <w:lang w:val="es-ES"/>
        </w:rPr>
        <w:t xml:space="preserve">Al procurar el objetivo de mantener un entorno de inflación baja y estable, el Banco de México contribuye a establecer condiciones propicias para el crecimiento económico sostenido y, por lo tanto, para la creación de empleos </w:t>
      </w:r>
      <w:r>
        <w:rPr>
          <w:sz w:val="18"/>
          <w:szCs w:val="18"/>
          <w:lang w:val="es-ES"/>
        </w:rPr>
        <w:t>p</w:t>
      </w:r>
      <w:r w:rsidRPr="00D97979">
        <w:rPr>
          <w:sz w:val="18"/>
          <w:szCs w:val="18"/>
          <w:lang w:val="es-ES"/>
        </w:rPr>
        <w:t xml:space="preserve">ermanentes. </w:t>
      </w:r>
      <w:sdt>
        <w:sdtPr>
          <w:rPr>
            <w:sz w:val="18"/>
            <w:szCs w:val="18"/>
            <w:lang w:val="es-ES"/>
          </w:rPr>
          <w:id w:val="678707"/>
          <w:citation/>
        </w:sdtPr>
        <w:sdtEndPr/>
        <w:sdtContent>
          <w:r w:rsidRPr="00D97979">
            <w:rPr>
              <w:sz w:val="18"/>
              <w:szCs w:val="18"/>
              <w:lang w:val="es-ES"/>
            </w:rPr>
            <w:fldChar w:fldCharType="begin"/>
          </w:r>
          <w:r w:rsidRPr="00D97979">
            <w:rPr>
              <w:sz w:val="18"/>
              <w:szCs w:val="18"/>
              <w:lang w:val="es-ES"/>
            </w:rPr>
            <w:instrText xml:space="preserve"> CITATION Ban12 \l 3082 </w:instrText>
          </w:r>
          <w:r w:rsidRPr="00D97979">
            <w:rPr>
              <w:sz w:val="18"/>
              <w:szCs w:val="18"/>
              <w:lang w:val="es-ES"/>
            </w:rPr>
            <w:fldChar w:fldCharType="separate"/>
          </w:r>
          <w:r w:rsidRPr="00902E84">
            <w:rPr>
              <w:noProof/>
              <w:sz w:val="18"/>
              <w:szCs w:val="18"/>
              <w:lang w:val="es-ES"/>
            </w:rPr>
            <w:t>(Banxico, 2012)</w:t>
          </w:r>
          <w:r w:rsidRPr="00D97979">
            <w:rPr>
              <w:sz w:val="18"/>
              <w:szCs w:val="18"/>
              <w:lang w:val="es-ES"/>
            </w:rPr>
            <w:fldChar w:fldCharType="end"/>
          </w:r>
        </w:sdtContent>
      </w:sdt>
      <w:r w:rsidRPr="00D97979">
        <w:rPr>
          <w:sz w:val="18"/>
          <w:szCs w:val="18"/>
          <w:lang w:val="es-ES"/>
        </w:rPr>
        <w:t xml:space="preserve"> </w:t>
      </w:r>
    </w:p>
  </w:footnote>
  <w:footnote w:id="9">
    <w:p w:rsidR="008A5272" w:rsidRDefault="008A5272" w:rsidP="008A5272">
      <w:pPr>
        <w:pStyle w:val="Textonotapie"/>
      </w:pPr>
      <w:r>
        <w:rPr>
          <w:rStyle w:val="Refdenotaalpie"/>
        </w:rPr>
        <w:footnoteRef/>
      </w:r>
      <w:r>
        <w:t xml:space="preserve"> </w:t>
      </w:r>
      <w:r>
        <w:rPr>
          <w:rFonts w:cs="Times New Roman"/>
          <w:sz w:val="18"/>
        </w:rPr>
        <w:t>De acuerdo al Banco de México la inflación es</w:t>
      </w:r>
      <w:r w:rsidRPr="0066133D">
        <w:rPr>
          <w:rFonts w:cs="Times New Roman"/>
          <w:sz w:val="18"/>
        </w:rPr>
        <w:t xml:space="preserve"> la tasa de crecimiento promedio de un período a otro de los </w:t>
      </w:r>
      <w:r>
        <w:rPr>
          <w:rFonts w:cs="Times New Roman"/>
          <w:sz w:val="18"/>
        </w:rPr>
        <w:t xml:space="preserve">precios de  </w:t>
      </w:r>
      <w:r w:rsidRPr="0066133D">
        <w:rPr>
          <w:rFonts w:cs="Times New Roman"/>
          <w:sz w:val="18"/>
        </w:rPr>
        <w:t>una canasta de bienes y servicios.</w:t>
      </w:r>
      <w:r>
        <w:rPr>
          <w:rFonts w:cs="Times New Roman"/>
          <w:sz w:val="18"/>
        </w:rPr>
        <w:t xml:space="preserve"> (Banxico, 2013c)</w:t>
      </w:r>
    </w:p>
  </w:footnote>
  <w:footnote w:id="10">
    <w:p w:rsidR="008A5272" w:rsidRDefault="008A5272" w:rsidP="00B00FE4">
      <w:pPr>
        <w:pStyle w:val="Textonotapie"/>
        <w:jc w:val="both"/>
      </w:pPr>
      <w:r>
        <w:rPr>
          <w:rStyle w:val="Refdenotaalpie"/>
        </w:rPr>
        <w:footnoteRef/>
      </w:r>
      <w:r>
        <w:t xml:space="preserve">  </w:t>
      </w:r>
      <w:r w:rsidRPr="00BC476D">
        <w:rPr>
          <w:sz w:val="18"/>
          <w:szCs w:val="18"/>
        </w:rPr>
        <w:t>U</w:t>
      </w:r>
      <w:r w:rsidRPr="00BC476D">
        <w:rPr>
          <w:rFonts w:cs="Arial"/>
          <w:color w:val="000000"/>
          <w:sz w:val="18"/>
          <w:szCs w:val="18"/>
          <w:shd w:val="clear" w:color="auto" w:fill="FFFFFF"/>
        </w:rPr>
        <w:t xml:space="preserve">tilizándolo en el contexto de la instrumentación de la </w:t>
      </w:r>
      <w:r>
        <w:rPr>
          <w:rFonts w:cs="Arial"/>
          <w:color w:val="000000"/>
          <w:sz w:val="18"/>
          <w:szCs w:val="18"/>
          <w:shd w:val="clear" w:color="auto" w:fill="FFFFFF"/>
        </w:rPr>
        <w:t>Política M</w:t>
      </w:r>
      <w:r w:rsidRPr="00BC476D">
        <w:rPr>
          <w:rFonts w:cs="Arial"/>
          <w:color w:val="000000"/>
          <w:sz w:val="18"/>
          <w:szCs w:val="18"/>
          <w:shd w:val="clear" w:color="auto" w:fill="FFFFFF"/>
        </w:rPr>
        <w:t>onetaria, el término liquidez se refiere a los excesos o faltantes en los agregados de</w:t>
      </w:r>
      <w:r>
        <w:rPr>
          <w:rFonts w:cs="Arial"/>
          <w:color w:val="000000"/>
          <w:sz w:val="18"/>
          <w:szCs w:val="18"/>
          <w:shd w:val="clear" w:color="auto" w:fill="FFFFFF"/>
        </w:rPr>
        <w:t xml:space="preserve"> las cuentas </w:t>
      </w:r>
      <w:r w:rsidRPr="0050108C">
        <w:rPr>
          <w:rFonts w:cs="Arial"/>
          <w:color w:val="000000"/>
          <w:sz w:val="18"/>
          <w:szCs w:val="18"/>
          <w:shd w:val="clear" w:color="auto" w:fill="FFFFFF"/>
        </w:rPr>
        <w:t xml:space="preserve">corrientes </w:t>
      </w:r>
      <w:r w:rsidRPr="0050108C">
        <w:rPr>
          <w:rFonts w:ascii="Arial" w:hAnsi="Arial" w:cs="Arial"/>
          <w:color w:val="000000"/>
          <w:sz w:val="18"/>
          <w:szCs w:val="18"/>
          <w:shd w:val="clear" w:color="auto" w:fill="FFFFFF"/>
        </w:rPr>
        <w:t>(</w:t>
      </w:r>
      <w:r w:rsidRPr="0050108C">
        <w:rPr>
          <w:rFonts w:cs="Arial"/>
          <w:color w:val="000000"/>
          <w:sz w:val="18"/>
          <w:szCs w:val="18"/>
          <w:shd w:val="clear" w:color="auto" w:fill="FFFFFF"/>
        </w:rPr>
        <w:t>Banxico, 2013</w:t>
      </w:r>
      <w:r>
        <w:rPr>
          <w:rFonts w:cs="Arial"/>
          <w:color w:val="000000"/>
          <w:sz w:val="18"/>
          <w:szCs w:val="18"/>
          <w:shd w:val="clear" w:color="auto" w:fill="FFFFFF"/>
        </w:rPr>
        <w:t>c</w:t>
      </w:r>
      <w:r w:rsidRPr="0050108C">
        <w:rPr>
          <w:rFonts w:cs="Arial"/>
          <w:color w:val="000000"/>
          <w:sz w:val="18"/>
          <w:szCs w:val="18"/>
          <w:shd w:val="clear" w:color="auto" w:fill="FFFFFF"/>
        </w:rPr>
        <w:t>)</w:t>
      </w:r>
    </w:p>
  </w:footnote>
  <w:footnote w:id="11">
    <w:p w:rsidR="008A5272" w:rsidRPr="00C54B6B" w:rsidRDefault="008A5272" w:rsidP="00B00FE4">
      <w:pPr>
        <w:spacing w:after="0"/>
        <w:jc w:val="both"/>
        <w:rPr>
          <w:rFonts w:cs="Arial"/>
          <w:color w:val="000000"/>
          <w:sz w:val="18"/>
          <w:szCs w:val="18"/>
          <w:shd w:val="clear" w:color="auto" w:fill="FFFFFF"/>
        </w:rPr>
      </w:pPr>
      <w:r>
        <w:rPr>
          <w:rStyle w:val="Refdenotaalpie"/>
        </w:rPr>
        <w:footnoteRef/>
      </w:r>
      <w:r>
        <w:t xml:space="preserve">  </w:t>
      </w:r>
      <w:r>
        <w:rPr>
          <w:rFonts w:cs="Arial"/>
          <w:color w:val="000000"/>
          <w:sz w:val="18"/>
          <w:szCs w:val="18"/>
          <w:shd w:val="clear" w:color="auto" w:fill="FFFFFF"/>
        </w:rPr>
        <w:t xml:space="preserve">Las cuentas corrientes son </w:t>
      </w:r>
      <w:r w:rsidRPr="00BC476D">
        <w:rPr>
          <w:rFonts w:cs="Arial"/>
          <w:color w:val="000000"/>
          <w:sz w:val="18"/>
          <w:szCs w:val="18"/>
          <w:shd w:val="clear" w:color="auto" w:fill="FFFFFF"/>
        </w:rPr>
        <w:t>las cuentas de los bancos</w:t>
      </w:r>
      <w:r>
        <w:rPr>
          <w:rFonts w:cs="Arial"/>
          <w:color w:val="000000"/>
          <w:sz w:val="18"/>
          <w:szCs w:val="18"/>
          <w:shd w:val="clear" w:color="auto" w:fill="FFFFFF"/>
        </w:rPr>
        <w:t xml:space="preserve"> comerciales</w:t>
      </w:r>
      <w:r w:rsidRPr="00BC476D">
        <w:rPr>
          <w:rFonts w:cs="Arial"/>
          <w:color w:val="000000"/>
          <w:sz w:val="18"/>
          <w:szCs w:val="18"/>
          <w:shd w:val="clear" w:color="auto" w:fill="FFFFFF"/>
        </w:rPr>
        <w:t xml:space="preserve"> dentro del banco central (las cuales </w:t>
      </w:r>
      <w:r>
        <w:rPr>
          <w:rFonts w:cs="Arial"/>
          <w:color w:val="000000"/>
          <w:sz w:val="18"/>
          <w:szCs w:val="18"/>
          <w:shd w:val="clear" w:color="auto" w:fill="FFFFFF"/>
        </w:rPr>
        <w:t xml:space="preserve">también </w:t>
      </w:r>
      <w:r w:rsidRPr="00BC476D">
        <w:rPr>
          <w:rFonts w:cs="Arial"/>
          <w:color w:val="000000"/>
          <w:sz w:val="18"/>
          <w:szCs w:val="18"/>
          <w:shd w:val="clear" w:color="auto" w:fill="FFFFFF"/>
        </w:rPr>
        <w:t xml:space="preserve">son conocidas como </w:t>
      </w:r>
      <w:r>
        <w:rPr>
          <w:rFonts w:cs="Arial"/>
          <w:color w:val="000000"/>
          <w:sz w:val="18"/>
          <w:szCs w:val="18"/>
          <w:shd w:val="clear" w:color="auto" w:fill="FFFFFF"/>
        </w:rPr>
        <w:t xml:space="preserve">reservas bancarias </w:t>
      </w:r>
      <w:r w:rsidRPr="00BC476D">
        <w:rPr>
          <w:rFonts w:cs="Arial"/>
          <w:color w:val="000000"/>
          <w:sz w:val="18"/>
          <w:szCs w:val="18"/>
          <w:shd w:val="clear" w:color="auto" w:fill="FFFFFF"/>
        </w:rPr>
        <w:t>o cuentas únicas</w:t>
      </w:r>
      <w:r w:rsidRPr="0050108C">
        <w:rPr>
          <w:rFonts w:cs="Arial"/>
          <w:color w:val="000000"/>
          <w:sz w:val="18"/>
          <w:szCs w:val="18"/>
          <w:shd w:val="clear" w:color="auto" w:fill="FFFFFF"/>
        </w:rPr>
        <w:t>)</w:t>
      </w:r>
      <w:r w:rsidRPr="0050108C">
        <w:rPr>
          <w:rFonts w:ascii="Arial" w:hAnsi="Arial" w:cs="Arial"/>
          <w:color w:val="000000"/>
          <w:sz w:val="18"/>
          <w:szCs w:val="18"/>
          <w:shd w:val="clear" w:color="auto" w:fill="FFFFFF"/>
        </w:rPr>
        <w:t xml:space="preserve">. </w:t>
      </w:r>
      <w:r>
        <w:rPr>
          <w:rFonts w:cs="Arial"/>
          <w:color w:val="000000"/>
          <w:sz w:val="18"/>
          <w:szCs w:val="18"/>
          <w:shd w:val="clear" w:color="auto" w:fill="FFFFFF"/>
        </w:rPr>
        <w:t>(Banxico, 2013c)</w:t>
      </w:r>
    </w:p>
    <w:p w:rsidR="008A5272" w:rsidRDefault="008A5272" w:rsidP="00B00FE4">
      <w:pPr>
        <w:pStyle w:val="Textonotapie"/>
        <w:jc w:val="both"/>
      </w:pPr>
    </w:p>
  </w:footnote>
  <w:footnote w:id="12">
    <w:p w:rsidR="008A5272" w:rsidRDefault="008A5272" w:rsidP="00B00FE4">
      <w:pPr>
        <w:pStyle w:val="Textonotapie"/>
        <w:jc w:val="both"/>
      </w:pPr>
      <w:r>
        <w:rPr>
          <w:rStyle w:val="Refdenotaalpie"/>
        </w:rPr>
        <w:footnoteRef/>
      </w:r>
      <w:r>
        <w:t xml:space="preserve">  </w:t>
      </w:r>
      <w:r>
        <w:rPr>
          <w:sz w:val="18"/>
          <w:szCs w:val="18"/>
        </w:rPr>
        <w:t xml:space="preserve">La influencia del Banco Central en los tipos de interés y la oferta monetaria mediante operaciones de mercado abierto está sujeta a tres limitaciones: La primera de ellas es que el Banco Central puede elegir entre fijar tipos de interés o determinar la proporción de las reservas de caja de las entidades bancarias, pero no puede fijar ambas cosas de manera arbitraria. En segundo lugar, estas entidades pueden no mantener constantes sus coeficientes de reservas, y puede que tengan tal posición de liquidez que no les importe una reducción de sus coeficientes de caja, lo que limitaría los efectos de las ventas en el mercado abierto. No obstante, parece muy difícil que esto ocurra, porque equivale a admitir que los bancos inmovilizan activos den forma improductiva y porque pueden imponerse coeficientes mínimos de reservas al nivel que se desee. La tercera limitación surge del hecho de que hay que tener algo con que operar y debe existir un mercado en el que actuar. </w:t>
      </w:r>
      <w:r w:rsidRPr="00FF33A6">
        <w:rPr>
          <w:sz w:val="18"/>
          <w:szCs w:val="18"/>
        </w:rPr>
        <w:t>(Fernández, et al., 1991)</w:t>
      </w:r>
    </w:p>
  </w:footnote>
  <w:footnote w:id="13">
    <w:p w:rsidR="008A5272" w:rsidRDefault="008A5272" w:rsidP="00B00FE4">
      <w:pPr>
        <w:pStyle w:val="Textonotapie"/>
        <w:jc w:val="both"/>
      </w:pPr>
      <w:r>
        <w:rPr>
          <w:rStyle w:val="Refdenotaalpie"/>
        </w:rPr>
        <w:footnoteRef/>
      </w:r>
      <w:r>
        <w:t xml:space="preserve">  </w:t>
      </w:r>
      <w:r>
        <w:rPr>
          <w:sz w:val="18"/>
          <w:szCs w:val="18"/>
        </w:rPr>
        <w:t>Se fija para un periodo de tiempo relativamente prolongado, siendo complementado con las operaciones de mercado abierto y la tasa de redescuento como instrumentos más precisos para la regulación de liquidez continua y a corto plazo.</w:t>
      </w:r>
    </w:p>
  </w:footnote>
  <w:footnote w:id="14">
    <w:p w:rsidR="008A5272" w:rsidRDefault="008A5272" w:rsidP="00B00FE4">
      <w:pPr>
        <w:pStyle w:val="Textonotapie"/>
        <w:jc w:val="both"/>
      </w:pPr>
      <w:r>
        <w:rPr>
          <w:rStyle w:val="Refdenotaalpie"/>
        </w:rPr>
        <w:footnoteRef/>
      </w:r>
      <w:r>
        <w:t xml:space="preserve">  </w:t>
      </w:r>
      <w:r>
        <w:rPr>
          <w:sz w:val="18"/>
          <w:szCs w:val="18"/>
        </w:rPr>
        <w:t>El tipo de redescuento es el tipo de interés, que las entidades bancarias deben pagar al Banco Central por sus préstamos</w:t>
      </w:r>
    </w:p>
  </w:footnote>
  <w:footnote w:id="15">
    <w:p w:rsidR="008A5272" w:rsidRDefault="008A5272" w:rsidP="00B00FE4">
      <w:pPr>
        <w:pStyle w:val="Textonotapie"/>
        <w:jc w:val="both"/>
      </w:pPr>
      <w:r>
        <w:rPr>
          <w:rStyle w:val="Refdenotaalpie"/>
        </w:rPr>
        <w:footnoteRef/>
      </w:r>
      <w:r>
        <w:t xml:space="preserve">  </w:t>
      </w:r>
      <w:r w:rsidRPr="00E9206E">
        <w:rPr>
          <w:sz w:val="18"/>
          <w:szCs w:val="18"/>
        </w:rPr>
        <w:t>C</w:t>
      </w:r>
      <w:r>
        <w:rPr>
          <w:sz w:val="18"/>
          <w:szCs w:val="18"/>
        </w:rPr>
        <w:t>abe señalar que los empresarios, para tomar sus decisiones, toman en cuenta el tipo de interés de las entidades bancarias no el tipo de redescuento del Banco Central. Con ello, se llega a la conclusión de que no es seguro que un aumento o disminución del tipo de interés de las entidades bancarias siga una caída o crecimiento, respectivamente, de la cantidad demandada por los empresarios.</w:t>
      </w:r>
    </w:p>
  </w:footnote>
  <w:footnote w:id="16">
    <w:p w:rsidR="008A5272" w:rsidRDefault="008A5272" w:rsidP="008A5272">
      <w:pPr>
        <w:pStyle w:val="Textonotapie"/>
      </w:pPr>
      <w:r>
        <w:rPr>
          <w:rStyle w:val="Refdenotaalpie"/>
        </w:rPr>
        <w:footnoteRef/>
      </w:r>
      <w:r>
        <w:t xml:space="preserve">  </w:t>
      </w:r>
      <w:r w:rsidRPr="00947376">
        <w:rPr>
          <w:rFonts w:cs="Arial"/>
          <w:bCs/>
          <w:iCs/>
          <w:sz w:val="18"/>
        </w:rPr>
        <w:t>Es aquél cuya determinación corresponde exclusivamente a la oferta y demanda de divisas. Es decir, el precio resultante del libre juego del mercado de divisas.(Banxico, 2013</w:t>
      </w:r>
      <w:r>
        <w:rPr>
          <w:rFonts w:cs="Arial"/>
          <w:bCs/>
          <w:iCs/>
          <w:sz w:val="18"/>
        </w:rPr>
        <w:t>c</w:t>
      </w:r>
      <w:r w:rsidRPr="00947376">
        <w:rPr>
          <w:rFonts w:cs="Arial"/>
          <w:bCs/>
          <w:iCs/>
          <w:sz w:val="18"/>
        </w:rPr>
        <w:t>)</w:t>
      </w:r>
    </w:p>
  </w:footnote>
  <w:footnote w:id="17">
    <w:p w:rsidR="008A5272" w:rsidRDefault="008A5272" w:rsidP="008A5272">
      <w:pPr>
        <w:pStyle w:val="Textonotapie"/>
      </w:pPr>
      <w:r>
        <w:rPr>
          <w:rStyle w:val="Refdenotaalpie"/>
        </w:rPr>
        <w:footnoteRef/>
      </w:r>
      <w:r>
        <w:t xml:space="preserve">  </w:t>
      </w:r>
      <w:r w:rsidRPr="009A1888">
        <w:rPr>
          <w:sz w:val="18"/>
        </w:rPr>
        <w:t>En este sentido, la migración formal a un objetivo operacional de tasas de interés se instrumentará sin alterar la forma en que el Banco de México lleva a cabo sus operaciones. Adicionalmente, el cambio facilitará la comprensión de las acciones de política monetaria y homologará su instrumentación con la que siguen varios bancos centrales del mundo</w:t>
      </w:r>
      <w:r>
        <w:rPr>
          <w:sz w:val="18"/>
        </w:rPr>
        <w:t>.</w:t>
      </w:r>
    </w:p>
  </w:footnote>
  <w:footnote w:id="18">
    <w:p w:rsidR="008A5272" w:rsidRPr="00A51C1F" w:rsidRDefault="008A5272" w:rsidP="00B00FE4">
      <w:pPr>
        <w:pStyle w:val="Textonotapie"/>
        <w:jc w:val="both"/>
        <w:rPr>
          <w:lang w:val="es-ES"/>
        </w:rPr>
      </w:pPr>
      <w:r>
        <w:rPr>
          <w:rStyle w:val="Refdenotaalpie"/>
        </w:rPr>
        <w:footnoteRef/>
      </w:r>
      <w:r w:rsidRPr="00A51C1F">
        <w:rPr>
          <w:lang w:val="es-CO"/>
        </w:rPr>
        <w:t xml:space="preserve">La idea general de la Prueba de Causalidad de Granger se basa en: “… </w:t>
      </w:r>
      <w:r w:rsidRPr="00A51C1F">
        <w:rPr>
          <w:i/>
          <w:lang w:val="es-CO"/>
        </w:rPr>
        <w:t>el tiempo no corre hacia atrás. Es decir, si un acontecimiento A sucede antes de un suceso B, entonces es posible que A este causando a B. Sin embargo, no es posible que B este provocando A. En otras palabras, los acontecimientos pasados pueden propiciar sucesos que se están dando en la actualidad. Lo cual no ocurre con los sucesos futuros”.</w:t>
      </w:r>
      <w:sdt>
        <w:sdtPr>
          <w:rPr>
            <w:i/>
            <w:lang w:val="es-CO"/>
          </w:rPr>
          <w:id w:val="13932949"/>
          <w:citation/>
        </w:sdtPr>
        <w:sdtEndPr/>
        <w:sdtContent>
          <w:r w:rsidRPr="00A51C1F">
            <w:rPr>
              <w:i/>
              <w:lang w:val="es-CO"/>
            </w:rPr>
            <w:fldChar w:fldCharType="begin"/>
          </w:r>
          <w:r w:rsidRPr="00A51C1F">
            <w:rPr>
              <w:i/>
              <w:lang w:val="es-ES"/>
            </w:rPr>
            <w:instrText xml:space="preserve"> CITATION Guj07 \l 3082 </w:instrText>
          </w:r>
          <w:r w:rsidRPr="00A51C1F">
            <w:rPr>
              <w:i/>
              <w:lang w:val="es-CO"/>
            </w:rPr>
            <w:fldChar w:fldCharType="separate"/>
          </w:r>
          <w:r>
            <w:rPr>
              <w:i/>
              <w:noProof/>
              <w:lang w:val="es-ES"/>
            </w:rPr>
            <w:t xml:space="preserve"> </w:t>
          </w:r>
          <w:r w:rsidRPr="00902E84">
            <w:rPr>
              <w:noProof/>
              <w:lang w:val="es-ES"/>
            </w:rPr>
            <w:t>(Gujarati, 2007)</w:t>
          </w:r>
          <w:r w:rsidRPr="00A51C1F">
            <w:fldChar w:fldCharType="end"/>
          </w:r>
        </w:sdtContent>
      </w:sdt>
      <w:r w:rsidRPr="00A51C1F">
        <w:rPr>
          <w:lang w:val="es-CO"/>
        </w:rPr>
        <w:t xml:space="preserve">   </w:t>
      </w:r>
      <w:r>
        <w:t xml:space="preserve"> </w:t>
      </w:r>
    </w:p>
  </w:footnote>
  <w:footnote w:id="19">
    <w:p w:rsidR="008A5272" w:rsidRPr="007B236D" w:rsidRDefault="008A5272" w:rsidP="00B00FE4">
      <w:pPr>
        <w:pStyle w:val="Textonotapie"/>
        <w:jc w:val="both"/>
      </w:pPr>
      <w:r>
        <w:rPr>
          <w:rStyle w:val="Refdenotaalpie"/>
        </w:rPr>
        <w:footnoteRef/>
      </w:r>
      <w:r>
        <w:t xml:space="preserve"> (Castellanos, 2000) </w:t>
      </w:r>
      <w:sdt>
        <w:sdtPr>
          <w:id w:val="13932950"/>
          <w:citation/>
        </w:sdtPr>
        <w:sdtEndPr/>
        <w:sdtContent>
          <w:r>
            <w:fldChar w:fldCharType="begin"/>
          </w:r>
          <w:r>
            <w:rPr>
              <w:lang w:val="es-ES"/>
            </w:rPr>
            <w:instrText xml:space="preserve"> CITATION MarcadorDePosición3 \l 3082 </w:instrText>
          </w:r>
          <w:r>
            <w:fldChar w:fldCharType="separate"/>
          </w:r>
          <w:r w:rsidRPr="00902E84">
            <w:rPr>
              <w:noProof/>
              <w:lang w:val="es-ES"/>
            </w:rPr>
            <w:t>(Benavides &amp; Capistrán, 2009-2010)</w:t>
          </w:r>
          <w:r>
            <w:fldChar w:fldCharType="end"/>
          </w:r>
        </w:sdtContent>
      </w:sdt>
      <w:sdt>
        <w:sdtPr>
          <w:id w:val="13932951"/>
          <w:citation/>
        </w:sdtPr>
        <w:sdtEndPr/>
        <w:sdtContent>
          <w:r>
            <w:fldChar w:fldCharType="begin"/>
          </w:r>
          <w:r>
            <w:rPr>
              <w:lang w:val="es-ES"/>
            </w:rPr>
            <w:instrText xml:space="preserve"> CITATION Mán111 \l 3082 </w:instrText>
          </w:r>
          <w:r>
            <w:fldChar w:fldCharType="separate"/>
          </w:r>
          <w:r>
            <w:rPr>
              <w:noProof/>
              <w:lang w:val="es-ES"/>
            </w:rPr>
            <w:t xml:space="preserve"> </w:t>
          </w:r>
          <w:r w:rsidRPr="00902E84">
            <w:rPr>
              <w:noProof/>
              <w:lang w:val="es-ES"/>
            </w:rPr>
            <w:t>(Mántey, 2011)</w:t>
          </w:r>
          <w:r>
            <w:fldChar w:fldCharType="end"/>
          </w:r>
        </w:sdtContent>
      </w:sdt>
      <w:sdt>
        <w:sdtPr>
          <w:id w:val="13932952"/>
          <w:citation/>
        </w:sdtPr>
        <w:sdtEndPr/>
        <w:sdtContent>
          <w:r>
            <w:fldChar w:fldCharType="begin"/>
          </w:r>
          <w:r>
            <w:rPr>
              <w:lang w:val="es-ES"/>
            </w:rPr>
            <w:instrText xml:space="preserve"> CITATION Cer11 \l 3082 </w:instrText>
          </w:r>
          <w:r>
            <w:fldChar w:fldCharType="separate"/>
          </w:r>
          <w:r>
            <w:rPr>
              <w:noProof/>
              <w:lang w:val="es-ES"/>
            </w:rPr>
            <w:t xml:space="preserve"> </w:t>
          </w:r>
          <w:r w:rsidRPr="00902E84">
            <w:rPr>
              <w:noProof/>
              <w:lang w:val="es-ES"/>
            </w:rPr>
            <w:t>(Cermeño &amp; Navarrete, 2011)</w:t>
          </w:r>
          <w:r>
            <w:fldChar w:fldCharType="end"/>
          </w:r>
        </w:sdtContent>
      </w:sdt>
    </w:p>
  </w:footnote>
  <w:footnote w:id="20">
    <w:p w:rsidR="008A5272" w:rsidRPr="009B3762" w:rsidRDefault="008A5272" w:rsidP="00B00FE4">
      <w:pPr>
        <w:pStyle w:val="Textonotapie"/>
        <w:jc w:val="both"/>
      </w:pPr>
      <w:r>
        <w:rPr>
          <w:rStyle w:val="Refdenotaalpie"/>
        </w:rPr>
        <w:footnoteRef/>
      </w:r>
      <w:r>
        <w:t xml:space="preserve"> Como: precios de acciones, tasas de cambio, tasas de inflación. Etc. </w:t>
      </w:r>
      <w:sdt>
        <w:sdtPr>
          <w:id w:val="13932953"/>
          <w:citation/>
        </w:sdtPr>
        <w:sdtEndPr/>
        <w:sdtContent>
          <w:r>
            <w:fldChar w:fldCharType="begin"/>
          </w:r>
          <w:r>
            <w:rPr>
              <w:lang w:val="es-ES"/>
            </w:rPr>
            <w:instrText xml:space="preserve"> CITATION Guj09 \l 3082 </w:instrText>
          </w:r>
          <w:r>
            <w:fldChar w:fldCharType="separate"/>
          </w:r>
          <w:r w:rsidRPr="00902E84">
            <w:rPr>
              <w:noProof/>
              <w:lang w:val="es-ES"/>
            </w:rPr>
            <w:t>(Gujarati, 2009)</w:t>
          </w:r>
          <w:r>
            <w:fldChar w:fldCharType="end"/>
          </w:r>
        </w:sdtContent>
      </w:sdt>
    </w:p>
  </w:footnote>
  <w:footnote w:id="21">
    <w:p w:rsidR="00EC66C8" w:rsidRDefault="00EC66C8" w:rsidP="00EC66C8">
      <w:pPr>
        <w:pStyle w:val="Textonotapie"/>
      </w:pPr>
      <w:r>
        <w:rPr>
          <w:rStyle w:val="Refdenotaalpie"/>
        </w:rPr>
        <w:footnoteRef/>
      </w:r>
      <w:r>
        <w:t xml:space="preserve"> </w:t>
      </w:r>
      <w:r>
        <w:rPr>
          <w:sz w:val="18"/>
          <w:szCs w:val="18"/>
        </w:rPr>
        <w:t>Las siglas BEKK se refieren a Baba, Engle, Kraft y Kromer, que son los apellidos de los autores que originalmente propusieron este método en 1992.</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23D4B"/>
    <w:multiLevelType w:val="hybridMultilevel"/>
    <w:tmpl w:val="60341B06"/>
    <w:lvl w:ilvl="0" w:tplc="0C0A0017">
      <w:start w:val="1"/>
      <w:numFmt w:val="lowerLetter"/>
      <w:lvlText w:val="%1)"/>
      <w:lvlJc w:val="left"/>
      <w:pPr>
        <w:ind w:left="1068" w:hanging="360"/>
      </w:p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 w15:restartNumberingAfterBreak="0">
    <w:nsid w:val="069B29F2"/>
    <w:multiLevelType w:val="hybridMultilevel"/>
    <w:tmpl w:val="9C3AD482"/>
    <w:lvl w:ilvl="0" w:tplc="688C425E">
      <w:start w:val="7"/>
      <w:numFmt w:val="bullet"/>
      <w:lvlText w:val=""/>
      <w:lvlJc w:val="left"/>
      <w:pPr>
        <w:ind w:left="720" w:hanging="360"/>
      </w:pPr>
      <w:rPr>
        <w:rFonts w:ascii="Symbol" w:eastAsiaTheme="minorHAnsi" w:hAnsi="Symbol" w:cs="Times New Roman" w:hint="default"/>
        <w:b w:val="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6F1077E"/>
    <w:multiLevelType w:val="hybridMultilevel"/>
    <w:tmpl w:val="08F01AEE"/>
    <w:lvl w:ilvl="0" w:tplc="61486C6C">
      <w:start w:val="1994"/>
      <w:numFmt w:val="bullet"/>
      <w:lvlText w:val=""/>
      <w:lvlJc w:val="left"/>
      <w:pPr>
        <w:ind w:left="720" w:hanging="360"/>
      </w:pPr>
      <w:rPr>
        <w:rFonts w:ascii="Symbol" w:eastAsiaTheme="minorHAnsi" w:hAnsi="Symbol"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1620E13"/>
    <w:multiLevelType w:val="hybridMultilevel"/>
    <w:tmpl w:val="459823F4"/>
    <w:lvl w:ilvl="0" w:tplc="08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7461D02"/>
    <w:multiLevelType w:val="hybridMultilevel"/>
    <w:tmpl w:val="E6B2EE5A"/>
    <w:lvl w:ilvl="0" w:tplc="F97CC952">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175124B8"/>
    <w:multiLevelType w:val="multilevel"/>
    <w:tmpl w:val="C2B4EF24"/>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6" w15:restartNumberingAfterBreak="0">
    <w:nsid w:val="1C830417"/>
    <w:multiLevelType w:val="multilevel"/>
    <w:tmpl w:val="716471AC"/>
    <w:lvl w:ilvl="0">
      <w:start w:val="1"/>
      <w:numFmt w:val="decimal"/>
      <w:lvlText w:val="%1."/>
      <w:lvlJc w:val="left"/>
      <w:pPr>
        <w:ind w:left="72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7" w15:restartNumberingAfterBreak="0">
    <w:nsid w:val="2CDF19E9"/>
    <w:multiLevelType w:val="hybridMultilevel"/>
    <w:tmpl w:val="2C0E99CA"/>
    <w:lvl w:ilvl="0" w:tplc="080A000F">
      <w:start w:val="6"/>
      <w:numFmt w:val="decimal"/>
      <w:lvlText w:val="%1."/>
      <w:lvlJc w:val="left"/>
      <w:pPr>
        <w:ind w:left="36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30AE4635"/>
    <w:multiLevelType w:val="hybridMultilevel"/>
    <w:tmpl w:val="2034D7CC"/>
    <w:lvl w:ilvl="0" w:tplc="43BAC974">
      <w:start w:val="1"/>
      <w:numFmt w:val="decimal"/>
      <w:lvlText w:val="%1."/>
      <w:lvlJc w:val="left"/>
      <w:pPr>
        <w:ind w:left="720" w:hanging="360"/>
      </w:pPr>
      <w:rPr>
        <w:sz w:val="22"/>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31537B36"/>
    <w:multiLevelType w:val="multilevel"/>
    <w:tmpl w:val="10305EF8"/>
    <w:lvl w:ilvl="0">
      <w:start w:val="1"/>
      <w:numFmt w:val="decimal"/>
      <w:lvlText w:val="%1"/>
      <w:lvlJc w:val="left"/>
      <w:pPr>
        <w:ind w:left="360" w:hanging="360"/>
      </w:pPr>
      <w:rPr>
        <w:rFonts w:hint="default"/>
      </w:rPr>
    </w:lvl>
    <w:lvl w:ilvl="1">
      <w:start w:val="1"/>
      <w:numFmt w:val="decimal"/>
      <w:lvlText w:val="%1.%2"/>
      <w:lvlJc w:val="left"/>
      <w:pPr>
        <w:ind w:left="1335" w:hanging="360"/>
      </w:pPr>
      <w:rPr>
        <w:rFonts w:hint="default"/>
      </w:rPr>
    </w:lvl>
    <w:lvl w:ilvl="2">
      <w:start w:val="1"/>
      <w:numFmt w:val="decimal"/>
      <w:lvlText w:val="%1.%2.%3"/>
      <w:lvlJc w:val="left"/>
      <w:pPr>
        <w:ind w:left="2670" w:hanging="720"/>
      </w:pPr>
      <w:rPr>
        <w:rFonts w:hint="default"/>
      </w:rPr>
    </w:lvl>
    <w:lvl w:ilvl="3">
      <w:start w:val="1"/>
      <w:numFmt w:val="decimal"/>
      <w:lvlText w:val="%1.%2.%3.%4"/>
      <w:lvlJc w:val="left"/>
      <w:pPr>
        <w:ind w:left="3645" w:hanging="720"/>
      </w:pPr>
      <w:rPr>
        <w:rFonts w:hint="default"/>
      </w:rPr>
    </w:lvl>
    <w:lvl w:ilvl="4">
      <w:start w:val="1"/>
      <w:numFmt w:val="decimal"/>
      <w:lvlText w:val="%1.%2.%3.%4.%5"/>
      <w:lvlJc w:val="left"/>
      <w:pPr>
        <w:ind w:left="4980" w:hanging="1080"/>
      </w:pPr>
      <w:rPr>
        <w:rFonts w:hint="default"/>
      </w:rPr>
    </w:lvl>
    <w:lvl w:ilvl="5">
      <w:start w:val="1"/>
      <w:numFmt w:val="decimal"/>
      <w:lvlText w:val="%1.%2.%3.%4.%5.%6"/>
      <w:lvlJc w:val="left"/>
      <w:pPr>
        <w:ind w:left="5955" w:hanging="1080"/>
      </w:pPr>
      <w:rPr>
        <w:rFonts w:hint="default"/>
      </w:rPr>
    </w:lvl>
    <w:lvl w:ilvl="6">
      <w:start w:val="1"/>
      <w:numFmt w:val="decimal"/>
      <w:lvlText w:val="%1.%2.%3.%4.%5.%6.%7"/>
      <w:lvlJc w:val="left"/>
      <w:pPr>
        <w:ind w:left="7290" w:hanging="1440"/>
      </w:pPr>
      <w:rPr>
        <w:rFonts w:hint="default"/>
      </w:rPr>
    </w:lvl>
    <w:lvl w:ilvl="7">
      <w:start w:val="1"/>
      <w:numFmt w:val="decimal"/>
      <w:lvlText w:val="%1.%2.%3.%4.%5.%6.%7.%8"/>
      <w:lvlJc w:val="left"/>
      <w:pPr>
        <w:ind w:left="8265" w:hanging="1440"/>
      </w:pPr>
      <w:rPr>
        <w:rFonts w:hint="default"/>
      </w:rPr>
    </w:lvl>
    <w:lvl w:ilvl="8">
      <w:start w:val="1"/>
      <w:numFmt w:val="decimal"/>
      <w:lvlText w:val="%1.%2.%3.%4.%5.%6.%7.%8.%9"/>
      <w:lvlJc w:val="left"/>
      <w:pPr>
        <w:ind w:left="9600" w:hanging="1800"/>
      </w:pPr>
      <w:rPr>
        <w:rFonts w:hint="default"/>
      </w:rPr>
    </w:lvl>
  </w:abstractNum>
  <w:abstractNum w:abstractNumId="10" w15:restartNumberingAfterBreak="0">
    <w:nsid w:val="35E5551C"/>
    <w:multiLevelType w:val="hybridMultilevel"/>
    <w:tmpl w:val="43B86208"/>
    <w:lvl w:ilvl="0" w:tplc="EAC0493E">
      <w:numFmt w:val="bullet"/>
      <w:lvlText w:val=""/>
      <w:lvlJc w:val="left"/>
      <w:pPr>
        <w:ind w:left="720" w:hanging="360"/>
      </w:pPr>
      <w:rPr>
        <w:rFonts w:ascii="Symbol" w:eastAsiaTheme="minorHAnsi" w:hAnsi="Symbol"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3CDD1BB4"/>
    <w:multiLevelType w:val="hybridMultilevel"/>
    <w:tmpl w:val="DD326B7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444144DB"/>
    <w:multiLevelType w:val="hybridMultilevel"/>
    <w:tmpl w:val="7FE28E6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469A37CE"/>
    <w:multiLevelType w:val="hybridMultilevel"/>
    <w:tmpl w:val="071AB80E"/>
    <w:lvl w:ilvl="0" w:tplc="080A000F">
      <w:start w:val="1"/>
      <w:numFmt w:val="decimal"/>
      <w:lvlText w:val="%1."/>
      <w:lvlJc w:val="left"/>
      <w:pPr>
        <w:ind w:left="720" w:hanging="360"/>
      </w:pPr>
      <w:rPr>
        <w:rFonts w:hint="default"/>
      </w:rPr>
    </w:lvl>
    <w:lvl w:ilvl="1" w:tplc="A0AEA6A0">
      <w:start w:val="1"/>
      <w:numFmt w:val="lowerLetter"/>
      <w:lvlText w:val="%2."/>
      <w:lvlJc w:val="left"/>
      <w:pPr>
        <w:ind w:left="1440" w:hanging="360"/>
      </w:pPr>
      <w:rPr>
        <w:rFonts w:hint="default"/>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473D4524"/>
    <w:multiLevelType w:val="multilevel"/>
    <w:tmpl w:val="5A247E08"/>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5" w15:restartNumberingAfterBreak="0">
    <w:nsid w:val="50311DA7"/>
    <w:multiLevelType w:val="hybridMultilevel"/>
    <w:tmpl w:val="B09E3D94"/>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54DE7F99"/>
    <w:multiLevelType w:val="hybridMultilevel"/>
    <w:tmpl w:val="2E6E8F5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57C321CD"/>
    <w:multiLevelType w:val="multilevel"/>
    <w:tmpl w:val="D84A22D2"/>
    <w:lvl w:ilvl="0">
      <w:start w:val="1"/>
      <w:numFmt w:val="decimal"/>
      <w:lvlText w:val="%1"/>
      <w:lvlJc w:val="left"/>
      <w:pPr>
        <w:ind w:left="435" w:hanging="435"/>
      </w:pPr>
      <w:rPr>
        <w:rFonts w:hint="default"/>
      </w:rPr>
    </w:lvl>
    <w:lvl w:ilvl="1">
      <w:start w:val="3"/>
      <w:numFmt w:val="decimal"/>
      <w:lvlText w:val="%1.%2"/>
      <w:lvlJc w:val="left"/>
      <w:pPr>
        <w:ind w:left="1329" w:hanging="435"/>
      </w:pPr>
      <w:rPr>
        <w:rFonts w:hint="default"/>
      </w:rPr>
    </w:lvl>
    <w:lvl w:ilvl="2">
      <w:start w:val="1"/>
      <w:numFmt w:val="decimal"/>
      <w:lvlText w:val="%1.%2.%3"/>
      <w:lvlJc w:val="left"/>
      <w:pPr>
        <w:ind w:left="2508" w:hanging="720"/>
      </w:pPr>
      <w:rPr>
        <w:rFonts w:hint="default"/>
      </w:rPr>
    </w:lvl>
    <w:lvl w:ilvl="3">
      <w:start w:val="1"/>
      <w:numFmt w:val="decimal"/>
      <w:lvlText w:val="%1.%2.%3.%4"/>
      <w:lvlJc w:val="left"/>
      <w:pPr>
        <w:ind w:left="3402" w:hanging="720"/>
      </w:pPr>
      <w:rPr>
        <w:rFonts w:hint="default"/>
      </w:rPr>
    </w:lvl>
    <w:lvl w:ilvl="4">
      <w:start w:val="1"/>
      <w:numFmt w:val="decimal"/>
      <w:lvlText w:val="%1.%2.%3.%4.%5"/>
      <w:lvlJc w:val="left"/>
      <w:pPr>
        <w:ind w:left="4656" w:hanging="1080"/>
      </w:pPr>
      <w:rPr>
        <w:rFonts w:hint="default"/>
      </w:rPr>
    </w:lvl>
    <w:lvl w:ilvl="5">
      <w:start w:val="1"/>
      <w:numFmt w:val="decimal"/>
      <w:lvlText w:val="%1.%2.%3.%4.%5.%6"/>
      <w:lvlJc w:val="left"/>
      <w:pPr>
        <w:ind w:left="5550" w:hanging="1080"/>
      </w:pPr>
      <w:rPr>
        <w:rFonts w:hint="default"/>
      </w:rPr>
    </w:lvl>
    <w:lvl w:ilvl="6">
      <w:start w:val="1"/>
      <w:numFmt w:val="decimal"/>
      <w:lvlText w:val="%1.%2.%3.%4.%5.%6.%7"/>
      <w:lvlJc w:val="left"/>
      <w:pPr>
        <w:ind w:left="6804" w:hanging="1440"/>
      </w:pPr>
      <w:rPr>
        <w:rFonts w:hint="default"/>
      </w:rPr>
    </w:lvl>
    <w:lvl w:ilvl="7">
      <w:start w:val="1"/>
      <w:numFmt w:val="decimal"/>
      <w:lvlText w:val="%1.%2.%3.%4.%5.%6.%7.%8"/>
      <w:lvlJc w:val="left"/>
      <w:pPr>
        <w:ind w:left="7698" w:hanging="1440"/>
      </w:pPr>
      <w:rPr>
        <w:rFonts w:hint="default"/>
      </w:rPr>
    </w:lvl>
    <w:lvl w:ilvl="8">
      <w:start w:val="1"/>
      <w:numFmt w:val="decimal"/>
      <w:lvlText w:val="%1.%2.%3.%4.%5.%6.%7.%8.%9"/>
      <w:lvlJc w:val="left"/>
      <w:pPr>
        <w:ind w:left="8952" w:hanging="1800"/>
      </w:pPr>
      <w:rPr>
        <w:rFonts w:hint="default"/>
      </w:rPr>
    </w:lvl>
  </w:abstractNum>
  <w:abstractNum w:abstractNumId="18" w15:restartNumberingAfterBreak="0">
    <w:nsid w:val="5A11104C"/>
    <w:multiLevelType w:val="hybridMultilevel"/>
    <w:tmpl w:val="EA160E7C"/>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5C3A61BF"/>
    <w:multiLevelType w:val="multilevel"/>
    <w:tmpl w:val="5FBE9174"/>
    <w:lvl w:ilvl="0">
      <w:start w:val="1"/>
      <w:numFmt w:val="decimal"/>
      <w:lvlText w:val="%1"/>
      <w:lvlJc w:val="left"/>
      <w:pPr>
        <w:ind w:left="435" w:hanging="435"/>
      </w:pPr>
      <w:rPr>
        <w:rFonts w:hint="default"/>
      </w:rPr>
    </w:lvl>
    <w:lvl w:ilvl="1">
      <w:start w:val="6"/>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0" w15:restartNumberingAfterBreak="0">
    <w:nsid w:val="5CCF3061"/>
    <w:multiLevelType w:val="hybridMultilevel"/>
    <w:tmpl w:val="BF94455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5E2D21B0"/>
    <w:multiLevelType w:val="multilevel"/>
    <w:tmpl w:val="3220626A"/>
    <w:lvl w:ilvl="0">
      <w:start w:val="1"/>
      <w:numFmt w:val="decimal"/>
      <w:lvlText w:val="%1"/>
      <w:lvlJc w:val="left"/>
      <w:pPr>
        <w:ind w:left="435" w:hanging="435"/>
      </w:pPr>
      <w:rPr>
        <w:rFonts w:hint="default"/>
      </w:rPr>
    </w:lvl>
    <w:lvl w:ilvl="1">
      <w:start w:val="6"/>
      <w:numFmt w:val="decimal"/>
      <w:lvlText w:val="%1.%2"/>
      <w:lvlJc w:val="left"/>
      <w:pPr>
        <w:ind w:left="435" w:hanging="43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5F086F71"/>
    <w:multiLevelType w:val="hybridMultilevel"/>
    <w:tmpl w:val="C12C2962"/>
    <w:lvl w:ilvl="0" w:tplc="CD085178">
      <w:start w:val="1"/>
      <w:numFmt w:val="bullet"/>
      <w:lvlText w:val=""/>
      <w:lvlJc w:val="left"/>
      <w:pPr>
        <w:ind w:left="720" w:hanging="360"/>
      </w:pPr>
      <w:rPr>
        <w:rFonts w:ascii="Symbol" w:eastAsiaTheme="minorHAnsi" w:hAnsi="Symbol"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6D134ED4"/>
    <w:multiLevelType w:val="multilevel"/>
    <w:tmpl w:val="C5BC5F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D650291"/>
    <w:multiLevelType w:val="hybridMultilevel"/>
    <w:tmpl w:val="49BC27A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72EC2B3D"/>
    <w:multiLevelType w:val="hybridMultilevel"/>
    <w:tmpl w:val="165C2E4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15:restartNumberingAfterBreak="0">
    <w:nsid w:val="7AC10B50"/>
    <w:multiLevelType w:val="multilevel"/>
    <w:tmpl w:val="79F4051E"/>
    <w:lvl w:ilvl="0">
      <w:start w:val="1"/>
      <w:numFmt w:val="decimal"/>
      <w:lvlText w:val="%1"/>
      <w:lvlJc w:val="left"/>
      <w:pPr>
        <w:ind w:left="435" w:hanging="435"/>
      </w:pPr>
      <w:rPr>
        <w:rFonts w:hint="default"/>
      </w:rPr>
    </w:lvl>
    <w:lvl w:ilvl="1">
      <w:start w:val="5"/>
      <w:numFmt w:val="decimal"/>
      <w:lvlText w:val="%1.%2"/>
      <w:lvlJc w:val="left"/>
      <w:pPr>
        <w:ind w:left="795" w:hanging="435"/>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7B960797"/>
    <w:multiLevelType w:val="hybridMultilevel"/>
    <w:tmpl w:val="A724B84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0"/>
  </w:num>
  <w:num w:numId="2">
    <w:abstractNumId w:val="0"/>
  </w:num>
  <w:num w:numId="3">
    <w:abstractNumId w:val="9"/>
  </w:num>
  <w:num w:numId="4">
    <w:abstractNumId w:val="22"/>
  </w:num>
  <w:num w:numId="5">
    <w:abstractNumId w:val="2"/>
  </w:num>
  <w:num w:numId="6">
    <w:abstractNumId w:val="15"/>
  </w:num>
  <w:num w:numId="7">
    <w:abstractNumId w:val="11"/>
  </w:num>
  <w:num w:numId="8">
    <w:abstractNumId w:val="24"/>
  </w:num>
  <w:num w:numId="9">
    <w:abstractNumId w:val="4"/>
  </w:num>
  <w:num w:numId="10">
    <w:abstractNumId w:val="16"/>
  </w:num>
  <w:num w:numId="11">
    <w:abstractNumId w:val="14"/>
  </w:num>
  <w:num w:numId="12">
    <w:abstractNumId w:val="7"/>
  </w:num>
  <w:num w:numId="13">
    <w:abstractNumId w:val="23"/>
  </w:num>
  <w:num w:numId="14">
    <w:abstractNumId w:val="13"/>
  </w:num>
  <w:num w:numId="15">
    <w:abstractNumId w:val="1"/>
  </w:num>
  <w:num w:numId="16">
    <w:abstractNumId w:val="18"/>
  </w:num>
  <w:num w:numId="17">
    <w:abstractNumId w:val="3"/>
  </w:num>
  <w:num w:numId="18">
    <w:abstractNumId w:val="27"/>
  </w:num>
  <w:num w:numId="19">
    <w:abstractNumId w:val="20"/>
  </w:num>
  <w:num w:numId="20">
    <w:abstractNumId w:val="25"/>
  </w:num>
  <w:num w:numId="21">
    <w:abstractNumId w:val="12"/>
  </w:num>
  <w:num w:numId="22">
    <w:abstractNumId w:val="8"/>
  </w:num>
  <w:num w:numId="23">
    <w:abstractNumId w:val="5"/>
  </w:num>
  <w:num w:numId="24">
    <w:abstractNumId w:val="17"/>
  </w:num>
  <w:num w:numId="25">
    <w:abstractNumId w:val="26"/>
  </w:num>
  <w:num w:numId="26">
    <w:abstractNumId w:val="19"/>
  </w:num>
  <w:num w:numId="27">
    <w:abstractNumId w:val="21"/>
  </w:num>
  <w:num w:numId="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092C"/>
    <w:rsid w:val="00003B67"/>
    <w:rsid w:val="00004281"/>
    <w:rsid w:val="00010D87"/>
    <w:rsid w:val="00010E31"/>
    <w:rsid w:val="00015FEC"/>
    <w:rsid w:val="00020EA2"/>
    <w:rsid w:val="0002430B"/>
    <w:rsid w:val="000273F2"/>
    <w:rsid w:val="00027EB1"/>
    <w:rsid w:val="00032AFA"/>
    <w:rsid w:val="0004258C"/>
    <w:rsid w:val="00044DD0"/>
    <w:rsid w:val="00054104"/>
    <w:rsid w:val="00056BBD"/>
    <w:rsid w:val="00063CFD"/>
    <w:rsid w:val="00080E29"/>
    <w:rsid w:val="00083F30"/>
    <w:rsid w:val="00094299"/>
    <w:rsid w:val="000963C6"/>
    <w:rsid w:val="00096DE4"/>
    <w:rsid w:val="000A0D70"/>
    <w:rsid w:val="000B01FF"/>
    <w:rsid w:val="000B4191"/>
    <w:rsid w:val="000C5C50"/>
    <w:rsid w:val="000D14A9"/>
    <w:rsid w:val="000D5008"/>
    <w:rsid w:val="000D543C"/>
    <w:rsid w:val="000D67C1"/>
    <w:rsid w:val="000D7AA4"/>
    <w:rsid w:val="000E6090"/>
    <w:rsid w:val="000F0E84"/>
    <w:rsid w:val="000F244C"/>
    <w:rsid w:val="000F3812"/>
    <w:rsid w:val="000F72C1"/>
    <w:rsid w:val="00100A40"/>
    <w:rsid w:val="00102F97"/>
    <w:rsid w:val="00107CB0"/>
    <w:rsid w:val="001104CD"/>
    <w:rsid w:val="00111125"/>
    <w:rsid w:val="00113638"/>
    <w:rsid w:val="00122580"/>
    <w:rsid w:val="001226F3"/>
    <w:rsid w:val="001230C0"/>
    <w:rsid w:val="00123F2C"/>
    <w:rsid w:val="00124C72"/>
    <w:rsid w:val="001251C8"/>
    <w:rsid w:val="001263FE"/>
    <w:rsid w:val="00135231"/>
    <w:rsid w:val="00137E4F"/>
    <w:rsid w:val="00140FA0"/>
    <w:rsid w:val="0014245C"/>
    <w:rsid w:val="00142BB9"/>
    <w:rsid w:val="00143F7B"/>
    <w:rsid w:val="001544BE"/>
    <w:rsid w:val="00155C69"/>
    <w:rsid w:val="001604A7"/>
    <w:rsid w:val="001639BE"/>
    <w:rsid w:val="00165037"/>
    <w:rsid w:val="00166E24"/>
    <w:rsid w:val="00170C2C"/>
    <w:rsid w:val="00171E56"/>
    <w:rsid w:val="001727EA"/>
    <w:rsid w:val="001915BD"/>
    <w:rsid w:val="001922B8"/>
    <w:rsid w:val="00194878"/>
    <w:rsid w:val="001959E2"/>
    <w:rsid w:val="00197104"/>
    <w:rsid w:val="001A0E2D"/>
    <w:rsid w:val="001A3F33"/>
    <w:rsid w:val="001A5504"/>
    <w:rsid w:val="001D0E7F"/>
    <w:rsid w:val="001D1132"/>
    <w:rsid w:val="001D58B1"/>
    <w:rsid w:val="001D5BBD"/>
    <w:rsid w:val="001D6C5C"/>
    <w:rsid w:val="001D703B"/>
    <w:rsid w:val="001E5E4C"/>
    <w:rsid w:val="001F3BE0"/>
    <w:rsid w:val="001F77BB"/>
    <w:rsid w:val="0020404B"/>
    <w:rsid w:val="0020703D"/>
    <w:rsid w:val="00210B6B"/>
    <w:rsid w:val="00226525"/>
    <w:rsid w:val="00234C6B"/>
    <w:rsid w:val="00236E2A"/>
    <w:rsid w:val="00241284"/>
    <w:rsid w:val="00241785"/>
    <w:rsid w:val="00243F87"/>
    <w:rsid w:val="00247DF9"/>
    <w:rsid w:val="00252BA4"/>
    <w:rsid w:val="00265BEA"/>
    <w:rsid w:val="00277D87"/>
    <w:rsid w:val="00281004"/>
    <w:rsid w:val="002811BB"/>
    <w:rsid w:val="00281B87"/>
    <w:rsid w:val="0028594F"/>
    <w:rsid w:val="0028773D"/>
    <w:rsid w:val="00290D3C"/>
    <w:rsid w:val="002A2B5D"/>
    <w:rsid w:val="002B398C"/>
    <w:rsid w:val="002B5051"/>
    <w:rsid w:val="002C053C"/>
    <w:rsid w:val="002C13AA"/>
    <w:rsid w:val="002C50C4"/>
    <w:rsid w:val="002C640D"/>
    <w:rsid w:val="002C7AFA"/>
    <w:rsid w:val="002D3A04"/>
    <w:rsid w:val="002D4133"/>
    <w:rsid w:val="002D4DC5"/>
    <w:rsid w:val="002D7364"/>
    <w:rsid w:val="002E09F1"/>
    <w:rsid w:val="002E1F04"/>
    <w:rsid w:val="002F76E7"/>
    <w:rsid w:val="003079AD"/>
    <w:rsid w:val="00315787"/>
    <w:rsid w:val="00321A2A"/>
    <w:rsid w:val="00323A79"/>
    <w:rsid w:val="00333D8E"/>
    <w:rsid w:val="003411CE"/>
    <w:rsid w:val="0034676A"/>
    <w:rsid w:val="00350386"/>
    <w:rsid w:val="00355C5F"/>
    <w:rsid w:val="003578CE"/>
    <w:rsid w:val="00360B13"/>
    <w:rsid w:val="003621F8"/>
    <w:rsid w:val="003712BF"/>
    <w:rsid w:val="003761D7"/>
    <w:rsid w:val="00385871"/>
    <w:rsid w:val="003860BE"/>
    <w:rsid w:val="00386889"/>
    <w:rsid w:val="00387FB5"/>
    <w:rsid w:val="0039553A"/>
    <w:rsid w:val="003A13B6"/>
    <w:rsid w:val="003B3FEA"/>
    <w:rsid w:val="003B711E"/>
    <w:rsid w:val="003D1363"/>
    <w:rsid w:val="003D1B7B"/>
    <w:rsid w:val="003D5246"/>
    <w:rsid w:val="003D6630"/>
    <w:rsid w:val="003E3ABF"/>
    <w:rsid w:val="003F32DD"/>
    <w:rsid w:val="003F6454"/>
    <w:rsid w:val="00401529"/>
    <w:rsid w:val="00401F06"/>
    <w:rsid w:val="0040445E"/>
    <w:rsid w:val="00414C09"/>
    <w:rsid w:val="00441F8D"/>
    <w:rsid w:val="004420EA"/>
    <w:rsid w:val="00447A7A"/>
    <w:rsid w:val="00455F53"/>
    <w:rsid w:val="00456199"/>
    <w:rsid w:val="00461907"/>
    <w:rsid w:val="00474FB4"/>
    <w:rsid w:val="0048281D"/>
    <w:rsid w:val="00487A4C"/>
    <w:rsid w:val="004A10EA"/>
    <w:rsid w:val="004A778E"/>
    <w:rsid w:val="004C10D0"/>
    <w:rsid w:val="004C1763"/>
    <w:rsid w:val="004C22BA"/>
    <w:rsid w:val="004C663E"/>
    <w:rsid w:val="004C7B29"/>
    <w:rsid w:val="004D0666"/>
    <w:rsid w:val="004D0DEE"/>
    <w:rsid w:val="004D11AE"/>
    <w:rsid w:val="004D41D7"/>
    <w:rsid w:val="004D61FE"/>
    <w:rsid w:val="004E0DA6"/>
    <w:rsid w:val="004E1426"/>
    <w:rsid w:val="004E541B"/>
    <w:rsid w:val="004E6207"/>
    <w:rsid w:val="004E6C7B"/>
    <w:rsid w:val="004F4B97"/>
    <w:rsid w:val="004F62EB"/>
    <w:rsid w:val="005004FA"/>
    <w:rsid w:val="00503D39"/>
    <w:rsid w:val="005077EC"/>
    <w:rsid w:val="00510F4F"/>
    <w:rsid w:val="005144CB"/>
    <w:rsid w:val="00516558"/>
    <w:rsid w:val="00516DCF"/>
    <w:rsid w:val="005201E7"/>
    <w:rsid w:val="00527A1B"/>
    <w:rsid w:val="00531F6B"/>
    <w:rsid w:val="005369EE"/>
    <w:rsid w:val="00540900"/>
    <w:rsid w:val="00556296"/>
    <w:rsid w:val="0056332D"/>
    <w:rsid w:val="0056545E"/>
    <w:rsid w:val="00565F1E"/>
    <w:rsid w:val="00574F25"/>
    <w:rsid w:val="00581219"/>
    <w:rsid w:val="00597F43"/>
    <w:rsid w:val="005A5A9A"/>
    <w:rsid w:val="005A7BE3"/>
    <w:rsid w:val="005B0AE5"/>
    <w:rsid w:val="005B234B"/>
    <w:rsid w:val="005B657E"/>
    <w:rsid w:val="005B6CCD"/>
    <w:rsid w:val="005D397E"/>
    <w:rsid w:val="005E601D"/>
    <w:rsid w:val="005F0A1B"/>
    <w:rsid w:val="005F6A26"/>
    <w:rsid w:val="005F7614"/>
    <w:rsid w:val="00606EE0"/>
    <w:rsid w:val="006155D3"/>
    <w:rsid w:val="00620763"/>
    <w:rsid w:val="00622948"/>
    <w:rsid w:val="006231D4"/>
    <w:rsid w:val="006247FD"/>
    <w:rsid w:val="00631B48"/>
    <w:rsid w:val="00637775"/>
    <w:rsid w:val="00643427"/>
    <w:rsid w:val="00643C03"/>
    <w:rsid w:val="006566EB"/>
    <w:rsid w:val="00663FEF"/>
    <w:rsid w:val="0066761C"/>
    <w:rsid w:val="006704FC"/>
    <w:rsid w:val="00681A59"/>
    <w:rsid w:val="006829AF"/>
    <w:rsid w:val="0068430B"/>
    <w:rsid w:val="00685CFC"/>
    <w:rsid w:val="006902E3"/>
    <w:rsid w:val="0069154D"/>
    <w:rsid w:val="00695902"/>
    <w:rsid w:val="006972EE"/>
    <w:rsid w:val="006A1E49"/>
    <w:rsid w:val="006B041D"/>
    <w:rsid w:val="006B676D"/>
    <w:rsid w:val="006C4741"/>
    <w:rsid w:val="006C5965"/>
    <w:rsid w:val="006D24B2"/>
    <w:rsid w:val="006D70C7"/>
    <w:rsid w:val="006E03AB"/>
    <w:rsid w:val="006E3506"/>
    <w:rsid w:val="006E3870"/>
    <w:rsid w:val="006E3B0A"/>
    <w:rsid w:val="006F10FA"/>
    <w:rsid w:val="00731E20"/>
    <w:rsid w:val="0074088F"/>
    <w:rsid w:val="00743C9B"/>
    <w:rsid w:val="007538D0"/>
    <w:rsid w:val="00757260"/>
    <w:rsid w:val="0075746A"/>
    <w:rsid w:val="007628E6"/>
    <w:rsid w:val="007711D6"/>
    <w:rsid w:val="007712B8"/>
    <w:rsid w:val="00780298"/>
    <w:rsid w:val="00795973"/>
    <w:rsid w:val="007A3E76"/>
    <w:rsid w:val="007A52E5"/>
    <w:rsid w:val="007A74E9"/>
    <w:rsid w:val="007B236D"/>
    <w:rsid w:val="007C5FE7"/>
    <w:rsid w:val="007C638A"/>
    <w:rsid w:val="007C778D"/>
    <w:rsid w:val="007C7821"/>
    <w:rsid w:val="007C7E5F"/>
    <w:rsid w:val="007C7F4B"/>
    <w:rsid w:val="007E3487"/>
    <w:rsid w:val="007E448F"/>
    <w:rsid w:val="007E4528"/>
    <w:rsid w:val="007F47D6"/>
    <w:rsid w:val="007F6558"/>
    <w:rsid w:val="008108AF"/>
    <w:rsid w:val="00816A89"/>
    <w:rsid w:val="008206EA"/>
    <w:rsid w:val="00820781"/>
    <w:rsid w:val="0083036E"/>
    <w:rsid w:val="00837DC9"/>
    <w:rsid w:val="00845EA1"/>
    <w:rsid w:val="008463B6"/>
    <w:rsid w:val="00850579"/>
    <w:rsid w:val="00852548"/>
    <w:rsid w:val="00852C7F"/>
    <w:rsid w:val="00853CBA"/>
    <w:rsid w:val="008570EB"/>
    <w:rsid w:val="008614E5"/>
    <w:rsid w:val="008625DB"/>
    <w:rsid w:val="00864690"/>
    <w:rsid w:val="008667EE"/>
    <w:rsid w:val="00867FC8"/>
    <w:rsid w:val="008719A6"/>
    <w:rsid w:val="00872D68"/>
    <w:rsid w:val="00873B71"/>
    <w:rsid w:val="00875492"/>
    <w:rsid w:val="00877E91"/>
    <w:rsid w:val="008837A9"/>
    <w:rsid w:val="00883F16"/>
    <w:rsid w:val="00885C22"/>
    <w:rsid w:val="008919AA"/>
    <w:rsid w:val="008964F8"/>
    <w:rsid w:val="008A1CDB"/>
    <w:rsid w:val="008A5272"/>
    <w:rsid w:val="008A70CA"/>
    <w:rsid w:val="008A7E33"/>
    <w:rsid w:val="008B185F"/>
    <w:rsid w:val="008B4EEC"/>
    <w:rsid w:val="008B67D0"/>
    <w:rsid w:val="008C346E"/>
    <w:rsid w:val="008C5C51"/>
    <w:rsid w:val="008D24A4"/>
    <w:rsid w:val="008E5495"/>
    <w:rsid w:val="008F0B8D"/>
    <w:rsid w:val="008F6781"/>
    <w:rsid w:val="00900BCA"/>
    <w:rsid w:val="00902E84"/>
    <w:rsid w:val="009054BB"/>
    <w:rsid w:val="00906CAB"/>
    <w:rsid w:val="00914ED7"/>
    <w:rsid w:val="00914FD4"/>
    <w:rsid w:val="00916F98"/>
    <w:rsid w:val="00917532"/>
    <w:rsid w:val="00934077"/>
    <w:rsid w:val="009414B7"/>
    <w:rsid w:val="009455A6"/>
    <w:rsid w:val="00955726"/>
    <w:rsid w:val="009822DC"/>
    <w:rsid w:val="00985B50"/>
    <w:rsid w:val="00993C1F"/>
    <w:rsid w:val="009A24F9"/>
    <w:rsid w:val="009A2E68"/>
    <w:rsid w:val="009A4873"/>
    <w:rsid w:val="009B1BA6"/>
    <w:rsid w:val="009B3762"/>
    <w:rsid w:val="009B5D48"/>
    <w:rsid w:val="009C0FD7"/>
    <w:rsid w:val="009D389A"/>
    <w:rsid w:val="009E0019"/>
    <w:rsid w:val="009E5EA2"/>
    <w:rsid w:val="009F0D36"/>
    <w:rsid w:val="009F12F9"/>
    <w:rsid w:val="009F2B72"/>
    <w:rsid w:val="009F5399"/>
    <w:rsid w:val="00A02EB7"/>
    <w:rsid w:val="00A10046"/>
    <w:rsid w:val="00A12F44"/>
    <w:rsid w:val="00A22991"/>
    <w:rsid w:val="00A22FDD"/>
    <w:rsid w:val="00A312A7"/>
    <w:rsid w:val="00A33C22"/>
    <w:rsid w:val="00A36286"/>
    <w:rsid w:val="00A43A27"/>
    <w:rsid w:val="00A45815"/>
    <w:rsid w:val="00A46633"/>
    <w:rsid w:val="00A51368"/>
    <w:rsid w:val="00A51C1F"/>
    <w:rsid w:val="00A56294"/>
    <w:rsid w:val="00A61530"/>
    <w:rsid w:val="00A72D5F"/>
    <w:rsid w:val="00A73A6F"/>
    <w:rsid w:val="00A762D9"/>
    <w:rsid w:val="00AB06D2"/>
    <w:rsid w:val="00AB2ADF"/>
    <w:rsid w:val="00AB488D"/>
    <w:rsid w:val="00AC0D76"/>
    <w:rsid w:val="00AC26F7"/>
    <w:rsid w:val="00AC4F5B"/>
    <w:rsid w:val="00AD4FA2"/>
    <w:rsid w:val="00AD5F7E"/>
    <w:rsid w:val="00AD695E"/>
    <w:rsid w:val="00AE19B2"/>
    <w:rsid w:val="00AE22E5"/>
    <w:rsid w:val="00AE77F8"/>
    <w:rsid w:val="00AF092C"/>
    <w:rsid w:val="00AF4827"/>
    <w:rsid w:val="00AF6BD0"/>
    <w:rsid w:val="00AF7494"/>
    <w:rsid w:val="00B00FE4"/>
    <w:rsid w:val="00B01906"/>
    <w:rsid w:val="00B03574"/>
    <w:rsid w:val="00B1156E"/>
    <w:rsid w:val="00B25FE4"/>
    <w:rsid w:val="00B2714F"/>
    <w:rsid w:val="00B317DF"/>
    <w:rsid w:val="00B322B0"/>
    <w:rsid w:val="00B3479A"/>
    <w:rsid w:val="00B423F1"/>
    <w:rsid w:val="00B442CA"/>
    <w:rsid w:val="00B4760C"/>
    <w:rsid w:val="00B47EAC"/>
    <w:rsid w:val="00B516FC"/>
    <w:rsid w:val="00B52D82"/>
    <w:rsid w:val="00B534D9"/>
    <w:rsid w:val="00B564D5"/>
    <w:rsid w:val="00B605EC"/>
    <w:rsid w:val="00B6315E"/>
    <w:rsid w:val="00B64190"/>
    <w:rsid w:val="00B666D6"/>
    <w:rsid w:val="00B82CA1"/>
    <w:rsid w:val="00B85966"/>
    <w:rsid w:val="00B904B7"/>
    <w:rsid w:val="00B91F88"/>
    <w:rsid w:val="00B96987"/>
    <w:rsid w:val="00B97A5B"/>
    <w:rsid w:val="00BA24C2"/>
    <w:rsid w:val="00BA2D5F"/>
    <w:rsid w:val="00BA3ECF"/>
    <w:rsid w:val="00BD3202"/>
    <w:rsid w:val="00BD7714"/>
    <w:rsid w:val="00BE2B39"/>
    <w:rsid w:val="00BE6E64"/>
    <w:rsid w:val="00BF0817"/>
    <w:rsid w:val="00BF736B"/>
    <w:rsid w:val="00C007FD"/>
    <w:rsid w:val="00C0451D"/>
    <w:rsid w:val="00C12D99"/>
    <w:rsid w:val="00C14351"/>
    <w:rsid w:val="00C22BDF"/>
    <w:rsid w:val="00C260B5"/>
    <w:rsid w:val="00C26699"/>
    <w:rsid w:val="00C3205E"/>
    <w:rsid w:val="00C36034"/>
    <w:rsid w:val="00C43515"/>
    <w:rsid w:val="00C459D7"/>
    <w:rsid w:val="00C50FE8"/>
    <w:rsid w:val="00C64A50"/>
    <w:rsid w:val="00C74590"/>
    <w:rsid w:val="00C800AB"/>
    <w:rsid w:val="00C83F3C"/>
    <w:rsid w:val="00C87015"/>
    <w:rsid w:val="00C9267C"/>
    <w:rsid w:val="00C96251"/>
    <w:rsid w:val="00CB0038"/>
    <w:rsid w:val="00CB5742"/>
    <w:rsid w:val="00CC33B2"/>
    <w:rsid w:val="00CC6789"/>
    <w:rsid w:val="00CD28FE"/>
    <w:rsid w:val="00CD66D0"/>
    <w:rsid w:val="00CE0BCF"/>
    <w:rsid w:val="00CE113C"/>
    <w:rsid w:val="00CE340A"/>
    <w:rsid w:val="00CE795E"/>
    <w:rsid w:val="00CF182F"/>
    <w:rsid w:val="00CF2BAB"/>
    <w:rsid w:val="00CF6398"/>
    <w:rsid w:val="00CF79DC"/>
    <w:rsid w:val="00D11A11"/>
    <w:rsid w:val="00D4373F"/>
    <w:rsid w:val="00D542B8"/>
    <w:rsid w:val="00D625BF"/>
    <w:rsid w:val="00D63150"/>
    <w:rsid w:val="00D66F45"/>
    <w:rsid w:val="00D7012D"/>
    <w:rsid w:val="00D71E67"/>
    <w:rsid w:val="00D930AD"/>
    <w:rsid w:val="00D97979"/>
    <w:rsid w:val="00DA0F44"/>
    <w:rsid w:val="00DA2937"/>
    <w:rsid w:val="00DA651C"/>
    <w:rsid w:val="00DB3A9B"/>
    <w:rsid w:val="00DB791E"/>
    <w:rsid w:val="00DB79E2"/>
    <w:rsid w:val="00DC1D07"/>
    <w:rsid w:val="00DD03E4"/>
    <w:rsid w:val="00DF7D6B"/>
    <w:rsid w:val="00E04C39"/>
    <w:rsid w:val="00E07684"/>
    <w:rsid w:val="00E12FD0"/>
    <w:rsid w:val="00E2507E"/>
    <w:rsid w:val="00E25B2D"/>
    <w:rsid w:val="00E27335"/>
    <w:rsid w:val="00E51691"/>
    <w:rsid w:val="00E52ED4"/>
    <w:rsid w:val="00E54558"/>
    <w:rsid w:val="00E54CA6"/>
    <w:rsid w:val="00E614B2"/>
    <w:rsid w:val="00E64EC8"/>
    <w:rsid w:val="00E662C9"/>
    <w:rsid w:val="00E73381"/>
    <w:rsid w:val="00E74CC7"/>
    <w:rsid w:val="00E75FEB"/>
    <w:rsid w:val="00E8192F"/>
    <w:rsid w:val="00E87467"/>
    <w:rsid w:val="00E9021D"/>
    <w:rsid w:val="00E9590D"/>
    <w:rsid w:val="00E95ED5"/>
    <w:rsid w:val="00EA1329"/>
    <w:rsid w:val="00EB6847"/>
    <w:rsid w:val="00EC0C9C"/>
    <w:rsid w:val="00EC41C5"/>
    <w:rsid w:val="00EC66C8"/>
    <w:rsid w:val="00ED43CC"/>
    <w:rsid w:val="00EE050C"/>
    <w:rsid w:val="00EE0554"/>
    <w:rsid w:val="00EE0B79"/>
    <w:rsid w:val="00F059FE"/>
    <w:rsid w:val="00F11A76"/>
    <w:rsid w:val="00F15A3F"/>
    <w:rsid w:val="00F16DF9"/>
    <w:rsid w:val="00F21416"/>
    <w:rsid w:val="00F22FB3"/>
    <w:rsid w:val="00F232A9"/>
    <w:rsid w:val="00F246F3"/>
    <w:rsid w:val="00F3388F"/>
    <w:rsid w:val="00F33F8C"/>
    <w:rsid w:val="00F401AA"/>
    <w:rsid w:val="00F43BB9"/>
    <w:rsid w:val="00F46B88"/>
    <w:rsid w:val="00F62B87"/>
    <w:rsid w:val="00F70E41"/>
    <w:rsid w:val="00F848E0"/>
    <w:rsid w:val="00F8633F"/>
    <w:rsid w:val="00F93214"/>
    <w:rsid w:val="00F94F06"/>
    <w:rsid w:val="00F954C0"/>
    <w:rsid w:val="00F9718D"/>
    <w:rsid w:val="00F978D9"/>
    <w:rsid w:val="00FA17A1"/>
    <w:rsid w:val="00FA1ADC"/>
    <w:rsid w:val="00FB1A84"/>
    <w:rsid w:val="00FB2D35"/>
    <w:rsid w:val="00FB360F"/>
    <w:rsid w:val="00FB6003"/>
    <w:rsid w:val="00FC5E9F"/>
    <w:rsid w:val="00FC7303"/>
    <w:rsid w:val="00FC7AB1"/>
    <w:rsid w:val="00FE16F8"/>
    <w:rsid w:val="00FE3246"/>
    <w:rsid w:val="00FF186A"/>
    <w:rsid w:val="00FF2BAB"/>
    <w:rsid w:val="00FF309C"/>
    <w:rsid w:val="00FF4F3A"/>
    <w:rsid w:val="00FF5F0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0511A4A-2E16-40F9-A9F9-DCE71D576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AF092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AF092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AF092C"/>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AF092C"/>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F092C"/>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AF092C"/>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AF092C"/>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AF092C"/>
    <w:rPr>
      <w:rFonts w:asciiTheme="majorHAnsi" w:eastAsiaTheme="majorEastAsia" w:hAnsiTheme="majorHAnsi" w:cstheme="majorBidi"/>
      <w:b/>
      <w:bCs/>
      <w:i/>
      <w:iCs/>
      <w:color w:val="4F81BD" w:themeColor="accent1"/>
    </w:rPr>
  </w:style>
  <w:style w:type="character" w:styleId="Hipervnculo">
    <w:name w:val="Hyperlink"/>
    <w:basedOn w:val="Fuentedeprrafopredeter"/>
    <w:uiPriority w:val="99"/>
    <w:unhideWhenUsed/>
    <w:rsid w:val="00AF092C"/>
    <w:rPr>
      <w:color w:val="0000FF" w:themeColor="hyperlink"/>
      <w:u w:val="single"/>
    </w:rPr>
  </w:style>
  <w:style w:type="paragraph" w:styleId="TDC1">
    <w:name w:val="toc 1"/>
    <w:basedOn w:val="Normal"/>
    <w:next w:val="Normal"/>
    <w:autoRedefine/>
    <w:uiPriority w:val="39"/>
    <w:unhideWhenUsed/>
    <w:rsid w:val="00AF092C"/>
    <w:pPr>
      <w:spacing w:after="100"/>
    </w:pPr>
    <w:rPr>
      <w:rFonts w:asciiTheme="majorHAnsi" w:eastAsiaTheme="majorEastAsia" w:hAnsiTheme="majorHAnsi" w:cstheme="majorBidi"/>
      <w:lang w:val="en-US" w:bidi="en-US"/>
    </w:rPr>
  </w:style>
  <w:style w:type="paragraph" w:styleId="TDC2">
    <w:name w:val="toc 2"/>
    <w:basedOn w:val="Normal"/>
    <w:next w:val="Normal"/>
    <w:autoRedefine/>
    <w:uiPriority w:val="39"/>
    <w:unhideWhenUsed/>
    <w:rsid w:val="00AF092C"/>
    <w:pPr>
      <w:spacing w:after="100"/>
      <w:ind w:left="220"/>
    </w:pPr>
    <w:rPr>
      <w:rFonts w:asciiTheme="majorHAnsi" w:eastAsiaTheme="majorEastAsia" w:hAnsiTheme="majorHAnsi" w:cstheme="majorBidi"/>
      <w:lang w:val="en-US" w:bidi="en-US"/>
    </w:rPr>
  </w:style>
  <w:style w:type="paragraph" w:styleId="TDC3">
    <w:name w:val="toc 3"/>
    <w:basedOn w:val="Normal"/>
    <w:next w:val="Normal"/>
    <w:autoRedefine/>
    <w:uiPriority w:val="39"/>
    <w:unhideWhenUsed/>
    <w:rsid w:val="00AF092C"/>
    <w:pPr>
      <w:spacing w:after="100"/>
      <w:ind w:left="440"/>
    </w:pPr>
    <w:rPr>
      <w:rFonts w:asciiTheme="majorHAnsi" w:eastAsiaTheme="majorEastAsia" w:hAnsiTheme="majorHAnsi" w:cstheme="majorBidi"/>
      <w:lang w:val="en-US" w:bidi="en-US"/>
    </w:rPr>
  </w:style>
  <w:style w:type="paragraph" w:styleId="TtulodeTDC">
    <w:name w:val="TOC Heading"/>
    <w:basedOn w:val="Ttulo1"/>
    <w:next w:val="Normal"/>
    <w:uiPriority w:val="39"/>
    <w:semiHidden/>
    <w:unhideWhenUsed/>
    <w:qFormat/>
    <w:rsid w:val="00AF092C"/>
    <w:pPr>
      <w:outlineLvl w:val="9"/>
    </w:pPr>
    <w:rPr>
      <w:lang w:val="es-ES"/>
    </w:rPr>
  </w:style>
  <w:style w:type="paragraph" w:styleId="Prrafodelista">
    <w:name w:val="List Paragraph"/>
    <w:basedOn w:val="Normal"/>
    <w:uiPriority w:val="34"/>
    <w:qFormat/>
    <w:rsid w:val="00AF092C"/>
    <w:pPr>
      <w:ind w:left="720"/>
      <w:contextualSpacing/>
    </w:pPr>
    <w:rPr>
      <w:lang w:val="es-ES"/>
    </w:rPr>
  </w:style>
  <w:style w:type="paragraph" w:styleId="Textonotapie">
    <w:name w:val="footnote text"/>
    <w:basedOn w:val="Normal"/>
    <w:link w:val="TextonotapieCar"/>
    <w:uiPriority w:val="99"/>
    <w:unhideWhenUsed/>
    <w:rsid w:val="00AF092C"/>
    <w:pPr>
      <w:spacing w:after="0" w:line="240" w:lineRule="auto"/>
    </w:pPr>
    <w:rPr>
      <w:sz w:val="20"/>
      <w:szCs w:val="20"/>
    </w:rPr>
  </w:style>
  <w:style w:type="character" w:customStyle="1" w:styleId="TextonotapieCar">
    <w:name w:val="Texto nota pie Car"/>
    <w:basedOn w:val="Fuentedeprrafopredeter"/>
    <w:link w:val="Textonotapie"/>
    <w:uiPriority w:val="99"/>
    <w:rsid w:val="00AF092C"/>
    <w:rPr>
      <w:sz w:val="20"/>
      <w:szCs w:val="20"/>
    </w:rPr>
  </w:style>
  <w:style w:type="character" w:styleId="Refdenotaalpie">
    <w:name w:val="footnote reference"/>
    <w:basedOn w:val="Fuentedeprrafopredeter"/>
    <w:uiPriority w:val="99"/>
    <w:semiHidden/>
    <w:unhideWhenUsed/>
    <w:rsid w:val="00AF092C"/>
    <w:rPr>
      <w:vertAlign w:val="superscript"/>
    </w:rPr>
  </w:style>
  <w:style w:type="paragraph" w:styleId="Textodeglobo">
    <w:name w:val="Balloon Text"/>
    <w:basedOn w:val="Normal"/>
    <w:link w:val="TextodegloboCar"/>
    <w:uiPriority w:val="99"/>
    <w:semiHidden/>
    <w:unhideWhenUsed/>
    <w:rsid w:val="00AF092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F092C"/>
    <w:rPr>
      <w:rFonts w:ascii="Tahoma" w:hAnsi="Tahoma" w:cs="Tahoma"/>
      <w:sz w:val="16"/>
      <w:szCs w:val="16"/>
    </w:rPr>
  </w:style>
  <w:style w:type="paragraph" w:styleId="Bibliografa">
    <w:name w:val="Bibliography"/>
    <w:basedOn w:val="Normal"/>
    <w:next w:val="Normal"/>
    <w:uiPriority w:val="37"/>
    <w:unhideWhenUsed/>
    <w:rsid w:val="00E64EC8"/>
  </w:style>
  <w:style w:type="paragraph" w:styleId="Encabezado">
    <w:name w:val="header"/>
    <w:basedOn w:val="Normal"/>
    <w:link w:val="EncabezadoCar"/>
    <w:uiPriority w:val="99"/>
    <w:unhideWhenUsed/>
    <w:rsid w:val="00137E4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37E4F"/>
  </w:style>
  <w:style w:type="paragraph" w:styleId="Piedepgina">
    <w:name w:val="footer"/>
    <w:basedOn w:val="Normal"/>
    <w:link w:val="PiedepginaCar"/>
    <w:uiPriority w:val="99"/>
    <w:unhideWhenUsed/>
    <w:rsid w:val="00137E4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37E4F"/>
  </w:style>
  <w:style w:type="paragraph" w:styleId="Textonotaalfinal">
    <w:name w:val="endnote text"/>
    <w:basedOn w:val="Normal"/>
    <w:link w:val="TextonotaalfinalCar"/>
    <w:uiPriority w:val="99"/>
    <w:semiHidden/>
    <w:unhideWhenUsed/>
    <w:rsid w:val="00447A7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447A7A"/>
    <w:rPr>
      <w:sz w:val="20"/>
      <w:szCs w:val="20"/>
    </w:rPr>
  </w:style>
  <w:style w:type="character" w:styleId="Refdenotaalfinal">
    <w:name w:val="endnote reference"/>
    <w:basedOn w:val="Fuentedeprrafopredeter"/>
    <w:uiPriority w:val="99"/>
    <w:semiHidden/>
    <w:unhideWhenUsed/>
    <w:rsid w:val="00447A7A"/>
    <w:rPr>
      <w:vertAlign w:val="superscript"/>
    </w:rPr>
  </w:style>
  <w:style w:type="table" w:styleId="Tablaelegante">
    <w:name w:val="Table Elegant"/>
    <w:basedOn w:val="Tablanormal"/>
    <w:uiPriority w:val="99"/>
    <w:semiHidden/>
    <w:unhideWhenUsed/>
    <w:rsid w:val="008A5272"/>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Cuadrculaclara-nfasis5">
    <w:name w:val="Light Grid Accent 5"/>
    <w:basedOn w:val="Tablanormal"/>
    <w:uiPriority w:val="62"/>
    <w:rsid w:val="008A5272"/>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Cuadrculaclara-nfasis12">
    <w:name w:val="Cuadrícula clara - Énfasis 12"/>
    <w:basedOn w:val="Tablanormal"/>
    <w:uiPriority w:val="62"/>
    <w:rsid w:val="00EC66C8"/>
    <w:pPr>
      <w:spacing w:after="0" w:line="240" w:lineRule="auto"/>
      <w:jc w:val="both"/>
    </w:pPr>
    <w:rPr>
      <w:rFonts w:eastAsia="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Cuadrculaclara-nfasis3">
    <w:name w:val="Light Grid Accent 3"/>
    <w:basedOn w:val="Tablanormal"/>
    <w:uiPriority w:val="62"/>
    <w:rsid w:val="00B47EAC"/>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999025">
      <w:bodyDiv w:val="1"/>
      <w:marLeft w:val="0"/>
      <w:marRight w:val="0"/>
      <w:marTop w:val="0"/>
      <w:marBottom w:val="0"/>
      <w:divBdr>
        <w:top w:val="none" w:sz="0" w:space="0" w:color="auto"/>
        <w:left w:val="none" w:sz="0" w:space="0" w:color="auto"/>
        <w:bottom w:val="none" w:sz="0" w:space="0" w:color="auto"/>
        <w:right w:val="none" w:sz="0" w:space="0" w:color="auto"/>
      </w:divBdr>
    </w:div>
    <w:div w:id="245261148">
      <w:bodyDiv w:val="1"/>
      <w:marLeft w:val="0"/>
      <w:marRight w:val="0"/>
      <w:marTop w:val="0"/>
      <w:marBottom w:val="0"/>
      <w:divBdr>
        <w:top w:val="none" w:sz="0" w:space="0" w:color="auto"/>
        <w:left w:val="none" w:sz="0" w:space="0" w:color="auto"/>
        <w:bottom w:val="none" w:sz="0" w:space="0" w:color="auto"/>
        <w:right w:val="none" w:sz="0" w:space="0" w:color="auto"/>
      </w:divBdr>
    </w:div>
    <w:div w:id="488594996">
      <w:bodyDiv w:val="1"/>
      <w:marLeft w:val="0"/>
      <w:marRight w:val="0"/>
      <w:marTop w:val="0"/>
      <w:marBottom w:val="0"/>
      <w:divBdr>
        <w:top w:val="none" w:sz="0" w:space="0" w:color="auto"/>
        <w:left w:val="none" w:sz="0" w:space="0" w:color="auto"/>
        <w:bottom w:val="none" w:sz="0" w:space="0" w:color="auto"/>
        <w:right w:val="none" w:sz="0" w:space="0" w:color="auto"/>
      </w:divBdr>
    </w:div>
    <w:div w:id="612639084">
      <w:bodyDiv w:val="1"/>
      <w:marLeft w:val="0"/>
      <w:marRight w:val="0"/>
      <w:marTop w:val="0"/>
      <w:marBottom w:val="0"/>
      <w:divBdr>
        <w:top w:val="none" w:sz="0" w:space="0" w:color="auto"/>
        <w:left w:val="none" w:sz="0" w:space="0" w:color="auto"/>
        <w:bottom w:val="none" w:sz="0" w:space="0" w:color="auto"/>
        <w:right w:val="none" w:sz="0" w:space="0" w:color="auto"/>
      </w:divBdr>
    </w:div>
    <w:div w:id="870609229">
      <w:bodyDiv w:val="1"/>
      <w:marLeft w:val="0"/>
      <w:marRight w:val="0"/>
      <w:marTop w:val="0"/>
      <w:marBottom w:val="0"/>
      <w:divBdr>
        <w:top w:val="none" w:sz="0" w:space="0" w:color="auto"/>
        <w:left w:val="none" w:sz="0" w:space="0" w:color="auto"/>
        <w:bottom w:val="none" w:sz="0" w:space="0" w:color="auto"/>
        <w:right w:val="none" w:sz="0" w:space="0" w:color="auto"/>
      </w:divBdr>
    </w:div>
    <w:div w:id="1095519985">
      <w:bodyDiv w:val="1"/>
      <w:marLeft w:val="0"/>
      <w:marRight w:val="0"/>
      <w:marTop w:val="0"/>
      <w:marBottom w:val="0"/>
      <w:divBdr>
        <w:top w:val="none" w:sz="0" w:space="0" w:color="auto"/>
        <w:left w:val="none" w:sz="0" w:space="0" w:color="auto"/>
        <w:bottom w:val="none" w:sz="0" w:space="0" w:color="auto"/>
        <w:right w:val="none" w:sz="0" w:space="0" w:color="auto"/>
      </w:divBdr>
    </w:div>
    <w:div w:id="1267614559">
      <w:bodyDiv w:val="1"/>
      <w:marLeft w:val="0"/>
      <w:marRight w:val="0"/>
      <w:marTop w:val="0"/>
      <w:marBottom w:val="0"/>
      <w:divBdr>
        <w:top w:val="none" w:sz="0" w:space="0" w:color="auto"/>
        <w:left w:val="none" w:sz="0" w:space="0" w:color="auto"/>
        <w:bottom w:val="none" w:sz="0" w:space="0" w:color="auto"/>
        <w:right w:val="none" w:sz="0" w:space="0" w:color="auto"/>
      </w:divBdr>
    </w:div>
    <w:div w:id="1279411026">
      <w:bodyDiv w:val="1"/>
      <w:marLeft w:val="0"/>
      <w:marRight w:val="0"/>
      <w:marTop w:val="0"/>
      <w:marBottom w:val="0"/>
      <w:divBdr>
        <w:top w:val="none" w:sz="0" w:space="0" w:color="auto"/>
        <w:left w:val="none" w:sz="0" w:space="0" w:color="auto"/>
        <w:bottom w:val="none" w:sz="0" w:space="0" w:color="auto"/>
        <w:right w:val="none" w:sz="0" w:space="0" w:color="auto"/>
      </w:divBdr>
      <w:divsChild>
        <w:div w:id="1828550289">
          <w:marLeft w:val="0"/>
          <w:marRight w:val="0"/>
          <w:marTop w:val="0"/>
          <w:marBottom w:val="0"/>
          <w:divBdr>
            <w:top w:val="none" w:sz="0" w:space="0" w:color="auto"/>
            <w:left w:val="none" w:sz="0" w:space="0" w:color="auto"/>
            <w:bottom w:val="none" w:sz="0" w:space="0" w:color="auto"/>
            <w:right w:val="none" w:sz="0" w:space="0" w:color="auto"/>
          </w:divBdr>
          <w:divsChild>
            <w:div w:id="681052834">
              <w:marLeft w:val="0"/>
              <w:marRight w:val="0"/>
              <w:marTop w:val="0"/>
              <w:marBottom w:val="0"/>
              <w:divBdr>
                <w:top w:val="none" w:sz="0" w:space="0" w:color="auto"/>
                <w:left w:val="none" w:sz="0" w:space="0" w:color="auto"/>
                <w:bottom w:val="none" w:sz="0" w:space="0" w:color="auto"/>
                <w:right w:val="none" w:sz="0" w:space="0" w:color="auto"/>
              </w:divBdr>
              <w:divsChild>
                <w:div w:id="1858889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2435619">
      <w:bodyDiv w:val="1"/>
      <w:marLeft w:val="0"/>
      <w:marRight w:val="0"/>
      <w:marTop w:val="0"/>
      <w:marBottom w:val="0"/>
      <w:divBdr>
        <w:top w:val="none" w:sz="0" w:space="0" w:color="auto"/>
        <w:left w:val="none" w:sz="0" w:space="0" w:color="auto"/>
        <w:bottom w:val="none" w:sz="0" w:space="0" w:color="auto"/>
        <w:right w:val="none" w:sz="0" w:space="0" w:color="auto"/>
      </w:divBdr>
    </w:div>
    <w:div w:id="1976064480">
      <w:bodyDiv w:val="1"/>
      <w:marLeft w:val="0"/>
      <w:marRight w:val="0"/>
      <w:marTop w:val="0"/>
      <w:marBottom w:val="0"/>
      <w:divBdr>
        <w:top w:val="none" w:sz="0" w:space="0" w:color="auto"/>
        <w:left w:val="none" w:sz="0" w:space="0" w:color="auto"/>
        <w:bottom w:val="none" w:sz="0" w:space="0" w:color="auto"/>
        <w:right w:val="none" w:sz="0" w:space="0" w:color="auto"/>
      </w:divBdr>
    </w:div>
    <w:div w:id="1992907542">
      <w:bodyDiv w:val="1"/>
      <w:marLeft w:val="0"/>
      <w:marRight w:val="0"/>
      <w:marTop w:val="0"/>
      <w:marBottom w:val="0"/>
      <w:divBdr>
        <w:top w:val="none" w:sz="0" w:space="0" w:color="auto"/>
        <w:left w:val="none" w:sz="0" w:space="0" w:color="auto"/>
        <w:bottom w:val="none" w:sz="0" w:space="0" w:color="auto"/>
        <w:right w:val="none" w:sz="0" w:space="0" w:color="auto"/>
      </w:divBdr>
    </w:div>
    <w:div w:id="2055688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b:Source>
    <b:Tag>Gar10</b:Tag>
    <b:SourceType>Book</b:SourceType>
    <b:Guid>{4CC43B8C-61C1-4CF9-BAD4-84AAA6B12BBF}</b:Guid>
    <b:Author>
      <b:Author>
        <b:NameList>
          <b:Person>
            <b:Last>Garriga</b:Last>
            <b:First>Ana</b:First>
            <b:Middle>Carolina</b:Middle>
          </b:Person>
        </b:NameList>
      </b:Author>
    </b:Author>
    <b:Title>Objetivos, Instrumentos y resultados de politica monetaria México 1980-2010</b:Title>
    <b:Year>2010</b:Year>
    <b:Month>Diciembre</b:Month>
    <b:YearAccessed>2012</b:YearAccessed>
    <b:MonthAccessed>Marzo</b:MonthAccessed>
    <b:City>Mèxico</b:City>
    <b:Publisher>CIDE</b:Publisher>
    <b:RefOrder>10</b:RefOrder>
  </b:Source>
  <b:Source>
    <b:Tag>Mán111</b:Tag>
    <b:SourceType>Book</b:SourceType>
    <b:Guid>{B8793D63-3765-4BC9-963D-80228A7452FC}</b:Guid>
    <b:Author>
      <b:Author>
        <b:NameList>
          <b:Person>
            <b:Last>Mántey</b:Last>
            <b:First>Guadalupe</b:First>
          </b:Person>
        </b:NameList>
      </b:Author>
    </b:Author>
    <b:Title>La política de tasa de interés interbancaria y la inflación en México</b:Title>
    <b:Year>2011</b:Year>
    <b:Month>Septiembre</b:Month>
    <b:YearAccessed>2012</b:YearAccessed>
    <b:MonthAccessed>mayo</b:MonthAccessed>
    <b:City>México</b:City>
    <b:Publisher>UNAM</b:Publisher>
    <b:RefOrder>7</b:RefOrder>
  </b:Source>
  <b:Source>
    <b:Tag>Cer11</b:Tag>
    <b:SourceType>DocumentFromInternetSite</b:SourceType>
    <b:Guid>{F4E9B882-F4A9-4E73-A449-301348B9D558}</b:Guid>
    <b:Author>
      <b:Author>
        <b:NameList>
          <b:Person>
            <b:Last>Cermeño</b:Last>
            <b:First>Rodolfo</b:First>
          </b:Person>
          <b:Person>
            <b:Last>Navarrete</b:Last>
            <b:First>Claudia</b:First>
          </b:Person>
        </b:NameList>
      </b:Author>
    </b:Author>
    <b:Title>¿Qué tan predecible es la política monetaria? un análisis econométrico del contenido informativo de los comunicados del Banco de México</b:Title>
    <b:Year>2011</b:Year>
    <b:Month>Noviembre</b:Month>
    <b:YearAccessed>2012</b:YearAccessed>
    <b:MonthAccessed>Julio</b:MonthAccessed>
    <b:RefOrder>3</b:RefOrder>
  </b:Source>
  <b:Source>
    <b:Tag>Asp93</b:Tag>
    <b:SourceType>Book</b:SourceType>
    <b:Guid>{BE35A4DC-0F4C-4CF6-9DAE-6A8E55C500D5}</b:Guid>
    <b:Author>
      <b:Author>
        <b:NameList>
          <b:Person>
            <b:Last>Aspe Armella</b:Last>
            <b:First>Pedro</b:First>
          </b:Person>
        </b:NameList>
      </b:Author>
    </b:Author>
    <b:Title>El camino mexicano de la transformación económica</b:Title>
    <b:Year>1993</b:Year>
    <b:RefOrder>13</b:RefOrder>
  </b:Source>
  <b:Source>
    <b:Tag>Ban111</b:Tag>
    <b:SourceType>DocumentFromInternetSite</b:SourceType>
    <b:Guid>{21D12DC6-DE2A-441F-B691-C01B8371813A}</b:Guid>
    <b:Author>
      <b:Author>
        <b:NameList>
          <b:Person>
            <b:Last>Banxico</b:Last>
          </b:Person>
        </b:NameList>
      </b:Author>
    </b:Author>
    <b:Title>Esquema de Objetivos de Inflación</b:Title>
    <b:Year>2011</b:Year>
    <b:YearAccessed>2011</b:YearAccessed>
    <b:MonthAccessed>Agosto</b:MonthAccessed>
    <b:DayAccessed>28</b:DayAccessed>
    <b:URL>http://www.banxico.org.mx/politica-monetaria-e-inflacion/material-de-referencia/intermedio/politica-monetaria/%7B5C9B2F38-D20E-8988-479A-922AFEEBB783%7D.pdf</b:URL>
    <b:RefOrder>21</b:RefOrder>
  </b:Source>
  <b:Source>
    <b:Tag>Ban072</b:Tag>
    <b:SourceType>DocumentFromInternetSite</b:SourceType>
    <b:Guid>{1F063B4E-881E-4A99-9E91-92FB34512311}</b:Guid>
    <b:Author>
      <b:Author>
        <b:NameList>
          <b:Person>
            <b:Last>Banxico</b:Last>
          </b:Person>
        </b:NameList>
      </b:Author>
    </b:Author>
    <b:Title>Instrumentación de la Política Monetaria a través de un Objetivo (Anexo 3 del Informe sobre Inflación Julio-Septiembre 2007)</b:Title>
    <b:Year>2007</b:Year>
    <b:Month>Septiembre</b:Month>
    <b:YearAccessed>2011</b:YearAccessed>
    <b:MonthAccessed>Noviembre</b:MonthAccessed>
    <b:RefOrder>6</b:RefOrder>
  </b:Source>
  <b:Source>
    <b:Tag>Ban07</b:Tag>
    <b:SourceType>DocumentFromInternetSite</b:SourceType>
    <b:Guid>{17077AE3-A57D-4FA6-86B3-03D642E5E84A}</b:Guid>
    <b:Author>
      <b:Author>
        <b:NameList>
          <b:Person>
            <b:Last>Banxico</b:Last>
          </b:Person>
        </b:NameList>
      </b:Author>
    </b:Author>
    <b:Title>LA BANCA CENTRAL Y LA IMPORTANCIA DE LA ESTABILIDAD ECONÓMICA</b:Title>
    <b:Year>2007</b:Year>
    <b:Month>Junio </b:Month>
    <b:Day>16</b:Day>
    <b:YearAccessed>2011</b:YearAccessed>
    <b:MonthAccessed>septiembre</b:MonthAccessed>
    <b:URL>http://www.banxico.org.mx/politica-monetaria-e-inflacion/material-de-referencia/intermedio/politica-monetaria/%7B3C1A08B1-FD93-0931-44F8-96F5950FC926%7D.pdf</b:URL>
    <b:RefOrder>22</b:RefOrder>
  </b:Source>
  <b:Source>
    <b:Tag>Ban104</b:Tag>
    <b:SourceType>DocumentFromInternetSite</b:SourceType>
    <b:Guid>{27F648EC-016D-404A-ADA2-3A2882905A0C}</b:Guid>
    <b:Author>
      <b:Author>
        <b:NameList>
          <b:Person>
            <b:Last>Banxico</b:Last>
          </b:Person>
        </b:NameList>
      </b:Author>
    </b:Author>
    <b:Title>Instrumentacion de la Politica Monetaria en el Banco de Mèxico</b:Title>
    <b:Year>2010</b:Year>
    <b:Month>Junio</b:Month>
    <b:Day>03</b:Day>
    <b:YearAccessed>2012</b:YearAccessed>
    <b:MonthAccessed>Mayo</b:MonthAccessed>
    <b:URL>http://www.banxico.org.mx/material-educativo/informacion-general/catedra-banco-de-mexico/universidad-autonoma-de-mexico-uam-mayo-julio-2/%7B99689FA1-2FEC-871E-593A-39E38CAC3D09%7D.pdf</b:URL>
    <b:RefOrder>23</b:RefOrder>
  </b:Source>
  <b:Source>
    <b:Tag>Ban121</b:Tag>
    <b:SourceType>DocumentFromInternetSite</b:SourceType>
    <b:Guid>{21DE2D55-376A-4968-A4DD-0BE0A9371006}</b:Guid>
    <b:Author>
      <b:Author>
        <b:NameList>
          <b:Person>
            <b:Last>Banxico</b:Last>
          </b:Person>
        </b:NameList>
      </b:Author>
    </b:Author>
    <b:Title>Operaciones de Mercado Abierto</b:Title>
    <b:Year>2012</b:Year>
    <b:Month>Mayo</b:Month>
    <b:YearAccessed>2012</b:YearAccessed>
    <b:MonthAccessed>Mayo</b:MonthAccessed>
    <b:DayAccessed>24</b:DayAccessed>
    <b:RefOrder>24</b:RefOrder>
  </b:Source>
  <b:Source>
    <b:Tag>Ban12</b:Tag>
    <b:SourceType>DocumentFromInternetSite</b:SourceType>
    <b:Guid>{5C517488-A788-49CA-A8B1-5656B8522D18}</b:Guid>
    <b:Author>
      <b:Author>
        <b:NameList>
          <b:Person>
            <b:Last>Banxico</b:Last>
          </b:Person>
        </b:NameList>
      </b:Author>
    </b:Author>
    <b:Title>Politica Monetaria e Inflacion</b:Title>
    <b:Year>2012</b:Year>
    <b:Month>Enero</b:Month>
    <b:Day>1</b:Day>
    <b:YearAccessed>2012</b:YearAccessed>
    <b:MonthAccessed>Febrero</b:MonthAccessed>
    <b:DayAccessed>12</b:DayAccessed>
    <b:URL>http://www.banxico.org.mx/divulgacion/politica-monetaria-e-inflacion/politica-monetaria-inflacion.html#Instrumentaciondelapoliticamonetaria</b:URL>
    <b:RefOrder>25</b:RefOrder>
  </b:Source>
  <b:Source>
    <b:Tag>Bla06</b:Tag>
    <b:SourceType>Book</b:SourceType>
    <b:Guid>{7438AC59-4A4A-4653-AB18-BD14A24F4AA3}</b:Guid>
    <b:Author>
      <b:Author>
        <b:NameList>
          <b:Person>
            <b:Last>Blanchard</b:Last>
            <b:First>Olivier</b:First>
          </b:Person>
        </b:NameList>
      </b:Author>
    </b:Author>
    <b:Title>Macroeconomía</b:Title>
    <b:Year>2006</b:Year>
    <b:Publisher>Pearson Prentice Hall</b:Publisher>
    <b:RefOrder>12</b:RefOrder>
  </b:Source>
  <b:Source>
    <b:Tag>Cua</b:Tag>
    <b:SourceType>Book</b:SourceType>
    <b:Guid>{C0255B3F-D836-4440-B64E-87D62B256561}</b:Guid>
    <b:Author>
      <b:Author>
        <b:NameList>
          <b:Person>
            <b:Last>Cuadrado</b:Last>
            <b:First>Juan</b:First>
            <b:Middle>R.</b:Middle>
          </b:Person>
          <b:Person>
            <b:Last>Mancha</b:Last>
            <b:First>Tomàs</b:First>
          </b:Person>
          <b:Person>
            <b:Last>Villena</b:Last>
            <b:First>Josè</b:First>
            <b:Middle>E.</b:Middle>
          </b:Person>
          <b:Person>
            <b:Last>Casares</b:Last>
            <b:First>Javier</b:First>
          </b:Person>
        </b:NameList>
      </b:Author>
    </b:Author>
    <b:Title>Polìtica Econòmica</b:Title>
    <b:Year>2006</b:Year>
    <b:City>Madrid</b:City>
    <b:Publisher>McGrawHill</b:Publisher>
    <b:RefOrder>15</b:RefOrder>
  </b:Source>
  <b:Source>
    <b:Tag>Bor02</b:Tag>
    <b:SourceType>Book</b:SourceType>
    <b:Guid>{08A205DC-3E71-41AE-9500-EF96F79B6CA6}</b:Guid>
    <b:Author>
      <b:Author>
        <b:NameList>
          <b:Person>
            <b:Last>Borjòn Nieto</b:Last>
            <b:First>Josè</b:First>
            <b:Middle>Jesùs</b:Middle>
          </b:Person>
        </b:NameList>
      </b:Author>
    </b:Author>
    <b:Title>Caos, Orden y Desorden, en el Sistema Monetario y Financiero Internacional</b:Title>
    <b:Year>2002</b:Year>
    <b:City>Mèxico D.F</b:City>
    <b:Publisher>Plaza y Valdes</b:Publisher>
    <b:RefOrder>26</b:RefOrder>
  </b:Source>
  <b:Source>
    <b:Tag>Día00</b:Tag>
    <b:SourceType>DocumentFromInternetSite</b:SourceType>
    <b:Guid>{8EED3793-DBD5-42D8-8685-6FD6F071A49E}</b:Guid>
    <b:Author>
      <b:Author>
        <b:NameList>
          <b:Person>
            <b:Last>Díaz de León</b:Last>
            <b:First>Alejando</b:First>
          </b:Person>
          <b:Person>
            <b:Last>Greenham</b:Last>
            <b:First>Laura</b:First>
          </b:Person>
        </b:NameList>
      </b:Author>
    </b:Author>
    <b:Title>Política Monetaria y tasas de interés: experencia reciente para el caso de México.</b:Title>
    <b:Year>2000</b:Year>
    <b:Month>Noviembre</b:Month>
    <b:Day>21</b:Day>
    <b:YearAccessed>2011</b:YearAccessed>
    <b:MonthAccessed>Septiembre</b:MonthAccessed>
    <b:RefOrder>27</b:RefOrder>
  </b:Source>
  <b:Source>
    <b:Tag>Par</b:Tag>
    <b:SourceType>Book</b:SourceType>
    <b:Guid>{F30821D7-219A-437C-AB57-8A321331B74E}</b:Guid>
    <b:Author>
      <b:Author>
        <b:NameList>
          <b:Person>
            <b:Last>Dornbusch</b:Last>
            <b:First>Rudiger</b:First>
          </b:Person>
          <b:Person>
            <b:Last>Fischer</b:Last>
            <b:First>Stanley</b:First>
          </b:Person>
          <b:Person>
            <b:Last>Startz</b:Last>
            <b:First>Richard</b:First>
          </b:Person>
        </b:NameList>
      </b:Author>
    </b:Author>
    <b:Title>Macroeconomia</b:Title>
    <b:Year>2005</b:Year>
    <b:City>Madrid</b:City>
    <b:Publisher>McGrawHill</b:Publisher>
    <b:RefOrder>28</b:RefOrder>
  </b:Source>
  <b:Source>
    <b:Tag>Let09</b:Tag>
    <b:SourceType>InternetSite</b:SourceType>
    <b:Guid>{88AD8D4D-D337-4513-9F41-9649E587FA62}</b:Guid>
    <b:Author>
      <b:Author>
        <b:NameList>
          <b:Person>
            <b:Last>Hernández</b:Last>
            <b:First>Leticia</b:First>
            <b:Middle>Marín</b:Middle>
          </b:Person>
        </b:NameList>
      </b:Author>
    </b:Author>
    <b:Title>Mèxicontemporaneo </b:Title>
    <b:InternetSiteTitle>Modelos Economico Existentes en Mèxico</b:InternetSiteTitle>
    <b:Year>2009</b:Year>
    <b:Month>Mayo </b:Month>
    <b:Day>04</b:Day>
    <b:YearAccessed>2010</b:YearAccessed>
    <b:MonthAccessed>Octubre</b:MonthAccessed>
    <b:DayAccessed>08</b:DayAccessed>
    <b:URL>http://mexicocontenporaneo.over-blog.es/article-31024715.html</b:URL>
    <b:RefOrder>19</b:RefOrder>
  </b:Source>
  <b:Source>
    <b:Tag>Kru07</b:Tag>
    <b:SourceType>Book</b:SourceType>
    <b:Guid>{DCDBEB5C-EF20-4288-AC84-892978B18777}</b:Guid>
    <b:Author>
      <b:Author>
        <b:NameList>
          <b:Person>
            <b:Last>Krugman</b:Last>
            <b:First>Paul.</b:First>
            <b:Middle>R</b:Middle>
          </b:Person>
          <b:Person>
            <b:Last>Obstfeld</b:Last>
            <b:First>Maurice</b:First>
          </b:Person>
        </b:NameList>
      </b:Author>
    </b:Author>
    <b:Title>Economìa Internacional</b:Title>
    <b:Year>2007</b:Year>
    <b:City>Madrid (España)</b:City>
    <b:Publisher>Pearson</b:Publisher>
    <b:RefOrder>16</b:RefOrder>
  </b:Source>
  <b:Source>
    <b:Tag>Par07</b:Tag>
    <b:SourceType>Book</b:SourceType>
    <b:Guid>{B5DE5707-BCC3-4695-906B-0A0234123158}</b:Guid>
    <b:Author>
      <b:Author>
        <b:NameList>
          <b:Person>
            <b:Last>Parkin</b:Last>
            <b:First>Michael</b:First>
          </b:Person>
          <b:Person>
            <b:Last>Esquivel</b:Last>
            <b:First>Gerardo</b:First>
          </b:Person>
          <b:Person>
            <b:Last>Muñoz</b:Last>
            <b:First>Mercedes</b:First>
          </b:Person>
        </b:NameList>
      </b:Author>
    </b:Author>
    <b:Title>Macroeconomìa, Versiòn para Latinoamèrica</b:Title>
    <b:Year>2007</b:Year>
    <b:City>Mèxico</b:City>
    <b:Publisher>PEARSON Addison Wesley</b:Publisher>
    <b:RefOrder>29</b:RefOrder>
  </b:Source>
  <b:Source>
    <b:Tag>Ram051</b:Tag>
    <b:SourceType>DocumentFromInternetSite</b:SourceType>
    <b:Guid>{151294FB-DCC8-47E9-B3BD-D34AE2649F38}</b:Guid>
    <b:Author>
      <b:Author>
        <b:NameList>
          <b:Person>
            <b:Last>Ramos Francia</b:Last>
            <b:First>Manuel</b:First>
          </b:Person>
          <b:Person>
            <b:Last>Torres Garcia</b:Last>
            <b:First>Alberto</b:First>
          </b:Person>
        </b:NameList>
      </b:Author>
    </b:Author>
    <b:Title>Reduccion de la inflacion a través de un esquema de Objetivos de Inflacion: Experencia Mexicana</b:Title>
    <b:Year>2005</b:Year>
    <b:Month>Enero</b:Month>
    <b:YearAccessed>2011</b:YearAccessed>
    <b:MonthAccessed>agosto</b:MonthAccessed>
    <b:DayAccessed>29</b:DayAccessed>
    <b:RefOrder>30</b:RefOrder>
  </b:Source>
  <b:Source>
    <b:Tag>Sam99</b:Tag>
    <b:SourceType>Book</b:SourceType>
    <b:Guid>{74DCE69E-F53A-4565-9FB6-61236EBA9855}</b:Guid>
    <b:Author>
      <b:Author>
        <b:NameList>
          <b:Person>
            <b:Last>Samuelson</b:Last>
            <b:First>Paul</b:First>
            <b:Middle>A.</b:Middle>
          </b:Person>
          <b:Person>
            <b:Last>Nordhaus</b:Last>
            <b:First>William</b:First>
            <b:Middle>D.</b:Middle>
          </b:Person>
          <b:Person>
            <b:Last>Dieck</b:Last>
            <b:First>Lourdes</b:First>
          </b:Person>
          <b:Person>
            <b:Last>Salazar</b:Last>
            <b:First>Jose</b:First>
            <b:Middle>de Jesus</b:Middle>
          </b:Person>
        </b:NameList>
      </b:Author>
    </b:Author>
    <b:Title>Macroeconomia</b:Title>
    <b:Year>1999</b:Year>
    <b:Publisher>McGrawHill</b:Publisher>
    <b:RefOrder>31</b:RefOrder>
  </b:Source>
  <b:Source>
    <b:Tag>Sch981</b:Tag>
    <b:SourceType>DocumentFromInternetSite</b:SourceType>
    <b:Guid>{ED202E55-3E93-455F-A8F1-0E64C4DC6D38}</b:Guid>
    <b:Author>
      <b:Author>
        <b:NameList>
          <b:Person>
            <b:Last>Schwartz Rosenthal</b:Last>
            <b:First>Moises</b:First>
            <b:Middle>J.</b:Middle>
          </b:Person>
        </b:NameList>
      </b:Author>
    </b:Author>
    <b:Title>CONSIDERACIONES SOBRE LA INSTRUMENTACIÓN PRÁCTICA DE LA POLITICA MONETARIA</b:Title>
    <b:Year>1998</b:Year>
    <b:Month>Octubre</b:Month>
    <b:YearAccessed>2011</b:YearAccessed>
    <b:MonthAccessed>septiembre</b:MonthAccessed>
    <b:DayAccessed>28</b:DayAccessed>
    <b:RefOrder>14</b:RefOrder>
  </b:Source>
  <b:Source>
    <b:Tag>Sch99</b:Tag>
    <b:SourceType>DocumentFromInternetSite</b:SourceType>
    <b:Guid>{BC9E6791-A5AC-4884-A168-CBBE46DC2015}</b:Guid>
    <b:Author>
      <b:Author>
        <b:NameList>
          <b:Person>
            <b:Last>Schwartz</b:Last>
            <b:First>Moisés</b:First>
            <b:Middle>J.</b:Middle>
          </b:Person>
          <b:Person>
            <b:Last>Galván1</b:Last>
            <b:First>Sybel</b:First>
          </b:Person>
        </b:NameList>
      </b:Author>
    </b:Author>
    <b:Title>Teoría Económica y Credibilidad en la Política Monetaria</b:Title>
    <b:Year>1999</b:Year>
    <b:Month>Marzo </b:Month>
    <b:YearAccessed>2011</b:YearAccessed>
    <b:MonthAccessed>Noviembre</b:MonthAccessed>
    <b:RefOrder>32</b:RefOrder>
  </b:Source>
  <b:Source>
    <b:Tag>Fer06</b:Tag>
    <b:SourceType>Book</b:SourceType>
    <b:Guid>{50B0DF86-B6EC-4BD4-8963-244C63992AF0}</b:Guid>
    <b:Author>
      <b:Author>
        <b:NameList>
          <b:Person>
            <b:Last>Fernández Díaz</b:Last>
            <b:First>Andrés</b:First>
          </b:Person>
          <b:Person>
            <b:Last>Parejo Gámir</b:Last>
            <b:First>José</b:First>
            <b:Middle>Alberto</b:Middle>
          </b:Person>
          <b:Person>
            <b:Last>Rodríguez Sáiz</b:Last>
            <b:First>Lis</b:First>
          </b:Person>
        </b:NameList>
      </b:Author>
    </b:Author>
    <b:Title>Política Económica</b:Title>
    <b:Year>2006</b:Year>
    <b:City>España</b:City>
    <b:Publisher>McGrawHill</b:Publisher>
    <b:RefOrder>33</b:RefOrder>
  </b:Source>
  <b:Source>
    <b:Tag>Ban1110</b:Tag>
    <b:SourceType>DocumentFromInternetSite</b:SourceType>
    <b:Guid>{7D141CD5-8DBF-46A0-9068-555A883128C1}</b:Guid>
    <b:Author>
      <b:Author>
        <b:NameList>
          <b:Person>
            <b:Last>Banxico</b:Last>
          </b:Person>
        </b:NameList>
      </b:Author>
    </b:Author>
    <b:Title>Efectos de la Política Monetaría sobre la Economía</b:Title>
    <b:Year>2011</b:Year>
    <b:Month>Noviembre</b:Month>
    <b:Day>30</b:Day>
    <b:MonthAccessed>2011</b:MonthAccessed>
    <b:DayAccessed>Diciembre</b:DayAccessed>
    <b:URL>18</b:URL>
    <b:RefOrder>1</b:RefOrder>
  </b:Source>
  <b:Source>
    <b:Tag>Gre97</b:Tag>
    <b:SourceType>Book</b:SourceType>
    <b:Guid>{F8A85B1B-49D7-4096-8FC6-E4B4B8BD17A1}</b:Guid>
    <b:Author>
      <b:Author>
        <b:NameList>
          <b:Person>
            <b:Last>Greenham Llorente</b:Last>
            <b:First>Laura</b:First>
            <b:Middle>Elena</b:Middle>
          </b:Person>
        </b:NameList>
      </b:Author>
    </b:Author>
    <b:Title>Mecanismo de Transmision de Polílitica Monetaría en México</b:Title>
    <b:Year>1997</b:Year>
    <b:City>México D.F</b:City>
    <b:Publisher>ITAM</b:Publisher>
    <b:RefOrder>2</b:RefOrder>
  </b:Source>
  <b:Source>
    <b:Tag>Ben10</b:Tag>
    <b:SourceType>DocumentFromInternetSite</b:SourceType>
    <b:Guid>{66035A9D-1399-44A4-873B-4055215A9F73}</b:Guid>
    <b:Author>
      <b:Author>
        <b:NameList>
          <b:Person>
            <b:Last>Benavides</b:Last>
            <b:First>Guillermo</b:First>
          </b:Person>
          <b:Person>
            <b:Last>Capistrán</b:Last>
            <b:First>Carlos</b:First>
          </b:Person>
        </b:NameList>
      </b:Author>
    </b:Author>
    <b:Title>Una Nota sobre la Volatilidad de la Tasa de Interes y del Tipo de Cambio bajo Diferentes Instrumentos de Política Monetaria: México 1998-2008</b:Title>
    <b:Year>2010</b:Year>
    <b:YearAccessed>2011</b:YearAccessed>
    <b:MonthAccessed>Septiembre</b:MonthAccessed>
    <b:RefOrder>34</b:RefOrder>
  </b:Source>
  <b:Source>
    <b:Tag>Mar01</b:Tag>
    <b:SourceType>DocumentFromInternetSite</b:SourceType>
    <b:Guid>{65311539-8054-41D3-B264-C0071C8838BD}</b:Guid>
    <b:Author>
      <b:Author>
        <b:NameList>
          <b:Person>
            <b:Last>Martínez</b:Last>
            <b:First>Lorenza</b:First>
          </b:Person>
          <b:Person>
            <b:Last>Sánchez</b:Last>
            <b:First>Oscar</b:First>
          </b:Person>
          <b:Person>
            <b:Last>Werner</b:Last>
            <b:First>Alejandro</b:First>
          </b:Person>
        </b:NameList>
      </b:Author>
    </b:Author>
    <b:Title>Consideraciones sobre la Conducción de la Política Monetaria y el Mecanismo de Transmisión en México</b:Title>
    <b:Year>2001</b:Year>
    <b:Month>Marzo</b:Month>
    <b:YearAccessed>2011</b:YearAccessed>
    <b:MonthAccessed>Septiembre</b:MonthAccessed>
    <b:RefOrder>5</b:RefOrder>
  </b:Source>
  <b:Source>
    <b:Tag>Tur07</b:Tag>
    <b:SourceType>DocumentFromInternetSite</b:SourceType>
    <b:Guid>{D9798A6A-71B4-468F-98B5-F596EED4FA7D}</b:Guid>
    <b:Author>
      <b:Author>
        <b:NameList>
          <b:Person>
            <b:Last>Turrent Díaz</b:Last>
            <b:First>Eduardo</b:First>
          </b:Person>
        </b:NameList>
      </b:Author>
    </b:Author>
    <b:Title>El Banco de México en Evolucion: Transicion hacia el esquema de Objetivos de inflacion.</b:Title>
    <b:Year>2007</b:Year>
    <b:Month>Mayo</b:Month>
    <b:YearAccessed>2011</b:YearAccessed>
    <b:MonthAccessed>Septiembre</b:MonthAccessed>
    <b:RefOrder>35</b:RefOrder>
  </b:Source>
  <b:Source>
    <b:Tag>Ban108</b:Tag>
    <b:SourceType>DocumentFromInternetSite</b:SourceType>
    <b:Guid>{1FB3DF02-760C-4FB6-ACA8-1FC856D179BA}</b:Guid>
    <b:Author>
      <b:Author>
        <b:NameList>
          <b:Person>
            <b:Last>Banxico</b:Last>
          </b:Person>
        </b:NameList>
      </b:Author>
    </b:Author>
    <b:Title>Evolución Histórica</b:Title>
    <b:Year>2010</b:Year>
    <b:Month>mayo</b:Month>
    <b:Day>20</b:Day>
    <b:YearAccessed>2011</b:YearAccessed>
    <b:MonthAccessed>Noviembre</b:MonthAccessed>
    <b:RefOrder>36</b:RefOrder>
  </b:Source>
  <b:Source>
    <b:Tag>Jea09</b:Tag>
    <b:SourceType>DocumentFromInternetSite</b:SourceType>
    <b:Guid>{9B78F36F-C94E-4FC3-A0EA-E5163D1AFDE4}</b:Guid>
    <b:Author>
      <b:Author>
        <b:NameList>
          <b:Person>
            <b:Last>Jeanneau</b:Last>
            <b:First>Serge</b:First>
          </b:Person>
          <b:Person>
            <b:Last>Tovar</b:Last>
            <b:First>Camilo</b:First>
            <b:Middle>E.</b:Middle>
          </b:Person>
        </b:NameList>
      </b:Author>
    </b:Author>
    <b:Title>Los mercdos de titulos locales y política monetaría en América Latina: presentación e implicaciones.</b:Title>
    <b:Year>2009</b:Year>
    <b:YearAccessed>2012</b:YearAccessed>
    <b:MonthAccessed>Mayo</b:MonthAccessed>
    <b:RefOrder>17</b:RefOrder>
  </b:Source>
  <b:Source>
    <b:Tag>MarcadorDePosición2</b:Tag>
    <b:SourceType>InternetSite</b:SourceType>
    <b:Guid>{C1663C9A-EADA-4245-A6D6-258C9EA7EA25}</b:Guid>
    <b:Author>
      <b:Author>
        <b:NameList>
          <b:Person>
            <b:Last>Banxico</b:Last>
          </b:Person>
        </b:NameList>
      </b:Author>
    </b:Author>
    <b:Title>Politica Monetaria e Inflacion</b:Title>
    <b:Year>2011</b:Year>
    <b:YearAccessed>2011</b:YearAccessed>
    <b:MonthAccessed>Agosto</b:MonthAccessed>
    <b:DayAccessed>28</b:DayAccessed>
    <b:URL>http://www.banxico.org.mx/politica-monetaria-e-inflacion/index.html</b:URL>
    <b:RefOrder>37</b:RefOrder>
  </b:Source>
  <b:Source>
    <b:Tag>Abe04</b:Tag>
    <b:SourceType>Book</b:SourceType>
    <b:Guid>{713AB4D3-294D-4786-BAE2-64D4EB80D661}</b:Guid>
    <b:Author>
      <b:Author>
        <b:NameList>
          <b:Person>
            <b:Last>Abel</b:Last>
            <b:First>Andrew</b:First>
            <b:Middle>B.</b:Middle>
          </b:Person>
          <b:Person>
            <b:Last>Bernanke</b:Last>
            <b:First>Ben</b:First>
            <b:Middle>S.</b:Middle>
          </b:Person>
        </b:NameList>
      </b:Author>
    </b:Author>
    <b:Title>Macroeconomía</b:Title>
    <b:Year>2004</b:Year>
    <b:Publisher>Pearson Addison Wesher</b:Publisher>
    <b:RefOrder>8</b:RefOrder>
  </b:Source>
  <b:Source>
    <b:Tag>Gav07</b:Tag>
    <b:SourceType>DocumentFromInternetSite</b:SourceType>
    <b:Guid>{085D330C-8D41-4493-AAE7-0CE902231DF8}</b:Guid>
    <b:Author>
      <b:Author>
        <b:NameList>
          <b:Person>
            <b:Last>Gaviria Ríos</b:Last>
            <b:First>Mario</b:First>
            <b:Middle>Alberto</b:Middle>
          </b:Person>
        </b:NameList>
      </b:Author>
    </b:Author>
    <b:Title>APUNTES DE TEORÍA Y POLÍTICA MONETARIA</b:Title>
    <b:Year>2007</b:Year>
    <b:Month>Diciembre</b:Month>
    <b:YearAccessed>2012</b:YearAccessed>
    <b:MonthAccessed>Abril</b:MonthAccessed>
    <b:DayAccessed>20</b:DayAccessed>
    <b:URL>www.eumed.net/libros/2007a/233/</b:URL>
    <b:RefOrder>38</b:RefOrder>
  </b:Source>
  <b:Source>
    <b:Tag>Guj07</b:Tag>
    <b:SourceType>Book</b:SourceType>
    <b:Guid>{DF0205EC-1BBA-40CB-A184-D780EA9A6569}</b:Guid>
    <b:Author>
      <b:Author>
        <b:NameList>
          <b:Person>
            <b:Last>Gujarati</b:Last>
            <b:First>Damodar</b:First>
            <b:Middle>N.</b:Middle>
          </b:Person>
        </b:NameList>
      </b:Author>
    </b:Author>
    <b:Title>Econometría</b:Title>
    <b:Year>2007</b:Year>
    <b:City>Estados Unidos</b:City>
    <b:Publisher>Mc Graw Hill</b:Publisher>
    <b:Edition>Cuarta edición</b:Edition>
    <b:RefOrder>39</b:RefOrder>
  </b:Source>
  <b:Source>
    <b:Tag>MarcadorDePosición1</b:Tag>
    <b:SourceType>DocumentFromInternetSite</b:SourceType>
    <b:Guid>{F443ABA0-86D8-4A1F-875A-F886CF517EC1}</b:Guid>
    <b:Author>
      <b:Author>
        <b:NameList>
          <b:Person>
            <b:Last>Benavides</b:Last>
            <b:First>Guillermo</b:First>
          </b:Person>
          <b:Person>
            <b:Last>Capistrán</b:Last>
            <b:First>Carlos</b:First>
          </b:Person>
        </b:NameList>
      </b:Author>
    </b:Author>
    <b:Title>Una Nota sobre la Volatilidad de la Tasa de Interes y del Tipo de Cambio bajo Diferentes Instrumentos de Política Monetaria: México 1998-2008</b:Title>
    <b:Year>2010</b:Year>
    <b:YearAccessed>2011</b:YearAccessed>
    <b:MonthAccessed>Septiembre</b:MonthAccessed>
    <b:RefOrder>4</b:RefOrder>
  </b:Source>
  <b:Source>
    <b:Tag>Ver983</b:Tag>
    <b:SourceType>Book</b:SourceType>
    <b:Guid>{2DC03C12-3376-4459-8FFD-2AA7143C849A}</b:Guid>
    <b:Author>
      <b:Author>
        <b:NameList>
          <b:Person>
            <b:Last>Vergara</b:Last>
            <b:First>Reyna</b:First>
          </b:Person>
        </b:NameList>
      </b:Author>
    </b:Author>
    <b:Title>Credibilidad y Politica Monetaria en Mèxico 1986-1997</b:Title>
    <b:Year>1998</b:Year>
    <b:City>Mèxico</b:City>
    <b:Publisher>Tesis</b:Publisher>
    <b:RefOrder>11</b:RefOrder>
  </b:Source>
  <b:Source>
    <b:Tag>Ban115</b:Tag>
    <b:SourceType>DocumentFromInternetSite</b:SourceType>
    <b:Guid>{DC7017A0-7F95-4D72-AC88-39D6BE7FF3F1}</b:Guid>
    <b:Author>
      <b:Author>
        <b:NameList>
          <b:Person>
            <b:Last>Banxico</b:Last>
          </b:Person>
        </b:NameList>
      </b:Author>
    </b:Author>
    <b:Title>Semblanza Historica</b:Title>
    <b:YearAccessed>2011</b:YearAccessed>
    <b:MonthAccessed>octubre</b:MonthAccessed>
    <b:DayAccessed>17</b:DayAccessed>
    <b:URL>http://www.banxico.org.mx/acerca-del-banco-de-mexico/semblanza-historica.html#mun</b:URL>
    <b:Year>2011</b:Year>
    <b:RefOrder>9</b:RefOrder>
  </b:Source>
  <b:Source xmlns:b="http://schemas.openxmlformats.org/officeDocument/2006/bibliography">
    <b:Tag>MarcadorDePosición3</b:Tag>
    <b:SourceType>DocumentFromInternetSite</b:SourceType>
    <b:Guid>{4F84A88D-58CB-43FC-B18B-D9C79122F269}</b:Guid>
    <b:Author>
      <b:Author>
        <b:NameList>
          <b:Person>
            <b:Last>Benavides</b:Last>
            <b:First>Guillermo</b:First>
          </b:Person>
          <b:Person>
            <b:Last>Capistrán</b:Last>
            <b:First>Carlos</b:First>
          </b:Person>
        </b:NameList>
      </b:Author>
    </b:Author>
    <b:Title>Una Nota sobre la Volatilidad de la Tasa de Interes y del Tipo de Cambio bajo Diferentes Instrumentos de Política Monetaria: México 1998-2008</b:Title>
    <b:Year>2009-2010</b:Year>
    <b:YearAccessed>2011</b:YearAccessed>
    <b:MonthAccessed>Septiembre</b:MonthAccessed>
    <b:RefOrder>18</b:RefOrder>
  </b:Source>
  <b:Source>
    <b:Tag>Guj09</b:Tag>
    <b:SourceType>Book</b:SourceType>
    <b:Guid>{5B44256D-E94F-4C0D-81C6-B7E1C2C06D66}</b:Guid>
    <b:Author>
      <b:Author>
        <b:NameList>
          <b:Person>
            <b:Last>Gujarati</b:Last>
            <b:First>Damodar</b:First>
            <b:Middle>N</b:Middle>
          </b:Person>
        </b:NameList>
      </b:Author>
    </b:Author>
    <b:Title>Economtría</b:Title>
    <b:Year>2009</b:Year>
    <b:Publisher>Mc Graw Hill</b:Publisher>
    <b:Edition>Quinta edición</b:Edition>
    <b:RefOrder>20</b:RefOrder>
  </b:Source>
</b:Sources>
</file>

<file path=customXml/itemProps1.xml><?xml version="1.0" encoding="utf-8"?>
<ds:datastoreItem xmlns:ds="http://schemas.openxmlformats.org/officeDocument/2006/customXml" ds:itemID="{BC3513DA-37AB-4D00-8D5C-0D8A03F472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9754</Words>
  <Characters>53649</Characters>
  <Application>Microsoft Office Word</Application>
  <DocSecurity>0</DocSecurity>
  <Lines>447</Lines>
  <Paragraphs>126</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63277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Equipo</dc:creator>
  <cp:lastModifiedBy>USUARIO</cp:lastModifiedBy>
  <cp:revision>3</cp:revision>
  <cp:lastPrinted>2013-02-21T18:35:00Z</cp:lastPrinted>
  <dcterms:created xsi:type="dcterms:W3CDTF">2016-05-02T19:27:00Z</dcterms:created>
  <dcterms:modified xsi:type="dcterms:W3CDTF">2016-05-02T19:27:00Z</dcterms:modified>
</cp:coreProperties>
</file>